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5E0099C0" w:rsidR="00F02AEC" w:rsidRPr="00215D48" w:rsidRDefault="00346EC2" w:rsidP="007452E8">
            <w:pPr>
              <w:pStyle w:val="Title"/>
            </w:pPr>
            <w:r w:rsidRPr="00346EC2">
              <w:t xml:space="preserve">Australian Public Assessment Report for </w:t>
            </w:r>
            <w:r w:rsidR="00A4373E">
              <w:t>Skyclarys</w:t>
            </w:r>
          </w:p>
        </w:tc>
      </w:tr>
      <w:tr w:rsidR="00F02AEC" w:rsidRPr="00215D48" w14:paraId="318A40A3" w14:textId="77777777" w:rsidTr="00346EC2">
        <w:trPr>
          <w:trHeight w:val="995"/>
        </w:trPr>
        <w:tc>
          <w:tcPr>
            <w:tcW w:w="8720" w:type="dxa"/>
          </w:tcPr>
          <w:p w14:paraId="1AA7C701" w14:textId="56BA1DA4" w:rsidR="00F02AEC" w:rsidRPr="00215D48" w:rsidRDefault="00346EC2" w:rsidP="007452E8">
            <w:pPr>
              <w:pStyle w:val="Subtitle"/>
              <w:ind w:left="0"/>
            </w:pPr>
            <w:r w:rsidRPr="00346EC2">
              <w:t xml:space="preserve">Active ingredient: </w:t>
            </w:r>
            <w:proofErr w:type="spellStart"/>
            <w:r w:rsidR="00A4373E">
              <w:t>Omavelo</w:t>
            </w:r>
            <w:r w:rsidR="009D46A6">
              <w:t>x</w:t>
            </w:r>
            <w:r w:rsidR="00A4373E">
              <w:t>olone</w:t>
            </w:r>
            <w:proofErr w:type="spellEnd"/>
          </w:p>
        </w:tc>
      </w:tr>
      <w:tr w:rsidR="00346EC2" w:rsidRPr="00215D48" w14:paraId="362CCAE4" w14:textId="77777777" w:rsidTr="007452E8">
        <w:trPr>
          <w:trHeight w:val="1916"/>
        </w:trPr>
        <w:tc>
          <w:tcPr>
            <w:tcW w:w="8720" w:type="dxa"/>
          </w:tcPr>
          <w:p w14:paraId="709C45C0" w14:textId="64E180D6" w:rsidR="00346EC2" w:rsidRPr="00215D48" w:rsidRDefault="007B6B69" w:rsidP="007452E8">
            <w:pPr>
              <w:pStyle w:val="Subtitle"/>
              <w:ind w:left="0"/>
            </w:pPr>
            <w:r>
              <w:t>Sponsor</w:t>
            </w:r>
            <w:r w:rsidR="00346EC2" w:rsidRPr="00346EC2">
              <w:t xml:space="preserve">: </w:t>
            </w:r>
            <w:r w:rsidR="00930793">
              <w:t>Biogen Australia Pty Ltd</w:t>
            </w:r>
          </w:p>
        </w:tc>
      </w:tr>
      <w:tr w:rsidR="00F02AEC" w:rsidRPr="00215D48" w14:paraId="37F2AA1F" w14:textId="77777777" w:rsidTr="007452E8">
        <w:tc>
          <w:tcPr>
            <w:tcW w:w="8720" w:type="dxa"/>
          </w:tcPr>
          <w:p w14:paraId="1FDE8DCD" w14:textId="252ED07C" w:rsidR="00F02AEC" w:rsidRPr="00215D48" w:rsidRDefault="00B90E10" w:rsidP="007452E8">
            <w:pPr>
              <w:pStyle w:val="Date"/>
            </w:pPr>
            <w:r>
              <w:t xml:space="preserve">July </w:t>
            </w:r>
            <w:r w:rsidR="00930793">
              <w:t>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4" w:history="1">
        <w:r w:rsidRPr="00A63C07">
          <w:rPr>
            <w:rStyle w:val="Hyperlink"/>
          </w:rPr>
          <w:t>TGA website</w:t>
        </w:r>
      </w:hyperlink>
      <w:r w:rsidRPr="003C6D1F">
        <w:t>.</w:t>
      </w:r>
    </w:p>
    <w:p w14:paraId="737B7A99" w14:textId="77777777" w:rsidR="00346EC2" w:rsidRDefault="00346EC2" w:rsidP="00346EC2">
      <w:pPr>
        <w:pStyle w:val="NonTOCHeading20"/>
      </w:pPr>
      <w:r>
        <w:t>About AusPARs</w:t>
      </w:r>
    </w:p>
    <w:p w14:paraId="631B2209" w14:textId="010FE2EE" w:rsidR="00346EC2" w:rsidRPr="003C6D1F" w:rsidRDefault="00346EC2" w:rsidP="00346EC2">
      <w:pPr>
        <w:pStyle w:val="ListBullet"/>
      </w:pPr>
      <w:r>
        <w:t>The</w:t>
      </w:r>
      <w:r w:rsidRPr="003C6D1F">
        <w:t xml:space="preserve"> Australian Public Assessment Report (AusPAR) provides information about the evaluation of a prescription medicine and the considerations that led the TGA to approve or not approve a prescription medicine submission.</w:t>
      </w:r>
      <w:r>
        <w:t xml:space="preserve"> Further information can be found in </w:t>
      </w:r>
      <w:hyperlink r:id="rId15" w:history="1">
        <w:r w:rsidRPr="005A2EB8">
          <w:rPr>
            <w:rStyle w:val="Hyperlink"/>
          </w:rPr>
          <w:t>Australian Public Assessment Report (AusPAR) guidance</w:t>
        </w:r>
      </w:hyperlink>
      <w:r>
        <w:t>.</w:t>
      </w:r>
    </w:p>
    <w:p w14:paraId="22F5A730" w14:textId="77777777" w:rsidR="00346EC2" w:rsidRPr="003C6D1F" w:rsidRDefault="00346EC2" w:rsidP="00346EC2">
      <w:pPr>
        <w:pStyle w:val="ListBullet"/>
      </w:pPr>
      <w:r w:rsidRPr="003C6D1F">
        <w:t>AusPARs are prepared and published by the TGA.</w:t>
      </w:r>
    </w:p>
    <w:p w14:paraId="451B8FD7" w14:textId="77777777" w:rsidR="00346EC2" w:rsidRPr="003C6D1F" w:rsidRDefault="00346EC2" w:rsidP="00346EC2">
      <w:pPr>
        <w:pStyle w:val="ListBullet"/>
      </w:pPr>
      <w:r w:rsidRPr="003C6D1F">
        <w:t>AusPAR</w:t>
      </w:r>
      <w:r>
        <w:t xml:space="preserve">s are </w:t>
      </w:r>
      <w:r w:rsidRPr="003C6D1F">
        <w:t>static document</w:t>
      </w:r>
      <w:r>
        <w:t xml:space="preserve">s that </w:t>
      </w:r>
      <w:r w:rsidRPr="003C6D1F">
        <w:t>provide information that relates to a submission at a particular point in time.</w:t>
      </w:r>
      <w:r>
        <w:t xml:space="preserve"> The publication of an AusPAR is an important part of the transparency of the TGA’s decision-making process.</w:t>
      </w:r>
    </w:p>
    <w:p w14:paraId="4D69F5CF" w14:textId="77777777" w:rsidR="00346EC2" w:rsidRPr="003C6D1F" w:rsidRDefault="00346EC2" w:rsidP="00346EC2">
      <w:pPr>
        <w:pStyle w:val="ListBullet"/>
      </w:pPr>
      <w:r w:rsidRPr="003C6D1F">
        <w:t xml:space="preserve">A new AusPAR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70D16D24" w:rsidR="00175CD8" w:rsidRPr="00346EC2" w:rsidRDefault="00F02AEC" w:rsidP="00346EC2">
      <w:pPr>
        <w:pStyle w:val="LegalCopy"/>
        <w:rPr>
          <w:rFonts w:cs="Arial"/>
        </w:rPr>
      </w:pPr>
      <w:r w:rsidRPr="00215D48">
        <w:rPr>
          <w:rFonts w:cs="Arial"/>
        </w:rPr>
        <w:t>© Commonwealth of Australia 20</w:t>
      </w:r>
      <w:r>
        <w:rPr>
          <w:rFonts w:cs="Arial"/>
        </w:rPr>
        <w:t>2</w:t>
      </w:r>
      <w:r w:rsidR="0009023D">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6" w:history="1">
        <w:r w:rsidRPr="00215D48">
          <w:rPr>
            <w:rStyle w:val="Hyperlink"/>
            <w:rFonts w:cs="Arial"/>
          </w:rPr>
          <w:t>tga.copyright@tga.gov.au</w:t>
        </w:r>
      </w:hyperlink>
      <w:r w:rsidRPr="00215D48">
        <w:rPr>
          <w:rFonts w:cs="Arial"/>
        </w:rPr>
        <w:t>&gt;.</w:t>
      </w:r>
    </w:p>
    <w:sdt>
      <w:sdtPr>
        <w:rPr>
          <w:rFonts w:ascii="Cambria" w:eastAsiaTheme="minorHAnsi" w:hAnsi="Cambria" w:cstheme="minorBidi"/>
          <w:b w:val="0"/>
          <w:color w:val="auto"/>
          <w:sz w:val="22"/>
          <w:szCs w:val="22"/>
        </w:rPr>
        <w:id w:val="21514769"/>
        <w:docPartObj>
          <w:docPartGallery w:val="Table of Contents"/>
          <w:docPartUnique/>
        </w:docPartObj>
      </w:sdtPr>
      <w:sdtEndPr>
        <w:rPr>
          <w:szCs w:val="20"/>
        </w:rPr>
      </w:sdtEndPr>
      <w:sdtContent>
        <w:p w14:paraId="0A6ADA2B" w14:textId="77777777" w:rsidR="00F02AEC" w:rsidRPr="00215D48" w:rsidRDefault="00F02AEC" w:rsidP="007452E8">
          <w:pPr>
            <w:pStyle w:val="NonTOCheading2"/>
          </w:pPr>
          <w:r w:rsidRPr="00215D48">
            <w:t>Contents</w:t>
          </w:r>
        </w:p>
        <w:p w14:paraId="7DB0ED21" w14:textId="6AE3A00F" w:rsidR="003E70F6"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3964959" w:history="1">
            <w:r w:rsidR="003E70F6" w:rsidRPr="00F96B64">
              <w:rPr>
                <w:rStyle w:val="Hyperlink"/>
                <w:noProof/>
              </w:rPr>
              <w:t>List of abbreviations</w:t>
            </w:r>
            <w:r w:rsidR="003E70F6">
              <w:rPr>
                <w:noProof/>
                <w:webHidden/>
              </w:rPr>
              <w:tab/>
            </w:r>
            <w:r w:rsidR="003E70F6">
              <w:rPr>
                <w:noProof/>
                <w:webHidden/>
              </w:rPr>
              <w:fldChar w:fldCharType="begin"/>
            </w:r>
            <w:r w:rsidR="003E70F6">
              <w:rPr>
                <w:noProof/>
                <w:webHidden/>
              </w:rPr>
              <w:instrText xml:space="preserve"> PAGEREF _Toc233964959 \h </w:instrText>
            </w:r>
            <w:r w:rsidR="003E70F6">
              <w:rPr>
                <w:noProof/>
                <w:webHidden/>
              </w:rPr>
            </w:r>
            <w:r w:rsidR="003E70F6">
              <w:rPr>
                <w:noProof/>
                <w:webHidden/>
              </w:rPr>
              <w:fldChar w:fldCharType="separate"/>
            </w:r>
            <w:r w:rsidR="003E70F6">
              <w:rPr>
                <w:noProof/>
                <w:webHidden/>
              </w:rPr>
              <w:t>4</w:t>
            </w:r>
            <w:r w:rsidR="003E70F6">
              <w:rPr>
                <w:noProof/>
                <w:webHidden/>
              </w:rPr>
              <w:fldChar w:fldCharType="end"/>
            </w:r>
          </w:hyperlink>
        </w:p>
        <w:p w14:paraId="07860D71" w14:textId="098F81B3" w:rsidR="003E70F6" w:rsidRDefault="003E70F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64960" w:history="1">
            <w:r w:rsidRPr="00F96B64">
              <w:rPr>
                <w:rStyle w:val="Hyperlink"/>
                <w:noProof/>
              </w:rPr>
              <w:t>Product submission</w:t>
            </w:r>
            <w:r>
              <w:rPr>
                <w:noProof/>
                <w:webHidden/>
              </w:rPr>
              <w:tab/>
            </w:r>
            <w:r>
              <w:rPr>
                <w:noProof/>
                <w:webHidden/>
              </w:rPr>
              <w:fldChar w:fldCharType="begin"/>
            </w:r>
            <w:r>
              <w:rPr>
                <w:noProof/>
                <w:webHidden/>
              </w:rPr>
              <w:instrText xml:space="preserve"> PAGEREF _Toc233964960 \h </w:instrText>
            </w:r>
            <w:r>
              <w:rPr>
                <w:noProof/>
                <w:webHidden/>
              </w:rPr>
            </w:r>
            <w:r>
              <w:rPr>
                <w:noProof/>
                <w:webHidden/>
              </w:rPr>
              <w:fldChar w:fldCharType="separate"/>
            </w:r>
            <w:r>
              <w:rPr>
                <w:noProof/>
                <w:webHidden/>
              </w:rPr>
              <w:t>9</w:t>
            </w:r>
            <w:r>
              <w:rPr>
                <w:noProof/>
                <w:webHidden/>
              </w:rPr>
              <w:fldChar w:fldCharType="end"/>
            </w:r>
          </w:hyperlink>
        </w:p>
        <w:p w14:paraId="3CBE64AB" w14:textId="09183FBD"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61" w:history="1">
            <w:r w:rsidRPr="00F96B64">
              <w:rPr>
                <w:rStyle w:val="Hyperlink"/>
                <w:noProof/>
                <w:lang w:eastAsia="en-AU"/>
              </w:rPr>
              <w:t>Submission details</w:t>
            </w:r>
            <w:r>
              <w:rPr>
                <w:noProof/>
                <w:webHidden/>
              </w:rPr>
              <w:tab/>
            </w:r>
            <w:r>
              <w:rPr>
                <w:noProof/>
                <w:webHidden/>
              </w:rPr>
              <w:fldChar w:fldCharType="begin"/>
            </w:r>
            <w:r>
              <w:rPr>
                <w:noProof/>
                <w:webHidden/>
              </w:rPr>
              <w:instrText xml:space="preserve"> PAGEREF _Toc233964961 \h </w:instrText>
            </w:r>
            <w:r>
              <w:rPr>
                <w:noProof/>
                <w:webHidden/>
              </w:rPr>
            </w:r>
            <w:r>
              <w:rPr>
                <w:noProof/>
                <w:webHidden/>
              </w:rPr>
              <w:fldChar w:fldCharType="separate"/>
            </w:r>
            <w:r>
              <w:rPr>
                <w:noProof/>
                <w:webHidden/>
              </w:rPr>
              <w:t>9</w:t>
            </w:r>
            <w:r>
              <w:rPr>
                <w:noProof/>
                <w:webHidden/>
              </w:rPr>
              <w:fldChar w:fldCharType="end"/>
            </w:r>
          </w:hyperlink>
        </w:p>
        <w:p w14:paraId="6F28CBEF" w14:textId="1A58A1AD"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62" w:history="1">
            <w:r w:rsidRPr="00F96B64">
              <w:rPr>
                <w:rStyle w:val="Hyperlink"/>
                <w:noProof/>
              </w:rPr>
              <w:t>Product background</w:t>
            </w:r>
            <w:r>
              <w:rPr>
                <w:noProof/>
                <w:webHidden/>
              </w:rPr>
              <w:tab/>
            </w:r>
            <w:r>
              <w:rPr>
                <w:noProof/>
                <w:webHidden/>
              </w:rPr>
              <w:fldChar w:fldCharType="begin"/>
            </w:r>
            <w:r>
              <w:rPr>
                <w:noProof/>
                <w:webHidden/>
              </w:rPr>
              <w:instrText xml:space="preserve"> PAGEREF _Toc233964962 \h </w:instrText>
            </w:r>
            <w:r>
              <w:rPr>
                <w:noProof/>
                <w:webHidden/>
              </w:rPr>
            </w:r>
            <w:r>
              <w:rPr>
                <w:noProof/>
                <w:webHidden/>
              </w:rPr>
              <w:fldChar w:fldCharType="separate"/>
            </w:r>
            <w:r>
              <w:rPr>
                <w:noProof/>
                <w:webHidden/>
              </w:rPr>
              <w:t>10</w:t>
            </w:r>
            <w:r>
              <w:rPr>
                <w:noProof/>
                <w:webHidden/>
              </w:rPr>
              <w:fldChar w:fldCharType="end"/>
            </w:r>
          </w:hyperlink>
        </w:p>
        <w:p w14:paraId="0B248B89" w14:textId="72717505"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63" w:history="1">
            <w:r w:rsidRPr="00F96B64">
              <w:rPr>
                <w:rStyle w:val="Hyperlink"/>
                <w:noProof/>
              </w:rPr>
              <w:t>Condition – Friedreich’s ataxia</w:t>
            </w:r>
            <w:r>
              <w:rPr>
                <w:noProof/>
                <w:webHidden/>
              </w:rPr>
              <w:tab/>
            </w:r>
            <w:r>
              <w:rPr>
                <w:noProof/>
                <w:webHidden/>
              </w:rPr>
              <w:fldChar w:fldCharType="begin"/>
            </w:r>
            <w:r>
              <w:rPr>
                <w:noProof/>
                <w:webHidden/>
              </w:rPr>
              <w:instrText xml:space="preserve"> PAGEREF _Toc233964963 \h </w:instrText>
            </w:r>
            <w:r>
              <w:rPr>
                <w:noProof/>
                <w:webHidden/>
              </w:rPr>
            </w:r>
            <w:r>
              <w:rPr>
                <w:noProof/>
                <w:webHidden/>
              </w:rPr>
              <w:fldChar w:fldCharType="separate"/>
            </w:r>
            <w:r>
              <w:rPr>
                <w:noProof/>
                <w:webHidden/>
              </w:rPr>
              <w:t>10</w:t>
            </w:r>
            <w:r>
              <w:rPr>
                <w:noProof/>
                <w:webHidden/>
              </w:rPr>
              <w:fldChar w:fldCharType="end"/>
            </w:r>
          </w:hyperlink>
        </w:p>
        <w:p w14:paraId="1409B60D" w14:textId="63AEA6CD"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64" w:history="1">
            <w:r w:rsidRPr="00F96B64">
              <w:rPr>
                <w:rStyle w:val="Hyperlink"/>
                <w:noProof/>
              </w:rPr>
              <w:t>Current treatment options</w:t>
            </w:r>
            <w:r>
              <w:rPr>
                <w:noProof/>
                <w:webHidden/>
              </w:rPr>
              <w:tab/>
            </w:r>
            <w:r>
              <w:rPr>
                <w:noProof/>
                <w:webHidden/>
              </w:rPr>
              <w:fldChar w:fldCharType="begin"/>
            </w:r>
            <w:r>
              <w:rPr>
                <w:noProof/>
                <w:webHidden/>
              </w:rPr>
              <w:instrText xml:space="preserve"> PAGEREF _Toc233964964 \h </w:instrText>
            </w:r>
            <w:r>
              <w:rPr>
                <w:noProof/>
                <w:webHidden/>
              </w:rPr>
            </w:r>
            <w:r>
              <w:rPr>
                <w:noProof/>
                <w:webHidden/>
              </w:rPr>
              <w:fldChar w:fldCharType="separate"/>
            </w:r>
            <w:r>
              <w:rPr>
                <w:noProof/>
                <w:webHidden/>
              </w:rPr>
              <w:t>11</w:t>
            </w:r>
            <w:r>
              <w:rPr>
                <w:noProof/>
                <w:webHidden/>
              </w:rPr>
              <w:fldChar w:fldCharType="end"/>
            </w:r>
          </w:hyperlink>
        </w:p>
        <w:p w14:paraId="5399DBCD" w14:textId="04719EC2"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65" w:history="1">
            <w:r w:rsidRPr="00F96B64">
              <w:rPr>
                <w:rStyle w:val="Hyperlink"/>
                <w:noProof/>
              </w:rPr>
              <w:t>Clinical rationale</w:t>
            </w:r>
            <w:r>
              <w:rPr>
                <w:noProof/>
                <w:webHidden/>
              </w:rPr>
              <w:tab/>
            </w:r>
            <w:r>
              <w:rPr>
                <w:noProof/>
                <w:webHidden/>
              </w:rPr>
              <w:fldChar w:fldCharType="begin"/>
            </w:r>
            <w:r>
              <w:rPr>
                <w:noProof/>
                <w:webHidden/>
              </w:rPr>
              <w:instrText xml:space="preserve"> PAGEREF _Toc233964965 \h </w:instrText>
            </w:r>
            <w:r>
              <w:rPr>
                <w:noProof/>
                <w:webHidden/>
              </w:rPr>
            </w:r>
            <w:r>
              <w:rPr>
                <w:noProof/>
                <w:webHidden/>
              </w:rPr>
              <w:fldChar w:fldCharType="separate"/>
            </w:r>
            <w:r>
              <w:rPr>
                <w:noProof/>
                <w:webHidden/>
              </w:rPr>
              <w:t>11</w:t>
            </w:r>
            <w:r>
              <w:rPr>
                <w:noProof/>
                <w:webHidden/>
              </w:rPr>
              <w:fldChar w:fldCharType="end"/>
            </w:r>
          </w:hyperlink>
        </w:p>
        <w:p w14:paraId="50922176" w14:textId="6E3D5863"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66" w:history="1">
            <w:r w:rsidRPr="00F96B64">
              <w:rPr>
                <w:rStyle w:val="Hyperlink"/>
                <w:noProof/>
              </w:rPr>
              <w:t>Regulatory status at the time of TGA assessment</w:t>
            </w:r>
            <w:r>
              <w:rPr>
                <w:noProof/>
                <w:webHidden/>
              </w:rPr>
              <w:tab/>
            </w:r>
            <w:r>
              <w:rPr>
                <w:noProof/>
                <w:webHidden/>
              </w:rPr>
              <w:fldChar w:fldCharType="begin"/>
            </w:r>
            <w:r>
              <w:rPr>
                <w:noProof/>
                <w:webHidden/>
              </w:rPr>
              <w:instrText xml:space="preserve"> PAGEREF _Toc233964966 \h </w:instrText>
            </w:r>
            <w:r>
              <w:rPr>
                <w:noProof/>
                <w:webHidden/>
              </w:rPr>
            </w:r>
            <w:r>
              <w:rPr>
                <w:noProof/>
                <w:webHidden/>
              </w:rPr>
              <w:fldChar w:fldCharType="separate"/>
            </w:r>
            <w:r>
              <w:rPr>
                <w:noProof/>
                <w:webHidden/>
              </w:rPr>
              <w:t>13</w:t>
            </w:r>
            <w:r>
              <w:rPr>
                <w:noProof/>
                <w:webHidden/>
              </w:rPr>
              <w:fldChar w:fldCharType="end"/>
            </w:r>
          </w:hyperlink>
        </w:p>
        <w:p w14:paraId="111A8B7B" w14:textId="13A65582"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67" w:history="1">
            <w:r w:rsidRPr="00F96B64">
              <w:rPr>
                <w:rStyle w:val="Hyperlink"/>
                <w:noProof/>
              </w:rPr>
              <w:t>Australian regulatory status</w:t>
            </w:r>
            <w:r>
              <w:rPr>
                <w:noProof/>
                <w:webHidden/>
              </w:rPr>
              <w:tab/>
            </w:r>
            <w:r>
              <w:rPr>
                <w:noProof/>
                <w:webHidden/>
              </w:rPr>
              <w:fldChar w:fldCharType="begin"/>
            </w:r>
            <w:r>
              <w:rPr>
                <w:noProof/>
                <w:webHidden/>
              </w:rPr>
              <w:instrText xml:space="preserve"> PAGEREF _Toc233964967 \h </w:instrText>
            </w:r>
            <w:r>
              <w:rPr>
                <w:noProof/>
                <w:webHidden/>
              </w:rPr>
            </w:r>
            <w:r>
              <w:rPr>
                <w:noProof/>
                <w:webHidden/>
              </w:rPr>
              <w:fldChar w:fldCharType="separate"/>
            </w:r>
            <w:r>
              <w:rPr>
                <w:noProof/>
                <w:webHidden/>
              </w:rPr>
              <w:t>13</w:t>
            </w:r>
            <w:r>
              <w:rPr>
                <w:noProof/>
                <w:webHidden/>
              </w:rPr>
              <w:fldChar w:fldCharType="end"/>
            </w:r>
          </w:hyperlink>
        </w:p>
        <w:p w14:paraId="42659878" w14:textId="65D4B238"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68" w:history="1">
            <w:r w:rsidRPr="00F96B64">
              <w:rPr>
                <w:rStyle w:val="Hyperlink"/>
                <w:noProof/>
              </w:rPr>
              <w:t>International regulatory status</w:t>
            </w:r>
            <w:r>
              <w:rPr>
                <w:noProof/>
                <w:webHidden/>
              </w:rPr>
              <w:tab/>
            </w:r>
            <w:r>
              <w:rPr>
                <w:noProof/>
                <w:webHidden/>
              </w:rPr>
              <w:fldChar w:fldCharType="begin"/>
            </w:r>
            <w:r>
              <w:rPr>
                <w:noProof/>
                <w:webHidden/>
              </w:rPr>
              <w:instrText xml:space="preserve"> PAGEREF _Toc233964968 \h </w:instrText>
            </w:r>
            <w:r>
              <w:rPr>
                <w:noProof/>
                <w:webHidden/>
              </w:rPr>
            </w:r>
            <w:r>
              <w:rPr>
                <w:noProof/>
                <w:webHidden/>
              </w:rPr>
              <w:fldChar w:fldCharType="separate"/>
            </w:r>
            <w:r>
              <w:rPr>
                <w:noProof/>
                <w:webHidden/>
              </w:rPr>
              <w:t>13</w:t>
            </w:r>
            <w:r>
              <w:rPr>
                <w:noProof/>
                <w:webHidden/>
              </w:rPr>
              <w:fldChar w:fldCharType="end"/>
            </w:r>
          </w:hyperlink>
        </w:p>
        <w:p w14:paraId="4E970291" w14:textId="65B63EB9" w:rsidR="003E70F6" w:rsidRDefault="003E70F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64969" w:history="1">
            <w:r w:rsidRPr="00F96B64">
              <w:rPr>
                <w:rStyle w:val="Hyperlink"/>
                <w:noProof/>
              </w:rPr>
              <w:t>Registration timeline</w:t>
            </w:r>
            <w:r>
              <w:rPr>
                <w:noProof/>
                <w:webHidden/>
              </w:rPr>
              <w:tab/>
            </w:r>
            <w:r>
              <w:rPr>
                <w:noProof/>
                <w:webHidden/>
              </w:rPr>
              <w:fldChar w:fldCharType="begin"/>
            </w:r>
            <w:r>
              <w:rPr>
                <w:noProof/>
                <w:webHidden/>
              </w:rPr>
              <w:instrText xml:space="preserve"> PAGEREF _Toc233964969 \h </w:instrText>
            </w:r>
            <w:r>
              <w:rPr>
                <w:noProof/>
                <w:webHidden/>
              </w:rPr>
            </w:r>
            <w:r>
              <w:rPr>
                <w:noProof/>
                <w:webHidden/>
              </w:rPr>
              <w:fldChar w:fldCharType="separate"/>
            </w:r>
            <w:r>
              <w:rPr>
                <w:noProof/>
                <w:webHidden/>
              </w:rPr>
              <w:t>14</w:t>
            </w:r>
            <w:r>
              <w:rPr>
                <w:noProof/>
                <w:webHidden/>
              </w:rPr>
              <w:fldChar w:fldCharType="end"/>
            </w:r>
          </w:hyperlink>
        </w:p>
        <w:p w14:paraId="124A5FC0" w14:textId="2AD09822" w:rsidR="003E70F6" w:rsidRDefault="003E70F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64970" w:history="1">
            <w:r w:rsidRPr="00F96B64">
              <w:rPr>
                <w:rStyle w:val="Hyperlink"/>
                <w:noProof/>
              </w:rPr>
              <w:t>Assessment overview</w:t>
            </w:r>
            <w:r>
              <w:rPr>
                <w:noProof/>
                <w:webHidden/>
              </w:rPr>
              <w:tab/>
            </w:r>
            <w:r>
              <w:rPr>
                <w:noProof/>
                <w:webHidden/>
              </w:rPr>
              <w:fldChar w:fldCharType="begin"/>
            </w:r>
            <w:r>
              <w:rPr>
                <w:noProof/>
                <w:webHidden/>
              </w:rPr>
              <w:instrText xml:space="preserve"> PAGEREF _Toc233964970 \h </w:instrText>
            </w:r>
            <w:r>
              <w:rPr>
                <w:noProof/>
                <w:webHidden/>
              </w:rPr>
            </w:r>
            <w:r>
              <w:rPr>
                <w:noProof/>
                <w:webHidden/>
              </w:rPr>
              <w:fldChar w:fldCharType="separate"/>
            </w:r>
            <w:r>
              <w:rPr>
                <w:noProof/>
                <w:webHidden/>
              </w:rPr>
              <w:t>14</w:t>
            </w:r>
            <w:r>
              <w:rPr>
                <w:noProof/>
                <w:webHidden/>
              </w:rPr>
              <w:fldChar w:fldCharType="end"/>
            </w:r>
          </w:hyperlink>
        </w:p>
        <w:p w14:paraId="4A4811E1" w14:textId="1E794303"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71" w:history="1">
            <w:r w:rsidRPr="00F96B64">
              <w:rPr>
                <w:rStyle w:val="Hyperlink"/>
                <w:noProof/>
              </w:rPr>
              <w:t>Quality evaluation summary</w:t>
            </w:r>
            <w:r>
              <w:rPr>
                <w:noProof/>
                <w:webHidden/>
              </w:rPr>
              <w:tab/>
            </w:r>
            <w:r>
              <w:rPr>
                <w:noProof/>
                <w:webHidden/>
              </w:rPr>
              <w:fldChar w:fldCharType="begin"/>
            </w:r>
            <w:r>
              <w:rPr>
                <w:noProof/>
                <w:webHidden/>
              </w:rPr>
              <w:instrText xml:space="preserve"> PAGEREF _Toc233964971 \h </w:instrText>
            </w:r>
            <w:r>
              <w:rPr>
                <w:noProof/>
                <w:webHidden/>
              </w:rPr>
            </w:r>
            <w:r>
              <w:rPr>
                <w:noProof/>
                <w:webHidden/>
              </w:rPr>
              <w:fldChar w:fldCharType="separate"/>
            </w:r>
            <w:r>
              <w:rPr>
                <w:noProof/>
                <w:webHidden/>
              </w:rPr>
              <w:t>14</w:t>
            </w:r>
            <w:r>
              <w:rPr>
                <w:noProof/>
                <w:webHidden/>
              </w:rPr>
              <w:fldChar w:fldCharType="end"/>
            </w:r>
          </w:hyperlink>
        </w:p>
        <w:p w14:paraId="49E2C95E" w14:textId="565351A7"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72" w:history="1">
            <w:r w:rsidRPr="00F96B64">
              <w:rPr>
                <w:rStyle w:val="Hyperlink"/>
                <w:noProof/>
              </w:rPr>
              <w:t>Nonclinical evaluation summary</w:t>
            </w:r>
            <w:r>
              <w:rPr>
                <w:noProof/>
                <w:webHidden/>
              </w:rPr>
              <w:tab/>
            </w:r>
            <w:r>
              <w:rPr>
                <w:noProof/>
                <w:webHidden/>
              </w:rPr>
              <w:fldChar w:fldCharType="begin"/>
            </w:r>
            <w:r>
              <w:rPr>
                <w:noProof/>
                <w:webHidden/>
              </w:rPr>
              <w:instrText xml:space="preserve"> PAGEREF _Toc233964972 \h </w:instrText>
            </w:r>
            <w:r>
              <w:rPr>
                <w:noProof/>
                <w:webHidden/>
              </w:rPr>
            </w:r>
            <w:r>
              <w:rPr>
                <w:noProof/>
                <w:webHidden/>
              </w:rPr>
              <w:fldChar w:fldCharType="separate"/>
            </w:r>
            <w:r>
              <w:rPr>
                <w:noProof/>
                <w:webHidden/>
              </w:rPr>
              <w:t>17</w:t>
            </w:r>
            <w:r>
              <w:rPr>
                <w:noProof/>
                <w:webHidden/>
              </w:rPr>
              <w:fldChar w:fldCharType="end"/>
            </w:r>
          </w:hyperlink>
        </w:p>
        <w:p w14:paraId="1C53F2D1" w14:textId="524E6F65"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73" w:history="1">
            <w:r w:rsidRPr="00F96B64">
              <w:rPr>
                <w:rStyle w:val="Hyperlink"/>
                <w:noProof/>
              </w:rPr>
              <w:t>Clinical evaluation summary</w:t>
            </w:r>
            <w:r>
              <w:rPr>
                <w:noProof/>
                <w:webHidden/>
              </w:rPr>
              <w:tab/>
            </w:r>
            <w:r>
              <w:rPr>
                <w:noProof/>
                <w:webHidden/>
              </w:rPr>
              <w:fldChar w:fldCharType="begin"/>
            </w:r>
            <w:r>
              <w:rPr>
                <w:noProof/>
                <w:webHidden/>
              </w:rPr>
              <w:instrText xml:space="preserve"> PAGEREF _Toc233964973 \h </w:instrText>
            </w:r>
            <w:r>
              <w:rPr>
                <w:noProof/>
                <w:webHidden/>
              </w:rPr>
            </w:r>
            <w:r>
              <w:rPr>
                <w:noProof/>
                <w:webHidden/>
              </w:rPr>
              <w:fldChar w:fldCharType="separate"/>
            </w:r>
            <w:r>
              <w:rPr>
                <w:noProof/>
                <w:webHidden/>
              </w:rPr>
              <w:t>19</w:t>
            </w:r>
            <w:r>
              <w:rPr>
                <w:noProof/>
                <w:webHidden/>
              </w:rPr>
              <w:fldChar w:fldCharType="end"/>
            </w:r>
          </w:hyperlink>
        </w:p>
        <w:p w14:paraId="5B970355" w14:textId="75F0D26B"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74" w:history="1">
            <w:r w:rsidRPr="00F96B64">
              <w:rPr>
                <w:rStyle w:val="Hyperlink"/>
                <w:noProof/>
              </w:rPr>
              <w:t>Summary of clinical studies</w:t>
            </w:r>
            <w:r>
              <w:rPr>
                <w:noProof/>
                <w:webHidden/>
              </w:rPr>
              <w:tab/>
            </w:r>
            <w:r>
              <w:rPr>
                <w:noProof/>
                <w:webHidden/>
              </w:rPr>
              <w:fldChar w:fldCharType="begin"/>
            </w:r>
            <w:r>
              <w:rPr>
                <w:noProof/>
                <w:webHidden/>
              </w:rPr>
              <w:instrText xml:space="preserve"> PAGEREF _Toc233964974 \h </w:instrText>
            </w:r>
            <w:r>
              <w:rPr>
                <w:noProof/>
                <w:webHidden/>
              </w:rPr>
            </w:r>
            <w:r>
              <w:rPr>
                <w:noProof/>
                <w:webHidden/>
              </w:rPr>
              <w:fldChar w:fldCharType="separate"/>
            </w:r>
            <w:r>
              <w:rPr>
                <w:noProof/>
                <w:webHidden/>
              </w:rPr>
              <w:t>19</w:t>
            </w:r>
            <w:r>
              <w:rPr>
                <w:noProof/>
                <w:webHidden/>
              </w:rPr>
              <w:fldChar w:fldCharType="end"/>
            </w:r>
          </w:hyperlink>
        </w:p>
        <w:p w14:paraId="4B67B1B0" w14:textId="551CA827"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75" w:history="1">
            <w:r w:rsidRPr="00F96B64">
              <w:rPr>
                <w:rStyle w:val="Hyperlink"/>
                <w:noProof/>
              </w:rPr>
              <w:t>Efficacy</w:t>
            </w:r>
            <w:r>
              <w:rPr>
                <w:noProof/>
                <w:webHidden/>
              </w:rPr>
              <w:tab/>
            </w:r>
            <w:r>
              <w:rPr>
                <w:noProof/>
                <w:webHidden/>
              </w:rPr>
              <w:fldChar w:fldCharType="begin"/>
            </w:r>
            <w:r>
              <w:rPr>
                <w:noProof/>
                <w:webHidden/>
              </w:rPr>
              <w:instrText xml:space="preserve"> PAGEREF _Toc233964975 \h </w:instrText>
            </w:r>
            <w:r>
              <w:rPr>
                <w:noProof/>
                <w:webHidden/>
              </w:rPr>
            </w:r>
            <w:r>
              <w:rPr>
                <w:noProof/>
                <w:webHidden/>
              </w:rPr>
              <w:fldChar w:fldCharType="separate"/>
            </w:r>
            <w:r>
              <w:rPr>
                <w:noProof/>
                <w:webHidden/>
              </w:rPr>
              <w:t>42</w:t>
            </w:r>
            <w:r>
              <w:rPr>
                <w:noProof/>
                <w:webHidden/>
              </w:rPr>
              <w:fldChar w:fldCharType="end"/>
            </w:r>
          </w:hyperlink>
        </w:p>
        <w:p w14:paraId="641896A9" w14:textId="09FF9996"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76" w:history="1">
            <w:r w:rsidRPr="00F96B64">
              <w:rPr>
                <w:rStyle w:val="Hyperlink"/>
                <w:noProof/>
              </w:rPr>
              <w:t>Safety</w:t>
            </w:r>
            <w:r>
              <w:rPr>
                <w:noProof/>
                <w:webHidden/>
              </w:rPr>
              <w:tab/>
            </w:r>
            <w:r>
              <w:rPr>
                <w:noProof/>
                <w:webHidden/>
              </w:rPr>
              <w:fldChar w:fldCharType="begin"/>
            </w:r>
            <w:r>
              <w:rPr>
                <w:noProof/>
                <w:webHidden/>
              </w:rPr>
              <w:instrText xml:space="preserve"> PAGEREF _Toc233964976 \h </w:instrText>
            </w:r>
            <w:r>
              <w:rPr>
                <w:noProof/>
                <w:webHidden/>
              </w:rPr>
            </w:r>
            <w:r>
              <w:rPr>
                <w:noProof/>
                <w:webHidden/>
              </w:rPr>
              <w:fldChar w:fldCharType="separate"/>
            </w:r>
            <w:r>
              <w:rPr>
                <w:noProof/>
                <w:webHidden/>
              </w:rPr>
              <w:t>60</w:t>
            </w:r>
            <w:r>
              <w:rPr>
                <w:noProof/>
                <w:webHidden/>
              </w:rPr>
              <w:fldChar w:fldCharType="end"/>
            </w:r>
          </w:hyperlink>
        </w:p>
        <w:p w14:paraId="1E58B68D" w14:textId="62152F3E"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77" w:history="1">
            <w:r w:rsidRPr="00F96B64">
              <w:rPr>
                <w:rStyle w:val="Hyperlink"/>
                <w:noProof/>
              </w:rPr>
              <w:t>Risk-benefit analysis</w:t>
            </w:r>
            <w:r>
              <w:rPr>
                <w:noProof/>
                <w:webHidden/>
              </w:rPr>
              <w:tab/>
            </w:r>
            <w:r>
              <w:rPr>
                <w:noProof/>
                <w:webHidden/>
              </w:rPr>
              <w:fldChar w:fldCharType="begin"/>
            </w:r>
            <w:r>
              <w:rPr>
                <w:noProof/>
                <w:webHidden/>
              </w:rPr>
              <w:instrText xml:space="preserve"> PAGEREF _Toc233964977 \h </w:instrText>
            </w:r>
            <w:r>
              <w:rPr>
                <w:noProof/>
                <w:webHidden/>
              </w:rPr>
            </w:r>
            <w:r>
              <w:rPr>
                <w:noProof/>
                <w:webHidden/>
              </w:rPr>
              <w:fldChar w:fldCharType="separate"/>
            </w:r>
            <w:r>
              <w:rPr>
                <w:noProof/>
                <w:webHidden/>
              </w:rPr>
              <w:t>103</w:t>
            </w:r>
            <w:r>
              <w:rPr>
                <w:noProof/>
                <w:webHidden/>
              </w:rPr>
              <w:fldChar w:fldCharType="end"/>
            </w:r>
          </w:hyperlink>
        </w:p>
        <w:p w14:paraId="4C5FFAF1" w14:textId="73B0127F"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78" w:history="1">
            <w:r w:rsidRPr="00F96B64">
              <w:rPr>
                <w:rStyle w:val="Hyperlink"/>
                <w:noProof/>
              </w:rPr>
              <w:t>Delegate’s considerations</w:t>
            </w:r>
            <w:r>
              <w:rPr>
                <w:noProof/>
                <w:webHidden/>
              </w:rPr>
              <w:tab/>
            </w:r>
            <w:r>
              <w:rPr>
                <w:noProof/>
                <w:webHidden/>
              </w:rPr>
              <w:fldChar w:fldCharType="begin"/>
            </w:r>
            <w:r>
              <w:rPr>
                <w:noProof/>
                <w:webHidden/>
              </w:rPr>
              <w:instrText xml:space="preserve"> PAGEREF _Toc233964978 \h </w:instrText>
            </w:r>
            <w:r>
              <w:rPr>
                <w:noProof/>
                <w:webHidden/>
              </w:rPr>
            </w:r>
            <w:r>
              <w:rPr>
                <w:noProof/>
                <w:webHidden/>
              </w:rPr>
              <w:fldChar w:fldCharType="separate"/>
            </w:r>
            <w:r>
              <w:rPr>
                <w:noProof/>
                <w:webHidden/>
              </w:rPr>
              <w:t>103</w:t>
            </w:r>
            <w:r>
              <w:rPr>
                <w:noProof/>
                <w:webHidden/>
              </w:rPr>
              <w:fldChar w:fldCharType="end"/>
            </w:r>
          </w:hyperlink>
        </w:p>
        <w:p w14:paraId="192AC07A" w14:textId="75D4182D"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79" w:history="1">
            <w:r w:rsidRPr="00F96B64">
              <w:rPr>
                <w:rStyle w:val="Hyperlink"/>
                <w:noProof/>
              </w:rPr>
              <w:t>Pharmacokinetics</w:t>
            </w:r>
            <w:r>
              <w:rPr>
                <w:noProof/>
                <w:webHidden/>
              </w:rPr>
              <w:tab/>
            </w:r>
            <w:r>
              <w:rPr>
                <w:noProof/>
                <w:webHidden/>
              </w:rPr>
              <w:fldChar w:fldCharType="begin"/>
            </w:r>
            <w:r>
              <w:rPr>
                <w:noProof/>
                <w:webHidden/>
              </w:rPr>
              <w:instrText xml:space="preserve"> PAGEREF _Toc233964979 \h </w:instrText>
            </w:r>
            <w:r>
              <w:rPr>
                <w:noProof/>
                <w:webHidden/>
              </w:rPr>
            </w:r>
            <w:r>
              <w:rPr>
                <w:noProof/>
                <w:webHidden/>
              </w:rPr>
              <w:fldChar w:fldCharType="separate"/>
            </w:r>
            <w:r>
              <w:rPr>
                <w:noProof/>
                <w:webHidden/>
              </w:rPr>
              <w:t>103</w:t>
            </w:r>
            <w:r>
              <w:rPr>
                <w:noProof/>
                <w:webHidden/>
              </w:rPr>
              <w:fldChar w:fldCharType="end"/>
            </w:r>
          </w:hyperlink>
        </w:p>
        <w:p w14:paraId="1826C264" w14:textId="605675D4"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0" w:history="1">
            <w:r w:rsidRPr="00F96B64">
              <w:rPr>
                <w:rStyle w:val="Hyperlink"/>
                <w:noProof/>
              </w:rPr>
              <w:t>Efficacy</w:t>
            </w:r>
            <w:r>
              <w:rPr>
                <w:noProof/>
                <w:webHidden/>
              </w:rPr>
              <w:tab/>
            </w:r>
            <w:r>
              <w:rPr>
                <w:noProof/>
                <w:webHidden/>
              </w:rPr>
              <w:fldChar w:fldCharType="begin"/>
            </w:r>
            <w:r>
              <w:rPr>
                <w:noProof/>
                <w:webHidden/>
              </w:rPr>
              <w:instrText xml:space="preserve"> PAGEREF _Toc233964980 \h </w:instrText>
            </w:r>
            <w:r>
              <w:rPr>
                <w:noProof/>
                <w:webHidden/>
              </w:rPr>
            </w:r>
            <w:r>
              <w:rPr>
                <w:noProof/>
                <w:webHidden/>
              </w:rPr>
              <w:fldChar w:fldCharType="separate"/>
            </w:r>
            <w:r>
              <w:rPr>
                <w:noProof/>
                <w:webHidden/>
              </w:rPr>
              <w:t>104</w:t>
            </w:r>
            <w:r>
              <w:rPr>
                <w:noProof/>
                <w:webHidden/>
              </w:rPr>
              <w:fldChar w:fldCharType="end"/>
            </w:r>
          </w:hyperlink>
        </w:p>
        <w:p w14:paraId="21FC4767" w14:textId="5EF9F0A2"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1" w:history="1">
            <w:r w:rsidRPr="00F96B64">
              <w:rPr>
                <w:rStyle w:val="Hyperlink"/>
                <w:noProof/>
              </w:rPr>
              <w:t>Safety</w:t>
            </w:r>
            <w:r>
              <w:rPr>
                <w:noProof/>
                <w:webHidden/>
              </w:rPr>
              <w:tab/>
            </w:r>
            <w:r>
              <w:rPr>
                <w:noProof/>
                <w:webHidden/>
              </w:rPr>
              <w:fldChar w:fldCharType="begin"/>
            </w:r>
            <w:r>
              <w:rPr>
                <w:noProof/>
                <w:webHidden/>
              </w:rPr>
              <w:instrText xml:space="preserve"> PAGEREF _Toc233964981 \h </w:instrText>
            </w:r>
            <w:r>
              <w:rPr>
                <w:noProof/>
                <w:webHidden/>
              </w:rPr>
            </w:r>
            <w:r>
              <w:rPr>
                <w:noProof/>
                <w:webHidden/>
              </w:rPr>
              <w:fldChar w:fldCharType="separate"/>
            </w:r>
            <w:r>
              <w:rPr>
                <w:noProof/>
                <w:webHidden/>
              </w:rPr>
              <w:t>107</w:t>
            </w:r>
            <w:r>
              <w:rPr>
                <w:noProof/>
                <w:webHidden/>
              </w:rPr>
              <w:fldChar w:fldCharType="end"/>
            </w:r>
          </w:hyperlink>
        </w:p>
        <w:p w14:paraId="664C026C" w14:textId="231C249D"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2" w:history="1">
            <w:r w:rsidRPr="00F96B64">
              <w:rPr>
                <w:rStyle w:val="Hyperlink"/>
                <w:noProof/>
              </w:rPr>
              <w:t>Uncertainties and limitations of data</w:t>
            </w:r>
            <w:r>
              <w:rPr>
                <w:noProof/>
                <w:webHidden/>
              </w:rPr>
              <w:tab/>
            </w:r>
            <w:r>
              <w:rPr>
                <w:noProof/>
                <w:webHidden/>
              </w:rPr>
              <w:fldChar w:fldCharType="begin"/>
            </w:r>
            <w:r>
              <w:rPr>
                <w:noProof/>
                <w:webHidden/>
              </w:rPr>
              <w:instrText xml:space="preserve"> PAGEREF _Toc233964982 \h </w:instrText>
            </w:r>
            <w:r>
              <w:rPr>
                <w:noProof/>
                <w:webHidden/>
              </w:rPr>
            </w:r>
            <w:r>
              <w:rPr>
                <w:noProof/>
                <w:webHidden/>
              </w:rPr>
              <w:fldChar w:fldCharType="separate"/>
            </w:r>
            <w:r>
              <w:rPr>
                <w:noProof/>
                <w:webHidden/>
              </w:rPr>
              <w:t>112</w:t>
            </w:r>
            <w:r>
              <w:rPr>
                <w:noProof/>
                <w:webHidden/>
              </w:rPr>
              <w:fldChar w:fldCharType="end"/>
            </w:r>
          </w:hyperlink>
        </w:p>
        <w:p w14:paraId="0D05D86E" w14:textId="0CB13C55"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3" w:history="1">
            <w:r w:rsidRPr="00F96B64">
              <w:rPr>
                <w:rStyle w:val="Hyperlink"/>
                <w:noProof/>
              </w:rPr>
              <w:t>Proposed indication</w:t>
            </w:r>
            <w:r>
              <w:rPr>
                <w:noProof/>
                <w:webHidden/>
              </w:rPr>
              <w:tab/>
            </w:r>
            <w:r>
              <w:rPr>
                <w:noProof/>
                <w:webHidden/>
              </w:rPr>
              <w:fldChar w:fldCharType="begin"/>
            </w:r>
            <w:r>
              <w:rPr>
                <w:noProof/>
                <w:webHidden/>
              </w:rPr>
              <w:instrText xml:space="preserve"> PAGEREF _Toc233964983 \h </w:instrText>
            </w:r>
            <w:r>
              <w:rPr>
                <w:noProof/>
                <w:webHidden/>
              </w:rPr>
            </w:r>
            <w:r>
              <w:rPr>
                <w:noProof/>
                <w:webHidden/>
              </w:rPr>
              <w:fldChar w:fldCharType="separate"/>
            </w:r>
            <w:r>
              <w:rPr>
                <w:noProof/>
                <w:webHidden/>
              </w:rPr>
              <w:t>116</w:t>
            </w:r>
            <w:r>
              <w:rPr>
                <w:noProof/>
                <w:webHidden/>
              </w:rPr>
              <w:fldChar w:fldCharType="end"/>
            </w:r>
          </w:hyperlink>
        </w:p>
        <w:p w14:paraId="344CBCB8" w14:textId="4FD6706F"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4" w:history="1">
            <w:r w:rsidRPr="00F96B64">
              <w:rPr>
                <w:rStyle w:val="Hyperlink"/>
                <w:noProof/>
              </w:rPr>
              <w:t>Dosing</w:t>
            </w:r>
            <w:r>
              <w:rPr>
                <w:noProof/>
                <w:webHidden/>
              </w:rPr>
              <w:tab/>
            </w:r>
            <w:r>
              <w:rPr>
                <w:noProof/>
                <w:webHidden/>
              </w:rPr>
              <w:fldChar w:fldCharType="begin"/>
            </w:r>
            <w:r>
              <w:rPr>
                <w:noProof/>
                <w:webHidden/>
              </w:rPr>
              <w:instrText xml:space="preserve"> PAGEREF _Toc233964984 \h </w:instrText>
            </w:r>
            <w:r>
              <w:rPr>
                <w:noProof/>
                <w:webHidden/>
              </w:rPr>
            </w:r>
            <w:r>
              <w:rPr>
                <w:noProof/>
                <w:webHidden/>
              </w:rPr>
              <w:fldChar w:fldCharType="separate"/>
            </w:r>
            <w:r>
              <w:rPr>
                <w:noProof/>
                <w:webHidden/>
              </w:rPr>
              <w:t>116</w:t>
            </w:r>
            <w:r>
              <w:rPr>
                <w:noProof/>
                <w:webHidden/>
              </w:rPr>
              <w:fldChar w:fldCharType="end"/>
            </w:r>
          </w:hyperlink>
        </w:p>
        <w:p w14:paraId="7EF0A0A1" w14:textId="67D9FAED"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5" w:history="1">
            <w:r w:rsidRPr="00F96B64">
              <w:rPr>
                <w:rStyle w:val="Hyperlink"/>
                <w:noProof/>
              </w:rPr>
              <w:t>Conclusions</w:t>
            </w:r>
            <w:r>
              <w:rPr>
                <w:noProof/>
                <w:webHidden/>
              </w:rPr>
              <w:tab/>
            </w:r>
            <w:r>
              <w:rPr>
                <w:noProof/>
                <w:webHidden/>
              </w:rPr>
              <w:fldChar w:fldCharType="begin"/>
            </w:r>
            <w:r>
              <w:rPr>
                <w:noProof/>
                <w:webHidden/>
              </w:rPr>
              <w:instrText xml:space="preserve"> PAGEREF _Toc233964985 \h </w:instrText>
            </w:r>
            <w:r>
              <w:rPr>
                <w:noProof/>
                <w:webHidden/>
              </w:rPr>
            </w:r>
            <w:r>
              <w:rPr>
                <w:noProof/>
                <w:webHidden/>
              </w:rPr>
              <w:fldChar w:fldCharType="separate"/>
            </w:r>
            <w:r>
              <w:rPr>
                <w:noProof/>
                <w:webHidden/>
              </w:rPr>
              <w:t>117</w:t>
            </w:r>
            <w:r>
              <w:rPr>
                <w:noProof/>
                <w:webHidden/>
              </w:rPr>
              <w:fldChar w:fldCharType="end"/>
            </w:r>
          </w:hyperlink>
        </w:p>
        <w:p w14:paraId="704F2CC2" w14:textId="27AF5735"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86" w:history="1">
            <w:r w:rsidRPr="00F96B64">
              <w:rPr>
                <w:rStyle w:val="Hyperlink"/>
                <w:noProof/>
                <w:lang w:eastAsia="en-AU"/>
              </w:rPr>
              <w:t>Risk management plan (RMP) evaluation</w:t>
            </w:r>
            <w:r>
              <w:rPr>
                <w:noProof/>
                <w:webHidden/>
              </w:rPr>
              <w:tab/>
            </w:r>
            <w:r>
              <w:rPr>
                <w:noProof/>
                <w:webHidden/>
              </w:rPr>
              <w:fldChar w:fldCharType="begin"/>
            </w:r>
            <w:r>
              <w:rPr>
                <w:noProof/>
                <w:webHidden/>
              </w:rPr>
              <w:instrText xml:space="preserve"> PAGEREF _Toc233964986 \h </w:instrText>
            </w:r>
            <w:r>
              <w:rPr>
                <w:noProof/>
                <w:webHidden/>
              </w:rPr>
            </w:r>
            <w:r>
              <w:rPr>
                <w:noProof/>
                <w:webHidden/>
              </w:rPr>
              <w:fldChar w:fldCharType="separate"/>
            </w:r>
            <w:r>
              <w:rPr>
                <w:noProof/>
                <w:webHidden/>
              </w:rPr>
              <w:t>118</w:t>
            </w:r>
            <w:r>
              <w:rPr>
                <w:noProof/>
                <w:webHidden/>
              </w:rPr>
              <w:fldChar w:fldCharType="end"/>
            </w:r>
          </w:hyperlink>
        </w:p>
        <w:p w14:paraId="2874FA73" w14:textId="0798F297" w:rsidR="003E70F6" w:rsidRDefault="003E70F6">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3964987" w:history="1">
            <w:r w:rsidRPr="00F96B64">
              <w:rPr>
                <w:rStyle w:val="Hyperlink"/>
                <w:noProof/>
              </w:rPr>
              <w:t>Independent expert advice</w:t>
            </w:r>
            <w:r>
              <w:rPr>
                <w:noProof/>
                <w:webHidden/>
              </w:rPr>
              <w:tab/>
            </w:r>
            <w:r>
              <w:rPr>
                <w:noProof/>
                <w:webHidden/>
              </w:rPr>
              <w:fldChar w:fldCharType="begin"/>
            </w:r>
            <w:r>
              <w:rPr>
                <w:noProof/>
                <w:webHidden/>
              </w:rPr>
              <w:instrText xml:space="preserve"> PAGEREF _Toc233964987 \h </w:instrText>
            </w:r>
            <w:r>
              <w:rPr>
                <w:noProof/>
                <w:webHidden/>
              </w:rPr>
            </w:r>
            <w:r>
              <w:rPr>
                <w:noProof/>
                <w:webHidden/>
              </w:rPr>
              <w:fldChar w:fldCharType="separate"/>
            </w:r>
            <w:r>
              <w:rPr>
                <w:noProof/>
                <w:webHidden/>
              </w:rPr>
              <w:t>119</w:t>
            </w:r>
            <w:r>
              <w:rPr>
                <w:noProof/>
                <w:webHidden/>
              </w:rPr>
              <w:fldChar w:fldCharType="end"/>
            </w:r>
          </w:hyperlink>
        </w:p>
        <w:p w14:paraId="2AB8DDE1" w14:textId="2709FED3" w:rsidR="003E70F6" w:rsidRDefault="003E70F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3964988" w:history="1">
            <w:r w:rsidRPr="00F96B64">
              <w:rPr>
                <w:rStyle w:val="Hyperlink"/>
                <w:noProof/>
              </w:rPr>
              <w:t>Assessment outcome</w:t>
            </w:r>
            <w:r>
              <w:rPr>
                <w:noProof/>
                <w:webHidden/>
              </w:rPr>
              <w:tab/>
            </w:r>
            <w:r>
              <w:rPr>
                <w:noProof/>
                <w:webHidden/>
              </w:rPr>
              <w:fldChar w:fldCharType="begin"/>
            </w:r>
            <w:r>
              <w:rPr>
                <w:noProof/>
                <w:webHidden/>
              </w:rPr>
              <w:instrText xml:space="preserve"> PAGEREF _Toc233964988 \h </w:instrText>
            </w:r>
            <w:r>
              <w:rPr>
                <w:noProof/>
                <w:webHidden/>
              </w:rPr>
            </w:r>
            <w:r>
              <w:rPr>
                <w:noProof/>
                <w:webHidden/>
              </w:rPr>
              <w:fldChar w:fldCharType="separate"/>
            </w:r>
            <w:r>
              <w:rPr>
                <w:noProof/>
                <w:webHidden/>
              </w:rPr>
              <w:t>120</w:t>
            </w:r>
            <w:r>
              <w:rPr>
                <w:noProof/>
                <w:webHidden/>
              </w:rPr>
              <w:fldChar w:fldCharType="end"/>
            </w:r>
          </w:hyperlink>
        </w:p>
        <w:p w14:paraId="1124BAE3" w14:textId="1D1F7D54"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89" w:history="1">
            <w:r w:rsidRPr="00F96B64">
              <w:rPr>
                <w:rStyle w:val="Hyperlink"/>
                <w:noProof/>
              </w:rPr>
              <w:t>Specific conditions of registration</w:t>
            </w:r>
            <w:r>
              <w:rPr>
                <w:noProof/>
                <w:webHidden/>
              </w:rPr>
              <w:tab/>
            </w:r>
            <w:r>
              <w:rPr>
                <w:noProof/>
                <w:webHidden/>
              </w:rPr>
              <w:fldChar w:fldCharType="begin"/>
            </w:r>
            <w:r>
              <w:rPr>
                <w:noProof/>
                <w:webHidden/>
              </w:rPr>
              <w:instrText xml:space="preserve"> PAGEREF _Toc233964989 \h </w:instrText>
            </w:r>
            <w:r>
              <w:rPr>
                <w:noProof/>
                <w:webHidden/>
              </w:rPr>
            </w:r>
            <w:r>
              <w:rPr>
                <w:noProof/>
                <w:webHidden/>
              </w:rPr>
              <w:fldChar w:fldCharType="separate"/>
            </w:r>
            <w:r>
              <w:rPr>
                <w:noProof/>
                <w:webHidden/>
              </w:rPr>
              <w:t>121</w:t>
            </w:r>
            <w:r>
              <w:rPr>
                <w:noProof/>
                <w:webHidden/>
              </w:rPr>
              <w:fldChar w:fldCharType="end"/>
            </w:r>
          </w:hyperlink>
        </w:p>
        <w:p w14:paraId="49224824" w14:textId="1570FDFB" w:rsidR="003E70F6" w:rsidRDefault="003E70F6">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3964990" w:history="1">
            <w:r w:rsidRPr="00F96B64">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_Toc233964990 \h </w:instrText>
            </w:r>
            <w:r>
              <w:rPr>
                <w:noProof/>
                <w:webHidden/>
              </w:rPr>
            </w:r>
            <w:r>
              <w:rPr>
                <w:noProof/>
                <w:webHidden/>
              </w:rPr>
              <w:fldChar w:fldCharType="separate"/>
            </w:r>
            <w:r>
              <w:rPr>
                <w:noProof/>
                <w:webHidden/>
              </w:rPr>
              <w:t>121</w:t>
            </w:r>
            <w:r>
              <w:rPr>
                <w:noProof/>
                <w:webHidden/>
              </w:rPr>
              <w:fldChar w:fldCharType="end"/>
            </w:r>
          </w:hyperlink>
        </w:p>
        <w:p w14:paraId="77659F2D" w14:textId="43367754" w:rsidR="00F02AEC" w:rsidRPr="00215D48" w:rsidRDefault="00F02AEC" w:rsidP="007452E8">
          <w:r w:rsidRPr="00215D48">
            <w:fldChar w:fldCharType="end"/>
          </w:r>
        </w:p>
      </w:sdtContent>
    </w:sdt>
    <w:p w14:paraId="1E73AB93" w14:textId="47566B36" w:rsidR="00324B33" w:rsidRDefault="000876DE" w:rsidP="0057396C">
      <w:pPr>
        <w:pStyle w:val="Heading2"/>
      </w:pPr>
      <w:bookmarkStart w:id="0" w:name="_Toc98931917"/>
      <w:bookmarkStart w:id="1" w:name="_Toc103679287"/>
      <w:bookmarkStart w:id="2" w:name="_Toc323739589"/>
      <w:bookmarkStart w:id="3" w:name="_Toc356305216"/>
      <w:r>
        <w:br w:type="page"/>
      </w:r>
      <w:bookmarkStart w:id="4" w:name="_Toc233964959"/>
      <w:r w:rsidR="00324B33">
        <w:lastRenderedPageBreak/>
        <w:t>List of abbreviations</w:t>
      </w:r>
      <w:bookmarkEnd w:id="0"/>
      <w:bookmarkEnd w:id="1"/>
      <w:bookmarkEnd w:id="4"/>
    </w:p>
    <w:tbl>
      <w:tblPr>
        <w:tblW w:w="9151" w:type="dxa"/>
        <w:tblInd w:w="55" w:type="dxa"/>
        <w:tblBorders>
          <w:top w:val="single" w:sz="6" w:space="0" w:color="1F3864" w:themeColor="accent1" w:themeShade="80"/>
          <w:left w:val="single" w:sz="6" w:space="0" w:color="1F3864" w:themeColor="accent1" w:themeShade="80"/>
          <w:bottom w:val="single" w:sz="6" w:space="0" w:color="1F3864" w:themeColor="accent1" w:themeShade="80"/>
          <w:right w:val="single" w:sz="6" w:space="0" w:color="1F3864" w:themeColor="accent1" w:themeShade="80"/>
          <w:insideH w:val="single" w:sz="6" w:space="0" w:color="1F3864" w:themeColor="accent1" w:themeShade="80"/>
          <w:insideV w:val="single" w:sz="6" w:space="0" w:color="1F3864" w:themeColor="accent1" w:themeShade="80"/>
        </w:tblBorders>
        <w:tblLayout w:type="fixed"/>
        <w:tblCellMar>
          <w:left w:w="0" w:type="dxa"/>
          <w:right w:w="0" w:type="dxa"/>
        </w:tblCellMar>
        <w:tblLook w:val="01E0" w:firstRow="1" w:lastRow="1" w:firstColumn="1" w:lastColumn="1" w:noHBand="0" w:noVBand="0"/>
      </w:tblPr>
      <w:tblGrid>
        <w:gridCol w:w="2489"/>
        <w:gridCol w:w="6662"/>
      </w:tblGrid>
      <w:tr w:rsidR="00B830BA" w:rsidRPr="00B830BA" w14:paraId="653F95B2" w14:textId="77777777" w:rsidTr="00B327C4">
        <w:trPr>
          <w:trHeight w:val="337"/>
          <w:tblHeader/>
        </w:trPr>
        <w:tc>
          <w:tcPr>
            <w:tcW w:w="2489" w:type="dxa"/>
            <w:shd w:val="clear" w:color="auto" w:fill="DEEAF6" w:themeFill="accent5" w:themeFillTint="33"/>
          </w:tcPr>
          <w:p w14:paraId="05D1F178" w14:textId="12D54675" w:rsidR="002209AA" w:rsidRPr="00B830BA" w:rsidRDefault="002209AA" w:rsidP="002209AA">
            <w:pPr>
              <w:keepNext/>
              <w:spacing w:before="80" w:after="40" w:line="264" w:lineRule="auto"/>
              <w:ind w:left="113"/>
              <w:rPr>
                <w:rFonts w:eastAsia="Cambria"/>
                <w:b/>
                <w:bCs/>
                <w:color w:val="1F3864" w:themeColor="accent1" w:themeShade="80"/>
                <w:szCs w:val="22"/>
              </w:rPr>
            </w:pPr>
            <w:r w:rsidRPr="00B830BA">
              <w:rPr>
                <w:b/>
                <w:bCs/>
                <w:color w:val="1F3864" w:themeColor="accent1" w:themeShade="80"/>
                <w:szCs w:val="22"/>
              </w:rPr>
              <w:t>Abbreviation</w:t>
            </w:r>
          </w:p>
        </w:tc>
        <w:tc>
          <w:tcPr>
            <w:tcW w:w="6662" w:type="dxa"/>
            <w:shd w:val="clear" w:color="auto" w:fill="DEEAF6" w:themeFill="accent5" w:themeFillTint="33"/>
          </w:tcPr>
          <w:p w14:paraId="62294B6E" w14:textId="1AFCA82F" w:rsidR="002209AA" w:rsidRPr="00B830BA" w:rsidRDefault="002209AA" w:rsidP="002209AA">
            <w:pPr>
              <w:keepNext/>
              <w:spacing w:before="80" w:after="40" w:line="264" w:lineRule="auto"/>
              <w:ind w:left="113"/>
              <w:rPr>
                <w:rFonts w:eastAsia="Cambria"/>
                <w:b/>
                <w:bCs/>
                <w:color w:val="1F3864" w:themeColor="accent1" w:themeShade="80"/>
                <w:szCs w:val="22"/>
              </w:rPr>
            </w:pPr>
            <w:r w:rsidRPr="00B830BA">
              <w:rPr>
                <w:b/>
                <w:bCs/>
                <w:color w:val="1F3864" w:themeColor="accent1" w:themeShade="80"/>
                <w:szCs w:val="22"/>
              </w:rPr>
              <w:t>Meaning</w:t>
            </w:r>
          </w:p>
        </w:tc>
      </w:tr>
      <w:tr w:rsidR="001E57BB" w:rsidRPr="001E57BB" w14:paraId="5020365B" w14:textId="77777777" w:rsidTr="00B57BA2">
        <w:trPr>
          <w:trHeight w:val="337"/>
        </w:trPr>
        <w:tc>
          <w:tcPr>
            <w:tcW w:w="2489" w:type="dxa"/>
          </w:tcPr>
          <w:p w14:paraId="07535B93" w14:textId="77777777" w:rsidR="00D813B6" w:rsidRPr="001E57BB" w:rsidRDefault="00D813B6" w:rsidP="00D813B6">
            <w:pPr>
              <w:spacing w:before="80" w:after="40" w:line="264" w:lineRule="auto"/>
              <w:ind w:left="113"/>
              <w:rPr>
                <w:rFonts w:eastAsia="Times New Roman"/>
                <w:szCs w:val="22"/>
              </w:rPr>
            </w:pPr>
            <w:r w:rsidRPr="001E57BB">
              <w:rPr>
                <w:rFonts w:eastAsia="Times New Roman"/>
                <w:szCs w:val="22"/>
              </w:rPr>
              <w:t>9-HPT</w:t>
            </w:r>
          </w:p>
        </w:tc>
        <w:tc>
          <w:tcPr>
            <w:tcW w:w="6662" w:type="dxa"/>
          </w:tcPr>
          <w:p w14:paraId="23ECD7D1" w14:textId="77777777" w:rsidR="00D813B6" w:rsidRPr="001E57BB" w:rsidRDefault="00D813B6" w:rsidP="00D813B6">
            <w:pPr>
              <w:spacing w:before="80" w:after="40" w:line="264" w:lineRule="auto"/>
              <w:ind w:left="113"/>
              <w:rPr>
                <w:rFonts w:eastAsia="Times New Roman"/>
                <w:szCs w:val="22"/>
              </w:rPr>
            </w:pPr>
            <w:r w:rsidRPr="001E57BB">
              <w:rPr>
                <w:rFonts w:eastAsia="Times New Roman"/>
                <w:szCs w:val="22"/>
              </w:rPr>
              <w:t>9-hole peg test</w:t>
            </w:r>
          </w:p>
        </w:tc>
      </w:tr>
      <w:tr w:rsidR="001E57BB" w:rsidRPr="001E57BB" w14:paraId="1CD9EF34" w14:textId="77777777" w:rsidTr="00B57BA2">
        <w:trPr>
          <w:trHeight w:val="339"/>
        </w:trPr>
        <w:tc>
          <w:tcPr>
            <w:tcW w:w="2489" w:type="dxa"/>
          </w:tcPr>
          <w:p w14:paraId="2380FAFC" w14:textId="1724D6A1"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ACM</w:t>
            </w:r>
          </w:p>
        </w:tc>
        <w:tc>
          <w:tcPr>
            <w:tcW w:w="6662" w:type="dxa"/>
          </w:tcPr>
          <w:p w14:paraId="26296379" w14:textId="7B4AA811"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Advisory Committee on Medicines</w:t>
            </w:r>
          </w:p>
        </w:tc>
      </w:tr>
      <w:tr w:rsidR="001E57BB" w:rsidRPr="001E57BB" w14:paraId="4F5B212C" w14:textId="77777777" w:rsidTr="00B57BA2">
        <w:trPr>
          <w:trHeight w:val="339"/>
        </w:trPr>
        <w:tc>
          <w:tcPr>
            <w:tcW w:w="2489" w:type="dxa"/>
          </w:tcPr>
          <w:p w14:paraId="7ED21B32" w14:textId="7E9188A0"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ACV</w:t>
            </w:r>
          </w:p>
        </w:tc>
        <w:tc>
          <w:tcPr>
            <w:tcW w:w="6662" w:type="dxa"/>
          </w:tcPr>
          <w:p w14:paraId="5D6A3AB5" w14:textId="3CF1520A"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Advisory Committee on Vaccines</w:t>
            </w:r>
          </w:p>
        </w:tc>
      </w:tr>
      <w:tr w:rsidR="001E57BB" w:rsidRPr="001E57BB" w14:paraId="6825700A" w14:textId="77777777" w:rsidTr="00B57BA2">
        <w:trPr>
          <w:trHeight w:val="338"/>
        </w:trPr>
        <w:tc>
          <w:tcPr>
            <w:tcW w:w="2489" w:type="dxa"/>
          </w:tcPr>
          <w:p w14:paraId="761472A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AE</w:t>
            </w:r>
          </w:p>
        </w:tc>
        <w:tc>
          <w:tcPr>
            <w:tcW w:w="6662" w:type="dxa"/>
          </w:tcPr>
          <w:p w14:paraId="097EFFB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Adverse event</w:t>
            </w:r>
          </w:p>
        </w:tc>
      </w:tr>
      <w:tr w:rsidR="001E57BB" w:rsidRPr="001E57BB" w14:paraId="05BF26DB" w14:textId="77777777" w:rsidTr="00B57BA2">
        <w:trPr>
          <w:trHeight w:val="339"/>
        </w:trPr>
        <w:tc>
          <w:tcPr>
            <w:tcW w:w="2489" w:type="dxa"/>
          </w:tcPr>
          <w:p w14:paraId="7F4817E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ALP</w:t>
            </w:r>
          </w:p>
        </w:tc>
        <w:tc>
          <w:tcPr>
            <w:tcW w:w="6662" w:type="dxa"/>
          </w:tcPr>
          <w:p w14:paraId="0BCAFFA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Alkaline phosphatase</w:t>
            </w:r>
          </w:p>
        </w:tc>
      </w:tr>
      <w:tr w:rsidR="001E57BB" w:rsidRPr="001E57BB" w14:paraId="5BA4572B" w14:textId="77777777" w:rsidTr="00B57BA2">
        <w:trPr>
          <w:trHeight w:val="338"/>
        </w:trPr>
        <w:tc>
          <w:tcPr>
            <w:tcW w:w="2489" w:type="dxa"/>
          </w:tcPr>
          <w:p w14:paraId="114249F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ALT</w:t>
            </w:r>
          </w:p>
        </w:tc>
        <w:tc>
          <w:tcPr>
            <w:tcW w:w="6662" w:type="dxa"/>
          </w:tcPr>
          <w:p w14:paraId="371C819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Alanine aminotransferase</w:t>
            </w:r>
          </w:p>
        </w:tc>
      </w:tr>
      <w:tr w:rsidR="001E57BB" w:rsidRPr="001E57BB" w14:paraId="0D85D0A9" w14:textId="77777777" w:rsidTr="00B57BA2">
        <w:trPr>
          <w:trHeight w:val="337"/>
        </w:trPr>
        <w:tc>
          <w:tcPr>
            <w:tcW w:w="2489" w:type="dxa"/>
          </w:tcPr>
          <w:p w14:paraId="4AB0FA3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ADME</w:t>
            </w:r>
          </w:p>
        </w:tc>
        <w:tc>
          <w:tcPr>
            <w:tcW w:w="6662" w:type="dxa"/>
          </w:tcPr>
          <w:p w14:paraId="027CEC6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Absorption, distribution, metabolism, and excretion</w:t>
            </w:r>
          </w:p>
        </w:tc>
      </w:tr>
      <w:tr w:rsidR="001E57BB" w:rsidRPr="001E57BB" w14:paraId="337B6FD8" w14:textId="77777777" w:rsidTr="00B57BA2">
        <w:trPr>
          <w:trHeight w:val="338"/>
        </w:trPr>
        <w:tc>
          <w:tcPr>
            <w:tcW w:w="2489" w:type="dxa"/>
          </w:tcPr>
          <w:p w14:paraId="61A2A17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ANCOVA</w:t>
            </w:r>
          </w:p>
        </w:tc>
        <w:tc>
          <w:tcPr>
            <w:tcW w:w="6662" w:type="dxa"/>
          </w:tcPr>
          <w:p w14:paraId="37181F7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Analysis of covariance</w:t>
            </w:r>
          </w:p>
        </w:tc>
      </w:tr>
      <w:tr w:rsidR="001E57BB" w:rsidRPr="001E57BB" w14:paraId="2574858C" w14:textId="77777777" w:rsidTr="00B57BA2">
        <w:trPr>
          <w:trHeight w:val="339"/>
        </w:trPr>
        <w:tc>
          <w:tcPr>
            <w:tcW w:w="2489" w:type="dxa"/>
          </w:tcPr>
          <w:p w14:paraId="217E8EF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ARE</w:t>
            </w:r>
          </w:p>
        </w:tc>
        <w:tc>
          <w:tcPr>
            <w:tcW w:w="6662" w:type="dxa"/>
          </w:tcPr>
          <w:p w14:paraId="0F40010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Antioxidant response elements</w:t>
            </w:r>
          </w:p>
        </w:tc>
      </w:tr>
      <w:tr w:rsidR="001E57BB" w:rsidRPr="001E57BB" w14:paraId="6815BF8F" w14:textId="77777777" w:rsidTr="00B57BA2">
        <w:trPr>
          <w:trHeight w:val="338"/>
        </w:trPr>
        <w:tc>
          <w:tcPr>
            <w:tcW w:w="2489" w:type="dxa"/>
          </w:tcPr>
          <w:p w14:paraId="0234061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ARP</w:t>
            </w:r>
          </w:p>
        </w:tc>
        <w:tc>
          <w:tcPr>
            <w:tcW w:w="6662" w:type="dxa"/>
          </w:tcPr>
          <w:p w14:paraId="20DA0C4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All-randomised population</w:t>
            </w:r>
          </w:p>
        </w:tc>
      </w:tr>
      <w:tr w:rsidR="001E57BB" w:rsidRPr="001E57BB" w14:paraId="2BDB01A3" w14:textId="77777777" w:rsidTr="00B57BA2">
        <w:trPr>
          <w:trHeight w:val="339"/>
        </w:trPr>
        <w:tc>
          <w:tcPr>
            <w:tcW w:w="2489" w:type="dxa"/>
          </w:tcPr>
          <w:p w14:paraId="2562B18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AST</w:t>
            </w:r>
          </w:p>
        </w:tc>
        <w:tc>
          <w:tcPr>
            <w:tcW w:w="6662" w:type="dxa"/>
          </w:tcPr>
          <w:p w14:paraId="56418D6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Aspartate aminotransferase</w:t>
            </w:r>
          </w:p>
        </w:tc>
      </w:tr>
      <w:tr w:rsidR="001E57BB" w:rsidRPr="001E57BB" w14:paraId="425FEF98" w14:textId="77777777" w:rsidTr="00B57BA2">
        <w:trPr>
          <w:trHeight w:val="337"/>
        </w:trPr>
        <w:tc>
          <w:tcPr>
            <w:tcW w:w="2489" w:type="dxa"/>
          </w:tcPr>
          <w:p w14:paraId="0BDA93C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ATP</w:t>
            </w:r>
          </w:p>
        </w:tc>
        <w:tc>
          <w:tcPr>
            <w:tcW w:w="6662" w:type="dxa"/>
          </w:tcPr>
          <w:p w14:paraId="5B64BAD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Adenosine triphosphate</w:t>
            </w:r>
          </w:p>
        </w:tc>
      </w:tr>
      <w:tr w:rsidR="001E57BB" w:rsidRPr="001E57BB" w14:paraId="1815676C" w14:textId="77777777" w:rsidTr="00B57BA2">
        <w:trPr>
          <w:trHeight w:val="338"/>
        </w:trPr>
        <w:tc>
          <w:tcPr>
            <w:tcW w:w="2489" w:type="dxa"/>
          </w:tcPr>
          <w:p w14:paraId="757763D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AUC</w:t>
            </w:r>
          </w:p>
        </w:tc>
        <w:tc>
          <w:tcPr>
            <w:tcW w:w="6662" w:type="dxa"/>
          </w:tcPr>
          <w:p w14:paraId="003F510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Area under the plasma concentration-time curve</w:t>
            </w:r>
          </w:p>
        </w:tc>
      </w:tr>
      <w:tr w:rsidR="001E57BB" w:rsidRPr="001E57BB" w14:paraId="79D6C6B4" w14:textId="77777777" w:rsidTr="00B57BA2">
        <w:trPr>
          <w:trHeight w:val="339"/>
        </w:trPr>
        <w:tc>
          <w:tcPr>
            <w:tcW w:w="2489" w:type="dxa"/>
          </w:tcPr>
          <w:p w14:paraId="082D4BD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AUC0-24</w:t>
            </w:r>
          </w:p>
        </w:tc>
        <w:tc>
          <w:tcPr>
            <w:tcW w:w="6662" w:type="dxa"/>
          </w:tcPr>
          <w:p w14:paraId="4CC3426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Area under the plasma concentration-time curve from time 0 to 24 hours</w:t>
            </w:r>
          </w:p>
        </w:tc>
      </w:tr>
      <w:tr w:rsidR="001E57BB" w:rsidRPr="001E57BB" w14:paraId="7CA3D12E" w14:textId="77777777" w:rsidTr="00B57BA2">
        <w:trPr>
          <w:trHeight w:val="338"/>
        </w:trPr>
        <w:tc>
          <w:tcPr>
            <w:tcW w:w="2489" w:type="dxa"/>
          </w:tcPr>
          <w:p w14:paraId="3F91EBA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AUC0-inf</w:t>
            </w:r>
          </w:p>
        </w:tc>
        <w:tc>
          <w:tcPr>
            <w:tcW w:w="6662" w:type="dxa"/>
          </w:tcPr>
          <w:p w14:paraId="5C09BCF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Area under the plasma concentration-time curve from time 0 extrapolated to infinity</w:t>
            </w:r>
          </w:p>
        </w:tc>
      </w:tr>
      <w:tr w:rsidR="001E57BB" w:rsidRPr="001E57BB" w14:paraId="2B08D0EA" w14:textId="77777777" w:rsidTr="00B57BA2">
        <w:trPr>
          <w:trHeight w:val="557"/>
        </w:trPr>
        <w:tc>
          <w:tcPr>
            <w:tcW w:w="2489" w:type="dxa"/>
          </w:tcPr>
          <w:p w14:paraId="339CD66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AUC0-tlast</w:t>
            </w:r>
          </w:p>
        </w:tc>
        <w:tc>
          <w:tcPr>
            <w:tcW w:w="6662" w:type="dxa"/>
          </w:tcPr>
          <w:p w14:paraId="22DA47F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Area under the plasma concentration-time curve from time 0 to the last measurable concentration</w:t>
            </w:r>
          </w:p>
        </w:tc>
      </w:tr>
      <w:tr w:rsidR="001E57BB" w:rsidRPr="001E57BB" w14:paraId="6556A864" w14:textId="77777777" w:rsidTr="00B57BA2">
        <w:trPr>
          <w:trHeight w:val="338"/>
        </w:trPr>
        <w:tc>
          <w:tcPr>
            <w:tcW w:w="2489" w:type="dxa"/>
          </w:tcPr>
          <w:p w14:paraId="0C435B3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BCRP</w:t>
            </w:r>
          </w:p>
        </w:tc>
        <w:tc>
          <w:tcPr>
            <w:tcW w:w="6662" w:type="dxa"/>
          </w:tcPr>
          <w:p w14:paraId="0F0F9F1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Breast cancer resistance protein</w:t>
            </w:r>
          </w:p>
        </w:tc>
      </w:tr>
      <w:tr w:rsidR="001E57BB" w:rsidRPr="001E57BB" w14:paraId="05F7C163" w14:textId="77777777" w:rsidTr="00B57BA2">
        <w:trPr>
          <w:trHeight w:val="338"/>
        </w:trPr>
        <w:tc>
          <w:tcPr>
            <w:tcW w:w="2489" w:type="dxa"/>
          </w:tcPr>
          <w:p w14:paraId="4886F44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BCS</w:t>
            </w:r>
          </w:p>
        </w:tc>
        <w:tc>
          <w:tcPr>
            <w:tcW w:w="6662" w:type="dxa"/>
          </w:tcPr>
          <w:p w14:paraId="7C55E32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Biopharmaceutics classification system</w:t>
            </w:r>
          </w:p>
        </w:tc>
      </w:tr>
      <w:tr w:rsidR="001E57BB" w:rsidRPr="001E57BB" w14:paraId="67705036" w14:textId="77777777" w:rsidTr="00B57BA2">
        <w:trPr>
          <w:trHeight w:val="337"/>
        </w:trPr>
        <w:tc>
          <w:tcPr>
            <w:tcW w:w="2489" w:type="dxa"/>
          </w:tcPr>
          <w:p w14:paraId="0CC2964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BMI</w:t>
            </w:r>
          </w:p>
        </w:tc>
        <w:tc>
          <w:tcPr>
            <w:tcW w:w="6662" w:type="dxa"/>
          </w:tcPr>
          <w:p w14:paraId="200B2AA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Body mass index</w:t>
            </w:r>
          </w:p>
        </w:tc>
      </w:tr>
      <w:tr w:rsidR="001E57BB" w:rsidRPr="001E57BB" w14:paraId="5B5093D3" w14:textId="77777777" w:rsidTr="00B57BA2">
        <w:trPr>
          <w:trHeight w:val="339"/>
        </w:trPr>
        <w:tc>
          <w:tcPr>
            <w:tcW w:w="2489" w:type="dxa"/>
          </w:tcPr>
          <w:p w14:paraId="5AC2180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BNP</w:t>
            </w:r>
          </w:p>
        </w:tc>
        <w:tc>
          <w:tcPr>
            <w:tcW w:w="6662" w:type="dxa"/>
          </w:tcPr>
          <w:p w14:paraId="631FF03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Brain natriuretic peptide</w:t>
            </w:r>
          </w:p>
        </w:tc>
      </w:tr>
      <w:tr w:rsidR="001E57BB" w:rsidRPr="001E57BB" w14:paraId="2ECBE529" w14:textId="77777777" w:rsidTr="00B57BA2">
        <w:trPr>
          <w:trHeight w:val="338"/>
        </w:trPr>
        <w:tc>
          <w:tcPr>
            <w:tcW w:w="2489" w:type="dxa"/>
          </w:tcPr>
          <w:p w14:paraId="3D43F7E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BSEP</w:t>
            </w:r>
          </w:p>
        </w:tc>
        <w:tc>
          <w:tcPr>
            <w:tcW w:w="6662" w:type="dxa"/>
          </w:tcPr>
          <w:p w14:paraId="738ACC4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Bile salt export pump</w:t>
            </w:r>
          </w:p>
        </w:tc>
      </w:tr>
      <w:tr w:rsidR="001E57BB" w:rsidRPr="001E57BB" w14:paraId="7376020A" w14:textId="77777777" w:rsidTr="00B57BA2">
        <w:trPr>
          <w:trHeight w:val="338"/>
        </w:trPr>
        <w:tc>
          <w:tcPr>
            <w:tcW w:w="2489" w:type="dxa"/>
          </w:tcPr>
          <w:p w14:paraId="5F232B3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CFU</w:t>
            </w:r>
          </w:p>
        </w:tc>
        <w:tc>
          <w:tcPr>
            <w:tcW w:w="6662" w:type="dxa"/>
          </w:tcPr>
          <w:p w14:paraId="633E98B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Colony-forming units</w:t>
            </w:r>
          </w:p>
        </w:tc>
      </w:tr>
      <w:tr w:rsidR="001E57BB" w:rsidRPr="001E57BB" w14:paraId="7DCD87A9" w14:textId="77777777" w:rsidTr="00B57BA2">
        <w:trPr>
          <w:trHeight w:val="338"/>
        </w:trPr>
        <w:tc>
          <w:tcPr>
            <w:tcW w:w="2489" w:type="dxa"/>
          </w:tcPr>
          <w:p w14:paraId="11393E1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CGIC</w:t>
            </w:r>
          </w:p>
        </w:tc>
        <w:tc>
          <w:tcPr>
            <w:tcW w:w="6662" w:type="dxa"/>
          </w:tcPr>
          <w:p w14:paraId="5C10710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Clinical global impression of change</w:t>
            </w:r>
          </w:p>
        </w:tc>
      </w:tr>
      <w:tr w:rsidR="001E57BB" w:rsidRPr="001E57BB" w14:paraId="1A0B6DAA" w14:textId="77777777" w:rsidTr="00B57BA2">
        <w:trPr>
          <w:trHeight w:val="337"/>
        </w:trPr>
        <w:tc>
          <w:tcPr>
            <w:tcW w:w="2489" w:type="dxa"/>
          </w:tcPr>
          <w:p w14:paraId="50DA685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CI</w:t>
            </w:r>
          </w:p>
        </w:tc>
        <w:tc>
          <w:tcPr>
            <w:tcW w:w="6662" w:type="dxa"/>
          </w:tcPr>
          <w:p w14:paraId="65E1948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Confidence interval</w:t>
            </w:r>
          </w:p>
        </w:tc>
      </w:tr>
      <w:tr w:rsidR="001E57BB" w:rsidRPr="001E57BB" w14:paraId="048AB5DC" w14:textId="77777777" w:rsidTr="00B57BA2">
        <w:trPr>
          <w:trHeight w:val="339"/>
        </w:trPr>
        <w:tc>
          <w:tcPr>
            <w:tcW w:w="2489" w:type="dxa"/>
          </w:tcPr>
          <w:p w14:paraId="437AC0D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CK</w:t>
            </w:r>
          </w:p>
        </w:tc>
        <w:tc>
          <w:tcPr>
            <w:tcW w:w="6662" w:type="dxa"/>
          </w:tcPr>
          <w:p w14:paraId="5744C6C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Creatinine kinase</w:t>
            </w:r>
          </w:p>
        </w:tc>
      </w:tr>
      <w:tr w:rsidR="001E57BB" w:rsidRPr="001E57BB" w14:paraId="1B9EB94A" w14:textId="77777777" w:rsidTr="00B57BA2">
        <w:trPr>
          <w:trHeight w:val="338"/>
        </w:trPr>
        <w:tc>
          <w:tcPr>
            <w:tcW w:w="2489" w:type="dxa"/>
          </w:tcPr>
          <w:p w14:paraId="586F6C2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CL/(F)</w:t>
            </w:r>
          </w:p>
        </w:tc>
        <w:tc>
          <w:tcPr>
            <w:tcW w:w="6662" w:type="dxa"/>
          </w:tcPr>
          <w:p w14:paraId="4595B71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(Apparent) clearance</w:t>
            </w:r>
          </w:p>
        </w:tc>
      </w:tr>
      <w:tr w:rsidR="001E57BB" w:rsidRPr="001E57BB" w14:paraId="4A3F6EB7" w14:textId="77777777" w:rsidTr="00B57BA2">
        <w:trPr>
          <w:trHeight w:val="338"/>
        </w:trPr>
        <w:tc>
          <w:tcPr>
            <w:tcW w:w="2489" w:type="dxa"/>
          </w:tcPr>
          <w:p w14:paraId="333718FC"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Cmax</w:t>
            </w:r>
            <w:proofErr w:type="spellEnd"/>
            <w:r w:rsidRPr="001E57BB">
              <w:rPr>
                <w:rFonts w:eastAsia="Times New Roman"/>
                <w:szCs w:val="22"/>
              </w:rPr>
              <w:t>(ss)</w:t>
            </w:r>
          </w:p>
        </w:tc>
        <w:tc>
          <w:tcPr>
            <w:tcW w:w="6662" w:type="dxa"/>
          </w:tcPr>
          <w:p w14:paraId="63C651D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 xml:space="preserve">Maximum observed plasma concentration (at </w:t>
            </w:r>
            <w:proofErr w:type="gramStart"/>
            <w:r w:rsidRPr="001E57BB">
              <w:rPr>
                <w:rFonts w:eastAsia="Times New Roman"/>
                <w:szCs w:val="22"/>
              </w:rPr>
              <w:t>steady-state</w:t>
            </w:r>
            <w:proofErr w:type="gramEnd"/>
            <w:r w:rsidRPr="001E57BB">
              <w:rPr>
                <w:rFonts w:eastAsia="Times New Roman"/>
                <w:szCs w:val="22"/>
              </w:rPr>
              <w:t>)</w:t>
            </w:r>
          </w:p>
        </w:tc>
      </w:tr>
      <w:tr w:rsidR="001E57BB" w:rsidRPr="001E57BB" w14:paraId="4FF34F41" w14:textId="77777777" w:rsidTr="00B57BA2">
        <w:trPr>
          <w:trHeight w:val="338"/>
        </w:trPr>
        <w:tc>
          <w:tcPr>
            <w:tcW w:w="2489" w:type="dxa"/>
          </w:tcPr>
          <w:p w14:paraId="7E873DB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CNS</w:t>
            </w:r>
          </w:p>
        </w:tc>
        <w:tc>
          <w:tcPr>
            <w:tcW w:w="6662" w:type="dxa"/>
          </w:tcPr>
          <w:p w14:paraId="2558850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Central nervous system</w:t>
            </w:r>
          </w:p>
        </w:tc>
      </w:tr>
      <w:tr w:rsidR="001E57BB" w:rsidRPr="001E57BB" w14:paraId="057A4C59" w14:textId="77777777" w:rsidTr="00B57BA2">
        <w:trPr>
          <w:trHeight w:val="337"/>
        </w:trPr>
        <w:tc>
          <w:tcPr>
            <w:tcW w:w="2489" w:type="dxa"/>
          </w:tcPr>
          <w:p w14:paraId="44344CE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lastRenderedPageBreak/>
              <w:t>CPP</w:t>
            </w:r>
          </w:p>
        </w:tc>
        <w:tc>
          <w:tcPr>
            <w:tcW w:w="6662" w:type="dxa"/>
          </w:tcPr>
          <w:p w14:paraId="2577F18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Critical process parameter</w:t>
            </w:r>
          </w:p>
        </w:tc>
      </w:tr>
      <w:tr w:rsidR="001E57BB" w:rsidRPr="001E57BB" w14:paraId="4C78B24F" w14:textId="77777777" w:rsidTr="00B57BA2">
        <w:trPr>
          <w:trHeight w:val="338"/>
        </w:trPr>
        <w:tc>
          <w:tcPr>
            <w:tcW w:w="2489" w:type="dxa"/>
          </w:tcPr>
          <w:p w14:paraId="3FCFA68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CQA</w:t>
            </w:r>
          </w:p>
        </w:tc>
        <w:tc>
          <w:tcPr>
            <w:tcW w:w="6662" w:type="dxa"/>
          </w:tcPr>
          <w:p w14:paraId="1C35869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Critical quality attribute</w:t>
            </w:r>
          </w:p>
        </w:tc>
      </w:tr>
      <w:tr w:rsidR="001E57BB" w:rsidRPr="001E57BB" w14:paraId="040D16B6" w14:textId="77777777" w:rsidTr="00B57BA2">
        <w:trPr>
          <w:trHeight w:val="338"/>
        </w:trPr>
        <w:tc>
          <w:tcPr>
            <w:tcW w:w="2489" w:type="dxa"/>
          </w:tcPr>
          <w:p w14:paraId="4D5D52A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C-QT</w:t>
            </w:r>
          </w:p>
        </w:tc>
        <w:tc>
          <w:tcPr>
            <w:tcW w:w="6662" w:type="dxa"/>
          </w:tcPr>
          <w:p w14:paraId="10395F6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Concentration-QT</w:t>
            </w:r>
          </w:p>
        </w:tc>
      </w:tr>
      <w:tr w:rsidR="001E57BB" w:rsidRPr="001E57BB" w14:paraId="6D20AD95" w14:textId="77777777" w:rsidTr="00B57BA2">
        <w:trPr>
          <w:trHeight w:val="338"/>
        </w:trPr>
        <w:tc>
          <w:tcPr>
            <w:tcW w:w="2489" w:type="dxa"/>
          </w:tcPr>
          <w:p w14:paraId="052CEB02"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Ctrough</w:t>
            </w:r>
            <w:proofErr w:type="spellEnd"/>
          </w:p>
        </w:tc>
        <w:tc>
          <w:tcPr>
            <w:tcW w:w="6662" w:type="dxa"/>
          </w:tcPr>
          <w:p w14:paraId="2740699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trough concentration</w:t>
            </w:r>
          </w:p>
        </w:tc>
      </w:tr>
      <w:tr w:rsidR="001E57BB" w:rsidRPr="001E57BB" w14:paraId="0C04E472" w14:textId="77777777" w:rsidTr="00B57BA2">
        <w:trPr>
          <w:trHeight w:val="339"/>
        </w:trPr>
        <w:tc>
          <w:tcPr>
            <w:tcW w:w="2489" w:type="dxa"/>
          </w:tcPr>
          <w:p w14:paraId="19B02F8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CYP</w:t>
            </w:r>
          </w:p>
        </w:tc>
        <w:tc>
          <w:tcPr>
            <w:tcW w:w="6662" w:type="dxa"/>
          </w:tcPr>
          <w:p w14:paraId="171B43C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Cytochrome P450</w:t>
            </w:r>
          </w:p>
        </w:tc>
      </w:tr>
      <w:tr w:rsidR="001E57BB" w:rsidRPr="001E57BB" w14:paraId="1F1BECFC" w14:textId="77777777" w:rsidTr="00B57BA2">
        <w:trPr>
          <w:trHeight w:val="337"/>
        </w:trPr>
        <w:tc>
          <w:tcPr>
            <w:tcW w:w="2489" w:type="dxa"/>
          </w:tcPr>
          <w:p w14:paraId="32BC9C2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DDI</w:t>
            </w:r>
          </w:p>
        </w:tc>
        <w:tc>
          <w:tcPr>
            <w:tcW w:w="6662" w:type="dxa"/>
          </w:tcPr>
          <w:p w14:paraId="08BEE9C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Drug-drug interaction</w:t>
            </w:r>
          </w:p>
        </w:tc>
      </w:tr>
      <w:tr w:rsidR="001E57BB" w:rsidRPr="001E57BB" w14:paraId="0C2A0706" w14:textId="77777777" w:rsidTr="00B57BA2">
        <w:trPr>
          <w:trHeight w:val="339"/>
        </w:trPr>
        <w:tc>
          <w:tcPr>
            <w:tcW w:w="2489" w:type="dxa"/>
          </w:tcPr>
          <w:p w14:paraId="0D5F4A0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DILI</w:t>
            </w:r>
          </w:p>
        </w:tc>
        <w:tc>
          <w:tcPr>
            <w:tcW w:w="6662" w:type="dxa"/>
          </w:tcPr>
          <w:p w14:paraId="1BA7B72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Drug-induced liver injury</w:t>
            </w:r>
          </w:p>
        </w:tc>
      </w:tr>
      <w:tr w:rsidR="001E57BB" w:rsidRPr="001E57BB" w14:paraId="2EACD5D7" w14:textId="77777777" w:rsidTr="00B57BA2">
        <w:trPr>
          <w:trHeight w:val="337"/>
        </w:trPr>
        <w:tc>
          <w:tcPr>
            <w:tcW w:w="2489" w:type="dxa"/>
          </w:tcPr>
          <w:p w14:paraId="435C18F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DMF</w:t>
            </w:r>
          </w:p>
        </w:tc>
        <w:tc>
          <w:tcPr>
            <w:tcW w:w="6662" w:type="dxa"/>
          </w:tcPr>
          <w:p w14:paraId="3F36A6E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Dimethylformamide</w:t>
            </w:r>
          </w:p>
        </w:tc>
      </w:tr>
      <w:tr w:rsidR="001E57BB" w:rsidRPr="001E57BB" w14:paraId="083E048F" w14:textId="77777777" w:rsidTr="00B57BA2">
        <w:trPr>
          <w:trHeight w:val="337"/>
        </w:trPr>
        <w:tc>
          <w:tcPr>
            <w:tcW w:w="2489" w:type="dxa"/>
          </w:tcPr>
          <w:p w14:paraId="504A964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DoE</w:t>
            </w:r>
          </w:p>
        </w:tc>
        <w:tc>
          <w:tcPr>
            <w:tcW w:w="6662" w:type="dxa"/>
          </w:tcPr>
          <w:p w14:paraId="58747F2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Design of experiments</w:t>
            </w:r>
          </w:p>
        </w:tc>
      </w:tr>
      <w:tr w:rsidR="001E57BB" w:rsidRPr="001E57BB" w14:paraId="6727608A" w14:textId="77777777" w:rsidTr="00B57BA2">
        <w:trPr>
          <w:trHeight w:val="339"/>
        </w:trPr>
        <w:tc>
          <w:tcPr>
            <w:tcW w:w="2489" w:type="dxa"/>
          </w:tcPr>
          <w:p w14:paraId="4E41A72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DRF</w:t>
            </w:r>
          </w:p>
        </w:tc>
        <w:tc>
          <w:tcPr>
            <w:tcW w:w="6662" w:type="dxa"/>
          </w:tcPr>
          <w:p w14:paraId="47B7899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Dose range finding</w:t>
            </w:r>
          </w:p>
        </w:tc>
      </w:tr>
      <w:tr w:rsidR="001E57BB" w:rsidRPr="001E57BB" w14:paraId="3D9147BE" w14:textId="77777777" w:rsidTr="00B57BA2">
        <w:trPr>
          <w:trHeight w:val="338"/>
        </w:trPr>
        <w:tc>
          <w:tcPr>
            <w:tcW w:w="2489" w:type="dxa"/>
          </w:tcPr>
          <w:p w14:paraId="6CAF8EC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DSC</w:t>
            </w:r>
          </w:p>
        </w:tc>
        <w:tc>
          <w:tcPr>
            <w:tcW w:w="6662" w:type="dxa"/>
          </w:tcPr>
          <w:p w14:paraId="26058A2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Differential scanning calorimetry</w:t>
            </w:r>
          </w:p>
        </w:tc>
      </w:tr>
      <w:tr w:rsidR="001E57BB" w:rsidRPr="001E57BB" w14:paraId="2F437410" w14:textId="77777777" w:rsidTr="00B57BA2">
        <w:trPr>
          <w:trHeight w:val="339"/>
        </w:trPr>
        <w:tc>
          <w:tcPr>
            <w:tcW w:w="2489" w:type="dxa"/>
          </w:tcPr>
          <w:p w14:paraId="097A148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DSMB</w:t>
            </w:r>
          </w:p>
        </w:tc>
        <w:tc>
          <w:tcPr>
            <w:tcW w:w="6662" w:type="dxa"/>
          </w:tcPr>
          <w:p w14:paraId="2B71292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Data and Safety Monitoring Board</w:t>
            </w:r>
          </w:p>
        </w:tc>
      </w:tr>
      <w:tr w:rsidR="001E57BB" w:rsidRPr="001E57BB" w14:paraId="609F3B4C" w14:textId="77777777" w:rsidTr="00B57BA2">
        <w:trPr>
          <w:trHeight w:val="338"/>
        </w:trPr>
        <w:tc>
          <w:tcPr>
            <w:tcW w:w="2489" w:type="dxa"/>
          </w:tcPr>
          <w:p w14:paraId="49C84F9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ECG</w:t>
            </w:r>
          </w:p>
        </w:tc>
        <w:tc>
          <w:tcPr>
            <w:tcW w:w="6662" w:type="dxa"/>
          </w:tcPr>
          <w:p w14:paraId="24A1720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Electrocardiogram</w:t>
            </w:r>
          </w:p>
        </w:tc>
      </w:tr>
      <w:tr w:rsidR="001E57BB" w:rsidRPr="001E57BB" w14:paraId="2C82CFAF" w14:textId="77777777" w:rsidTr="00B57BA2">
        <w:trPr>
          <w:trHeight w:val="337"/>
        </w:trPr>
        <w:tc>
          <w:tcPr>
            <w:tcW w:w="2489" w:type="dxa"/>
          </w:tcPr>
          <w:p w14:paraId="57B2AF8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EFD</w:t>
            </w:r>
          </w:p>
        </w:tc>
        <w:tc>
          <w:tcPr>
            <w:tcW w:w="6662" w:type="dxa"/>
          </w:tcPr>
          <w:p w14:paraId="7D04642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Embryofetal developmental</w:t>
            </w:r>
          </w:p>
        </w:tc>
      </w:tr>
      <w:tr w:rsidR="001E57BB" w:rsidRPr="001E57BB" w14:paraId="22819A6B" w14:textId="77777777" w:rsidTr="00B57BA2">
        <w:trPr>
          <w:trHeight w:val="338"/>
        </w:trPr>
        <w:tc>
          <w:tcPr>
            <w:tcW w:w="2489" w:type="dxa"/>
          </w:tcPr>
          <w:p w14:paraId="31664A5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eGFR</w:t>
            </w:r>
          </w:p>
        </w:tc>
        <w:tc>
          <w:tcPr>
            <w:tcW w:w="6662" w:type="dxa"/>
          </w:tcPr>
          <w:p w14:paraId="3C3D9B7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Estimated glomerular filtration rate</w:t>
            </w:r>
          </w:p>
        </w:tc>
      </w:tr>
      <w:tr w:rsidR="001E57BB" w:rsidRPr="001E57BB" w14:paraId="2F929446" w14:textId="77777777" w:rsidTr="00B57BA2">
        <w:trPr>
          <w:trHeight w:val="339"/>
        </w:trPr>
        <w:tc>
          <w:tcPr>
            <w:tcW w:w="2489" w:type="dxa"/>
          </w:tcPr>
          <w:p w14:paraId="610DB63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EMA</w:t>
            </w:r>
          </w:p>
        </w:tc>
        <w:tc>
          <w:tcPr>
            <w:tcW w:w="6662" w:type="dxa"/>
          </w:tcPr>
          <w:p w14:paraId="6614306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European Medicines Agency</w:t>
            </w:r>
          </w:p>
        </w:tc>
      </w:tr>
      <w:tr w:rsidR="001E57BB" w:rsidRPr="001E57BB" w14:paraId="0E7F2A94" w14:textId="77777777" w:rsidTr="00B57BA2">
        <w:trPr>
          <w:trHeight w:val="338"/>
        </w:trPr>
        <w:tc>
          <w:tcPr>
            <w:tcW w:w="2489" w:type="dxa"/>
          </w:tcPr>
          <w:p w14:paraId="254F10A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E-R</w:t>
            </w:r>
          </w:p>
        </w:tc>
        <w:tc>
          <w:tcPr>
            <w:tcW w:w="6662" w:type="dxa"/>
          </w:tcPr>
          <w:p w14:paraId="653DCA1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Exposure-response</w:t>
            </w:r>
          </w:p>
        </w:tc>
      </w:tr>
      <w:tr w:rsidR="001E57BB" w:rsidRPr="001E57BB" w14:paraId="64CBC32B" w14:textId="77777777" w:rsidTr="00B57BA2">
        <w:trPr>
          <w:trHeight w:val="339"/>
        </w:trPr>
        <w:tc>
          <w:tcPr>
            <w:tcW w:w="2489" w:type="dxa"/>
          </w:tcPr>
          <w:p w14:paraId="3F912F2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EU</w:t>
            </w:r>
          </w:p>
        </w:tc>
        <w:tc>
          <w:tcPr>
            <w:tcW w:w="6662" w:type="dxa"/>
          </w:tcPr>
          <w:p w14:paraId="3FCADEA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European Union</w:t>
            </w:r>
          </w:p>
        </w:tc>
      </w:tr>
      <w:tr w:rsidR="001E57BB" w:rsidRPr="001E57BB" w14:paraId="7642ABAD" w14:textId="77777777" w:rsidTr="00B57BA2">
        <w:trPr>
          <w:trHeight w:val="337"/>
        </w:trPr>
        <w:tc>
          <w:tcPr>
            <w:tcW w:w="2489" w:type="dxa"/>
          </w:tcPr>
          <w:p w14:paraId="780B2C0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w:t>
            </w:r>
          </w:p>
        </w:tc>
        <w:tc>
          <w:tcPr>
            <w:tcW w:w="6662" w:type="dxa"/>
          </w:tcPr>
          <w:p w14:paraId="5FA5C9F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Bioavailability</w:t>
            </w:r>
          </w:p>
        </w:tc>
      </w:tr>
      <w:tr w:rsidR="001E57BB" w:rsidRPr="001E57BB" w14:paraId="48ED587E" w14:textId="77777777" w:rsidTr="00B57BA2">
        <w:trPr>
          <w:trHeight w:val="338"/>
        </w:trPr>
        <w:tc>
          <w:tcPr>
            <w:tcW w:w="2489" w:type="dxa"/>
          </w:tcPr>
          <w:p w14:paraId="76C0F19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FA</w:t>
            </w:r>
          </w:p>
        </w:tc>
        <w:tc>
          <w:tcPr>
            <w:tcW w:w="6662" w:type="dxa"/>
          </w:tcPr>
          <w:p w14:paraId="63016E3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Friedreich’s ataxia</w:t>
            </w:r>
          </w:p>
        </w:tc>
      </w:tr>
      <w:tr w:rsidR="001E57BB" w:rsidRPr="001E57BB" w14:paraId="4C4F6602" w14:textId="77777777" w:rsidTr="00B57BA2">
        <w:trPr>
          <w:trHeight w:val="339"/>
        </w:trPr>
        <w:tc>
          <w:tcPr>
            <w:tcW w:w="2489" w:type="dxa"/>
          </w:tcPr>
          <w:p w14:paraId="5468BBE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FA-ADL</w:t>
            </w:r>
          </w:p>
        </w:tc>
        <w:tc>
          <w:tcPr>
            <w:tcW w:w="6662" w:type="dxa"/>
          </w:tcPr>
          <w:p w14:paraId="50FE715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Friedreich’s ataxia activities of daily living</w:t>
            </w:r>
          </w:p>
        </w:tc>
      </w:tr>
      <w:tr w:rsidR="001E57BB" w:rsidRPr="001E57BB" w14:paraId="3C3E8BF8" w14:textId="77777777" w:rsidTr="00B57BA2">
        <w:trPr>
          <w:trHeight w:val="338"/>
        </w:trPr>
        <w:tc>
          <w:tcPr>
            <w:tcW w:w="2489" w:type="dxa"/>
          </w:tcPr>
          <w:p w14:paraId="1D092C2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FA-COMS</w:t>
            </w:r>
          </w:p>
        </w:tc>
        <w:tc>
          <w:tcPr>
            <w:tcW w:w="6662" w:type="dxa"/>
          </w:tcPr>
          <w:p w14:paraId="03F07ED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Friedreich's ataxia clinical outcome measures; a Friedreich's ataxia natural history study</w:t>
            </w:r>
          </w:p>
        </w:tc>
      </w:tr>
      <w:tr w:rsidR="001E57BB" w:rsidRPr="001E57BB" w14:paraId="604CD5B8" w14:textId="77777777" w:rsidTr="00B57BA2">
        <w:trPr>
          <w:trHeight w:val="338"/>
        </w:trPr>
        <w:tc>
          <w:tcPr>
            <w:tcW w:w="2489" w:type="dxa"/>
          </w:tcPr>
          <w:p w14:paraId="468C73B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FARA</w:t>
            </w:r>
          </w:p>
        </w:tc>
        <w:tc>
          <w:tcPr>
            <w:tcW w:w="6662" w:type="dxa"/>
          </w:tcPr>
          <w:p w14:paraId="154056C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Friedreich’s Ataxia Research Alliance</w:t>
            </w:r>
          </w:p>
        </w:tc>
      </w:tr>
      <w:tr w:rsidR="001E57BB" w:rsidRPr="001E57BB" w14:paraId="21F3A243" w14:textId="77777777" w:rsidTr="00B57BA2">
        <w:trPr>
          <w:trHeight w:val="337"/>
        </w:trPr>
        <w:tc>
          <w:tcPr>
            <w:tcW w:w="2489" w:type="dxa"/>
          </w:tcPr>
          <w:p w14:paraId="7EAFE91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(m)FARS</w:t>
            </w:r>
          </w:p>
        </w:tc>
        <w:tc>
          <w:tcPr>
            <w:tcW w:w="6662" w:type="dxa"/>
          </w:tcPr>
          <w:p w14:paraId="3D8E94E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(modified) Friedreich's ataxia rating scale</w:t>
            </w:r>
          </w:p>
        </w:tc>
      </w:tr>
      <w:tr w:rsidR="001E57BB" w:rsidRPr="001E57BB" w14:paraId="7F4F8BC5" w14:textId="77777777" w:rsidTr="00B57BA2">
        <w:trPr>
          <w:trHeight w:val="338"/>
        </w:trPr>
        <w:tc>
          <w:tcPr>
            <w:tcW w:w="2489" w:type="dxa"/>
          </w:tcPr>
          <w:p w14:paraId="1AA4A23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FAS</w:t>
            </w:r>
          </w:p>
        </w:tc>
        <w:tc>
          <w:tcPr>
            <w:tcW w:w="6662" w:type="dxa"/>
          </w:tcPr>
          <w:p w14:paraId="38F08C9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Full analysis set</w:t>
            </w:r>
          </w:p>
        </w:tc>
      </w:tr>
      <w:tr w:rsidR="001E57BB" w:rsidRPr="001E57BB" w14:paraId="77D1315B" w14:textId="77777777" w:rsidTr="00B57BA2">
        <w:trPr>
          <w:trHeight w:val="339"/>
        </w:trPr>
        <w:tc>
          <w:tcPr>
            <w:tcW w:w="2489" w:type="dxa"/>
          </w:tcPr>
          <w:p w14:paraId="29B206D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FDA</w:t>
            </w:r>
          </w:p>
        </w:tc>
        <w:tc>
          <w:tcPr>
            <w:tcW w:w="6662" w:type="dxa"/>
          </w:tcPr>
          <w:p w14:paraId="2DBE47B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Food and Drug Administration</w:t>
            </w:r>
          </w:p>
        </w:tc>
      </w:tr>
      <w:tr w:rsidR="001E57BB" w:rsidRPr="001E57BB" w14:paraId="67641400" w14:textId="77777777" w:rsidTr="00B57BA2">
        <w:trPr>
          <w:trHeight w:val="338"/>
        </w:trPr>
        <w:tc>
          <w:tcPr>
            <w:tcW w:w="2489" w:type="dxa"/>
          </w:tcPr>
          <w:p w14:paraId="2F5F6B0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FTIR</w:t>
            </w:r>
          </w:p>
        </w:tc>
        <w:tc>
          <w:tcPr>
            <w:tcW w:w="6662" w:type="dxa"/>
          </w:tcPr>
          <w:p w14:paraId="7A995523"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Fourrier</w:t>
            </w:r>
            <w:proofErr w:type="spellEnd"/>
            <w:r w:rsidRPr="001E57BB">
              <w:rPr>
                <w:rFonts w:eastAsia="Times New Roman"/>
                <w:szCs w:val="22"/>
              </w:rPr>
              <w:t xml:space="preserve"> transform infrared spectroscopy</w:t>
            </w:r>
          </w:p>
        </w:tc>
      </w:tr>
      <w:tr w:rsidR="001E57BB" w:rsidRPr="001E57BB" w14:paraId="5A5CA2F3" w14:textId="77777777" w:rsidTr="00B57BA2">
        <w:trPr>
          <w:trHeight w:val="338"/>
        </w:trPr>
        <w:tc>
          <w:tcPr>
            <w:tcW w:w="2489" w:type="dxa"/>
          </w:tcPr>
          <w:p w14:paraId="0560409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FXN</w:t>
            </w:r>
          </w:p>
        </w:tc>
        <w:tc>
          <w:tcPr>
            <w:tcW w:w="6662" w:type="dxa"/>
          </w:tcPr>
          <w:p w14:paraId="589B56C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frataxin gene</w:t>
            </w:r>
          </w:p>
        </w:tc>
      </w:tr>
      <w:tr w:rsidR="001E57BB" w:rsidRPr="001E57BB" w14:paraId="05BCBDA4" w14:textId="77777777" w:rsidTr="00B57BA2">
        <w:trPr>
          <w:trHeight w:val="337"/>
        </w:trPr>
        <w:tc>
          <w:tcPr>
            <w:tcW w:w="2489" w:type="dxa"/>
          </w:tcPr>
          <w:p w14:paraId="2EE426E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GAA</w:t>
            </w:r>
          </w:p>
        </w:tc>
        <w:tc>
          <w:tcPr>
            <w:tcW w:w="6662" w:type="dxa"/>
          </w:tcPr>
          <w:p w14:paraId="01B4877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guanine-adenine-adenine</w:t>
            </w:r>
          </w:p>
        </w:tc>
      </w:tr>
      <w:tr w:rsidR="001E57BB" w:rsidRPr="001E57BB" w14:paraId="7D3C8F27" w14:textId="77777777" w:rsidTr="00B57BA2">
        <w:trPr>
          <w:trHeight w:val="558"/>
        </w:trPr>
        <w:tc>
          <w:tcPr>
            <w:tcW w:w="2489" w:type="dxa"/>
          </w:tcPr>
          <w:p w14:paraId="34C3E9E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GAA1</w:t>
            </w:r>
            <w:r w:rsidRPr="001E57BB">
              <w:rPr>
                <w:rFonts w:eastAsia="Times New Roman"/>
                <w:szCs w:val="22"/>
              </w:rPr>
              <w:tab/>
              <w:t>repeat length</w:t>
            </w:r>
          </w:p>
        </w:tc>
        <w:tc>
          <w:tcPr>
            <w:tcW w:w="6662" w:type="dxa"/>
          </w:tcPr>
          <w:p w14:paraId="5AF17C5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length of a trinucleotide repeat composed of 1 guanine and 2 adenines in the guanosine-adenine-adenine 1 allele</w:t>
            </w:r>
          </w:p>
        </w:tc>
      </w:tr>
      <w:tr w:rsidR="001E57BB" w:rsidRPr="001E57BB" w14:paraId="3B68F5F8" w14:textId="77777777" w:rsidTr="00B57BA2">
        <w:trPr>
          <w:trHeight w:val="337"/>
        </w:trPr>
        <w:tc>
          <w:tcPr>
            <w:tcW w:w="2489" w:type="dxa"/>
          </w:tcPr>
          <w:p w14:paraId="174CB67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GC</w:t>
            </w:r>
          </w:p>
        </w:tc>
        <w:tc>
          <w:tcPr>
            <w:tcW w:w="6662" w:type="dxa"/>
          </w:tcPr>
          <w:p w14:paraId="7500D14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Gas chromatography</w:t>
            </w:r>
          </w:p>
        </w:tc>
      </w:tr>
      <w:tr w:rsidR="001E57BB" w:rsidRPr="001E57BB" w14:paraId="2379E8D7" w14:textId="77777777" w:rsidTr="00B57BA2">
        <w:trPr>
          <w:trHeight w:val="339"/>
        </w:trPr>
        <w:tc>
          <w:tcPr>
            <w:tcW w:w="2489" w:type="dxa"/>
          </w:tcPr>
          <w:p w14:paraId="44B1040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lastRenderedPageBreak/>
              <w:t>GCP</w:t>
            </w:r>
          </w:p>
        </w:tc>
        <w:tc>
          <w:tcPr>
            <w:tcW w:w="6662" w:type="dxa"/>
          </w:tcPr>
          <w:p w14:paraId="55F4980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Good clinical practice</w:t>
            </w:r>
          </w:p>
        </w:tc>
      </w:tr>
      <w:tr w:rsidR="001E57BB" w:rsidRPr="001E57BB" w14:paraId="1983E764" w14:textId="77777777" w:rsidTr="00B57BA2">
        <w:trPr>
          <w:trHeight w:val="338"/>
        </w:trPr>
        <w:tc>
          <w:tcPr>
            <w:tcW w:w="2489" w:type="dxa"/>
          </w:tcPr>
          <w:p w14:paraId="16E649D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GGT</w:t>
            </w:r>
          </w:p>
        </w:tc>
        <w:tc>
          <w:tcPr>
            <w:tcW w:w="6662" w:type="dxa"/>
          </w:tcPr>
          <w:p w14:paraId="1BAB666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Gamma-glutamyl transferase</w:t>
            </w:r>
          </w:p>
        </w:tc>
      </w:tr>
      <w:tr w:rsidR="001E57BB" w:rsidRPr="001E57BB" w14:paraId="0144C12A" w14:textId="77777777" w:rsidTr="00B57BA2">
        <w:trPr>
          <w:trHeight w:val="338"/>
        </w:trPr>
        <w:tc>
          <w:tcPr>
            <w:tcW w:w="2489" w:type="dxa"/>
          </w:tcPr>
          <w:p w14:paraId="7450B1B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GLP</w:t>
            </w:r>
          </w:p>
        </w:tc>
        <w:tc>
          <w:tcPr>
            <w:tcW w:w="6662" w:type="dxa"/>
          </w:tcPr>
          <w:p w14:paraId="56BF3AE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Good laboratory practice</w:t>
            </w:r>
          </w:p>
        </w:tc>
      </w:tr>
      <w:tr w:rsidR="001E57BB" w:rsidRPr="001E57BB" w14:paraId="4DEA928D" w14:textId="77777777" w:rsidTr="00B57BA2">
        <w:trPr>
          <w:trHeight w:val="338"/>
        </w:trPr>
        <w:tc>
          <w:tcPr>
            <w:tcW w:w="2489" w:type="dxa"/>
          </w:tcPr>
          <w:p w14:paraId="45B30FA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HDL</w:t>
            </w:r>
          </w:p>
        </w:tc>
        <w:tc>
          <w:tcPr>
            <w:tcW w:w="6662" w:type="dxa"/>
          </w:tcPr>
          <w:p w14:paraId="016D01C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High-density lipoprotein</w:t>
            </w:r>
          </w:p>
        </w:tc>
      </w:tr>
      <w:tr w:rsidR="001E57BB" w:rsidRPr="001E57BB" w14:paraId="74565959" w14:textId="77777777" w:rsidTr="00B57BA2">
        <w:trPr>
          <w:trHeight w:val="337"/>
        </w:trPr>
        <w:tc>
          <w:tcPr>
            <w:tcW w:w="2489" w:type="dxa"/>
          </w:tcPr>
          <w:p w14:paraId="3B0501D7"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hERG</w:t>
            </w:r>
            <w:proofErr w:type="spellEnd"/>
          </w:p>
        </w:tc>
        <w:tc>
          <w:tcPr>
            <w:tcW w:w="6662" w:type="dxa"/>
          </w:tcPr>
          <w:p w14:paraId="4A24798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Human ether-a-go-go-related gene</w:t>
            </w:r>
          </w:p>
        </w:tc>
      </w:tr>
      <w:tr w:rsidR="001E57BB" w:rsidRPr="001E57BB" w14:paraId="7E929F09" w14:textId="77777777" w:rsidTr="00B57BA2">
        <w:trPr>
          <w:trHeight w:val="338"/>
        </w:trPr>
        <w:tc>
          <w:tcPr>
            <w:tcW w:w="2489" w:type="dxa"/>
          </w:tcPr>
          <w:p w14:paraId="2FAEA57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H2O2</w:t>
            </w:r>
          </w:p>
        </w:tc>
        <w:tc>
          <w:tcPr>
            <w:tcW w:w="6662" w:type="dxa"/>
          </w:tcPr>
          <w:p w14:paraId="5A0EA31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Hydrogen peroxide</w:t>
            </w:r>
          </w:p>
        </w:tc>
      </w:tr>
      <w:tr w:rsidR="001E57BB" w:rsidRPr="001E57BB" w14:paraId="4D10C206" w14:textId="77777777" w:rsidTr="00B57BA2">
        <w:trPr>
          <w:trHeight w:val="338"/>
        </w:trPr>
        <w:tc>
          <w:tcPr>
            <w:tcW w:w="2489" w:type="dxa"/>
          </w:tcPr>
          <w:p w14:paraId="59EC10A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HPLC</w:t>
            </w:r>
          </w:p>
        </w:tc>
        <w:tc>
          <w:tcPr>
            <w:tcW w:w="6662" w:type="dxa"/>
          </w:tcPr>
          <w:p w14:paraId="5046F42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High performance liquid chromatography</w:t>
            </w:r>
          </w:p>
        </w:tc>
      </w:tr>
      <w:tr w:rsidR="001E57BB" w:rsidRPr="001E57BB" w14:paraId="6C9CB92C" w14:textId="77777777" w:rsidTr="00B57BA2">
        <w:trPr>
          <w:trHeight w:val="338"/>
        </w:trPr>
        <w:tc>
          <w:tcPr>
            <w:tcW w:w="2489" w:type="dxa"/>
          </w:tcPr>
          <w:p w14:paraId="16F03BD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HPMC</w:t>
            </w:r>
          </w:p>
        </w:tc>
        <w:tc>
          <w:tcPr>
            <w:tcW w:w="6662" w:type="dxa"/>
          </w:tcPr>
          <w:p w14:paraId="1933A06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Hydroxypropyl methyl cellulose</w:t>
            </w:r>
          </w:p>
        </w:tc>
      </w:tr>
      <w:tr w:rsidR="001E57BB" w:rsidRPr="001E57BB" w14:paraId="02599D64" w14:textId="77777777" w:rsidTr="00B57BA2">
        <w:trPr>
          <w:trHeight w:val="338"/>
        </w:trPr>
        <w:tc>
          <w:tcPr>
            <w:tcW w:w="2489" w:type="dxa"/>
          </w:tcPr>
          <w:p w14:paraId="5378CA9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IC50</w:t>
            </w:r>
          </w:p>
        </w:tc>
        <w:tc>
          <w:tcPr>
            <w:tcW w:w="6662" w:type="dxa"/>
          </w:tcPr>
          <w:p w14:paraId="5BFFE0A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50% inhibitory concentration</w:t>
            </w:r>
          </w:p>
        </w:tc>
      </w:tr>
      <w:tr w:rsidR="001E57BB" w:rsidRPr="001E57BB" w14:paraId="1B861BB9" w14:textId="77777777" w:rsidTr="00B57BA2">
        <w:trPr>
          <w:trHeight w:val="337"/>
        </w:trPr>
        <w:tc>
          <w:tcPr>
            <w:tcW w:w="2489" w:type="dxa"/>
          </w:tcPr>
          <w:p w14:paraId="42F7C67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IPC</w:t>
            </w:r>
          </w:p>
        </w:tc>
        <w:tc>
          <w:tcPr>
            <w:tcW w:w="6662" w:type="dxa"/>
          </w:tcPr>
          <w:p w14:paraId="3684B0F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In-process control</w:t>
            </w:r>
          </w:p>
        </w:tc>
      </w:tr>
      <w:tr w:rsidR="001E57BB" w:rsidRPr="001E57BB" w14:paraId="1FA512F1" w14:textId="77777777" w:rsidTr="00B57BA2">
        <w:trPr>
          <w:trHeight w:val="339"/>
        </w:trPr>
        <w:tc>
          <w:tcPr>
            <w:tcW w:w="2489" w:type="dxa"/>
          </w:tcPr>
          <w:p w14:paraId="02E244D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IR</w:t>
            </w:r>
          </w:p>
        </w:tc>
        <w:tc>
          <w:tcPr>
            <w:tcW w:w="6662" w:type="dxa"/>
          </w:tcPr>
          <w:p w14:paraId="3D772A7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Infrared</w:t>
            </w:r>
          </w:p>
        </w:tc>
      </w:tr>
      <w:tr w:rsidR="001E57BB" w:rsidRPr="001E57BB" w14:paraId="6BC09909" w14:textId="77777777" w:rsidTr="00B57BA2">
        <w:trPr>
          <w:trHeight w:val="338"/>
        </w:trPr>
        <w:tc>
          <w:tcPr>
            <w:tcW w:w="2489" w:type="dxa"/>
          </w:tcPr>
          <w:p w14:paraId="1AD46DC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ISR</w:t>
            </w:r>
          </w:p>
        </w:tc>
        <w:tc>
          <w:tcPr>
            <w:tcW w:w="6662" w:type="dxa"/>
          </w:tcPr>
          <w:p w14:paraId="62838CE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Incurred sample reproducibility</w:t>
            </w:r>
          </w:p>
        </w:tc>
      </w:tr>
      <w:tr w:rsidR="001E57BB" w:rsidRPr="001E57BB" w14:paraId="007274D7" w14:textId="77777777" w:rsidTr="00B57BA2">
        <w:trPr>
          <w:trHeight w:val="337"/>
        </w:trPr>
        <w:tc>
          <w:tcPr>
            <w:tcW w:w="2489" w:type="dxa"/>
          </w:tcPr>
          <w:p w14:paraId="56BBCD6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IV</w:t>
            </w:r>
          </w:p>
        </w:tc>
        <w:tc>
          <w:tcPr>
            <w:tcW w:w="6662" w:type="dxa"/>
          </w:tcPr>
          <w:p w14:paraId="7DC4C2C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Intravenous</w:t>
            </w:r>
          </w:p>
        </w:tc>
      </w:tr>
      <w:tr w:rsidR="001E57BB" w:rsidRPr="001E57BB" w14:paraId="392A9061" w14:textId="77777777" w:rsidTr="00B57BA2">
        <w:trPr>
          <w:trHeight w:val="337"/>
        </w:trPr>
        <w:tc>
          <w:tcPr>
            <w:tcW w:w="2489" w:type="dxa"/>
          </w:tcPr>
          <w:p w14:paraId="0BE00CE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Ka</w:t>
            </w:r>
          </w:p>
        </w:tc>
        <w:tc>
          <w:tcPr>
            <w:tcW w:w="6662" w:type="dxa"/>
          </w:tcPr>
          <w:p w14:paraId="2D5BE34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Absorption rate constant</w:t>
            </w:r>
          </w:p>
        </w:tc>
      </w:tr>
      <w:tr w:rsidR="001E57BB" w:rsidRPr="001E57BB" w14:paraId="7FCD6376" w14:textId="77777777" w:rsidTr="00B57BA2">
        <w:trPr>
          <w:trHeight w:val="339"/>
        </w:trPr>
        <w:tc>
          <w:tcPr>
            <w:tcW w:w="2489" w:type="dxa"/>
          </w:tcPr>
          <w:p w14:paraId="30F1A99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Keap1</w:t>
            </w:r>
          </w:p>
        </w:tc>
        <w:tc>
          <w:tcPr>
            <w:tcW w:w="6662" w:type="dxa"/>
          </w:tcPr>
          <w:p w14:paraId="4202C85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Kelch-like ECH-associated protein 1</w:t>
            </w:r>
          </w:p>
        </w:tc>
      </w:tr>
      <w:tr w:rsidR="001E57BB" w:rsidRPr="001E57BB" w14:paraId="0D811D47" w14:textId="77777777" w:rsidTr="00B57BA2">
        <w:trPr>
          <w:trHeight w:val="338"/>
        </w:trPr>
        <w:tc>
          <w:tcPr>
            <w:tcW w:w="2489" w:type="dxa"/>
          </w:tcPr>
          <w:p w14:paraId="056D913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KF</w:t>
            </w:r>
          </w:p>
        </w:tc>
        <w:tc>
          <w:tcPr>
            <w:tcW w:w="6662" w:type="dxa"/>
          </w:tcPr>
          <w:p w14:paraId="5769B63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Karl Fischer titration</w:t>
            </w:r>
          </w:p>
        </w:tc>
      </w:tr>
      <w:tr w:rsidR="001E57BB" w:rsidRPr="001E57BB" w14:paraId="43A41B0C" w14:textId="77777777" w:rsidTr="00B57BA2">
        <w:trPr>
          <w:trHeight w:val="339"/>
        </w:trPr>
        <w:tc>
          <w:tcPr>
            <w:tcW w:w="2489" w:type="dxa"/>
          </w:tcPr>
          <w:p w14:paraId="2D4CDB7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KIM-1</w:t>
            </w:r>
          </w:p>
        </w:tc>
        <w:tc>
          <w:tcPr>
            <w:tcW w:w="6662" w:type="dxa"/>
          </w:tcPr>
          <w:p w14:paraId="788C910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Kidney injury molecule-1</w:t>
            </w:r>
          </w:p>
        </w:tc>
      </w:tr>
      <w:tr w:rsidR="001E57BB" w:rsidRPr="001E57BB" w14:paraId="0AD5F0C4" w14:textId="77777777" w:rsidTr="00B57BA2">
        <w:trPr>
          <w:trHeight w:val="338"/>
        </w:trPr>
        <w:tc>
          <w:tcPr>
            <w:tcW w:w="2489" w:type="dxa"/>
          </w:tcPr>
          <w:p w14:paraId="09AE780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LC-MS/MS</w:t>
            </w:r>
          </w:p>
        </w:tc>
        <w:tc>
          <w:tcPr>
            <w:tcW w:w="6662" w:type="dxa"/>
          </w:tcPr>
          <w:p w14:paraId="0540324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Liquid chromatography-tandem mass spectrometry</w:t>
            </w:r>
          </w:p>
        </w:tc>
      </w:tr>
      <w:tr w:rsidR="001E57BB" w:rsidRPr="001E57BB" w14:paraId="4CC7D7AA" w14:textId="77777777" w:rsidTr="00B57BA2">
        <w:trPr>
          <w:trHeight w:val="337"/>
        </w:trPr>
        <w:tc>
          <w:tcPr>
            <w:tcW w:w="2489" w:type="dxa"/>
          </w:tcPr>
          <w:p w14:paraId="4C82454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LD</w:t>
            </w:r>
          </w:p>
        </w:tc>
        <w:tc>
          <w:tcPr>
            <w:tcW w:w="6662" w:type="dxa"/>
          </w:tcPr>
          <w:p w14:paraId="3CA97A5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Lactation day</w:t>
            </w:r>
          </w:p>
        </w:tc>
      </w:tr>
      <w:tr w:rsidR="001E57BB" w:rsidRPr="001E57BB" w14:paraId="412A9DD1" w14:textId="77777777" w:rsidTr="00B57BA2">
        <w:trPr>
          <w:trHeight w:val="338"/>
        </w:trPr>
        <w:tc>
          <w:tcPr>
            <w:tcW w:w="2489" w:type="dxa"/>
          </w:tcPr>
          <w:p w14:paraId="29A9701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LDPE</w:t>
            </w:r>
          </w:p>
        </w:tc>
        <w:tc>
          <w:tcPr>
            <w:tcW w:w="6662" w:type="dxa"/>
          </w:tcPr>
          <w:p w14:paraId="643E32A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Low density polyethylene</w:t>
            </w:r>
          </w:p>
        </w:tc>
      </w:tr>
      <w:tr w:rsidR="001E57BB" w:rsidRPr="001E57BB" w14:paraId="096AEEC8" w14:textId="77777777" w:rsidTr="00B57BA2">
        <w:trPr>
          <w:trHeight w:val="339"/>
        </w:trPr>
        <w:tc>
          <w:tcPr>
            <w:tcW w:w="2489" w:type="dxa"/>
          </w:tcPr>
          <w:p w14:paraId="1AF530A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(V)LDL</w:t>
            </w:r>
          </w:p>
        </w:tc>
        <w:tc>
          <w:tcPr>
            <w:tcW w:w="6662" w:type="dxa"/>
          </w:tcPr>
          <w:p w14:paraId="4B57FBF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(Very) Low-density lipoprotein</w:t>
            </w:r>
          </w:p>
        </w:tc>
      </w:tr>
      <w:tr w:rsidR="001E57BB" w:rsidRPr="001E57BB" w14:paraId="785D5E9A" w14:textId="77777777" w:rsidTr="00B57BA2">
        <w:trPr>
          <w:trHeight w:val="338"/>
        </w:trPr>
        <w:tc>
          <w:tcPr>
            <w:tcW w:w="2489" w:type="dxa"/>
          </w:tcPr>
          <w:p w14:paraId="6657284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LLN</w:t>
            </w:r>
          </w:p>
        </w:tc>
        <w:tc>
          <w:tcPr>
            <w:tcW w:w="6662" w:type="dxa"/>
          </w:tcPr>
          <w:p w14:paraId="38B0F96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Lower limit of normal</w:t>
            </w:r>
          </w:p>
        </w:tc>
      </w:tr>
      <w:tr w:rsidR="001E57BB" w:rsidRPr="001E57BB" w14:paraId="1EFAB48E" w14:textId="77777777" w:rsidTr="00B57BA2">
        <w:trPr>
          <w:trHeight w:val="339"/>
        </w:trPr>
        <w:tc>
          <w:tcPr>
            <w:tcW w:w="2489" w:type="dxa"/>
          </w:tcPr>
          <w:p w14:paraId="310326E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(V)LOFA</w:t>
            </w:r>
          </w:p>
        </w:tc>
        <w:tc>
          <w:tcPr>
            <w:tcW w:w="6662" w:type="dxa"/>
          </w:tcPr>
          <w:p w14:paraId="60F7D6D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(Very) late-onset FA</w:t>
            </w:r>
          </w:p>
        </w:tc>
      </w:tr>
      <w:tr w:rsidR="001E57BB" w:rsidRPr="001E57BB" w14:paraId="267935F8" w14:textId="77777777" w:rsidTr="00B57BA2">
        <w:trPr>
          <w:trHeight w:val="337"/>
        </w:trPr>
        <w:tc>
          <w:tcPr>
            <w:tcW w:w="2489" w:type="dxa"/>
          </w:tcPr>
          <w:p w14:paraId="12ED5E0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LS</w:t>
            </w:r>
          </w:p>
        </w:tc>
        <w:tc>
          <w:tcPr>
            <w:tcW w:w="6662" w:type="dxa"/>
          </w:tcPr>
          <w:p w14:paraId="373C7C4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Least squares</w:t>
            </w:r>
          </w:p>
        </w:tc>
      </w:tr>
      <w:tr w:rsidR="001E57BB" w:rsidRPr="001E57BB" w14:paraId="6C350E20" w14:textId="77777777" w:rsidTr="00B57BA2">
        <w:trPr>
          <w:trHeight w:val="338"/>
        </w:trPr>
        <w:tc>
          <w:tcPr>
            <w:tcW w:w="2489" w:type="dxa"/>
          </w:tcPr>
          <w:p w14:paraId="1318341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MAA</w:t>
            </w:r>
          </w:p>
        </w:tc>
        <w:tc>
          <w:tcPr>
            <w:tcW w:w="6662" w:type="dxa"/>
          </w:tcPr>
          <w:p w14:paraId="2292939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Marketing Authorisation Application</w:t>
            </w:r>
          </w:p>
        </w:tc>
      </w:tr>
      <w:tr w:rsidR="001E57BB" w:rsidRPr="001E57BB" w14:paraId="45075C30" w14:textId="77777777" w:rsidTr="00B57BA2">
        <w:trPr>
          <w:trHeight w:val="339"/>
        </w:trPr>
        <w:tc>
          <w:tcPr>
            <w:tcW w:w="2489" w:type="dxa"/>
          </w:tcPr>
          <w:p w14:paraId="4A6BCEA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M17</w:t>
            </w:r>
          </w:p>
        </w:tc>
        <w:tc>
          <w:tcPr>
            <w:tcW w:w="6662" w:type="dxa"/>
          </w:tcPr>
          <w:p w14:paraId="24E374D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 xml:space="preserve">Metabolite 17; 1,2-dihydro-29-OH </w:t>
            </w:r>
            <w:proofErr w:type="spellStart"/>
            <w:r w:rsidRPr="001E57BB">
              <w:rPr>
                <w:rFonts w:eastAsia="Times New Roman"/>
                <w:szCs w:val="22"/>
              </w:rPr>
              <w:t>omaveloxolone</w:t>
            </w:r>
            <w:proofErr w:type="spellEnd"/>
          </w:p>
        </w:tc>
      </w:tr>
      <w:tr w:rsidR="001E57BB" w:rsidRPr="001E57BB" w14:paraId="6F89A596" w14:textId="77777777" w:rsidTr="00B57BA2">
        <w:trPr>
          <w:trHeight w:val="338"/>
        </w:trPr>
        <w:tc>
          <w:tcPr>
            <w:tcW w:w="2489" w:type="dxa"/>
          </w:tcPr>
          <w:p w14:paraId="46687AB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M22</w:t>
            </w:r>
          </w:p>
        </w:tc>
        <w:tc>
          <w:tcPr>
            <w:tcW w:w="6662" w:type="dxa"/>
          </w:tcPr>
          <w:p w14:paraId="3138EA8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 xml:space="preserve">Metabolite 22; 1,2-dihydro-30-COOH </w:t>
            </w:r>
            <w:proofErr w:type="spellStart"/>
            <w:r w:rsidRPr="001E57BB">
              <w:rPr>
                <w:rFonts w:eastAsia="Times New Roman"/>
                <w:szCs w:val="22"/>
              </w:rPr>
              <w:t>omaveloxolone</w:t>
            </w:r>
            <w:proofErr w:type="spellEnd"/>
          </w:p>
        </w:tc>
      </w:tr>
      <w:tr w:rsidR="001E57BB" w:rsidRPr="001E57BB" w14:paraId="5F524B2C" w14:textId="77777777" w:rsidTr="00B57BA2">
        <w:trPr>
          <w:trHeight w:val="338"/>
        </w:trPr>
        <w:tc>
          <w:tcPr>
            <w:tcW w:w="2489" w:type="dxa"/>
          </w:tcPr>
          <w:p w14:paraId="0EA2715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M29</w:t>
            </w:r>
          </w:p>
        </w:tc>
        <w:tc>
          <w:tcPr>
            <w:tcW w:w="6662" w:type="dxa"/>
          </w:tcPr>
          <w:p w14:paraId="08E1F3C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 xml:space="preserve">Metabolite 29; 1,2-epoxy </w:t>
            </w:r>
            <w:proofErr w:type="spellStart"/>
            <w:r w:rsidRPr="001E57BB">
              <w:rPr>
                <w:rFonts w:eastAsia="Times New Roman"/>
                <w:szCs w:val="22"/>
              </w:rPr>
              <w:t>omaveloxolone</w:t>
            </w:r>
            <w:proofErr w:type="spellEnd"/>
          </w:p>
        </w:tc>
      </w:tr>
      <w:tr w:rsidR="001E57BB" w:rsidRPr="001E57BB" w14:paraId="5903A983" w14:textId="77777777" w:rsidTr="00B57BA2">
        <w:trPr>
          <w:trHeight w:val="337"/>
        </w:trPr>
        <w:tc>
          <w:tcPr>
            <w:tcW w:w="2489" w:type="dxa"/>
          </w:tcPr>
          <w:p w14:paraId="731AB91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MATE(</w:t>
            </w:r>
            <w:proofErr w:type="gramStart"/>
            <w:r w:rsidRPr="001E57BB">
              <w:rPr>
                <w:rFonts w:eastAsia="Times New Roman"/>
                <w:szCs w:val="22"/>
              </w:rPr>
              <w:t>1)(</w:t>
            </w:r>
            <w:proofErr w:type="gramEnd"/>
            <w:r w:rsidRPr="001E57BB">
              <w:rPr>
                <w:rFonts w:eastAsia="Times New Roman"/>
                <w:szCs w:val="22"/>
              </w:rPr>
              <w:t>2-K)</w:t>
            </w:r>
          </w:p>
        </w:tc>
        <w:tc>
          <w:tcPr>
            <w:tcW w:w="6662" w:type="dxa"/>
          </w:tcPr>
          <w:p w14:paraId="633A921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Multidrug and toxin extrusion transporter (1) (2-K)</w:t>
            </w:r>
          </w:p>
        </w:tc>
      </w:tr>
      <w:tr w:rsidR="001E57BB" w:rsidRPr="001E57BB" w14:paraId="65475C20" w14:textId="77777777" w:rsidTr="00B57BA2">
        <w:trPr>
          <w:trHeight w:val="338"/>
        </w:trPr>
        <w:tc>
          <w:tcPr>
            <w:tcW w:w="2489" w:type="dxa"/>
          </w:tcPr>
          <w:p w14:paraId="7C8AFE0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MAR</w:t>
            </w:r>
          </w:p>
        </w:tc>
        <w:tc>
          <w:tcPr>
            <w:tcW w:w="6662" w:type="dxa"/>
          </w:tcPr>
          <w:p w14:paraId="7B401A8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Missing at random</w:t>
            </w:r>
          </w:p>
        </w:tc>
      </w:tr>
      <w:tr w:rsidR="001E57BB" w:rsidRPr="001E57BB" w14:paraId="46DE78FA" w14:textId="77777777" w:rsidTr="00B57BA2">
        <w:trPr>
          <w:trHeight w:val="437"/>
        </w:trPr>
        <w:tc>
          <w:tcPr>
            <w:tcW w:w="2489" w:type="dxa"/>
          </w:tcPr>
          <w:p w14:paraId="7DA62DC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MDR1</w:t>
            </w:r>
          </w:p>
        </w:tc>
        <w:tc>
          <w:tcPr>
            <w:tcW w:w="6662" w:type="dxa"/>
          </w:tcPr>
          <w:p w14:paraId="6B37630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Multidrug resistant transporter 1</w:t>
            </w:r>
          </w:p>
        </w:tc>
      </w:tr>
      <w:tr w:rsidR="001E57BB" w:rsidRPr="001E57BB" w14:paraId="1014B8B3" w14:textId="77777777" w:rsidTr="00B57BA2">
        <w:trPr>
          <w:trHeight w:val="339"/>
        </w:trPr>
        <w:tc>
          <w:tcPr>
            <w:tcW w:w="2489" w:type="dxa"/>
          </w:tcPr>
          <w:p w14:paraId="5FD3F7A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MHRD</w:t>
            </w:r>
          </w:p>
        </w:tc>
        <w:tc>
          <w:tcPr>
            <w:tcW w:w="6662" w:type="dxa"/>
          </w:tcPr>
          <w:p w14:paraId="61D0533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Maximum human recommended dose</w:t>
            </w:r>
          </w:p>
        </w:tc>
      </w:tr>
      <w:tr w:rsidR="001E57BB" w:rsidRPr="001E57BB" w14:paraId="4F28BAC0" w14:textId="77777777" w:rsidTr="00B57BA2">
        <w:trPr>
          <w:trHeight w:val="338"/>
        </w:trPr>
        <w:tc>
          <w:tcPr>
            <w:tcW w:w="2489" w:type="dxa"/>
          </w:tcPr>
          <w:p w14:paraId="05FE777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MMRM</w:t>
            </w:r>
          </w:p>
        </w:tc>
        <w:tc>
          <w:tcPr>
            <w:tcW w:w="6662" w:type="dxa"/>
          </w:tcPr>
          <w:p w14:paraId="0E39817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Mixed models repeated measures</w:t>
            </w:r>
          </w:p>
        </w:tc>
      </w:tr>
      <w:tr w:rsidR="001E57BB" w:rsidRPr="001E57BB" w14:paraId="60F33646" w14:textId="77777777" w:rsidTr="00B57BA2">
        <w:trPr>
          <w:trHeight w:val="338"/>
        </w:trPr>
        <w:tc>
          <w:tcPr>
            <w:tcW w:w="2489" w:type="dxa"/>
          </w:tcPr>
          <w:p w14:paraId="68912FA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lastRenderedPageBreak/>
              <w:t>mRNA</w:t>
            </w:r>
          </w:p>
        </w:tc>
        <w:tc>
          <w:tcPr>
            <w:tcW w:w="6662" w:type="dxa"/>
          </w:tcPr>
          <w:p w14:paraId="24DD82E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Messenger ribonucleic acid</w:t>
            </w:r>
          </w:p>
        </w:tc>
      </w:tr>
      <w:tr w:rsidR="001E57BB" w:rsidRPr="001E57BB" w14:paraId="7D70F64D" w14:textId="77777777" w:rsidTr="00B57BA2">
        <w:trPr>
          <w:trHeight w:val="338"/>
        </w:trPr>
        <w:tc>
          <w:tcPr>
            <w:tcW w:w="2489" w:type="dxa"/>
          </w:tcPr>
          <w:p w14:paraId="6D76064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MRT</w:t>
            </w:r>
          </w:p>
        </w:tc>
        <w:tc>
          <w:tcPr>
            <w:tcW w:w="6662" w:type="dxa"/>
          </w:tcPr>
          <w:p w14:paraId="63DBAC6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Mean residence time</w:t>
            </w:r>
          </w:p>
        </w:tc>
      </w:tr>
      <w:tr w:rsidR="001E57BB" w:rsidRPr="001E57BB" w14:paraId="438E55EC" w14:textId="77777777" w:rsidTr="00B57BA2">
        <w:trPr>
          <w:trHeight w:val="337"/>
        </w:trPr>
        <w:tc>
          <w:tcPr>
            <w:tcW w:w="2489" w:type="dxa"/>
          </w:tcPr>
          <w:p w14:paraId="71A5EBD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MS</w:t>
            </w:r>
          </w:p>
        </w:tc>
        <w:tc>
          <w:tcPr>
            <w:tcW w:w="6662" w:type="dxa"/>
          </w:tcPr>
          <w:p w14:paraId="0555B1B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Mass spectrometry</w:t>
            </w:r>
          </w:p>
        </w:tc>
      </w:tr>
      <w:tr w:rsidR="001E57BB" w:rsidRPr="001E57BB" w14:paraId="04EA1149" w14:textId="77777777" w:rsidTr="00B57BA2">
        <w:trPr>
          <w:trHeight w:val="339"/>
        </w:trPr>
        <w:tc>
          <w:tcPr>
            <w:tcW w:w="2489" w:type="dxa"/>
          </w:tcPr>
          <w:p w14:paraId="4683264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NADH</w:t>
            </w:r>
          </w:p>
        </w:tc>
        <w:tc>
          <w:tcPr>
            <w:tcW w:w="6662" w:type="dxa"/>
          </w:tcPr>
          <w:p w14:paraId="3060996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Nicotinamide adenine dinucleotide</w:t>
            </w:r>
          </w:p>
        </w:tc>
      </w:tr>
      <w:tr w:rsidR="001E57BB" w:rsidRPr="001E57BB" w14:paraId="32C97CF9" w14:textId="77777777" w:rsidTr="00B57BA2">
        <w:trPr>
          <w:trHeight w:val="338"/>
        </w:trPr>
        <w:tc>
          <w:tcPr>
            <w:tcW w:w="2489" w:type="dxa"/>
          </w:tcPr>
          <w:p w14:paraId="22A5E39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NADPH</w:t>
            </w:r>
          </w:p>
        </w:tc>
        <w:tc>
          <w:tcPr>
            <w:tcW w:w="6662" w:type="dxa"/>
          </w:tcPr>
          <w:p w14:paraId="5118783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Nicotine amide dinucleotide phosphate</w:t>
            </w:r>
          </w:p>
        </w:tc>
      </w:tr>
      <w:tr w:rsidR="001E57BB" w:rsidRPr="001E57BB" w14:paraId="25BC85F4" w14:textId="77777777" w:rsidTr="00B57BA2">
        <w:trPr>
          <w:trHeight w:val="338"/>
        </w:trPr>
        <w:tc>
          <w:tcPr>
            <w:tcW w:w="2489" w:type="dxa"/>
          </w:tcPr>
          <w:p w14:paraId="76CC3AD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NGAL</w:t>
            </w:r>
          </w:p>
        </w:tc>
        <w:tc>
          <w:tcPr>
            <w:tcW w:w="6662" w:type="dxa"/>
          </w:tcPr>
          <w:p w14:paraId="13FB2B6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Neutrophil gelatinase-associated lipocalin</w:t>
            </w:r>
          </w:p>
        </w:tc>
      </w:tr>
      <w:tr w:rsidR="001E57BB" w:rsidRPr="001E57BB" w14:paraId="479C4ADC" w14:textId="77777777" w:rsidTr="00B57BA2">
        <w:trPr>
          <w:trHeight w:val="338"/>
        </w:trPr>
        <w:tc>
          <w:tcPr>
            <w:tcW w:w="2489" w:type="dxa"/>
          </w:tcPr>
          <w:p w14:paraId="4C6BA75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NLT</w:t>
            </w:r>
          </w:p>
        </w:tc>
        <w:tc>
          <w:tcPr>
            <w:tcW w:w="6662" w:type="dxa"/>
          </w:tcPr>
          <w:p w14:paraId="58FEF22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Not less than</w:t>
            </w:r>
          </w:p>
        </w:tc>
      </w:tr>
      <w:tr w:rsidR="001E57BB" w:rsidRPr="001E57BB" w14:paraId="4FEC8C0B" w14:textId="77777777" w:rsidTr="00B57BA2">
        <w:trPr>
          <w:trHeight w:val="337"/>
        </w:trPr>
        <w:tc>
          <w:tcPr>
            <w:tcW w:w="2489" w:type="dxa"/>
          </w:tcPr>
          <w:p w14:paraId="51F0B67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NMR</w:t>
            </w:r>
          </w:p>
        </w:tc>
        <w:tc>
          <w:tcPr>
            <w:tcW w:w="6662" w:type="dxa"/>
          </w:tcPr>
          <w:p w14:paraId="1A948CD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Nuclear magnetic resonance</w:t>
            </w:r>
          </w:p>
        </w:tc>
      </w:tr>
      <w:tr w:rsidR="001E57BB" w:rsidRPr="001E57BB" w14:paraId="5D20FD2A" w14:textId="77777777" w:rsidTr="00B57BA2">
        <w:trPr>
          <w:trHeight w:val="338"/>
        </w:trPr>
        <w:tc>
          <w:tcPr>
            <w:tcW w:w="2489" w:type="dxa"/>
          </w:tcPr>
          <w:p w14:paraId="40C55DB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NMT</w:t>
            </w:r>
          </w:p>
        </w:tc>
        <w:tc>
          <w:tcPr>
            <w:tcW w:w="6662" w:type="dxa"/>
          </w:tcPr>
          <w:p w14:paraId="6EA8CF2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Not more than</w:t>
            </w:r>
          </w:p>
        </w:tc>
      </w:tr>
      <w:tr w:rsidR="001E57BB" w:rsidRPr="001E57BB" w14:paraId="73807E90" w14:textId="77777777" w:rsidTr="00B57BA2">
        <w:trPr>
          <w:trHeight w:val="338"/>
        </w:trPr>
        <w:tc>
          <w:tcPr>
            <w:tcW w:w="2489" w:type="dxa"/>
          </w:tcPr>
          <w:p w14:paraId="559D0BF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NOAEL</w:t>
            </w:r>
          </w:p>
        </w:tc>
        <w:tc>
          <w:tcPr>
            <w:tcW w:w="6662" w:type="dxa"/>
          </w:tcPr>
          <w:p w14:paraId="04E22A6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No-observable-adverse-effect level</w:t>
            </w:r>
          </w:p>
        </w:tc>
      </w:tr>
      <w:tr w:rsidR="001E57BB" w:rsidRPr="001E57BB" w14:paraId="78EB0CC4" w14:textId="77777777" w:rsidTr="00B57BA2">
        <w:trPr>
          <w:trHeight w:val="338"/>
        </w:trPr>
        <w:tc>
          <w:tcPr>
            <w:tcW w:w="2489" w:type="dxa"/>
          </w:tcPr>
          <w:p w14:paraId="2384446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NOR</w:t>
            </w:r>
          </w:p>
        </w:tc>
        <w:tc>
          <w:tcPr>
            <w:tcW w:w="6662" w:type="dxa"/>
          </w:tcPr>
          <w:p w14:paraId="244151C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Normal operating range</w:t>
            </w:r>
          </w:p>
        </w:tc>
      </w:tr>
      <w:tr w:rsidR="001E57BB" w:rsidRPr="001E57BB" w14:paraId="0D4077C2" w14:textId="77777777" w:rsidTr="00B57BA2">
        <w:trPr>
          <w:trHeight w:val="338"/>
        </w:trPr>
        <w:tc>
          <w:tcPr>
            <w:tcW w:w="2489" w:type="dxa"/>
          </w:tcPr>
          <w:p w14:paraId="6C55B45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Nrf2</w:t>
            </w:r>
          </w:p>
        </w:tc>
        <w:tc>
          <w:tcPr>
            <w:tcW w:w="6662" w:type="dxa"/>
          </w:tcPr>
          <w:p w14:paraId="2EF522B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Nuclear factor, erythroid 2 like 2</w:t>
            </w:r>
          </w:p>
        </w:tc>
      </w:tr>
      <w:tr w:rsidR="001E57BB" w:rsidRPr="001E57BB" w14:paraId="5B6B6ABA" w14:textId="77777777" w:rsidTr="00B57BA2">
        <w:trPr>
          <w:trHeight w:val="337"/>
        </w:trPr>
        <w:tc>
          <w:tcPr>
            <w:tcW w:w="2489" w:type="dxa"/>
          </w:tcPr>
          <w:p w14:paraId="7D3EFB54" w14:textId="77777777" w:rsidR="003379F7" w:rsidRPr="001E57BB" w:rsidRDefault="003379F7" w:rsidP="003379F7">
            <w:pPr>
              <w:spacing w:before="80" w:after="40" w:line="264" w:lineRule="auto"/>
              <w:ind w:left="113"/>
              <w:rPr>
                <w:rFonts w:eastAsia="Times New Roman"/>
                <w:szCs w:val="22"/>
              </w:rPr>
            </w:pPr>
            <w:proofErr w:type="gramStart"/>
            <w:r w:rsidRPr="001E57BB">
              <w:rPr>
                <w:rFonts w:eastAsia="Times New Roman"/>
                <w:szCs w:val="22"/>
              </w:rPr>
              <w:t>OAT(</w:t>
            </w:r>
            <w:proofErr w:type="gramEnd"/>
            <w:r w:rsidRPr="001E57BB">
              <w:rPr>
                <w:rFonts w:eastAsia="Times New Roman"/>
                <w:szCs w:val="22"/>
              </w:rPr>
              <w:t>1)(3)</w:t>
            </w:r>
          </w:p>
        </w:tc>
        <w:tc>
          <w:tcPr>
            <w:tcW w:w="6662" w:type="dxa"/>
          </w:tcPr>
          <w:p w14:paraId="743CCC0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Organic anion transporter (1)(3)</w:t>
            </w:r>
          </w:p>
        </w:tc>
      </w:tr>
      <w:tr w:rsidR="001E57BB" w:rsidRPr="001E57BB" w14:paraId="6AD82701" w14:textId="77777777" w:rsidTr="00B57BA2">
        <w:trPr>
          <w:trHeight w:val="364"/>
        </w:trPr>
        <w:tc>
          <w:tcPr>
            <w:tcW w:w="2489" w:type="dxa"/>
          </w:tcPr>
          <w:p w14:paraId="42EA411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OATP(1B</w:t>
            </w:r>
            <w:proofErr w:type="gramStart"/>
            <w:r w:rsidRPr="001E57BB">
              <w:rPr>
                <w:rFonts w:eastAsia="Times New Roman"/>
                <w:szCs w:val="22"/>
              </w:rPr>
              <w:t>1)(</w:t>
            </w:r>
            <w:proofErr w:type="gramEnd"/>
            <w:r w:rsidRPr="001E57BB">
              <w:rPr>
                <w:rFonts w:eastAsia="Times New Roman"/>
                <w:szCs w:val="22"/>
              </w:rPr>
              <w:t>1B3)</w:t>
            </w:r>
          </w:p>
        </w:tc>
        <w:tc>
          <w:tcPr>
            <w:tcW w:w="6662" w:type="dxa"/>
          </w:tcPr>
          <w:p w14:paraId="2FD072F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Organic anion transporting polypeptide (1B</w:t>
            </w:r>
            <w:proofErr w:type="gramStart"/>
            <w:r w:rsidRPr="001E57BB">
              <w:rPr>
                <w:rFonts w:eastAsia="Times New Roman"/>
                <w:szCs w:val="22"/>
              </w:rPr>
              <w:t>1)(</w:t>
            </w:r>
            <w:proofErr w:type="gramEnd"/>
            <w:r w:rsidRPr="001E57BB">
              <w:rPr>
                <w:rFonts w:eastAsia="Times New Roman"/>
                <w:szCs w:val="22"/>
              </w:rPr>
              <w:t>1B3)</w:t>
            </w:r>
          </w:p>
        </w:tc>
      </w:tr>
      <w:tr w:rsidR="001E57BB" w:rsidRPr="001E57BB" w14:paraId="5C8FEE1A" w14:textId="77777777" w:rsidTr="00B57BA2">
        <w:trPr>
          <w:trHeight w:val="339"/>
        </w:trPr>
        <w:tc>
          <w:tcPr>
            <w:tcW w:w="2489" w:type="dxa"/>
          </w:tcPr>
          <w:p w14:paraId="015D3C11" w14:textId="77777777" w:rsidR="003379F7" w:rsidRPr="001E57BB" w:rsidRDefault="003379F7" w:rsidP="003379F7">
            <w:pPr>
              <w:spacing w:before="80" w:after="40" w:line="264" w:lineRule="auto"/>
              <w:ind w:left="113"/>
              <w:rPr>
                <w:rFonts w:eastAsia="Times New Roman"/>
                <w:szCs w:val="22"/>
              </w:rPr>
            </w:pPr>
            <w:proofErr w:type="gramStart"/>
            <w:r w:rsidRPr="001E57BB">
              <w:rPr>
                <w:rFonts w:eastAsia="Times New Roman"/>
                <w:szCs w:val="22"/>
              </w:rPr>
              <w:t>OCT(</w:t>
            </w:r>
            <w:proofErr w:type="gramEnd"/>
            <w:r w:rsidRPr="001E57BB">
              <w:rPr>
                <w:rFonts w:eastAsia="Times New Roman"/>
                <w:szCs w:val="22"/>
              </w:rPr>
              <w:t>1)(2)</w:t>
            </w:r>
          </w:p>
        </w:tc>
        <w:tc>
          <w:tcPr>
            <w:tcW w:w="6662" w:type="dxa"/>
          </w:tcPr>
          <w:p w14:paraId="70D5FE7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Organic cation transporter (1)(2)</w:t>
            </w:r>
          </w:p>
        </w:tc>
      </w:tr>
      <w:tr w:rsidR="001E57BB" w:rsidRPr="001E57BB" w14:paraId="15EBA542" w14:textId="77777777" w:rsidTr="00B57BA2">
        <w:trPr>
          <w:trHeight w:val="337"/>
        </w:trPr>
        <w:tc>
          <w:tcPr>
            <w:tcW w:w="2489" w:type="dxa"/>
          </w:tcPr>
          <w:p w14:paraId="18AE3CC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Omav</w:t>
            </w:r>
          </w:p>
        </w:tc>
        <w:tc>
          <w:tcPr>
            <w:tcW w:w="6662" w:type="dxa"/>
          </w:tcPr>
          <w:p w14:paraId="6F5E7642"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Omaveloxolone</w:t>
            </w:r>
            <w:proofErr w:type="spellEnd"/>
            <w:r w:rsidRPr="001E57BB">
              <w:rPr>
                <w:rFonts w:eastAsia="Times New Roman"/>
                <w:szCs w:val="22"/>
              </w:rPr>
              <w:t xml:space="preserve"> treatment group</w:t>
            </w:r>
          </w:p>
        </w:tc>
      </w:tr>
      <w:tr w:rsidR="001E57BB" w:rsidRPr="001E57BB" w14:paraId="1275EC07" w14:textId="77777777" w:rsidTr="00B57BA2">
        <w:trPr>
          <w:trHeight w:val="337"/>
        </w:trPr>
        <w:tc>
          <w:tcPr>
            <w:tcW w:w="2489" w:type="dxa"/>
          </w:tcPr>
          <w:p w14:paraId="1A752F1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Omav-Omav</w:t>
            </w:r>
          </w:p>
        </w:tc>
        <w:tc>
          <w:tcPr>
            <w:tcW w:w="6662" w:type="dxa"/>
          </w:tcPr>
          <w:p w14:paraId="1C9B7220"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Omaveloxolone-omaveloxolone</w:t>
            </w:r>
            <w:proofErr w:type="spellEnd"/>
            <w:r w:rsidRPr="001E57BB">
              <w:rPr>
                <w:rFonts w:eastAsia="Times New Roman"/>
                <w:szCs w:val="22"/>
              </w:rPr>
              <w:t xml:space="preserve"> treatment group</w:t>
            </w:r>
          </w:p>
        </w:tc>
      </w:tr>
      <w:tr w:rsidR="001E57BB" w:rsidRPr="001E57BB" w14:paraId="29A55104" w14:textId="77777777" w:rsidTr="00B57BA2">
        <w:trPr>
          <w:trHeight w:val="339"/>
        </w:trPr>
        <w:tc>
          <w:tcPr>
            <w:tcW w:w="2489" w:type="dxa"/>
          </w:tcPr>
          <w:p w14:paraId="50EC771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PAR</w:t>
            </w:r>
          </w:p>
        </w:tc>
        <w:tc>
          <w:tcPr>
            <w:tcW w:w="6662" w:type="dxa"/>
          </w:tcPr>
          <w:p w14:paraId="1AA0E60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Proven acceptable range</w:t>
            </w:r>
          </w:p>
        </w:tc>
      </w:tr>
      <w:tr w:rsidR="001E57BB" w:rsidRPr="001E57BB" w14:paraId="596731CF" w14:textId="77777777" w:rsidTr="00B57BA2">
        <w:trPr>
          <w:trHeight w:val="338"/>
        </w:trPr>
        <w:tc>
          <w:tcPr>
            <w:tcW w:w="2489" w:type="dxa"/>
          </w:tcPr>
          <w:p w14:paraId="4621E25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PBBM</w:t>
            </w:r>
          </w:p>
        </w:tc>
        <w:tc>
          <w:tcPr>
            <w:tcW w:w="6662" w:type="dxa"/>
          </w:tcPr>
          <w:p w14:paraId="1CF40B6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Physiologically based biopharmaceutical model</w:t>
            </w:r>
          </w:p>
        </w:tc>
      </w:tr>
      <w:tr w:rsidR="001E57BB" w:rsidRPr="001E57BB" w14:paraId="4C32BCE9" w14:textId="77777777" w:rsidTr="00B57BA2">
        <w:trPr>
          <w:trHeight w:val="339"/>
        </w:trPr>
        <w:tc>
          <w:tcPr>
            <w:tcW w:w="2489" w:type="dxa"/>
          </w:tcPr>
          <w:p w14:paraId="66EEAA8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PBPK</w:t>
            </w:r>
          </w:p>
        </w:tc>
        <w:tc>
          <w:tcPr>
            <w:tcW w:w="6662" w:type="dxa"/>
          </w:tcPr>
          <w:p w14:paraId="6D114FE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Physiologically based pharmacokinetic(s)</w:t>
            </w:r>
          </w:p>
        </w:tc>
      </w:tr>
      <w:tr w:rsidR="001E57BB" w:rsidRPr="001E57BB" w14:paraId="2DBDC207" w14:textId="77777777" w:rsidTr="00B57BA2">
        <w:trPr>
          <w:trHeight w:val="338"/>
        </w:trPr>
        <w:tc>
          <w:tcPr>
            <w:tcW w:w="2489" w:type="dxa"/>
          </w:tcPr>
          <w:p w14:paraId="518623D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PBT</w:t>
            </w:r>
          </w:p>
        </w:tc>
        <w:tc>
          <w:tcPr>
            <w:tcW w:w="6662" w:type="dxa"/>
          </w:tcPr>
          <w:p w14:paraId="2218D55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Persistence, bioaccumulation, and toxicity</w:t>
            </w:r>
          </w:p>
        </w:tc>
      </w:tr>
      <w:tr w:rsidR="001E57BB" w:rsidRPr="001E57BB" w14:paraId="71EBB5A9" w14:textId="77777777" w:rsidTr="00B57BA2">
        <w:trPr>
          <w:trHeight w:val="337"/>
        </w:trPr>
        <w:tc>
          <w:tcPr>
            <w:tcW w:w="2489" w:type="dxa"/>
          </w:tcPr>
          <w:p w14:paraId="63C9425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PD</w:t>
            </w:r>
          </w:p>
        </w:tc>
        <w:tc>
          <w:tcPr>
            <w:tcW w:w="6662" w:type="dxa"/>
          </w:tcPr>
          <w:p w14:paraId="3B02B52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Pharmacodynamic</w:t>
            </w:r>
          </w:p>
        </w:tc>
      </w:tr>
      <w:tr w:rsidR="001E57BB" w:rsidRPr="001E57BB" w14:paraId="1E023A32" w14:textId="77777777" w:rsidTr="00B57BA2">
        <w:trPr>
          <w:trHeight w:val="338"/>
        </w:trPr>
        <w:tc>
          <w:tcPr>
            <w:tcW w:w="2489" w:type="dxa"/>
          </w:tcPr>
          <w:p w14:paraId="7AA50C3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PGIC</w:t>
            </w:r>
          </w:p>
        </w:tc>
        <w:tc>
          <w:tcPr>
            <w:tcW w:w="6662" w:type="dxa"/>
          </w:tcPr>
          <w:p w14:paraId="28D211D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Patient global impression of change</w:t>
            </w:r>
          </w:p>
        </w:tc>
      </w:tr>
      <w:tr w:rsidR="001E57BB" w:rsidRPr="001E57BB" w14:paraId="597E44B3" w14:textId="77777777" w:rsidTr="00B57BA2">
        <w:trPr>
          <w:trHeight w:val="339"/>
        </w:trPr>
        <w:tc>
          <w:tcPr>
            <w:tcW w:w="2489" w:type="dxa"/>
          </w:tcPr>
          <w:p w14:paraId="567F5DA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Ph. Eur.</w:t>
            </w:r>
          </w:p>
        </w:tc>
        <w:tc>
          <w:tcPr>
            <w:tcW w:w="6662" w:type="dxa"/>
          </w:tcPr>
          <w:p w14:paraId="6F382F5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European Pharmacopoeia</w:t>
            </w:r>
          </w:p>
        </w:tc>
      </w:tr>
      <w:tr w:rsidR="001E57BB" w:rsidRPr="001E57BB" w14:paraId="26EEB45F" w14:textId="77777777" w:rsidTr="00B57BA2">
        <w:trPr>
          <w:trHeight w:val="338"/>
        </w:trPr>
        <w:tc>
          <w:tcPr>
            <w:tcW w:w="2489" w:type="dxa"/>
          </w:tcPr>
          <w:p w14:paraId="5C1E642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w:t>
            </w:r>
            <w:proofErr w:type="spellStart"/>
            <w:r w:rsidRPr="001E57BB">
              <w:rPr>
                <w:rFonts w:eastAsia="Times New Roman"/>
                <w:szCs w:val="22"/>
              </w:rPr>
              <w:t>gp</w:t>
            </w:r>
            <w:proofErr w:type="spellEnd"/>
          </w:p>
        </w:tc>
        <w:tc>
          <w:tcPr>
            <w:tcW w:w="6662" w:type="dxa"/>
          </w:tcPr>
          <w:p w14:paraId="14F570A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P-glycoprotein</w:t>
            </w:r>
          </w:p>
        </w:tc>
      </w:tr>
      <w:tr w:rsidR="001E57BB" w:rsidRPr="001E57BB" w14:paraId="1B162A6A" w14:textId="77777777" w:rsidTr="00B57BA2">
        <w:trPr>
          <w:trHeight w:val="339"/>
        </w:trPr>
        <w:tc>
          <w:tcPr>
            <w:tcW w:w="2489" w:type="dxa"/>
          </w:tcPr>
          <w:p w14:paraId="2E8A58D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PIP</w:t>
            </w:r>
          </w:p>
        </w:tc>
        <w:tc>
          <w:tcPr>
            <w:tcW w:w="6662" w:type="dxa"/>
          </w:tcPr>
          <w:p w14:paraId="0C7FBA2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Paediatric investigational plan</w:t>
            </w:r>
          </w:p>
        </w:tc>
      </w:tr>
      <w:tr w:rsidR="001E57BB" w:rsidRPr="001E57BB" w14:paraId="3E067F25" w14:textId="77777777" w:rsidTr="00B57BA2">
        <w:trPr>
          <w:trHeight w:val="337"/>
        </w:trPr>
        <w:tc>
          <w:tcPr>
            <w:tcW w:w="2489" w:type="dxa"/>
          </w:tcPr>
          <w:p w14:paraId="3C65E4B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PK</w:t>
            </w:r>
          </w:p>
        </w:tc>
        <w:tc>
          <w:tcPr>
            <w:tcW w:w="6662" w:type="dxa"/>
          </w:tcPr>
          <w:p w14:paraId="2C045A3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Pharmacokinetic</w:t>
            </w:r>
          </w:p>
        </w:tc>
      </w:tr>
      <w:tr w:rsidR="001E57BB" w:rsidRPr="001E57BB" w14:paraId="6F726765" w14:textId="77777777" w:rsidTr="00B57BA2">
        <w:trPr>
          <w:trHeight w:val="338"/>
        </w:trPr>
        <w:tc>
          <w:tcPr>
            <w:tcW w:w="2489" w:type="dxa"/>
          </w:tcPr>
          <w:p w14:paraId="1A4895F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Placebo-Omav</w:t>
            </w:r>
          </w:p>
        </w:tc>
        <w:tc>
          <w:tcPr>
            <w:tcW w:w="6662" w:type="dxa"/>
          </w:tcPr>
          <w:p w14:paraId="6DAF0C29"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Placebo-</w:t>
            </w:r>
            <w:proofErr w:type="spellStart"/>
            <w:r w:rsidRPr="001E57BB">
              <w:rPr>
                <w:rFonts w:eastAsia="Times New Roman"/>
                <w:szCs w:val="22"/>
              </w:rPr>
              <w:t>omaveloxolone</w:t>
            </w:r>
            <w:proofErr w:type="spellEnd"/>
            <w:r w:rsidRPr="001E57BB">
              <w:rPr>
                <w:rFonts w:eastAsia="Times New Roman"/>
                <w:szCs w:val="22"/>
              </w:rPr>
              <w:t xml:space="preserve"> treatment group</w:t>
            </w:r>
          </w:p>
        </w:tc>
      </w:tr>
      <w:tr w:rsidR="001E57BB" w:rsidRPr="001E57BB" w14:paraId="20A3B36A" w14:textId="77777777" w:rsidTr="00B57BA2">
        <w:trPr>
          <w:trHeight w:val="339"/>
        </w:trPr>
        <w:tc>
          <w:tcPr>
            <w:tcW w:w="2489" w:type="dxa"/>
          </w:tcPr>
          <w:p w14:paraId="12F57A1E"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popPK</w:t>
            </w:r>
            <w:proofErr w:type="spellEnd"/>
          </w:p>
        </w:tc>
        <w:tc>
          <w:tcPr>
            <w:tcW w:w="6662" w:type="dxa"/>
          </w:tcPr>
          <w:p w14:paraId="6E5A7E1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Population pharmacokinetics</w:t>
            </w:r>
          </w:p>
        </w:tc>
      </w:tr>
      <w:tr w:rsidR="001E57BB" w:rsidRPr="001E57BB" w14:paraId="0F4329DD" w14:textId="77777777" w:rsidTr="00B57BA2">
        <w:trPr>
          <w:trHeight w:val="338"/>
        </w:trPr>
        <w:tc>
          <w:tcPr>
            <w:tcW w:w="2489" w:type="dxa"/>
          </w:tcPr>
          <w:p w14:paraId="43269D9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PPND</w:t>
            </w:r>
          </w:p>
        </w:tc>
        <w:tc>
          <w:tcPr>
            <w:tcW w:w="6662" w:type="dxa"/>
          </w:tcPr>
          <w:p w14:paraId="3B78402F"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Pre- and post-natal developmental</w:t>
            </w:r>
          </w:p>
        </w:tc>
      </w:tr>
      <w:tr w:rsidR="001E57BB" w:rsidRPr="001E57BB" w14:paraId="55DE718D" w14:textId="77777777" w:rsidTr="00B57BA2">
        <w:trPr>
          <w:trHeight w:val="338"/>
        </w:trPr>
        <w:tc>
          <w:tcPr>
            <w:tcW w:w="2489" w:type="dxa"/>
          </w:tcPr>
          <w:p w14:paraId="1EA9AE26"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PSD</w:t>
            </w:r>
          </w:p>
        </w:tc>
        <w:tc>
          <w:tcPr>
            <w:tcW w:w="6662" w:type="dxa"/>
          </w:tcPr>
          <w:p w14:paraId="6E8A976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Particle size distribution</w:t>
            </w:r>
          </w:p>
        </w:tc>
      </w:tr>
      <w:tr w:rsidR="001E57BB" w:rsidRPr="001E57BB" w14:paraId="74D82112" w14:textId="77777777" w:rsidTr="00B57BA2">
        <w:trPr>
          <w:trHeight w:val="337"/>
        </w:trPr>
        <w:tc>
          <w:tcPr>
            <w:tcW w:w="2489" w:type="dxa"/>
          </w:tcPr>
          <w:p w14:paraId="51B71E3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PT</w:t>
            </w:r>
          </w:p>
        </w:tc>
        <w:tc>
          <w:tcPr>
            <w:tcW w:w="6662" w:type="dxa"/>
          </w:tcPr>
          <w:p w14:paraId="790FF93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Preferred term</w:t>
            </w:r>
          </w:p>
        </w:tc>
      </w:tr>
      <w:tr w:rsidR="001E57BB" w:rsidRPr="001E57BB" w14:paraId="1D20D1E3" w14:textId="77777777" w:rsidTr="00B57BA2">
        <w:trPr>
          <w:trHeight w:val="338"/>
        </w:trPr>
        <w:tc>
          <w:tcPr>
            <w:tcW w:w="2489" w:type="dxa"/>
          </w:tcPr>
          <w:p w14:paraId="2279A00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Q</w:t>
            </w:r>
          </w:p>
        </w:tc>
        <w:tc>
          <w:tcPr>
            <w:tcW w:w="6662" w:type="dxa"/>
          </w:tcPr>
          <w:p w14:paraId="2EFC38E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Intercompartmental clearance</w:t>
            </w:r>
          </w:p>
        </w:tc>
      </w:tr>
      <w:tr w:rsidR="001E57BB" w:rsidRPr="001E57BB" w14:paraId="78F524EB" w14:textId="77777777" w:rsidTr="00B57BA2">
        <w:trPr>
          <w:trHeight w:val="339"/>
        </w:trPr>
        <w:tc>
          <w:tcPr>
            <w:tcW w:w="2489" w:type="dxa"/>
          </w:tcPr>
          <w:p w14:paraId="0F20B9A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lastRenderedPageBreak/>
              <w:t>QD</w:t>
            </w:r>
          </w:p>
        </w:tc>
        <w:tc>
          <w:tcPr>
            <w:tcW w:w="6662" w:type="dxa"/>
          </w:tcPr>
          <w:p w14:paraId="757DDF87"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Once daily</w:t>
            </w:r>
          </w:p>
        </w:tc>
      </w:tr>
      <w:tr w:rsidR="001E57BB" w:rsidRPr="001E57BB" w14:paraId="210D1022" w14:textId="77777777" w:rsidTr="00B57BA2">
        <w:trPr>
          <w:trHeight w:val="338"/>
        </w:trPr>
        <w:tc>
          <w:tcPr>
            <w:tcW w:w="2489" w:type="dxa"/>
          </w:tcPr>
          <w:p w14:paraId="6F96345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QTc(F)</w:t>
            </w:r>
          </w:p>
        </w:tc>
        <w:tc>
          <w:tcPr>
            <w:tcW w:w="6662" w:type="dxa"/>
          </w:tcPr>
          <w:p w14:paraId="7063003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Corrected QT interval by Fridericia’s formula</w:t>
            </w:r>
          </w:p>
        </w:tc>
      </w:tr>
      <w:tr w:rsidR="001E57BB" w:rsidRPr="001E57BB" w14:paraId="08486C90" w14:textId="77777777" w:rsidTr="00B57BA2">
        <w:trPr>
          <w:trHeight w:val="338"/>
        </w:trPr>
        <w:tc>
          <w:tcPr>
            <w:tcW w:w="2489" w:type="dxa"/>
          </w:tcPr>
          <w:p w14:paraId="0D30B87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QTPP</w:t>
            </w:r>
          </w:p>
        </w:tc>
        <w:tc>
          <w:tcPr>
            <w:tcW w:w="6662" w:type="dxa"/>
          </w:tcPr>
          <w:p w14:paraId="2120F44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Quality target product profile</w:t>
            </w:r>
          </w:p>
        </w:tc>
      </w:tr>
      <w:tr w:rsidR="001E57BB" w:rsidRPr="001E57BB" w14:paraId="0C7BBE89" w14:textId="77777777" w:rsidTr="00B57BA2">
        <w:trPr>
          <w:trHeight w:val="337"/>
        </w:trPr>
        <w:tc>
          <w:tcPr>
            <w:tcW w:w="2489" w:type="dxa"/>
          </w:tcPr>
          <w:p w14:paraId="5D79943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RH</w:t>
            </w:r>
          </w:p>
        </w:tc>
        <w:tc>
          <w:tcPr>
            <w:tcW w:w="6662" w:type="dxa"/>
          </w:tcPr>
          <w:p w14:paraId="1C3731B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Relative humidity</w:t>
            </w:r>
          </w:p>
        </w:tc>
      </w:tr>
      <w:tr w:rsidR="001E57BB" w:rsidRPr="001E57BB" w14:paraId="706A8B86" w14:textId="77777777" w:rsidTr="00B57BA2">
        <w:trPr>
          <w:trHeight w:val="338"/>
        </w:trPr>
        <w:tc>
          <w:tcPr>
            <w:tcW w:w="2489" w:type="dxa"/>
          </w:tcPr>
          <w:p w14:paraId="02493AF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RRT</w:t>
            </w:r>
          </w:p>
        </w:tc>
        <w:tc>
          <w:tcPr>
            <w:tcW w:w="6662" w:type="dxa"/>
          </w:tcPr>
          <w:p w14:paraId="4E676A6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Relative retention time</w:t>
            </w:r>
          </w:p>
        </w:tc>
      </w:tr>
      <w:tr w:rsidR="001E57BB" w:rsidRPr="001E57BB" w14:paraId="1BCF887F" w14:textId="77777777" w:rsidTr="00B57BA2">
        <w:trPr>
          <w:trHeight w:val="339"/>
        </w:trPr>
        <w:tc>
          <w:tcPr>
            <w:tcW w:w="2489" w:type="dxa"/>
          </w:tcPr>
          <w:p w14:paraId="42777FCD"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RMP</w:t>
            </w:r>
          </w:p>
        </w:tc>
        <w:tc>
          <w:tcPr>
            <w:tcW w:w="6662" w:type="dxa"/>
          </w:tcPr>
          <w:p w14:paraId="7D6EB98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Risk management plan</w:t>
            </w:r>
          </w:p>
        </w:tc>
      </w:tr>
      <w:tr w:rsidR="001E57BB" w:rsidRPr="001E57BB" w14:paraId="34657575" w14:textId="77777777" w:rsidTr="00B57BA2">
        <w:trPr>
          <w:trHeight w:val="338"/>
        </w:trPr>
        <w:tc>
          <w:tcPr>
            <w:tcW w:w="2489" w:type="dxa"/>
          </w:tcPr>
          <w:p w14:paraId="03B422B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ROS</w:t>
            </w:r>
          </w:p>
        </w:tc>
        <w:tc>
          <w:tcPr>
            <w:tcW w:w="6662" w:type="dxa"/>
          </w:tcPr>
          <w:p w14:paraId="30A4914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Reactive oxygen species</w:t>
            </w:r>
          </w:p>
        </w:tc>
      </w:tr>
      <w:tr w:rsidR="001E57BB" w:rsidRPr="001E57BB" w14:paraId="4233167A" w14:textId="77777777" w:rsidTr="00B57BA2">
        <w:trPr>
          <w:trHeight w:val="338"/>
        </w:trPr>
        <w:tc>
          <w:tcPr>
            <w:tcW w:w="2489" w:type="dxa"/>
          </w:tcPr>
          <w:p w14:paraId="3357D33C"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SAE</w:t>
            </w:r>
          </w:p>
        </w:tc>
        <w:tc>
          <w:tcPr>
            <w:tcW w:w="6662" w:type="dxa"/>
          </w:tcPr>
          <w:p w14:paraId="4B4F747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Serious adverse event</w:t>
            </w:r>
          </w:p>
        </w:tc>
      </w:tr>
      <w:tr w:rsidR="001E57BB" w:rsidRPr="001E57BB" w14:paraId="009BDC98" w14:textId="77777777" w:rsidTr="00B57BA2">
        <w:trPr>
          <w:trHeight w:val="337"/>
        </w:trPr>
        <w:tc>
          <w:tcPr>
            <w:tcW w:w="2489" w:type="dxa"/>
          </w:tcPr>
          <w:p w14:paraId="3CF210B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SAP</w:t>
            </w:r>
          </w:p>
        </w:tc>
        <w:tc>
          <w:tcPr>
            <w:tcW w:w="6662" w:type="dxa"/>
          </w:tcPr>
          <w:p w14:paraId="2D78713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Statistical analysis plan</w:t>
            </w:r>
          </w:p>
        </w:tc>
      </w:tr>
      <w:tr w:rsidR="001E57BB" w:rsidRPr="001E57BB" w14:paraId="1BB60BDA" w14:textId="77777777" w:rsidTr="00B57BA2">
        <w:trPr>
          <w:trHeight w:val="339"/>
        </w:trPr>
        <w:tc>
          <w:tcPr>
            <w:tcW w:w="2489" w:type="dxa"/>
          </w:tcPr>
          <w:p w14:paraId="766A5AA1"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SAR</w:t>
            </w:r>
          </w:p>
        </w:tc>
        <w:tc>
          <w:tcPr>
            <w:tcW w:w="6662" w:type="dxa"/>
          </w:tcPr>
          <w:p w14:paraId="6923C12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Structure activity relationship</w:t>
            </w:r>
          </w:p>
        </w:tc>
      </w:tr>
      <w:tr w:rsidR="001E57BB" w:rsidRPr="001E57BB" w14:paraId="17283B4A" w14:textId="77777777" w:rsidTr="00B57BA2">
        <w:trPr>
          <w:trHeight w:val="338"/>
        </w:trPr>
        <w:tc>
          <w:tcPr>
            <w:tcW w:w="2489" w:type="dxa"/>
          </w:tcPr>
          <w:p w14:paraId="31F16863"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SCr</w:t>
            </w:r>
            <w:proofErr w:type="spellEnd"/>
          </w:p>
        </w:tc>
        <w:tc>
          <w:tcPr>
            <w:tcW w:w="6662" w:type="dxa"/>
          </w:tcPr>
          <w:p w14:paraId="153E6EA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Serum creatinine</w:t>
            </w:r>
          </w:p>
        </w:tc>
      </w:tr>
      <w:tr w:rsidR="001E57BB" w:rsidRPr="001E57BB" w14:paraId="22A15D03" w14:textId="77777777" w:rsidTr="00B57BA2">
        <w:trPr>
          <w:trHeight w:val="338"/>
        </w:trPr>
        <w:tc>
          <w:tcPr>
            <w:tcW w:w="2489" w:type="dxa"/>
          </w:tcPr>
          <w:p w14:paraId="7D773CF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SmPC</w:t>
            </w:r>
          </w:p>
        </w:tc>
        <w:tc>
          <w:tcPr>
            <w:tcW w:w="6662" w:type="dxa"/>
          </w:tcPr>
          <w:p w14:paraId="626A49E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Summary of product characteristics</w:t>
            </w:r>
          </w:p>
        </w:tc>
      </w:tr>
      <w:tr w:rsidR="001E57BB" w:rsidRPr="001E57BB" w14:paraId="0528CB18" w14:textId="77777777" w:rsidTr="00B57BA2">
        <w:trPr>
          <w:trHeight w:val="338"/>
        </w:trPr>
        <w:tc>
          <w:tcPr>
            <w:tcW w:w="2489" w:type="dxa"/>
          </w:tcPr>
          <w:p w14:paraId="237A03E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SOC</w:t>
            </w:r>
          </w:p>
        </w:tc>
        <w:tc>
          <w:tcPr>
            <w:tcW w:w="6662" w:type="dxa"/>
          </w:tcPr>
          <w:p w14:paraId="1AF35C4E"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system organ class</w:t>
            </w:r>
          </w:p>
        </w:tc>
      </w:tr>
      <w:tr w:rsidR="001E57BB" w:rsidRPr="001E57BB" w14:paraId="0AFC0DE4" w14:textId="77777777" w:rsidTr="00B57BA2">
        <w:trPr>
          <w:trHeight w:val="337"/>
        </w:trPr>
        <w:tc>
          <w:tcPr>
            <w:tcW w:w="2489" w:type="dxa"/>
          </w:tcPr>
          <w:p w14:paraId="09041863"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t1/2</w:t>
            </w:r>
          </w:p>
        </w:tc>
        <w:tc>
          <w:tcPr>
            <w:tcW w:w="6662" w:type="dxa"/>
          </w:tcPr>
          <w:p w14:paraId="7D283812"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Apparent plasma terminal elimination half-life</w:t>
            </w:r>
          </w:p>
        </w:tc>
      </w:tr>
      <w:tr w:rsidR="001E57BB" w:rsidRPr="001E57BB" w14:paraId="30E373B9" w14:textId="77777777" w:rsidTr="00B57BA2">
        <w:trPr>
          <w:trHeight w:val="338"/>
        </w:trPr>
        <w:tc>
          <w:tcPr>
            <w:tcW w:w="2489" w:type="dxa"/>
          </w:tcPr>
          <w:p w14:paraId="02ADA758"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TAMC</w:t>
            </w:r>
          </w:p>
        </w:tc>
        <w:tc>
          <w:tcPr>
            <w:tcW w:w="6662" w:type="dxa"/>
          </w:tcPr>
          <w:p w14:paraId="5AF98155"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Total aerobic microbial count</w:t>
            </w:r>
          </w:p>
        </w:tc>
      </w:tr>
      <w:tr w:rsidR="001E57BB" w:rsidRPr="001E57BB" w14:paraId="3C1F3AA1" w14:textId="77777777" w:rsidTr="00B57BA2">
        <w:trPr>
          <w:trHeight w:val="338"/>
        </w:trPr>
        <w:tc>
          <w:tcPr>
            <w:tcW w:w="2489" w:type="dxa"/>
          </w:tcPr>
          <w:p w14:paraId="20DB4285"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tBHP</w:t>
            </w:r>
            <w:proofErr w:type="spellEnd"/>
          </w:p>
        </w:tc>
        <w:tc>
          <w:tcPr>
            <w:tcW w:w="6662" w:type="dxa"/>
          </w:tcPr>
          <w:p w14:paraId="1693B8A4"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Tert-butyl hydroperoxide</w:t>
            </w:r>
          </w:p>
        </w:tc>
      </w:tr>
      <w:tr w:rsidR="001E57BB" w:rsidRPr="001E57BB" w14:paraId="5149117E" w14:textId="77777777" w:rsidTr="00B57BA2">
        <w:trPr>
          <w:trHeight w:val="339"/>
        </w:trPr>
        <w:tc>
          <w:tcPr>
            <w:tcW w:w="2489" w:type="dxa"/>
          </w:tcPr>
          <w:p w14:paraId="1518FE2B"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T25FW</w:t>
            </w:r>
          </w:p>
        </w:tc>
        <w:tc>
          <w:tcPr>
            <w:tcW w:w="6662" w:type="dxa"/>
          </w:tcPr>
          <w:p w14:paraId="7ADB7CA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Timed 25-foot walk</w:t>
            </w:r>
          </w:p>
        </w:tc>
      </w:tr>
      <w:tr w:rsidR="001E57BB" w:rsidRPr="001E57BB" w14:paraId="0C32A99B" w14:textId="77777777" w:rsidTr="00B57BA2">
        <w:trPr>
          <w:trHeight w:val="338"/>
        </w:trPr>
        <w:tc>
          <w:tcPr>
            <w:tcW w:w="2489" w:type="dxa"/>
          </w:tcPr>
          <w:p w14:paraId="7B30E2E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TEAE</w:t>
            </w:r>
          </w:p>
        </w:tc>
        <w:tc>
          <w:tcPr>
            <w:tcW w:w="6662" w:type="dxa"/>
          </w:tcPr>
          <w:p w14:paraId="1D7E2A8A"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Treatment-emergent adverse event</w:t>
            </w:r>
          </w:p>
        </w:tc>
      </w:tr>
      <w:tr w:rsidR="001E57BB" w:rsidRPr="001E57BB" w14:paraId="54695DDE" w14:textId="77777777" w:rsidTr="00B57BA2">
        <w:trPr>
          <w:trHeight w:val="337"/>
        </w:trPr>
        <w:tc>
          <w:tcPr>
            <w:tcW w:w="2489" w:type="dxa"/>
          </w:tcPr>
          <w:p w14:paraId="0EA15F00" w14:textId="77777777" w:rsidR="003379F7" w:rsidRPr="001E57BB" w:rsidRDefault="003379F7" w:rsidP="003379F7">
            <w:pPr>
              <w:spacing w:before="80" w:after="40" w:line="264" w:lineRule="auto"/>
              <w:ind w:left="113"/>
              <w:rPr>
                <w:rFonts w:eastAsia="Times New Roman"/>
                <w:szCs w:val="22"/>
              </w:rPr>
            </w:pPr>
            <w:r w:rsidRPr="001E57BB">
              <w:rPr>
                <w:rFonts w:eastAsia="Times New Roman"/>
                <w:szCs w:val="22"/>
              </w:rPr>
              <w:t>TK</w:t>
            </w:r>
          </w:p>
        </w:tc>
        <w:tc>
          <w:tcPr>
            <w:tcW w:w="6662" w:type="dxa"/>
          </w:tcPr>
          <w:p w14:paraId="5FC6459C" w14:textId="77777777" w:rsidR="003379F7" w:rsidRPr="001E57BB" w:rsidRDefault="003379F7" w:rsidP="003379F7">
            <w:pPr>
              <w:spacing w:before="80" w:after="40" w:line="264" w:lineRule="auto"/>
              <w:ind w:left="113"/>
              <w:rPr>
                <w:rFonts w:eastAsia="Times New Roman"/>
                <w:szCs w:val="22"/>
              </w:rPr>
            </w:pPr>
            <w:proofErr w:type="spellStart"/>
            <w:r w:rsidRPr="001E57BB">
              <w:rPr>
                <w:rFonts w:eastAsia="Times New Roman"/>
                <w:szCs w:val="22"/>
              </w:rPr>
              <w:t>Toxicokinetics</w:t>
            </w:r>
            <w:proofErr w:type="spellEnd"/>
          </w:p>
        </w:tc>
      </w:tr>
      <w:tr w:rsidR="00B57BA2" w:rsidRPr="001E57BB" w14:paraId="7825C472" w14:textId="77777777" w:rsidTr="00B57BA2">
        <w:trPr>
          <w:trHeight w:val="337"/>
        </w:trPr>
        <w:tc>
          <w:tcPr>
            <w:tcW w:w="2489" w:type="dxa"/>
          </w:tcPr>
          <w:p w14:paraId="390C8AE4" w14:textId="748F7EDD" w:rsidR="00B57BA2" w:rsidRPr="001E57BB" w:rsidRDefault="00B57BA2" w:rsidP="00B57BA2">
            <w:pPr>
              <w:spacing w:before="80" w:after="40" w:line="264" w:lineRule="auto"/>
              <w:ind w:left="113"/>
              <w:rPr>
                <w:rFonts w:eastAsia="Times New Roman"/>
                <w:szCs w:val="22"/>
              </w:rPr>
            </w:pPr>
            <w:proofErr w:type="spellStart"/>
            <w:r w:rsidRPr="001E57BB">
              <w:rPr>
                <w:rFonts w:eastAsia="Times New Roman"/>
                <w:szCs w:val="22"/>
              </w:rPr>
              <w:t>tmax</w:t>
            </w:r>
            <w:proofErr w:type="spellEnd"/>
          </w:p>
        </w:tc>
        <w:tc>
          <w:tcPr>
            <w:tcW w:w="6662" w:type="dxa"/>
          </w:tcPr>
          <w:p w14:paraId="313923F9" w14:textId="4002E038" w:rsidR="00B57BA2" w:rsidRPr="001E57BB" w:rsidRDefault="00B57BA2" w:rsidP="00B57BA2">
            <w:pPr>
              <w:spacing w:before="80" w:after="40" w:line="264" w:lineRule="auto"/>
              <w:ind w:left="113"/>
              <w:rPr>
                <w:rFonts w:eastAsia="Times New Roman"/>
                <w:szCs w:val="22"/>
              </w:rPr>
            </w:pPr>
            <w:r w:rsidRPr="001E57BB">
              <w:rPr>
                <w:rFonts w:eastAsia="Times New Roman"/>
                <w:szCs w:val="22"/>
              </w:rPr>
              <w:t>Time to achieve maximum observed plasma concentration</w:t>
            </w:r>
          </w:p>
        </w:tc>
      </w:tr>
      <w:tr w:rsidR="000F14B6" w:rsidRPr="001E57BB" w14:paraId="6C26C7D8" w14:textId="77777777" w:rsidTr="00B57BA2">
        <w:trPr>
          <w:trHeight w:val="337"/>
        </w:trPr>
        <w:tc>
          <w:tcPr>
            <w:tcW w:w="2489" w:type="dxa"/>
          </w:tcPr>
          <w:p w14:paraId="4DA26DF0" w14:textId="38C507E0" w:rsidR="000F14B6" w:rsidRPr="001E57BB" w:rsidRDefault="000F14B6" w:rsidP="000F14B6">
            <w:pPr>
              <w:spacing w:before="80" w:after="40" w:line="264" w:lineRule="auto"/>
              <w:ind w:left="113"/>
              <w:rPr>
                <w:rFonts w:eastAsia="Times New Roman"/>
                <w:szCs w:val="22"/>
              </w:rPr>
            </w:pPr>
            <w:r w:rsidRPr="001E57BB">
              <w:rPr>
                <w:rFonts w:eastAsia="Times New Roman"/>
                <w:szCs w:val="22"/>
              </w:rPr>
              <w:t>TYMC</w:t>
            </w:r>
          </w:p>
        </w:tc>
        <w:tc>
          <w:tcPr>
            <w:tcW w:w="6662" w:type="dxa"/>
          </w:tcPr>
          <w:p w14:paraId="6B60659A" w14:textId="79CBFB15" w:rsidR="000F14B6" w:rsidRPr="001E57BB" w:rsidRDefault="000F14B6" w:rsidP="000F14B6">
            <w:pPr>
              <w:spacing w:before="80" w:after="40" w:line="264" w:lineRule="auto"/>
              <w:ind w:left="113"/>
              <w:rPr>
                <w:rFonts w:eastAsia="Times New Roman"/>
                <w:szCs w:val="22"/>
              </w:rPr>
            </w:pPr>
            <w:r w:rsidRPr="001E57BB">
              <w:rPr>
                <w:rFonts w:eastAsia="Times New Roman"/>
                <w:szCs w:val="22"/>
              </w:rPr>
              <w:t>Total combined yeasts/moulds count</w:t>
            </w:r>
          </w:p>
        </w:tc>
      </w:tr>
      <w:tr w:rsidR="00C86023" w:rsidRPr="001E57BB" w14:paraId="542AF163" w14:textId="77777777" w:rsidTr="00B57BA2">
        <w:trPr>
          <w:trHeight w:val="337"/>
        </w:trPr>
        <w:tc>
          <w:tcPr>
            <w:tcW w:w="2489" w:type="dxa"/>
          </w:tcPr>
          <w:p w14:paraId="684B5667" w14:textId="63C2046B"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US</w:t>
            </w:r>
          </w:p>
        </w:tc>
        <w:tc>
          <w:tcPr>
            <w:tcW w:w="6662" w:type="dxa"/>
          </w:tcPr>
          <w:p w14:paraId="2D3E901A" w14:textId="253065EC"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United States</w:t>
            </w:r>
          </w:p>
        </w:tc>
      </w:tr>
      <w:tr w:rsidR="00C86023" w:rsidRPr="001E57BB" w14:paraId="7DAE6FEA" w14:textId="77777777" w:rsidTr="00B57BA2">
        <w:trPr>
          <w:trHeight w:val="337"/>
        </w:trPr>
        <w:tc>
          <w:tcPr>
            <w:tcW w:w="2489" w:type="dxa"/>
          </w:tcPr>
          <w:p w14:paraId="002F8F20" w14:textId="4CC2DB89"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ULN</w:t>
            </w:r>
          </w:p>
        </w:tc>
        <w:tc>
          <w:tcPr>
            <w:tcW w:w="6662" w:type="dxa"/>
          </w:tcPr>
          <w:p w14:paraId="3B927C11" w14:textId="6A6CF793"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upper limit of normal</w:t>
            </w:r>
          </w:p>
        </w:tc>
      </w:tr>
      <w:tr w:rsidR="00C86023" w:rsidRPr="001E57BB" w14:paraId="6A594894" w14:textId="77777777" w:rsidTr="00B57BA2">
        <w:trPr>
          <w:trHeight w:val="337"/>
        </w:trPr>
        <w:tc>
          <w:tcPr>
            <w:tcW w:w="2489" w:type="dxa"/>
          </w:tcPr>
          <w:p w14:paraId="1570FAC1" w14:textId="7162B650"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UV</w:t>
            </w:r>
          </w:p>
        </w:tc>
        <w:tc>
          <w:tcPr>
            <w:tcW w:w="6662" w:type="dxa"/>
          </w:tcPr>
          <w:p w14:paraId="2A506C58" w14:textId="72F91B30" w:rsidR="00C86023" w:rsidRPr="001E57BB" w:rsidRDefault="00C86023" w:rsidP="00C86023">
            <w:pPr>
              <w:spacing w:before="80" w:after="40" w:line="264" w:lineRule="auto"/>
              <w:ind w:left="113"/>
              <w:rPr>
                <w:rFonts w:eastAsia="Times New Roman"/>
                <w:szCs w:val="22"/>
              </w:rPr>
            </w:pPr>
            <w:r w:rsidRPr="001E57BB">
              <w:rPr>
                <w:rFonts w:eastAsia="Times New Roman"/>
                <w:szCs w:val="22"/>
              </w:rPr>
              <w:t>Ultraviolet</w:t>
            </w:r>
          </w:p>
        </w:tc>
      </w:tr>
      <w:tr w:rsidR="00C86023" w:rsidRPr="001E57BB" w14:paraId="364C18F6" w14:textId="77777777" w:rsidTr="00B57BA2">
        <w:trPr>
          <w:trHeight w:val="337"/>
        </w:trPr>
        <w:tc>
          <w:tcPr>
            <w:tcW w:w="2489" w:type="dxa"/>
          </w:tcPr>
          <w:p w14:paraId="6019E84B" w14:textId="5994F1A7" w:rsidR="00C86023" w:rsidRPr="001E57BB" w:rsidRDefault="00C86023" w:rsidP="00C86023">
            <w:pPr>
              <w:spacing w:before="80" w:after="40" w:line="264" w:lineRule="auto"/>
              <w:ind w:left="113"/>
              <w:rPr>
                <w:rFonts w:eastAsia="Times New Roman"/>
                <w:szCs w:val="22"/>
              </w:rPr>
            </w:pPr>
            <w:proofErr w:type="spellStart"/>
            <w:r w:rsidRPr="001E57BB">
              <w:rPr>
                <w:rFonts w:eastAsia="Times New Roman"/>
                <w:szCs w:val="22"/>
              </w:rPr>
              <w:t>Vz</w:t>
            </w:r>
            <w:proofErr w:type="spellEnd"/>
            <w:r w:rsidRPr="001E57BB">
              <w:rPr>
                <w:rFonts w:eastAsia="Times New Roman"/>
                <w:szCs w:val="22"/>
              </w:rPr>
              <w:t>/F</w:t>
            </w:r>
          </w:p>
        </w:tc>
        <w:tc>
          <w:tcPr>
            <w:tcW w:w="6662" w:type="dxa"/>
          </w:tcPr>
          <w:p w14:paraId="5CF17616" w14:textId="42077F31" w:rsidR="00C86023" w:rsidRPr="001E57BB" w:rsidRDefault="00C86023" w:rsidP="00C86023">
            <w:pPr>
              <w:spacing w:before="80" w:after="40" w:line="264" w:lineRule="auto"/>
              <w:ind w:left="113"/>
              <w:rPr>
                <w:rFonts w:eastAsia="Times New Roman"/>
                <w:szCs w:val="22"/>
              </w:rPr>
            </w:pPr>
            <w:r w:rsidRPr="001E57BB">
              <w:rPr>
                <w:rFonts w:eastAsia="Times New Roman"/>
                <w:szCs w:val="22"/>
              </w:rPr>
              <w:t>Apparent distribution volume</w:t>
            </w:r>
          </w:p>
        </w:tc>
      </w:tr>
      <w:tr w:rsidR="00C86023" w:rsidRPr="001E57BB" w14:paraId="0384A56B" w14:textId="77777777" w:rsidTr="00B57BA2">
        <w:trPr>
          <w:trHeight w:val="337"/>
        </w:trPr>
        <w:tc>
          <w:tcPr>
            <w:tcW w:w="2489" w:type="dxa"/>
          </w:tcPr>
          <w:p w14:paraId="63A5EC26" w14:textId="34A74761" w:rsidR="00C86023" w:rsidRPr="001E57BB" w:rsidRDefault="00C86023" w:rsidP="00C86023">
            <w:pPr>
              <w:spacing w:before="80" w:after="40" w:line="264" w:lineRule="auto"/>
              <w:ind w:left="113"/>
              <w:rPr>
                <w:rFonts w:eastAsia="Times New Roman"/>
                <w:szCs w:val="22"/>
              </w:rPr>
            </w:pPr>
            <w:proofErr w:type="spellStart"/>
            <w:r w:rsidRPr="001E57BB">
              <w:rPr>
                <w:rFonts w:eastAsia="Times New Roman"/>
                <w:szCs w:val="22"/>
              </w:rPr>
              <w:t>Vc</w:t>
            </w:r>
            <w:proofErr w:type="spellEnd"/>
            <w:r w:rsidRPr="001E57BB">
              <w:rPr>
                <w:rFonts w:eastAsia="Times New Roman"/>
                <w:szCs w:val="22"/>
              </w:rPr>
              <w:t>/(F)</w:t>
            </w:r>
          </w:p>
        </w:tc>
        <w:tc>
          <w:tcPr>
            <w:tcW w:w="6662" w:type="dxa"/>
          </w:tcPr>
          <w:p w14:paraId="6F61519B" w14:textId="106A2025" w:rsidR="00C86023" w:rsidRPr="001E57BB" w:rsidRDefault="00C86023" w:rsidP="00C86023">
            <w:pPr>
              <w:spacing w:before="80" w:after="40" w:line="264" w:lineRule="auto"/>
              <w:ind w:left="113"/>
              <w:rPr>
                <w:rFonts w:eastAsia="Times New Roman"/>
                <w:szCs w:val="22"/>
              </w:rPr>
            </w:pPr>
            <w:r w:rsidRPr="001E57BB">
              <w:rPr>
                <w:rFonts w:eastAsia="Times New Roman"/>
                <w:szCs w:val="22"/>
              </w:rPr>
              <w:t>(Apparent) central distribution volume</w:t>
            </w:r>
          </w:p>
        </w:tc>
      </w:tr>
      <w:tr w:rsidR="00C86023" w:rsidRPr="001E57BB" w14:paraId="00B5A527" w14:textId="77777777" w:rsidTr="00B57BA2">
        <w:trPr>
          <w:trHeight w:val="337"/>
        </w:trPr>
        <w:tc>
          <w:tcPr>
            <w:tcW w:w="2489" w:type="dxa"/>
          </w:tcPr>
          <w:p w14:paraId="40C45EA5" w14:textId="525FDEFE" w:rsidR="00C86023" w:rsidRPr="001E57BB" w:rsidRDefault="00C86023" w:rsidP="00C86023">
            <w:pPr>
              <w:spacing w:before="80" w:after="40" w:line="264" w:lineRule="auto"/>
              <w:ind w:left="113"/>
              <w:rPr>
                <w:rFonts w:eastAsia="Times New Roman"/>
                <w:szCs w:val="22"/>
              </w:rPr>
            </w:pPr>
            <w:proofErr w:type="spellStart"/>
            <w:r w:rsidRPr="001E57BB">
              <w:rPr>
                <w:rFonts w:eastAsia="Times New Roman"/>
                <w:szCs w:val="22"/>
              </w:rPr>
              <w:t>Vp</w:t>
            </w:r>
            <w:proofErr w:type="spellEnd"/>
            <w:r w:rsidRPr="001E57BB">
              <w:rPr>
                <w:rFonts w:eastAsia="Times New Roman"/>
                <w:szCs w:val="22"/>
              </w:rPr>
              <w:t>/(F)</w:t>
            </w:r>
          </w:p>
        </w:tc>
        <w:tc>
          <w:tcPr>
            <w:tcW w:w="6662" w:type="dxa"/>
          </w:tcPr>
          <w:p w14:paraId="486FB669" w14:textId="42FA8EEA" w:rsidR="00C86023" w:rsidRPr="001E57BB" w:rsidRDefault="00C86023" w:rsidP="00C86023">
            <w:pPr>
              <w:spacing w:before="80" w:after="40" w:line="264" w:lineRule="auto"/>
              <w:ind w:left="113"/>
              <w:rPr>
                <w:rFonts w:eastAsia="Times New Roman"/>
                <w:szCs w:val="22"/>
              </w:rPr>
            </w:pPr>
            <w:r w:rsidRPr="001E57BB">
              <w:rPr>
                <w:rFonts w:eastAsia="Times New Roman"/>
                <w:szCs w:val="22"/>
              </w:rPr>
              <w:t>(Apparent) peripheral distribution volume</w:t>
            </w:r>
          </w:p>
        </w:tc>
      </w:tr>
      <w:tr w:rsidR="00C86023" w:rsidRPr="001E57BB" w14:paraId="54E779EF" w14:textId="77777777" w:rsidTr="00B57BA2">
        <w:trPr>
          <w:trHeight w:val="337"/>
        </w:trPr>
        <w:tc>
          <w:tcPr>
            <w:tcW w:w="2489" w:type="dxa"/>
          </w:tcPr>
          <w:p w14:paraId="52D6A127" w14:textId="21497C47" w:rsidR="00C86023" w:rsidRPr="001E57BB" w:rsidRDefault="00C86023" w:rsidP="00C86023">
            <w:pPr>
              <w:spacing w:before="80" w:after="40" w:line="264" w:lineRule="auto"/>
              <w:ind w:left="113"/>
              <w:rPr>
                <w:rFonts w:eastAsia="Times New Roman"/>
                <w:szCs w:val="22"/>
              </w:rPr>
            </w:pPr>
            <w:r w:rsidRPr="001E57BB">
              <w:rPr>
                <w:rFonts w:eastAsia="Times New Roman"/>
                <w:szCs w:val="22"/>
              </w:rPr>
              <w:t>XRPD</w:t>
            </w:r>
          </w:p>
        </w:tc>
        <w:tc>
          <w:tcPr>
            <w:tcW w:w="6662" w:type="dxa"/>
          </w:tcPr>
          <w:p w14:paraId="0EF12A11" w14:textId="1B317E65" w:rsidR="00C86023" w:rsidRPr="001E57BB" w:rsidRDefault="00C86023" w:rsidP="00C86023">
            <w:pPr>
              <w:spacing w:before="80" w:after="40" w:line="264" w:lineRule="auto"/>
              <w:ind w:left="113"/>
              <w:rPr>
                <w:rFonts w:eastAsia="Times New Roman"/>
                <w:szCs w:val="22"/>
              </w:rPr>
            </w:pPr>
            <w:r w:rsidRPr="001E57BB">
              <w:rPr>
                <w:rFonts w:eastAsia="Times New Roman"/>
                <w:szCs w:val="22"/>
              </w:rPr>
              <w:t>X-ray (powder) diffraction</w:t>
            </w:r>
          </w:p>
        </w:tc>
      </w:tr>
      <w:tr w:rsidR="00C86023" w:rsidRPr="001E57BB" w14:paraId="6042B53F" w14:textId="77777777" w:rsidTr="00B57BA2">
        <w:trPr>
          <w:trHeight w:val="337"/>
        </w:trPr>
        <w:tc>
          <w:tcPr>
            <w:tcW w:w="2489" w:type="dxa"/>
          </w:tcPr>
          <w:p w14:paraId="38EDF6FA" w14:textId="54CAB0EC" w:rsidR="00C86023" w:rsidRPr="001E57BB" w:rsidRDefault="00C86023" w:rsidP="00C86023">
            <w:pPr>
              <w:spacing w:before="80" w:after="40" w:line="264" w:lineRule="auto"/>
              <w:ind w:left="113"/>
              <w:rPr>
                <w:rFonts w:eastAsia="Times New Roman"/>
                <w:szCs w:val="22"/>
              </w:rPr>
            </w:pPr>
            <w:r w:rsidRPr="001E57BB">
              <w:rPr>
                <w:rFonts w:eastAsia="Times New Roman"/>
                <w:szCs w:val="22"/>
              </w:rPr>
              <w:t>XRPD</w:t>
            </w:r>
          </w:p>
        </w:tc>
        <w:tc>
          <w:tcPr>
            <w:tcW w:w="6662" w:type="dxa"/>
          </w:tcPr>
          <w:p w14:paraId="1C28B209" w14:textId="7EF22B77" w:rsidR="00C86023" w:rsidRPr="001E57BB" w:rsidRDefault="00C86023" w:rsidP="00C86023">
            <w:pPr>
              <w:spacing w:before="80" w:after="40" w:line="264" w:lineRule="auto"/>
              <w:ind w:left="113"/>
              <w:rPr>
                <w:rFonts w:eastAsia="Times New Roman"/>
                <w:szCs w:val="22"/>
              </w:rPr>
            </w:pPr>
            <w:r w:rsidRPr="001E57BB">
              <w:rPr>
                <w:rFonts w:eastAsia="Times New Roman"/>
                <w:szCs w:val="22"/>
              </w:rPr>
              <w:t>X-ray (powder) diffraction</w:t>
            </w:r>
          </w:p>
        </w:tc>
      </w:tr>
    </w:tbl>
    <w:p w14:paraId="29283A5A" w14:textId="77777777" w:rsidR="00D813B6" w:rsidRDefault="00D813B6" w:rsidP="00324B33"/>
    <w:p w14:paraId="02FB1F38" w14:textId="77777777" w:rsidR="00324B33" w:rsidRPr="00FD119B" w:rsidRDefault="00324B33" w:rsidP="00324B33">
      <w:pPr>
        <w:spacing w:after="200" w:line="0" w:lineRule="auto"/>
        <w:rPr>
          <w:b/>
          <w:i/>
          <w:sz w:val="24"/>
          <w:szCs w:val="24"/>
        </w:rPr>
      </w:pPr>
      <w:r w:rsidRPr="00FD119B">
        <w:rPr>
          <w:b/>
          <w:i/>
          <w:sz w:val="24"/>
          <w:szCs w:val="24"/>
        </w:rPr>
        <w:br w:type="page"/>
      </w:r>
    </w:p>
    <w:p w14:paraId="44C2A39C" w14:textId="77777777" w:rsidR="00324B33" w:rsidRDefault="00324B33" w:rsidP="00324B33">
      <w:pPr>
        <w:pStyle w:val="Heading2"/>
      </w:pPr>
      <w:bookmarkStart w:id="5" w:name="_Toc103679288"/>
      <w:bookmarkStart w:id="6" w:name="_Toc233964960"/>
      <w:r>
        <w:lastRenderedPageBreak/>
        <w:t>Product submission</w:t>
      </w:r>
      <w:bookmarkEnd w:id="5"/>
      <w:bookmarkEnd w:id="6"/>
    </w:p>
    <w:p w14:paraId="21D559DF" w14:textId="77777777" w:rsidR="00324B33" w:rsidRDefault="00324B33" w:rsidP="00324B33">
      <w:pPr>
        <w:pStyle w:val="Heading3"/>
        <w:rPr>
          <w:lang w:eastAsia="en-AU"/>
        </w:rPr>
      </w:pPr>
      <w:bookmarkStart w:id="7" w:name="_Toc247691502"/>
      <w:bookmarkStart w:id="8" w:name="_Toc314842483"/>
      <w:bookmarkStart w:id="9" w:name="_Toc103679289"/>
      <w:bookmarkStart w:id="10" w:name="_Toc233964961"/>
      <w:r>
        <w:rPr>
          <w:lang w:eastAsia="en-AU"/>
        </w:rPr>
        <w:t>Submission details</w:t>
      </w:r>
      <w:bookmarkEnd w:id="7"/>
      <w:bookmarkEnd w:id="8"/>
      <w:bookmarkEnd w:id="9"/>
      <w:bookmarkEnd w:id="10"/>
    </w:p>
    <w:tbl>
      <w:tblPr>
        <w:tblW w:w="5000" w:type="pct"/>
        <w:tblLook w:val="01E0" w:firstRow="1" w:lastRow="1" w:firstColumn="1" w:lastColumn="1" w:noHBand="0" w:noVBand="0"/>
      </w:tblPr>
      <w:tblGrid>
        <w:gridCol w:w="2861"/>
        <w:gridCol w:w="6209"/>
      </w:tblGrid>
      <w:tr w:rsidR="00324B33" w:rsidRPr="00BD5DBD" w14:paraId="77D11C95" w14:textId="77777777" w:rsidTr="00F865A7">
        <w:tc>
          <w:tcPr>
            <w:tcW w:w="1577" w:type="pct"/>
          </w:tcPr>
          <w:p w14:paraId="10E57D62" w14:textId="13728BD6" w:rsidR="00324B33" w:rsidRPr="00BD5DBD" w:rsidRDefault="00324B33" w:rsidP="007452E8">
            <w:pPr>
              <w:rPr>
                <w:i/>
                <w:szCs w:val="22"/>
              </w:rPr>
            </w:pPr>
            <w:r w:rsidRPr="00BD5DBD">
              <w:rPr>
                <w:i/>
                <w:szCs w:val="22"/>
              </w:rPr>
              <w:t>Type of submission:</w:t>
            </w:r>
          </w:p>
        </w:tc>
        <w:tc>
          <w:tcPr>
            <w:tcW w:w="3423" w:type="pct"/>
          </w:tcPr>
          <w:p w14:paraId="4F07C303" w14:textId="12560F92" w:rsidR="00324B33" w:rsidRPr="00BD5DBD" w:rsidRDefault="00324B33" w:rsidP="007452E8">
            <w:pPr>
              <w:rPr>
                <w:szCs w:val="22"/>
              </w:rPr>
            </w:pPr>
            <w:r w:rsidRPr="00BD5DBD">
              <w:rPr>
                <w:szCs w:val="22"/>
              </w:rPr>
              <w:t xml:space="preserve">New chemical entity </w:t>
            </w:r>
          </w:p>
        </w:tc>
      </w:tr>
      <w:tr w:rsidR="00324B33" w:rsidRPr="00BD5DBD" w14:paraId="13482B61" w14:textId="77777777" w:rsidTr="00F865A7">
        <w:tc>
          <w:tcPr>
            <w:tcW w:w="1577" w:type="pct"/>
          </w:tcPr>
          <w:p w14:paraId="2C427FCF" w14:textId="54C292E2" w:rsidR="00324B33" w:rsidRPr="00BD5DBD" w:rsidRDefault="00324B33" w:rsidP="007452E8">
            <w:pPr>
              <w:rPr>
                <w:i/>
                <w:szCs w:val="22"/>
              </w:rPr>
            </w:pPr>
            <w:r w:rsidRPr="00BD5DBD">
              <w:rPr>
                <w:i/>
                <w:szCs w:val="22"/>
              </w:rPr>
              <w:t>Product name:</w:t>
            </w:r>
          </w:p>
        </w:tc>
        <w:tc>
          <w:tcPr>
            <w:tcW w:w="3423" w:type="pct"/>
          </w:tcPr>
          <w:p w14:paraId="0E2DEF76" w14:textId="5A4DE5A0" w:rsidR="00324B33" w:rsidRPr="00BD5DBD" w:rsidRDefault="00155421" w:rsidP="007452E8">
            <w:pPr>
              <w:rPr>
                <w:szCs w:val="22"/>
              </w:rPr>
            </w:pPr>
            <w:r w:rsidRPr="00155421">
              <w:rPr>
                <w:szCs w:val="22"/>
              </w:rPr>
              <w:t xml:space="preserve">SKYCLARYS </w:t>
            </w:r>
            <w:proofErr w:type="spellStart"/>
            <w:r w:rsidRPr="00155421">
              <w:rPr>
                <w:szCs w:val="22"/>
              </w:rPr>
              <w:t>omaveloxolone</w:t>
            </w:r>
            <w:proofErr w:type="spellEnd"/>
            <w:r w:rsidRPr="00155421">
              <w:rPr>
                <w:szCs w:val="22"/>
              </w:rPr>
              <w:t xml:space="preserve"> 50 mg capsule bottle</w:t>
            </w:r>
          </w:p>
        </w:tc>
      </w:tr>
      <w:tr w:rsidR="00324B33" w:rsidRPr="00BD5DBD" w14:paraId="01255B5B" w14:textId="77777777" w:rsidTr="00F865A7">
        <w:tc>
          <w:tcPr>
            <w:tcW w:w="1577" w:type="pct"/>
          </w:tcPr>
          <w:p w14:paraId="52B4F3D7" w14:textId="3F7DAA91" w:rsidR="00324B33" w:rsidRPr="00BD5DBD" w:rsidRDefault="00324B33" w:rsidP="007452E8">
            <w:pPr>
              <w:rPr>
                <w:i/>
                <w:szCs w:val="22"/>
              </w:rPr>
            </w:pPr>
            <w:r w:rsidRPr="00BD5DBD">
              <w:rPr>
                <w:i/>
                <w:szCs w:val="22"/>
              </w:rPr>
              <w:t>Active ingredient:</w:t>
            </w:r>
          </w:p>
        </w:tc>
        <w:tc>
          <w:tcPr>
            <w:tcW w:w="3423" w:type="pct"/>
          </w:tcPr>
          <w:p w14:paraId="02FB6383" w14:textId="280A79CE" w:rsidR="00324B33" w:rsidRPr="00BD5DBD" w:rsidRDefault="00180B84" w:rsidP="007452E8">
            <w:pPr>
              <w:rPr>
                <w:szCs w:val="22"/>
              </w:rPr>
            </w:pPr>
            <w:proofErr w:type="spellStart"/>
            <w:r>
              <w:rPr>
                <w:szCs w:val="22"/>
              </w:rPr>
              <w:t>O</w:t>
            </w:r>
            <w:r w:rsidRPr="00180B84">
              <w:rPr>
                <w:szCs w:val="22"/>
              </w:rPr>
              <w:t>maveloxolone</w:t>
            </w:r>
            <w:proofErr w:type="spellEnd"/>
          </w:p>
        </w:tc>
      </w:tr>
      <w:tr w:rsidR="00324B33" w:rsidRPr="00BD5DBD" w14:paraId="219A281B" w14:textId="77777777" w:rsidTr="00F865A7">
        <w:tc>
          <w:tcPr>
            <w:tcW w:w="1577" w:type="pct"/>
          </w:tcPr>
          <w:p w14:paraId="112E5F78" w14:textId="77777777" w:rsidR="00324B33" w:rsidRPr="00BD5DBD" w:rsidRDefault="00324B33" w:rsidP="007452E8">
            <w:pPr>
              <w:rPr>
                <w:i/>
                <w:szCs w:val="22"/>
              </w:rPr>
            </w:pPr>
            <w:r w:rsidRPr="00BD5DBD">
              <w:rPr>
                <w:i/>
                <w:szCs w:val="22"/>
              </w:rPr>
              <w:t>Decision:</w:t>
            </w:r>
          </w:p>
        </w:tc>
        <w:tc>
          <w:tcPr>
            <w:tcW w:w="3423" w:type="pct"/>
          </w:tcPr>
          <w:p w14:paraId="3B114BEA" w14:textId="31007C35" w:rsidR="00324B33" w:rsidRPr="00BD5DBD" w:rsidRDefault="00324B33" w:rsidP="007452E8">
            <w:pPr>
              <w:rPr>
                <w:szCs w:val="22"/>
              </w:rPr>
            </w:pPr>
            <w:r w:rsidRPr="00BD5DBD">
              <w:rPr>
                <w:szCs w:val="22"/>
              </w:rPr>
              <w:t xml:space="preserve">Approved </w:t>
            </w:r>
            <w:r w:rsidR="004B158F">
              <w:rPr>
                <w:szCs w:val="22"/>
              </w:rPr>
              <w:t>for registration in the Australian Register of Therapeutic Goods (ARTG)</w:t>
            </w:r>
          </w:p>
        </w:tc>
      </w:tr>
      <w:tr w:rsidR="00AE1947" w:rsidRPr="00BD5DBD" w14:paraId="32B72632" w14:textId="77777777" w:rsidTr="00F865A7">
        <w:tc>
          <w:tcPr>
            <w:tcW w:w="1577" w:type="pct"/>
          </w:tcPr>
          <w:p w14:paraId="332A5CD5" w14:textId="65682B5F" w:rsidR="00AE1947" w:rsidRPr="00BD5DBD" w:rsidRDefault="00AE1947" w:rsidP="007F1E37">
            <w:r w:rsidRPr="00BD5DBD">
              <w:rPr>
                <w:i/>
                <w:szCs w:val="22"/>
              </w:rPr>
              <w:t>Date of decision:</w:t>
            </w:r>
          </w:p>
        </w:tc>
        <w:tc>
          <w:tcPr>
            <w:tcW w:w="3423" w:type="pct"/>
          </w:tcPr>
          <w:p w14:paraId="7B381CD6" w14:textId="6473C5CE" w:rsidR="00AE1947" w:rsidRPr="00BD5DBD" w:rsidRDefault="00ED3164" w:rsidP="00602658">
            <w:pPr>
              <w:rPr>
                <w:szCs w:val="22"/>
              </w:rPr>
            </w:pPr>
            <w:r>
              <w:rPr>
                <w:szCs w:val="22"/>
              </w:rPr>
              <w:t>23 May 2025</w:t>
            </w:r>
          </w:p>
        </w:tc>
      </w:tr>
      <w:tr w:rsidR="004A20BC" w:rsidRPr="00BD5DBD" w14:paraId="1BD35D08" w14:textId="77777777" w:rsidTr="00F865A7">
        <w:tc>
          <w:tcPr>
            <w:tcW w:w="1577" w:type="pct"/>
          </w:tcPr>
          <w:p w14:paraId="33570637" w14:textId="296FA222" w:rsidR="004A20BC" w:rsidRPr="00BD5DBD" w:rsidRDefault="004A20BC" w:rsidP="007F1E37">
            <w:pPr>
              <w:rPr>
                <w:i/>
                <w:szCs w:val="22"/>
              </w:rPr>
            </w:pPr>
            <w:r w:rsidRPr="004A20BC">
              <w:rPr>
                <w:i/>
                <w:szCs w:val="22"/>
              </w:rPr>
              <w:t>Approved therapeutic use for the current submission:</w:t>
            </w:r>
          </w:p>
        </w:tc>
        <w:tc>
          <w:tcPr>
            <w:tcW w:w="3423" w:type="pct"/>
          </w:tcPr>
          <w:p w14:paraId="2C96449F" w14:textId="2FA6F950" w:rsidR="004A20BC" w:rsidRPr="00885743" w:rsidRDefault="00885743" w:rsidP="00885743">
            <w:pPr>
              <w:rPr>
                <w:szCs w:val="22"/>
              </w:rPr>
            </w:pPr>
            <w:r w:rsidRPr="00885743">
              <w:rPr>
                <w:szCs w:val="22"/>
              </w:rPr>
              <w:t>SKYCLARYS is indicated for the treatment of Friedreich’s ataxia in adults and adolescents aged 16 years and older.</w:t>
            </w:r>
          </w:p>
        </w:tc>
      </w:tr>
      <w:tr w:rsidR="00324B33" w:rsidRPr="00BD5DBD" w14:paraId="60A25F5A" w14:textId="77777777" w:rsidTr="00F865A7">
        <w:tc>
          <w:tcPr>
            <w:tcW w:w="1577" w:type="pct"/>
          </w:tcPr>
          <w:p w14:paraId="5C5E4CBA" w14:textId="01A45091" w:rsidR="00324B33" w:rsidRPr="00BD5DBD" w:rsidRDefault="00324B33" w:rsidP="007452E8">
            <w:pPr>
              <w:rPr>
                <w:i/>
                <w:szCs w:val="22"/>
              </w:rPr>
            </w:pPr>
            <w:r w:rsidRPr="00BD5DBD">
              <w:rPr>
                <w:i/>
                <w:szCs w:val="22"/>
              </w:rPr>
              <w:t xml:space="preserve">Date of entry </w:t>
            </w:r>
            <w:r w:rsidR="00357CBF">
              <w:rPr>
                <w:i/>
                <w:szCs w:val="22"/>
              </w:rPr>
              <w:t>i</w:t>
            </w:r>
            <w:r w:rsidRPr="00BD5DBD">
              <w:rPr>
                <w:i/>
                <w:szCs w:val="22"/>
              </w:rPr>
              <w:t>nto ARTG:</w:t>
            </w:r>
          </w:p>
        </w:tc>
        <w:tc>
          <w:tcPr>
            <w:tcW w:w="3423" w:type="pct"/>
          </w:tcPr>
          <w:p w14:paraId="28B270E9" w14:textId="1FB868EE" w:rsidR="00324B33" w:rsidRPr="00BD5DBD" w:rsidRDefault="00357CBF" w:rsidP="007452E8">
            <w:pPr>
              <w:rPr>
                <w:szCs w:val="22"/>
              </w:rPr>
            </w:pPr>
            <w:r>
              <w:rPr>
                <w:szCs w:val="22"/>
              </w:rPr>
              <w:t>26 June 2025</w:t>
            </w:r>
          </w:p>
        </w:tc>
      </w:tr>
      <w:tr w:rsidR="00324B33" w:rsidRPr="00BD5DBD" w14:paraId="547E08D7" w14:textId="77777777" w:rsidTr="00F865A7">
        <w:tc>
          <w:tcPr>
            <w:tcW w:w="1577" w:type="pct"/>
          </w:tcPr>
          <w:p w14:paraId="5030EF30" w14:textId="5B9E9D1A" w:rsidR="00324B33" w:rsidRPr="00BD5DBD" w:rsidRDefault="00324B33" w:rsidP="007452E8">
            <w:pPr>
              <w:rPr>
                <w:i/>
                <w:szCs w:val="22"/>
              </w:rPr>
            </w:pPr>
            <w:r w:rsidRPr="00BD5DBD">
              <w:rPr>
                <w:i/>
                <w:szCs w:val="22"/>
              </w:rPr>
              <w:t>ARTG number:</w:t>
            </w:r>
          </w:p>
        </w:tc>
        <w:tc>
          <w:tcPr>
            <w:tcW w:w="3423" w:type="pct"/>
          </w:tcPr>
          <w:p w14:paraId="0054E912" w14:textId="18234FEA" w:rsidR="00324B33" w:rsidRPr="005B2F76" w:rsidRDefault="00B44E86" w:rsidP="00777159">
            <w:pPr>
              <w:rPr>
                <w:szCs w:val="22"/>
              </w:rPr>
            </w:pPr>
            <w:r w:rsidRPr="00B44E86">
              <w:rPr>
                <w:szCs w:val="22"/>
              </w:rPr>
              <w:t>453725</w:t>
            </w:r>
          </w:p>
        </w:tc>
      </w:tr>
      <w:tr w:rsidR="00324B33" w:rsidRPr="00BD5DBD" w14:paraId="7618393F" w14:textId="77777777" w:rsidTr="00F865A7">
        <w:tc>
          <w:tcPr>
            <w:tcW w:w="1577" w:type="pct"/>
          </w:tcPr>
          <w:p w14:paraId="02260DE2" w14:textId="193007BD" w:rsidR="00324B33" w:rsidRPr="00BD5DBD" w:rsidRDefault="00324B33" w:rsidP="007E4FF8">
            <w:pPr>
              <w:rPr>
                <w:i/>
                <w:szCs w:val="22"/>
              </w:rPr>
            </w:pPr>
            <w:r w:rsidRPr="00BD5DBD">
              <w:rPr>
                <w:rFonts w:ascii="Wingdings 3" w:hAnsi="Wingdings 3"/>
                <w:szCs w:val="22"/>
                <w:lang w:eastAsia="en-AU"/>
              </w:rPr>
              <w:t></w:t>
            </w:r>
            <w:hyperlink r:id="rId17" w:history="1">
              <w:r w:rsidRPr="00BD5DBD">
                <w:rPr>
                  <w:rStyle w:val="Hyperlink"/>
                  <w:i/>
                  <w:szCs w:val="22"/>
                </w:rPr>
                <w:t>Black Triangle Scheme</w:t>
              </w:r>
            </w:hyperlink>
          </w:p>
        </w:tc>
        <w:tc>
          <w:tcPr>
            <w:tcW w:w="3423" w:type="pct"/>
          </w:tcPr>
          <w:p w14:paraId="6FF3C6A2" w14:textId="63DBECAF" w:rsidR="00324B33" w:rsidRPr="00BD5DBD" w:rsidRDefault="00B44E86" w:rsidP="007452E8">
            <w:pPr>
              <w:rPr>
                <w:szCs w:val="22"/>
              </w:rPr>
            </w:pPr>
            <w:r>
              <w:rPr>
                <w:szCs w:val="22"/>
              </w:rPr>
              <w:t>Yes</w:t>
            </w:r>
          </w:p>
        </w:tc>
      </w:tr>
      <w:tr w:rsidR="00324B33" w:rsidRPr="00BD5DBD" w14:paraId="179E09FE" w14:textId="77777777" w:rsidTr="00F865A7">
        <w:tc>
          <w:tcPr>
            <w:tcW w:w="1577" w:type="pct"/>
          </w:tcPr>
          <w:p w14:paraId="1A592498" w14:textId="5A958EBE" w:rsidR="00324B33" w:rsidRPr="00BD5DBD" w:rsidRDefault="007B6B69" w:rsidP="007452E8">
            <w:pPr>
              <w:rPr>
                <w:i/>
                <w:szCs w:val="22"/>
              </w:rPr>
            </w:pPr>
            <w:r>
              <w:rPr>
                <w:i/>
                <w:szCs w:val="22"/>
              </w:rPr>
              <w:t>Sponsor</w:t>
            </w:r>
            <w:r w:rsidR="00324B33" w:rsidRPr="00BD5DBD">
              <w:rPr>
                <w:i/>
                <w:szCs w:val="22"/>
              </w:rPr>
              <w:t>’s name and address:</w:t>
            </w:r>
          </w:p>
        </w:tc>
        <w:tc>
          <w:tcPr>
            <w:tcW w:w="3423" w:type="pct"/>
          </w:tcPr>
          <w:p w14:paraId="29E6CC12" w14:textId="77777777" w:rsidR="00324B33" w:rsidRDefault="006F6045" w:rsidP="007452E8">
            <w:pPr>
              <w:rPr>
                <w:szCs w:val="22"/>
              </w:rPr>
            </w:pPr>
            <w:hyperlink r:id="rId18" w:history="1">
              <w:r w:rsidRPr="006F6045">
                <w:rPr>
                  <w:rStyle w:val="Hyperlink"/>
                  <w:szCs w:val="22"/>
                </w:rPr>
                <w:t>Biogen Australia Pty Ltd</w:t>
              </w:r>
            </w:hyperlink>
          </w:p>
          <w:p w14:paraId="08F0FDF9" w14:textId="050F5623" w:rsidR="00777159" w:rsidRDefault="00777159" w:rsidP="00777159">
            <w:pPr>
              <w:spacing w:after="0"/>
              <w:rPr>
                <w:szCs w:val="22"/>
              </w:rPr>
            </w:pPr>
            <w:r w:rsidRPr="00777159">
              <w:rPr>
                <w:szCs w:val="22"/>
              </w:rPr>
              <w:t xml:space="preserve">PO Box 380, NORTH RYDE BC </w:t>
            </w:r>
          </w:p>
          <w:p w14:paraId="68DD94B0" w14:textId="1DBD79A9" w:rsidR="00777159" w:rsidRPr="00BD5DBD" w:rsidRDefault="00777159" w:rsidP="00777159">
            <w:pPr>
              <w:rPr>
                <w:szCs w:val="22"/>
              </w:rPr>
            </w:pPr>
            <w:r w:rsidRPr="00777159">
              <w:rPr>
                <w:szCs w:val="22"/>
              </w:rPr>
              <w:t>NSW, 1670 Australia</w:t>
            </w:r>
          </w:p>
        </w:tc>
      </w:tr>
      <w:tr w:rsidR="00324B33" w:rsidRPr="00BD5DBD" w14:paraId="5322B989" w14:textId="77777777" w:rsidTr="00F865A7">
        <w:tc>
          <w:tcPr>
            <w:tcW w:w="1577" w:type="pct"/>
          </w:tcPr>
          <w:p w14:paraId="24F217E3" w14:textId="4AF09732" w:rsidR="00324B33" w:rsidRPr="00BD5DBD" w:rsidRDefault="00324B33" w:rsidP="007452E8">
            <w:pPr>
              <w:rPr>
                <w:i/>
                <w:szCs w:val="22"/>
              </w:rPr>
            </w:pPr>
            <w:r w:rsidRPr="00BD5DBD">
              <w:rPr>
                <w:i/>
                <w:szCs w:val="22"/>
              </w:rPr>
              <w:t>Dose form:</w:t>
            </w:r>
          </w:p>
        </w:tc>
        <w:tc>
          <w:tcPr>
            <w:tcW w:w="3423" w:type="pct"/>
          </w:tcPr>
          <w:p w14:paraId="768B254C" w14:textId="50D9DA5E" w:rsidR="00324B33" w:rsidRPr="00BD5DBD" w:rsidRDefault="00553B18" w:rsidP="007452E8">
            <w:pPr>
              <w:rPr>
                <w:szCs w:val="22"/>
              </w:rPr>
            </w:pPr>
            <w:r>
              <w:rPr>
                <w:szCs w:val="22"/>
              </w:rPr>
              <w:t>Capsule, hard</w:t>
            </w:r>
          </w:p>
        </w:tc>
      </w:tr>
      <w:tr w:rsidR="00324B33" w:rsidRPr="00BD5DBD" w14:paraId="115243E6" w14:textId="77777777" w:rsidTr="00F865A7">
        <w:tc>
          <w:tcPr>
            <w:tcW w:w="1577" w:type="pct"/>
          </w:tcPr>
          <w:p w14:paraId="7634B062" w14:textId="0AE54404" w:rsidR="00324B33" w:rsidRPr="00BD5DBD" w:rsidRDefault="00324B33" w:rsidP="007452E8">
            <w:pPr>
              <w:rPr>
                <w:i/>
                <w:szCs w:val="22"/>
              </w:rPr>
            </w:pPr>
            <w:r w:rsidRPr="00BD5DBD">
              <w:rPr>
                <w:i/>
                <w:szCs w:val="22"/>
              </w:rPr>
              <w:t>Strength:</w:t>
            </w:r>
          </w:p>
        </w:tc>
        <w:tc>
          <w:tcPr>
            <w:tcW w:w="3423" w:type="pct"/>
          </w:tcPr>
          <w:p w14:paraId="5E5F83DB" w14:textId="007AA63F" w:rsidR="00324B33" w:rsidRPr="00BD5DBD" w:rsidRDefault="00940BCB" w:rsidP="007452E8">
            <w:pPr>
              <w:rPr>
                <w:szCs w:val="22"/>
              </w:rPr>
            </w:pPr>
            <w:r>
              <w:rPr>
                <w:szCs w:val="22"/>
              </w:rPr>
              <w:t>50</w:t>
            </w:r>
            <w:r w:rsidR="00E7795D">
              <w:rPr>
                <w:szCs w:val="22"/>
              </w:rPr>
              <w:t xml:space="preserve"> mg</w:t>
            </w:r>
          </w:p>
        </w:tc>
      </w:tr>
      <w:tr w:rsidR="00324B33" w:rsidRPr="00BD5DBD" w14:paraId="34B07BA6" w14:textId="77777777" w:rsidTr="00F865A7">
        <w:tc>
          <w:tcPr>
            <w:tcW w:w="1577" w:type="pct"/>
          </w:tcPr>
          <w:p w14:paraId="1C039224" w14:textId="186F01AE" w:rsidR="00324B33" w:rsidRPr="00BD5DBD" w:rsidRDefault="00324B33" w:rsidP="007452E8">
            <w:pPr>
              <w:rPr>
                <w:i/>
                <w:szCs w:val="22"/>
              </w:rPr>
            </w:pPr>
            <w:r w:rsidRPr="00BD5DBD">
              <w:rPr>
                <w:i/>
                <w:szCs w:val="22"/>
              </w:rPr>
              <w:t>Container:</w:t>
            </w:r>
          </w:p>
        </w:tc>
        <w:tc>
          <w:tcPr>
            <w:tcW w:w="3423" w:type="pct"/>
          </w:tcPr>
          <w:p w14:paraId="500A42C6" w14:textId="654548A1" w:rsidR="00324B33" w:rsidRPr="00BD5DBD" w:rsidRDefault="00E7795D" w:rsidP="007452E8">
            <w:pPr>
              <w:rPr>
                <w:szCs w:val="22"/>
              </w:rPr>
            </w:pPr>
            <w:r>
              <w:rPr>
                <w:szCs w:val="22"/>
              </w:rPr>
              <w:t>Bottle</w:t>
            </w:r>
          </w:p>
        </w:tc>
      </w:tr>
      <w:tr w:rsidR="00324B33" w:rsidRPr="00BD5DBD" w14:paraId="176B6773" w14:textId="77777777" w:rsidTr="00F865A7">
        <w:tc>
          <w:tcPr>
            <w:tcW w:w="1577" w:type="pct"/>
          </w:tcPr>
          <w:p w14:paraId="71846159" w14:textId="75A03AD6" w:rsidR="00324B33" w:rsidRPr="00BD5DBD" w:rsidRDefault="00324B33" w:rsidP="007452E8">
            <w:pPr>
              <w:rPr>
                <w:i/>
                <w:szCs w:val="22"/>
              </w:rPr>
            </w:pPr>
            <w:r w:rsidRPr="00BD5DBD">
              <w:rPr>
                <w:i/>
                <w:szCs w:val="22"/>
              </w:rPr>
              <w:t>Pack size:</w:t>
            </w:r>
          </w:p>
        </w:tc>
        <w:tc>
          <w:tcPr>
            <w:tcW w:w="3423" w:type="pct"/>
          </w:tcPr>
          <w:p w14:paraId="7E978F8F" w14:textId="21E74620" w:rsidR="00720A1E" w:rsidRPr="00BD5DBD" w:rsidRDefault="00720A1E" w:rsidP="00593AE3">
            <w:pPr>
              <w:rPr>
                <w:szCs w:val="22"/>
              </w:rPr>
            </w:pPr>
            <w:r>
              <w:rPr>
                <w:szCs w:val="22"/>
              </w:rPr>
              <w:t>270 capsules</w:t>
            </w:r>
            <w:r w:rsidR="00593AE3">
              <w:rPr>
                <w:szCs w:val="22"/>
              </w:rPr>
              <w:t xml:space="preserve">, </w:t>
            </w:r>
            <w:r>
              <w:rPr>
                <w:szCs w:val="22"/>
              </w:rPr>
              <w:t>90 capsules</w:t>
            </w:r>
          </w:p>
        </w:tc>
      </w:tr>
      <w:tr w:rsidR="00324B33" w:rsidRPr="00BD5DBD" w14:paraId="5AFDEED3" w14:textId="77777777" w:rsidTr="00F865A7">
        <w:tc>
          <w:tcPr>
            <w:tcW w:w="1577" w:type="pct"/>
          </w:tcPr>
          <w:p w14:paraId="03884BD1" w14:textId="635F1C90" w:rsidR="00324B33" w:rsidRPr="00BD5DBD" w:rsidRDefault="00324B33" w:rsidP="007452E8">
            <w:pPr>
              <w:rPr>
                <w:i/>
                <w:szCs w:val="22"/>
              </w:rPr>
            </w:pPr>
            <w:r w:rsidRPr="00BD5DBD">
              <w:rPr>
                <w:i/>
                <w:szCs w:val="22"/>
              </w:rPr>
              <w:t>Route of administration:</w:t>
            </w:r>
          </w:p>
        </w:tc>
        <w:tc>
          <w:tcPr>
            <w:tcW w:w="3423" w:type="pct"/>
          </w:tcPr>
          <w:p w14:paraId="1ED1357E" w14:textId="5C62FD62" w:rsidR="00324B33" w:rsidRPr="00BD5DBD" w:rsidRDefault="00720A1E" w:rsidP="007452E8">
            <w:pPr>
              <w:rPr>
                <w:szCs w:val="22"/>
              </w:rPr>
            </w:pPr>
            <w:r>
              <w:rPr>
                <w:szCs w:val="22"/>
              </w:rPr>
              <w:t>Oral</w:t>
            </w:r>
          </w:p>
        </w:tc>
      </w:tr>
      <w:tr w:rsidR="00324B33" w:rsidRPr="00BD5DBD" w14:paraId="70D7E9FA" w14:textId="77777777" w:rsidTr="00F865A7">
        <w:tc>
          <w:tcPr>
            <w:tcW w:w="1577" w:type="pct"/>
          </w:tcPr>
          <w:p w14:paraId="5ABFFC80" w14:textId="77777777" w:rsidR="00324B33" w:rsidRPr="00BD5DBD" w:rsidRDefault="00324B33" w:rsidP="007452E8">
            <w:pPr>
              <w:rPr>
                <w:i/>
                <w:szCs w:val="22"/>
              </w:rPr>
            </w:pPr>
            <w:r w:rsidRPr="00BD5DBD">
              <w:rPr>
                <w:i/>
                <w:szCs w:val="22"/>
              </w:rPr>
              <w:t>Dosage:</w:t>
            </w:r>
          </w:p>
        </w:tc>
        <w:tc>
          <w:tcPr>
            <w:tcW w:w="3423" w:type="pct"/>
          </w:tcPr>
          <w:p w14:paraId="7721014D" w14:textId="77777777" w:rsidR="00620544" w:rsidRDefault="00620544" w:rsidP="007452E8">
            <w:pPr>
              <w:rPr>
                <w:szCs w:val="22"/>
              </w:rPr>
            </w:pPr>
            <w:r w:rsidRPr="00620544">
              <w:rPr>
                <w:szCs w:val="22"/>
              </w:rPr>
              <w:t xml:space="preserve">The recommended dose is 150 mg </w:t>
            </w:r>
            <w:proofErr w:type="spellStart"/>
            <w:r w:rsidRPr="00620544">
              <w:rPr>
                <w:szCs w:val="22"/>
              </w:rPr>
              <w:t>omaveloxolone</w:t>
            </w:r>
            <w:proofErr w:type="spellEnd"/>
            <w:r w:rsidRPr="00620544">
              <w:rPr>
                <w:szCs w:val="22"/>
              </w:rPr>
              <w:t xml:space="preserve"> (3 capsules of 50 mg each) taken orally once daily. </w:t>
            </w:r>
          </w:p>
          <w:p w14:paraId="3D0B2D5C" w14:textId="6485ABE9" w:rsidR="00324B33" w:rsidRPr="00BD5DBD" w:rsidRDefault="00324B33" w:rsidP="007452E8">
            <w:pPr>
              <w:rPr>
                <w:szCs w:val="22"/>
              </w:rPr>
            </w:pPr>
            <w:r w:rsidRPr="00BD5DBD">
              <w:rPr>
                <w:szCs w:val="22"/>
              </w:rPr>
              <w:t xml:space="preserve">For further information regarding dosage, refer to the </w:t>
            </w:r>
            <w:hyperlink r:id="rId19" w:history="1">
              <w:r w:rsidRPr="000A1A6D">
                <w:rPr>
                  <w:rStyle w:val="Hyperlink"/>
                  <w:szCs w:val="22"/>
                </w:rPr>
                <w:t>Product Information</w:t>
              </w:r>
            </w:hyperlink>
            <w:r w:rsidRPr="00BD5DBD">
              <w:rPr>
                <w:szCs w:val="22"/>
              </w:rPr>
              <w:t>.</w:t>
            </w:r>
          </w:p>
        </w:tc>
      </w:tr>
      <w:tr w:rsidR="0017005C" w:rsidRPr="00BD5DBD" w14:paraId="7B7BB6AE" w14:textId="77777777" w:rsidTr="00F865A7">
        <w:tc>
          <w:tcPr>
            <w:tcW w:w="1577" w:type="pct"/>
          </w:tcPr>
          <w:p w14:paraId="3A76AFF7" w14:textId="7C436DD9" w:rsidR="0017005C" w:rsidRPr="00F8083B" w:rsidRDefault="0070330F" w:rsidP="0017005C">
            <w:r w:rsidRPr="00BD5DBD">
              <w:rPr>
                <w:i/>
                <w:szCs w:val="22"/>
              </w:rPr>
              <w:t>Pregnancy category:</w:t>
            </w:r>
          </w:p>
        </w:tc>
        <w:tc>
          <w:tcPr>
            <w:tcW w:w="3423" w:type="pct"/>
          </w:tcPr>
          <w:p w14:paraId="2DCB085C" w14:textId="29FCB4CB" w:rsidR="007E4FF8" w:rsidRPr="007E4FF8" w:rsidRDefault="007E4FF8" w:rsidP="007E4FF8">
            <w:pPr>
              <w:rPr>
                <w:b/>
                <w:bCs/>
              </w:rPr>
            </w:pPr>
            <w:r w:rsidRPr="007E4FF8">
              <w:rPr>
                <w:b/>
                <w:bCs/>
              </w:rPr>
              <w:t xml:space="preserve">Category </w:t>
            </w:r>
            <w:r w:rsidR="00AC3CFA">
              <w:rPr>
                <w:b/>
                <w:bCs/>
              </w:rPr>
              <w:t>C</w:t>
            </w:r>
          </w:p>
          <w:p w14:paraId="75CF89BD" w14:textId="73FB6494" w:rsidR="007E4FF8" w:rsidRPr="007E4FF8" w:rsidRDefault="007E4FF8" w:rsidP="007E4FF8">
            <w:r w:rsidRPr="007E4FF8">
              <w:t xml:space="preserve">Drugs </w:t>
            </w:r>
            <w:r w:rsidR="00537765">
              <w:t>that</w:t>
            </w:r>
            <w:r w:rsidRPr="007E4FF8">
              <w:t xml:space="preserve"> owing to their pharmacological effects have caused or may be suspected of causing, harmful effects on the human </w:t>
            </w:r>
            <w:proofErr w:type="spellStart"/>
            <w:r w:rsidRPr="007E4FF8">
              <w:t>fetus</w:t>
            </w:r>
            <w:proofErr w:type="spellEnd"/>
            <w:r w:rsidRPr="007E4FF8">
              <w:t xml:space="preserve"> or neonate without causing malformations. These effects may be reversible. Accompanying texts should be consulted for further details.</w:t>
            </w:r>
          </w:p>
          <w:p w14:paraId="76497789" w14:textId="634DC28C" w:rsidR="0017005C" w:rsidRPr="00BD5DBD" w:rsidRDefault="0070330F" w:rsidP="00306E72">
            <w:pPr>
              <w:rPr>
                <w:szCs w:val="22"/>
              </w:rPr>
            </w:pPr>
            <w:r w:rsidRPr="00BD5DBD">
              <w:rPr>
                <w:szCs w:val="22"/>
              </w:rPr>
              <w:t xml:space="preserve">The use of any medicine during pregnancy requires careful consideration of both risks and benefits by the treating health professional. </w:t>
            </w:r>
            <w:r w:rsidR="00721059">
              <w:rPr>
                <w:szCs w:val="22"/>
              </w:rPr>
              <w:t xml:space="preserve">The </w:t>
            </w:r>
            <w:hyperlink r:id="rId20"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21"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1E34B277" w:rsidR="00324B33" w:rsidRDefault="00324B33" w:rsidP="00324B33">
      <w:pPr>
        <w:pStyle w:val="Heading3"/>
      </w:pPr>
      <w:bookmarkStart w:id="11" w:name="_Toc247691503"/>
      <w:bookmarkStart w:id="12" w:name="_Toc314842484"/>
      <w:bookmarkStart w:id="13" w:name="_Toc103679290"/>
      <w:bookmarkStart w:id="14" w:name="_Toc233964962"/>
      <w:r>
        <w:lastRenderedPageBreak/>
        <w:t>Product background</w:t>
      </w:r>
      <w:bookmarkEnd w:id="11"/>
      <w:bookmarkEnd w:id="12"/>
      <w:bookmarkEnd w:id="13"/>
      <w:bookmarkEnd w:id="14"/>
    </w:p>
    <w:p w14:paraId="59BF31D1" w14:textId="171DB245" w:rsidR="001500A8" w:rsidRDefault="00324B33" w:rsidP="00065839">
      <w:r w:rsidRPr="00065839">
        <w:t xml:space="preserve">This AusPAR describes the submission by </w:t>
      </w:r>
      <w:r w:rsidR="00302D6D">
        <w:t>Biogen Australia</w:t>
      </w:r>
      <w:r w:rsidR="00A23AB4">
        <w:t xml:space="preserve"> Pty Ltd</w:t>
      </w:r>
      <w:r w:rsidRPr="00065839">
        <w:t xml:space="preserve"> (the </w:t>
      </w:r>
      <w:r w:rsidR="007B6B69">
        <w:t>sponsor</w:t>
      </w:r>
      <w:r w:rsidRPr="00065839">
        <w:t xml:space="preserve">) to register </w:t>
      </w:r>
      <w:r w:rsidR="00A23AB4">
        <w:t>Skyclarys</w:t>
      </w:r>
      <w:r w:rsidRPr="00065839">
        <w:t xml:space="preserve"> (</w:t>
      </w:r>
      <w:proofErr w:type="spellStart"/>
      <w:r w:rsidR="00A23AB4">
        <w:t>omaveloxolone</w:t>
      </w:r>
      <w:proofErr w:type="spellEnd"/>
      <w:r w:rsidRPr="00065839">
        <w:t>) for the following proposed indication:</w:t>
      </w:r>
      <w:r w:rsidR="00D63760" w:rsidRPr="00065839">
        <w:rPr>
          <w:vertAlign w:val="superscript"/>
        </w:rPr>
        <w:footnoteReference w:id="1"/>
      </w:r>
    </w:p>
    <w:p w14:paraId="5ABD203B" w14:textId="6A446D02" w:rsidR="00283737" w:rsidRPr="00065839" w:rsidRDefault="00386B45" w:rsidP="00386B45">
      <w:pPr>
        <w:ind w:firstLine="720"/>
      </w:pPr>
      <w:r>
        <w:rPr>
          <w:i/>
        </w:rPr>
        <w:t>F</w:t>
      </w:r>
      <w:r w:rsidRPr="004001A3">
        <w:rPr>
          <w:i/>
        </w:rPr>
        <w:t xml:space="preserve">or the </w:t>
      </w:r>
      <w:bookmarkStart w:id="15" w:name="_Hlk183680573"/>
      <w:r w:rsidRPr="004001A3">
        <w:rPr>
          <w:i/>
        </w:rPr>
        <w:t xml:space="preserve">treatment of </w:t>
      </w:r>
      <w:r w:rsidRPr="00E92C09">
        <w:rPr>
          <w:i/>
        </w:rPr>
        <w:t>Friedreich’s ataxia in adults and adolescents aged 16 years and older.</w:t>
      </w:r>
      <w:bookmarkEnd w:id="15"/>
    </w:p>
    <w:p w14:paraId="63D69FE8" w14:textId="2A5F0194" w:rsidR="00E84A3D" w:rsidRDefault="00E84A3D" w:rsidP="00E84A3D">
      <w:bookmarkStart w:id="16" w:name="_Toc314842485"/>
      <w:bookmarkStart w:id="17" w:name="_Toc247691504"/>
      <w:r>
        <w:t>This is a comparable overseas regulatory-approach B submission with the comparable overseas regulator being the European Medicines Agency (EMA).</w:t>
      </w:r>
    </w:p>
    <w:p w14:paraId="1E63A2AE" w14:textId="2E3498D6" w:rsidR="00CB6813" w:rsidRDefault="00527735" w:rsidP="00CB6813">
      <w:pPr>
        <w:pStyle w:val="Heading4"/>
      </w:pPr>
      <w:bookmarkStart w:id="18" w:name="_Toc233964963"/>
      <w:r>
        <w:t>C</w:t>
      </w:r>
      <w:r w:rsidR="006428C5">
        <w:t>ondition</w:t>
      </w:r>
      <w:r>
        <w:t xml:space="preserve"> – Friedreich’s ataxia</w:t>
      </w:r>
      <w:bookmarkEnd w:id="18"/>
    </w:p>
    <w:p w14:paraId="46411559" w14:textId="77777777" w:rsidR="00A96A68" w:rsidRDefault="00A96A68" w:rsidP="00A96A68">
      <w:r>
        <w:t>Friedreich’s ataxia is a hereditary group of genetic diseases that are characterized by motor incoordination due to cerebellar dysfunction. Most cases of Friedreich’s ataxia are due to mutation in the frataxin (FXN) gene on chromosome 9q13. The most common mutation is an expanded guanine-adenine-adenine (GAA) trinucleotide repeat present in both alleles of the FXN gene. This results in reduced transcription of the gene with decreased expression of the gene product, which is frataxin. Clinical phenotype is usually more severe with earlier age of onset and with increasing numbers of GAA repeats</w:t>
      </w:r>
      <w:r>
        <w:rPr>
          <w:rStyle w:val="FootnoteReference"/>
        </w:rPr>
        <w:footnoteReference w:id="2"/>
      </w:r>
      <w:r>
        <w:t>.</w:t>
      </w:r>
    </w:p>
    <w:p w14:paraId="49DCE0AE" w14:textId="22807098" w:rsidR="00A96A68" w:rsidRDefault="00A96A68" w:rsidP="00A96A68">
      <w:r>
        <w:t>Frataxin is a mitochondrial protein involved in iron regulation within mitochondria, this protein is expressed at higher levels in tissues affected by Friedrich</w:t>
      </w:r>
      <w:r w:rsidR="00A71E54">
        <w:t>’s</w:t>
      </w:r>
      <w:r>
        <w:t xml:space="preserve"> ataxia (heart and brain). A hypothesis for how reduced </w:t>
      </w:r>
      <w:r w:rsidR="009A170D">
        <w:t>FXN</w:t>
      </w:r>
      <w:r>
        <w:t xml:space="preserve"> can cause tissue damage involves increased mitochondrial iron accumulation resulting in oxidative stress and tissue damage</w:t>
      </w:r>
      <w:r>
        <w:rPr>
          <w:rStyle w:val="FootnoteReference"/>
        </w:rPr>
        <w:footnoteReference w:id="3"/>
      </w:r>
      <w:r>
        <w:t xml:space="preserve">. Pathology identified in central nervous system (CNS) tissues </w:t>
      </w:r>
      <w:r w:rsidR="00424518">
        <w:t>include</w:t>
      </w:r>
      <w:r>
        <w:t xml:space="preserve"> thinning of dorsal nerve roots, degermation of posterior column of spinal cord, atrophy of spinocerebellar fibres and atrophy of dentate nucleus in the cerebellum. Nerve biopsy can reveal loss of myelinated sensory fibres and axonal degeneration can occur in alters stages of the disease, cerebellar atrophy</w:t>
      </w:r>
      <w:r>
        <w:rPr>
          <w:rStyle w:val="FootnoteReference"/>
        </w:rPr>
        <w:footnoteReference w:id="4"/>
      </w:r>
      <w:r>
        <w:t>. Hypertrophic cardiomyopathy is a common complication and can affect up to 85% of patients with Friedreich’s ataxia by early adulthood</w:t>
      </w:r>
      <w:r>
        <w:rPr>
          <w:rStyle w:val="FootnoteReference"/>
        </w:rPr>
        <w:footnoteReference w:id="5"/>
      </w:r>
      <w:r>
        <w:t>.</w:t>
      </w:r>
    </w:p>
    <w:p w14:paraId="39A45BE3" w14:textId="62A75E07" w:rsidR="00A96A68" w:rsidRDefault="00A96A68" w:rsidP="00A96A68">
      <w:r>
        <w:t>Friedrich</w:t>
      </w:r>
      <w:r w:rsidR="00C170F9">
        <w:t>’s</w:t>
      </w:r>
      <w:r>
        <w:t xml:space="preserve"> ataxia occurs with a frequency between 1 in 30,000 to 50,000 and is found more frequently in people of European, north African, middle eastern or Indian origin</w:t>
      </w:r>
      <w:r>
        <w:rPr>
          <w:rStyle w:val="FootnoteReference"/>
        </w:rPr>
        <w:footnoteReference w:id="6"/>
      </w:r>
      <w:r>
        <w:t>. Age of onset is usually during adolescence and age of onset predicts disease progression. ~29% of cases are diagnosed from 0-7 years, ~39% diagnosed between ~8-14 years and ~21% diagnosed between 15-24 years</w:t>
      </w:r>
      <w:r>
        <w:rPr>
          <w:rStyle w:val="FootnoteReference"/>
        </w:rPr>
        <w:footnoteReference w:id="7"/>
      </w:r>
      <w:r>
        <w:t>. Diagnosis can be made through typical clinical features combined with molecular genetic testing to examine for the pathological variants of the FXN gene.</w:t>
      </w:r>
    </w:p>
    <w:p w14:paraId="7165E3C9" w14:textId="7AD0080A" w:rsidR="00A96A68" w:rsidRDefault="00A96A68" w:rsidP="00A96A68">
      <w:r>
        <w:t>Clinical features are predominantly neurological and cardiac. Of note</w:t>
      </w:r>
      <w:r w:rsidR="00F07B72">
        <w:t>,</w:t>
      </w:r>
      <w:r>
        <w:t xml:space="preserve"> diabetes mellitus is diagnosed in this cohort at a much higher rate compared to age matched controls. Neurological involvement manifests as a constellation of motor symptoms including progressive ataxia of all 4 limbs (almost universal), motor weakness in feet and legs which can progress to involve hands, dysarthria, dysphagia, reduced visual acuity, bladder dysfunction and skeletal abnormalities due to neuropathy (e.g</w:t>
      </w:r>
      <w:r w:rsidR="00F07B72">
        <w:t>.</w:t>
      </w:r>
      <w:r>
        <w:t xml:space="preserve"> pes </w:t>
      </w:r>
      <w:proofErr w:type="spellStart"/>
      <w:r>
        <w:t>cavus</w:t>
      </w:r>
      <w:proofErr w:type="spellEnd"/>
      <w:r>
        <w:t>, hammer toes)</w:t>
      </w:r>
      <w:r>
        <w:rPr>
          <w:rStyle w:val="FootnoteReference"/>
        </w:rPr>
        <w:footnoteReference w:id="8"/>
      </w:r>
      <w:r>
        <w:t xml:space="preserve">. Cognition is usually preserved. Hypertrophic </w:t>
      </w:r>
      <w:r>
        <w:lastRenderedPageBreak/>
        <w:t>cardiomyopathy is a common cardiac complication related to Friedreich ataxia with arrhythmias and cardiac failure being a frequent cause of death in this condition</w:t>
      </w:r>
      <w:r>
        <w:rPr>
          <w:rStyle w:val="FootnoteReference"/>
        </w:rPr>
        <w:footnoteReference w:id="9"/>
      </w:r>
      <w:r>
        <w:t xml:space="preserve">. </w:t>
      </w:r>
    </w:p>
    <w:p w14:paraId="58C43121" w14:textId="4E6680AC" w:rsidR="00F24A99" w:rsidRPr="0046679C" w:rsidRDefault="00A96A68" w:rsidP="00F24A99">
      <w:r>
        <w:t xml:space="preserve">Friedreich ataxia is a progressive disease with severity and rate of progression being associated with number of GAA repeats. Mean time from symptom onset to use of wheelchair can be between 11 to 25 </w:t>
      </w:r>
      <w:r w:rsidR="009A09E4">
        <w:t>years,</w:t>
      </w:r>
      <w:r>
        <w:t xml:space="preserve"> and most affected patients die between 30-40 years of age with the</w:t>
      </w:r>
      <w:r w:rsidR="00F24A99">
        <w:t xml:space="preserve"> major causes of death being due to: heart failure, arrhythmias, aspiration or pneumonia due to inability to protect airway</w:t>
      </w:r>
      <w:r w:rsidR="00F24A99">
        <w:rPr>
          <w:rStyle w:val="FootnoteReference"/>
        </w:rPr>
        <w:footnoteReference w:id="10"/>
      </w:r>
      <w:r w:rsidR="00F24A99">
        <w:t>.</w:t>
      </w:r>
    </w:p>
    <w:p w14:paraId="255E083A" w14:textId="77777777" w:rsidR="00CB6813" w:rsidRDefault="00CB6813" w:rsidP="00CB6813">
      <w:pPr>
        <w:pStyle w:val="Heading4"/>
      </w:pPr>
      <w:bookmarkStart w:id="19" w:name="_Toc233964964"/>
      <w:r>
        <w:t>Current treatment options</w:t>
      </w:r>
      <w:bookmarkEnd w:id="19"/>
    </w:p>
    <w:p w14:paraId="50EC58E7" w14:textId="77777777" w:rsidR="00C3094A" w:rsidRDefault="00C3094A" w:rsidP="00C3094A">
      <w:r>
        <w:t>Current treatment options are limited and involve mainly symptom management and anticipatory care. Regular allied health assessment from occupational therapist and physiotherapists are usually conducted due to progressive loss of balance and weakness. Regular cardiac evaluations are usually conducted to monitor for development of cardiomyopathy and its complications. Regular swallowing, ophthalmic and audiology reviews are usually conducted as these are common complications as the disease progresses. Regular monitoring for Diabetes is usually undertaken</w:t>
      </w:r>
      <w:r>
        <w:rPr>
          <w:rStyle w:val="FootnoteReference"/>
        </w:rPr>
        <w:footnoteReference w:id="11"/>
      </w:r>
      <w:r>
        <w:t>.</w:t>
      </w:r>
    </w:p>
    <w:p w14:paraId="161B66B2" w14:textId="7B8806F5" w:rsidR="00C3094A" w:rsidRPr="002163AF" w:rsidRDefault="00C3094A" w:rsidP="00C3094A">
      <w:r>
        <w:t xml:space="preserve">There are currently no registered treatments for Friedreich’s ataxia in Australia. Treatments </w:t>
      </w:r>
      <w:r w:rsidR="005F731D">
        <w:t>that</w:t>
      </w:r>
      <w:r>
        <w:t xml:space="preserve"> have been trialled previously include antioxidants such as </w:t>
      </w:r>
      <w:proofErr w:type="spellStart"/>
      <w:r>
        <w:t>idebenone</w:t>
      </w:r>
      <w:proofErr w:type="spellEnd"/>
      <w:r>
        <w:t xml:space="preserve">, coenzyme Q10 and </w:t>
      </w:r>
      <w:r w:rsidR="009B1730">
        <w:t>v</w:t>
      </w:r>
      <w:r>
        <w:t xml:space="preserve">itamin E and </w:t>
      </w:r>
      <w:r w:rsidR="009B1730">
        <w:t>i</w:t>
      </w:r>
      <w:r>
        <w:t>ron chelation agents such as Deferiprone. No clear evidence of significant efficacy for this indication has been found with these treatments</w:t>
      </w:r>
      <w:r>
        <w:rPr>
          <w:rStyle w:val="FootnoteReference"/>
        </w:rPr>
        <w:footnoteReference w:id="12"/>
      </w:r>
      <w:r>
        <w:t>.</w:t>
      </w:r>
    </w:p>
    <w:p w14:paraId="37C47E09" w14:textId="14D3762D" w:rsidR="00CB6813" w:rsidRDefault="00CB6813" w:rsidP="00CB6813">
      <w:pPr>
        <w:pStyle w:val="Heading4"/>
      </w:pPr>
      <w:bookmarkStart w:id="20" w:name="_Toc233964965"/>
      <w:r>
        <w:t>C</w:t>
      </w:r>
      <w:r w:rsidRPr="00DE1344">
        <w:t>linical rational</w:t>
      </w:r>
      <w:r w:rsidR="0025785B">
        <w:t>e</w:t>
      </w:r>
      <w:bookmarkEnd w:id="20"/>
    </w:p>
    <w:p w14:paraId="7B8E0A33" w14:textId="3A66F91D" w:rsidR="00961BC9" w:rsidRPr="005F5763" w:rsidRDefault="00961BC9" w:rsidP="00961BC9">
      <w:r w:rsidRPr="005F5763">
        <w:t xml:space="preserve">Regarding </w:t>
      </w:r>
      <w:r w:rsidR="005F5763">
        <w:t xml:space="preserve">the </w:t>
      </w:r>
      <w:r w:rsidRPr="005F5763">
        <w:t xml:space="preserve">mechanism of action </w:t>
      </w:r>
      <w:r w:rsidR="008F6924">
        <w:t xml:space="preserve">of Skyclarys, </w:t>
      </w:r>
      <w:r w:rsidRPr="005F5763">
        <w:t xml:space="preserve">the proposed Australian PI states: </w:t>
      </w:r>
    </w:p>
    <w:p w14:paraId="132A50B3" w14:textId="51769792" w:rsidR="00961BC9" w:rsidRPr="00291CB7" w:rsidRDefault="00EA4C46" w:rsidP="00961BC9">
      <w:r>
        <w:t>‘</w:t>
      </w:r>
      <w:proofErr w:type="gramStart"/>
      <w:r w:rsidR="00961BC9" w:rsidRPr="004948C5">
        <w:rPr>
          <w:i/>
          <w:iCs/>
        </w:rPr>
        <w:t>the</w:t>
      </w:r>
      <w:proofErr w:type="gramEnd"/>
      <w:r w:rsidR="00961BC9" w:rsidRPr="004948C5">
        <w:rPr>
          <w:i/>
          <w:iCs/>
        </w:rPr>
        <w:t xml:space="preserve"> precise mechanism by which </w:t>
      </w:r>
      <w:proofErr w:type="spellStart"/>
      <w:r w:rsidR="00961BC9" w:rsidRPr="004948C5">
        <w:rPr>
          <w:i/>
          <w:iCs/>
        </w:rPr>
        <w:t>omaveloxolone</w:t>
      </w:r>
      <w:proofErr w:type="spellEnd"/>
      <w:r w:rsidR="00961BC9" w:rsidRPr="004948C5">
        <w:rPr>
          <w:i/>
          <w:iCs/>
        </w:rPr>
        <w:t xml:space="preserve"> exerts its therapeutic effect in patients with Friedreich’s ataxia is unknown. </w:t>
      </w:r>
      <w:proofErr w:type="spellStart"/>
      <w:r w:rsidR="00961BC9" w:rsidRPr="004948C5">
        <w:rPr>
          <w:i/>
          <w:iCs/>
        </w:rPr>
        <w:t>Omaveloxolone</w:t>
      </w:r>
      <w:proofErr w:type="spellEnd"/>
      <w:r w:rsidR="00961BC9" w:rsidRPr="004948C5">
        <w:rPr>
          <w:i/>
          <w:iCs/>
        </w:rPr>
        <w:t xml:space="preserve"> has been shown to activate the </w:t>
      </w:r>
      <w:proofErr w:type="gramStart"/>
      <w:r w:rsidR="00961BC9" w:rsidRPr="004948C5">
        <w:rPr>
          <w:i/>
          <w:iCs/>
        </w:rPr>
        <w:t>Nuclear</w:t>
      </w:r>
      <w:proofErr w:type="gramEnd"/>
      <w:r w:rsidR="00961BC9" w:rsidRPr="004948C5">
        <w:rPr>
          <w:i/>
          <w:iCs/>
        </w:rPr>
        <w:t xml:space="preserve"> factor (erythroid-derived 2)-like 2 (Nrf2) </w:t>
      </w:r>
      <w:proofErr w:type="gramStart"/>
      <w:r w:rsidR="00961BC9" w:rsidRPr="004948C5">
        <w:rPr>
          <w:i/>
          <w:iCs/>
        </w:rPr>
        <w:t>pathway</w:t>
      </w:r>
      <w:proofErr w:type="gramEnd"/>
      <w:r w:rsidR="00961BC9" w:rsidRPr="004948C5">
        <w:rPr>
          <w:i/>
          <w:iCs/>
        </w:rPr>
        <w:t xml:space="preserve"> in vitro and in vivo in animals and humans. The Nrf2 pathway is involved in the cellular response to oxidative stress. There is substantial evidence that Nrf2 levels and activity are suppressed in cells from patients with Friedreich’s ataxia.</w:t>
      </w:r>
      <w:r>
        <w:rPr>
          <w:i/>
          <w:iCs/>
        </w:rPr>
        <w:t>’</w:t>
      </w:r>
    </w:p>
    <w:p w14:paraId="59669467" w14:textId="7AFF2EE4" w:rsidR="00961BC9" w:rsidRDefault="00961BC9" w:rsidP="00961BC9">
      <w:r>
        <w:t>Part of the mechanism of action is believed to be related to restoration of activity of Nrf2, which are reduced in patients with Friedreich ataxia. Increased Nrf2 function is thought to reduce the oxidative stress, oxidative damage and inflammation which is believed to occur in the disease, thus reducing damage in the predominantly affected tissues in Friedreich</w:t>
      </w:r>
      <w:r w:rsidR="00C92272">
        <w:t>’s</w:t>
      </w:r>
      <w:r>
        <w:t xml:space="preserve"> ataxia.</w:t>
      </w:r>
    </w:p>
    <w:p w14:paraId="5B79C6C7" w14:textId="77777777" w:rsidR="00102A18" w:rsidRDefault="00102A18">
      <w:r>
        <w:br w:type="page"/>
      </w:r>
    </w:p>
    <w:p w14:paraId="4F582828" w14:textId="5104AE1B" w:rsidR="00961BC9" w:rsidRPr="00BE6747" w:rsidRDefault="00961BC9" w:rsidP="00961BC9">
      <w:r w:rsidRPr="00BE6747">
        <w:lastRenderedPageBreak/>
        <w:t xml:space="preserve">Regarding the </w:t>
      </w:r>
      <w:r w:rsidR="00102A18">
        <w:t>a</w:t>
      </w:r>
      <w:r w:rsidRPr="00BE6747">
        <w:t xml:space="preserve">bsorption, </w:t>
      </w:r>
      <w:r w:rsidR="00102A18">
        <w:t>d</w:t>
      </w:r>
      <w:r w:rsidRPr="00BE6747">
        <w:t xml:space="preserve">istribution, </w:t>
      </w:r>
      <w:r w:rsidR="00102A18">
        <w:t>m</w:t>
      </w:r>
      <w:r w:rsidRPr="00BE6747">
        <w:t xml:space="preserve">etabolism and </w:t>
      </w:r>
      <w:r w:rsidR="00102A18">
        <w:t>e</w:t>
      </w:r>
      <w:r w:rsidRPr="00BE6747">
        <w:t xml:space="preserve">xcretion of </w:t>
      </w:r>
      <w:proofErr w:type="spellStart"/>
      <w:r w:rsidRPr="00BE6747">
        <w:t>omaveloxolone</w:t>
      </w:r>
      <w:proofErr w:type="spellEnd"/>
      <w:r w:rsidRPr="00BE6747">
        <w:t xml:space="preserve"> the proposed Australian PI states:</w:t>
      </w:r>
    </w:p>
    <w:p w14:paraId="04096039" w14:textId="77777777" w:rsidR="00961BC9" w:rsidRPr="006502CA" w:rsidRDefault="00961BC9" w:rsidP="00BE6747">
      <w:pPr>
        <w:pStyle w:val="Heading6"/>
      </w:pPr>
      <w:bookmarkStart w:id="21" w:name="Table_5_Study_1402_Part_2:_Change_in_mFA"/>
      <w:bookmarkStart w:id="22" w:name="5.2_Pharmacokinetic_properties"/>
      <w:bookmarkEnd w:id="21"/>
      <w:bookmarkEnd w:id="22"/>
      <w:r w:rsidRPr="006502CA">
        <w:t>Absorption</w:t>
      </w:r>
    </w:p>
    <w:p w14:paraId="76BD2E70" w14:textId="77777777" w:rsidR="00961BC9" w:rsidRPr="00BE6747" w:rsidRDefault="00961BC9" w:rsidP="00961BC9">
      <w:proofErr w:type="spellStart"/>
      <w:r w:rsidRPr="00BE6747">
        <w:t>Omaveloxolone</w:t>
      </w:r>
      <w:proofErr w:type="spellEnd"/>
      <w:r w:rsidRPr="00BE6747">
        <w:t xml:space="preserve"> was absorbed after oral administration in healthy fasted subjects with peak plasma concentrations typically observed 7 to 14 hours post dose. Patients with Friedreich's ataxia demonstrated a 2.3-fold faster absorption of </w:t>
      </w:r>
      <w:proofErr w:type="spellStart"/>
      <w:r w:rsidRPr="00BE6747">
        <w:t>omaveloxolone</w:t>
      </w:r>
      <w:proofErr w:type="spellEnd"/>
      <w:r w:rsidRPr="00BE6747">
        <w:t xml:space="preserve"> than fasted healthy subjects.</w:t>
      </w:r>
    </w:p>
    <w:p w14:paraId="52AB86AE" w14:textId="4981D892" w:rsidR="00961BC9" w:rsidRPr="002222D4" w:rsidRDefault="00961BC9" w:rsidP="00961BC9">
      <w:pPr>
        <w:rPr>
          <w:i/>
          <w:iCs/>
        </w:rPr>
      </w:pPr>
      <w:r w:rsidRPr="00BE6747">
        <w:t>Co-administration of a high-fat meal resulted in a small increase (1.15-fold) in area under the plasma concentration vs time curve from time 0 extrapolated to infinity (AUC</w:t>
      </w:r>
      <w:r w:rsidRPr="00BE6747">
        <w:rPr>
          <w:vertAlign w:val="subscript"/>
        </w:rPr>
        <w:t>0-inf</w:t>
      </w:r>
      <w:r w:rsidRPr="00BE6747">
        <w:t>) but caused a 4.5-</w:t>
      </w:r>
      <w:r w:rsidRPr="002222D4">
        <w:rPr>
          <w:i/>
          <w:iCs/>
        </w:rPr>
        <w:t xml:space="preserve">fold increase in </w:t>
      </w:r>
      <w:proofErr w:type="spellStart"/>
      <w:r w:rsidRPr="002222D4">
        <w:rPr>
          <w:i/>
          <w:iCs/>
        </w:rPr>
        <w:t>C</w:t>
      </w:r>
      <w:r w:rsidRPr="002222D4">
        <w:rPr>
          <w:i/>
          <w:iCs/>
          <w:vertAlign w:val="subscript"/>
        </w:rPr>
        <w:t>max</w:t>
      </w:r>
      <w:proofErr w:type="spellEnd"/>
      <w:r w:rsidRPr="002222D4">
        <w:rPr>
          <w:i/>
          <w:iCs/>
        </w:rPr>
        <w:t xml:space="preserve"> compared to fasted conditions. It is recommended that S</w:t>
      </w:r>
      <w:r w:rsidR="00CA1D5E">
        <w:rPr>
          <w:i/>
          <w:iCs/>
        </w:rPr>
        <w:t>kyclarys</w:t>
      </w:r>
      <w:r w:rsidRPr="002222D4">
        <w:rPr>
          <w:i/>
          <w:iCs/>
        </w:rPr>
        <w:t xml:space="preserve"> be taken without food.</w:t>
      </w:r>
    </w:p>
    <w:p w14:paraId="195AB521" w14:textId="3DFF38B0" w:rsidR="00961BC9" w:rsidRPr="00BE6747" w:rsidRDefault="00961BC9" w:rsidP="00961BC9">
      <w:proofErr w:type="spellStart"/>
      <w:r w:rsidRPr="00BE6747">
        <w:t>Omaveloxolone</w:t>
      </w:r>
      <w:proofErr w:type="spellEnd"/>
      <w:r w:rsidRPr="00BE6747">
        <w:t xml:space="preserve"> </w:t>
      </w:r>
      <w:proofErr w:type="spellStart"/>
      <w:r w:rsidRPr="00BE6747">
        <w:t>C</w:t>
      </w:r>
      <w:r w:rsidRPr="00BE6747">
        <w:rPr>
          <w:vertAlign w:val="subscript"/>
        </w:rPr>
        <w:t>max</w:t>
      </w:r>
      <w:proofErr w:type="spellEnd"/>
      <w:r w:rsidRPr="00BE6747">
        <w:t xml:space="preserve"> and AUC</w:t>
      </w:r>
      <w:r w:rsidRPr="00BE6747">
        <w:rPr>
          <w:vertAlign w:val="subscript"/>
        </w:rPr>
        <w:t>0-inf</w:t>
      </w:r>
      <w:r w:rsidRPr="00BE6747">
        <w:t xml:space="preserve"> were similar when capsule contents were sprinkled on apple sauce or when administered as intact capsules. The median time to achieve </w:t>
      </w:r>
      <w:proofErr w:type="spellStart"/>
      <w:r w:rsidRPr="00BE6747">
        <w:t>C</w:t>
      </w:r>
      <w:r w:rsidRPr="00BE6747">
        <w:rPr>
          <w:vertAlign w:val="subscript"/>
        </w:rPr>
        <w:t>max</w:t>
      </w:r>
      <w:proofErr w:type="spellEnd"/>
      <w:r w:rsidRPr="00BE6747">
        <w:t xml:space="preserve"> (</w:t>
      </w:r>
      <w:proofErr w:type="spellStart"/>
      <w:r w:rsidRPr="00BE6747">
        <w:t>t</w:t>
      </w:r>
      <w:r w:rsidRPr="00BE6747">
        <w:rPr>
          <w:vertAlign w:val="subscript"/>
        </w:rPr>
        <w:t>max</w:t>
      </w:r>
      <w:proofErr w:type="spellEnd"/>
      <w:r w:rsidRPr="00BE6747">
        <w:t xml:space="preserve">) of </w:t>
      </w:r>
      <w:proofErr w:type="spellStart"/>
      <w:r w:rsidRPr="00BE6747">
        <w:t>omaveloxolone</w:t>
      </w:r>
      <w:proofErr w:type="spellEnd"/>
      <w:r w:rsidRPr="00BE6747">
        <w:t xml:space="preserve"> was shortened from approximately 10 hours to 6 hours when sprinkled on apple sauce (see Dose and method of administration).</w:t>
      </w:r>
    </w:p>
    <w:p w14:paraId="47E36664" w14:textId="77777777" w:rsidR="00961BC9" w:rsidRPr="00BE6747" w:rsidRDefault="00961BC9" w:rsidP="00961BC9">
      <w:r w:rsidRPr="00BE6747">
        <w:t xml:space="preserve">The absolute or relative bioavailability of </w:t>
      </w:r>
      <w:proofErr w:type="spellStart"/>
      <w:r w:rsidRPr="00BE6747">
        <w:t>omaveloxolone</w:t>
      </w:r>
      <w:proofErr w:type="spellEnd"/>
      <w:r w:rsidRPr="00BE6747">
        <w:t xml:space="preserve"> has not been determined.</w:t>
      </w:r>
    </w:p>
    <w:p w14:paraId="79DBD507" w14:textId="77777777" w:rsidR="00961BC9" w:rsidRPr="00070EE1" w:rsidRDefault="00961BC9" w:rsidP="00BE6747">
      <w:pPr>
        <w:pStyle w:val="Heading6"/>
      </w:pPr>
      <w:r w:rsidRPr="00070EE1">
        <w:t>Distribution</w:t>
      </w:r>
    </w:p>
    <w:p w14:paraId="7CB5011D" w14:textId="77777777" w:rsidR="00BE6747" w:rsidRPr="00BE6747" w:rsidRDefault="00BE6747" w:rsidP="00BE6747">
      <w:proofErr w:type="spellStart"/>
      <w:r w:rsidRPr="00BE6747">
        <w:t>Omaveloxolone</w:t>
      </w:r>
      <w:proofErr w:type="spellEnd"/>
      <w:r w:rsidRPr="00BE6747">
        <w:t xml:space="preserve"> is 97% bound to protein in human plasma. </w:t>
      </w:r>
      <w:proofErr w:type="spellStart"/>
      <w:r w:rsidRPr="00BE6747">
        <w:t>Omaveloxolone</w:t>
      </w:r>
      <w:proofErr w:type="spellEnd"/>
      <w:r w:rsidRPr="00BE6747">
        <w:t xml:space="preserve"> shows low to moderate membrane permeability. The average apparent volume of distribution is 7361 L (105 L/kg).</w:t>
      </w:r>
    </w:p>
    <w:p w14:paraId="46F8BB35" w14:textId="77777777" w:rsidR="00BE6747" w:rsidRPr="00070EE1" w:rsidRDefault="00BE6747" w:rsidP="00BE6747">
      <w:pPr>
        <w:pStyle w:val="Heading6"/>
      </w:pPr>
      <w:r w:rsidRPr="00070EE1">
        <w:t>Metabolism</w:t>
      </w:r>
    </w:p>
    <w:p w14:paraId="4F32BBE4" w14:textId="77777777" w:rsidR="00BE6747" w:rsidRPr="00BE6747" w:rsidRDefault="00BE6747" w:rsidP="00BE6747">
      <w:r w:rsidRPr="00BE6747">
        <w:t>Following a single oral dose of [14C]-</w:t>
      </w:r>
      <w:proofErr w:type="spellStart"/>
      <w:r w:rsidRPr="00BE6747">
        <w:t>omaveloxolone</w:t>
      </w:r>
      <w:proofErr w:type="spellEnd"/>
      <w:r w:rsidRPr="00BE6747">
        <w:t xml:space="preserve"> administered to healthy male subjects, </w:t>
      </w:r>
      <w:proofErr w:type="spellStart"/>
      <w:r w:rsidRPr="00BE6747">
        <w:t>omaveloxolone</w:t>
      </w:r>
      <w:proofErr w:type="spellEnd"/>
      <w:r w:rsidRPr="00BE6747">
        <w:t xml:space="preserve"> was found to be eliminated by metabolism via CYP3A4 to a series of 30 metabolites, of which 7 metabolites were quantified and identified. Metabolites M22 and M17 were major plasma metabolites that accounted for 18.6% and 10.9% of total plasma radioactivity, respectively. The other metabolites were minor, each accounting for less than 10% of total plasma radioactivity exposure. None of the metabolites has meaningful pharmacological activity.</w:t>
      </w:r>
    </w:p>
    <w:p w14:paraId="685EF949" w14:textId="77777777" w:rsidR="00BE6747" w:rsidRPr="009D2968" w:rsidRDefault="00BE6747" w:rsidP="00BE6747">
      <w:pPr>
        <w:pStyle w:val="Heading6"/>
      </w:pPr>
      <w:r w:rsidRPr="009D2968">
        <w:t>Excretion</w:t>
      </w:r>
    </w:p>
    <w:p w14:paraId="1E8E4F19" w14:textId="77777777" w:rsidR="00BE6747" w:rsidRPr="00BE6747" w:rsidRDefault="00BE6747" w:rsidP="00BE6747">
      <w:r w:rsidRPr="00BE6747">
        <w:t xml:space="preserve">Following a single oral dose of radio-labelled </w:t>
      </w:r>
      <w:proofErr w:type="spellStart"/>
      <w:r w:rsidRPr="00BE6747">
        <w:t>omaveloxolone</w:t>
      </w:r>
      <w:proofErr w:type="spellEnd"/>
      <w:r w:rsidRPr="00BE6747">
        <w:t xml:space="preserve"> administered to healthy male subjects, approximately 92.5% of the dosed radioactivity was recovered within a 528-hour collection period: 92.4% via the faeces and 0.1% via the urine. The majority (90.7%) of the administered dose was recovered in the faeces within 96 hours after administration.</w:t>
      </w:r>
    </w:p>
    <w:p w14:paraId="547D22EF" w14:textId="77777777" w:rsidR="00BE6747" w:rsidRPr="00BE6747" w:rsidRDefault="00BE6747" w:rsidP="00BE6747">
      <w:r w:rsidRPr="00BE6747">
        <w:t xml:space="preserve">The average apparent plasma clearance of </w:t>
      </w:r>
      <w:proofErr w:type="spellStart"/>
      <w:r w:rsidRPr="00BE6747">
        <w:t>omaveloxolone</w:t>
      </w:r>
      <w:proofErr w:type="spellEnd"/>
      <w:r w:rsidRPr="00BE6747">
        <w:t xml:space="preserve"> is 109 L/hr and the average apparent plasma terminal half-life is 58 hours (32-94 hours).</w:t>
      </w:r>
    </w:p>
    <w:p w14:paraId="566A1E87" w14:textId="77777777" w:rsidR="008C6DA0" w:rsidRDefault="008C6DA0">
      <w:pPr>
        <w:rPr>
          <w:rFonts w:ascii="Arial" w:eastAsia="Times New Roman" w:hAnsi="Arial" w:cs="Times New Roman"/>
          <w:b/>
          <w:bCs/>
          <w:color w:val="001871"/>
          <w:sz w:val="32"/>
          <w:szCs w:val="32"/>
        </w:rPr>
      </w:pPr>
      <w:bookmarkStart w:id="23" w:name="_Toc103679291"/>
      <w:r>
        <w:br w:type="page"/>
      </w:r>
    </w:p>
    <w:p w14:paraId="0D615854" w14:textId="172FABC5" w:rsidR="00324B33" w:rsidRPr="003F31A2" w:rsidRDefault="00324B33" w:rsidP="00324B33">
      <w:pPr>
        <w:pStyle w:val="Heading3"/>
      </w:pPr>
      <w:bookmarkStart w:id="24" w:name="_Toc233964966"/>
      <w:r>
        <w:lastRenderedPageBreak/>
        <w:t>Regulatory status</w:t>
      </w:r>
      <w:bookmarkEnd w:id="16"/>
      <w:bookmarkEnd w:id="17"/>
      <w:bookmarkEnd w:id="23"/>
      <w:r w:rsidR="003D25CF">
        <w:t xml:space="preserve"> at the time </w:t>
      </w:r>
      <w:r w:rsidR="00F24D03">
        <w:t>of TGA assessment</w:t>
      </w:r>
      <w:bookmarkEnd w:id="24"/>
    </w:p>
    <w:p w14:paraId="72C889D6" w14:textId="7E200950" w:rsidR="0017005C" w:rsidRPr="00BD5DBD" w:rsidRDefault="0017005C" w:rsidP="00741AB9">
      <w:pPr>
        <w:pStyle w:val="Heading4"/>
      </w:pPr>
      <w:bookmarkStart w:id="25" w:name="_Toc233964967"/>
      <w:r w:rsidRPr="00BD5DBD">
        <w:t>Australian regulatory</w:t>
      </w:r>
      <w:r>
        <w:t xml:space="preserve"> sta</w:t>
      </w:r>
      <w:r w:rsidR="0025785B">
        <w:t>t</w:t>
      </w:r>
      <w:r>
        <w:t>us</w:t>
      </w:r>
      <w:bookmarkEnd w:id="25"/>
    </w:p>
    <w:p w14:paraId="68DEFBB0" w14:textId="07CDC07D" w:rsidR="006075E8" w:rsidRDefault="006075E8" w:rsidP="006075E8">
      <w:pPr>
        <w:rPr>
          <w:lang w:val="en-US"/>
        </w:rPr>
      </w:pPr>
      <w:r>
        <w:rPr>
          <w:lang w:val="en-US"/>
        </w:rPr>
        <w:t xml:space="preserve">This is the first application for registration of </w:t>
      </w:r>
      <w:r w:rsidR="000B685D">
        <w:rPr>
          <w:lang w:val="en-US"/>
        </w:rPr>
        <w:t>Sky</w:t>
      </w:r>
      <w:r w:rsidR="00473FC5">
        <w:rPr>
          <w:lang w:val="en-US"/>
        </w:rPr>
        <w:t>clarys (</w:t>
      </w:r>
      <w:proofErr w:type="spellStart"/>
      <w:r w:rsidR="00473FC5">
        <w:rPr>
          <w:lang w:val="en-US"/>
        </w:rPr>
        <w:t>o</w:t>
      </w:r>
      <w:r>
        <w:rPr>
          <w:lang w:val="en-US"/>
        </w:rPr>
        <w:t>maveloxolone</w:t>
      </w:r>
      <w:proofErr w:type="spellEnd"/>
      <w:r w:rsidR="00473FC5">
        <w:rPr>
          <w:lang w:val="en-US"/>
        </w:rPr>
        <w:t>)</w:t>
      </w:r>
      <w:r>
        <w:rPr>
          <w:lang w:val="en-US"/>
        </w:rPr>
        <w:t xml:space="preserve"> in Australia.</w:t>
      </w:r>
    </w:p>
    <w:p w14:paraId="4D6A894B" w14:textId="69EE4CF8" w:rsidR="006075E8" w:rsidRPr="007B4380" w:rsidRDefault="006075E8" w:rsidP="006075E8">
      <w:pPr>
        <w:rPr>
          <w:lang w:val="en-US"/>
        </w:rPr>
      </w:pPr>
      <w:r>
        <w:rPr>
          <w:lang w:val="en-US"/>
        </w:rPr>
        <w:t>Orphan drug designation was granted for S</w:t>
      </w:r>
      <w:r w:rsidR="008F4B16">
        <w:rPr>
          <w:lang w:val="en-US"/>
        </w:rPr>
        <w:t>kyclarys</w:t>
      </w:r>
      <w:r>
        <w:rPr>
          <w:lang w:val="en-US"/>
        </w:rPr>
        <w:t xml:space="preserve"> in Australia by the TGA on the 14 May 2024.</w:t>
      </w:r>
    </w:p>
    <w:p w14:paraId="546C1031" w14:textId="503956A5" w:rsidR="0017005C" w:rsidRDefault="00131B1B" w:rsidP="008C6DA0">
      <w:pPr>
        <w:pStyle w:val="Heading4"/>
      </w:pPr>
      <w:bookmarkStart w:id="26" w:name="_Toc233964968"/>
      <w:r>
        <w:t xml:space="preserve">International </w:t>
      </w:r>
      <w:r w:rsidR="0017005C" w:rsidRPr="00BD5DBD">
        <w:t>regulatory</w:t>
      </w:r>
      <w:r w:rsidR="0017005C">
        <w:t xml:space="preserve"> status</w:t>
      </w:r>
      <w:bookmarkEnd w:id="26"/>
    </w:p>
    <w:p w14:paraId="4D421E02" w14:textId="69A283E4" w:rsidR="00A02E74" w:rsidRDefault="004A5C90" w:rsidP="00A02E74">
      <w:pPr>
        <w:rPr>
          <w:lang w:val="en-US"/>
        </w:rPr>
      </w:pPr>
      <w:r>
        <w:rPr>
          <w:lang w:val="en-US"/>
        </w:rPr>
        <w:t>At the time of TGA assessment</w:t>
      </w:r>
      <w:r w:rsidR="00414E88">
        <w:rPr>
          <w:lang w:val="en-US"/>
        </w:rPr>
        <w:t xml:space="preserve">, </w:t>
      </w:r>
      <w:r w:rsidR="00A02E74">
        <w:rPr>
          <w:lang w:val="en-US"/>
        </w:rPr>
        <w:t>S</w:t>
      </w:r>
      <w:r w:rsidR="00617C34">
        <w:rPr>
          <w:lang w:val="en-US"/>
        </w:rPr>
        <w:t>kyclarys</w:t>
      </w:r>
      <w:r w:rsidR="00A02E74">
        <w:rPr>
          <w:lang w:val="en-US"/>
        </w:rPr>
        <w:t xml:space="preserve"> ha</w:t>
      </w:r>
      <w:r w:rsidR="006F4842">
        <w:rPr>
          <w:lang w:val="en-US"/>
        </w:rPr>
        <w:t>d</w:t>
      </w:r>
      <w:r w:rsidR="00A02E74">
        <w:rPr>
          <w:lang w:val="en-US"/>
        </w:rPr>
        <w:t xml:space="preserve"> been approved in the European Union via centralized process on 9 February 2024 and the United States on 28 February 2023.</w:t>
      </w:r>
    </w:p>
    <w:p w14:paraId="7C8620DE" w14:textId="01EA3D40" w:rsidR="00A02E74" w:rsidRPr="006445DA" w:rsidRDefault="00A02E74" w:rsidP="00A02E74">
      <w:pPr>
        <w:rPr>
          <w:lang w:val="en-US"/>
        </w:rPr>
      </w:pPr>
      <w:r>
        <w:rPr>
          <w:lang w:val="en-US"/>
        </w:rPr>
        <w:t>This application is a Type A comparable overseas regulator B (COR-B) application</w:t>
      </w:r>
      <w:r w:rsidR="00726E50">
        <w:rPr>
          <w:lang w:val="en-US"/>
        </w:rPr>
        <w:t>,</w:t>
      </w:r>
      <w:r>
        <w:rPr>
          <w:lang w:val="en-US"/>
        </w:rPr>
        <w:t xml:space="preserve"> which </w:t>
      </w:r>
      <w:r w:rsidR="00DA205D">
        <w:rPr>
          <w:lang w:val="en-US"/>
        </w:rPr>
        <w:t>uses</w:t>
      </w:r>
      <w:r>
        <w:rPr>
          <w:lang w:val="en-US"/>
        </w:rPr>
        <w:t xml:space="preserve"> evaluation reports </w:t>
      </w:r>
      <w:r w:rsidR="00726E50">
        <w:rPr>
          <w:lang w:val="en-US"/>
        </w:rPr>
        <w:t>produced</w:t>
      </w:r>
      <w:r>
        <w:rPr>
          <w:lang w:val="en-US"/>
        </w:rPr>
        <w:t xml:space="preserve"> by the European Medicines Agency (EMA) during their evaluation. These evaluation reports have been used in the writing of th</w:t>
      </w:r>
      <w:r w:rsidR="00E7589B">
        <w:rPr>
          <w:lang w:val="en-US"/>
        </w:rPr>
        <w:t>e</w:t>
      </w:r>
      <w:r>
        <w:rPr>
          <w:lang w:val="en-US"/>
        </w:rPr>
        <w:t xml:space="preserve"> </w:t>
      </w:r>
      <w:r w:rsidR="00185508">
        <w:rPr>
          <w:lang w:val="en-US"/>
        </w:rPr>
        <w:t>Delegate</w:t>
      </w:r>
      <w:r w:rsidR="00E7589B">
        <w:rPr>
          <w:lang w:val="en-US"/>
        </w:rPr>
        <w:t>’</w:t>
      </w:r>
      <w:r>
        <w:rPr>
          <w:lang w:val="en-US"/>
        </w:rPr>
        <w:t>s overview.</w:t>
      </w:r>
    </w:p>
    <w:p w14:paraId="48602A37" w14:textId="77777777" w:rsidR="00A02E74" w:rsidRDefault="00A02E74" w:rsidP="00324B33">
      <w:pPr>
        <w:pStyle w:val="TableTitle"/>
      </w:pPr>
      <w:bookmarkStart w:id="27" w:name="_Ref99705479"/>
    </w:p>
    <w:p w14:paraId="19B9E0AC" w14:textId="53493CDB" w:rsidR="00324B33" w:rsidRDefault="00324B33" w:rsidP="00324B33">
      <w:pPr>
        <w:pStyle w:val="TableTitle"/>
      </w:pPr>
      <w:r>
        <w:t xml:space="preserve">Table </w:t>
      </w:r>
      <w:fldSimple w:instr=" SEQ Table \* ARABIC ">
        <w:r w:rsidR="008B1CB5">
          <w:rPr>
            <w:noProof/>
          </w:rPr>
          <w:t>1</w:t>
        </w:r>
      </w:fldSimple>
      <w:bookmarkEnd w:id="27"/>
      <w:r w:rsidR="003302FF">
        <w:rPr>
          <w:noProof/>
        </w:rPr>
        <w:t>.</w:t>
      </w:r>
      <w:r>
        <w:t xml:space="preserve"> International regulatory status</w:t>
      </w:r>
      <w:r w:rsidR="00BF502D">
        <w:t xml:space="preserve"> a</w:t>
      </w:r>
      <w:r w:rsidR="00BF502D" w:rsidRPr="00BF502D">
        <w:t xml:space="preserve">t the time the TGA </w:t>
      </w:r>
      <w:r w:rsidR="001E3A0A">
        <w:t>assessed t</w:t>
      </w:r>
      <w:r w:rsidR="00BF502D" w:rsidRPr="00BF502D">
        <w:t>his submission</w:t>
      </w:r>
    </w:p>
    <w:tbl>
      <w:tblPr>
        <w:tblStyle w:val="TableTGAblue2023"/>
        <w:tblW w:w="5000" w:type="pct"/>
        <w:tblLook w:val="04A0" w:firstRow="1" w:lastRow="0" w:firstColumn="1" w:lastColumn="0" w:noHBand="0" w:noVBand="1"/>
      </w:tblPr>
      <w:tblGrid>
        <w:gridCol w:w="1837"/>
        <w:gridCol w:w="1845"/>
        <w:gridCol w:w="2125"/>
        <w:gridCol w:w="3253"/>
      </w:tblGrid>
      <w:tr w:rsidR="00324B33" w:rsidRPr="00D01DDB" w14:paraId="405E5D78" w14:textId="16839333" w:rsidTr="00131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185B099B" w14:textId="7A4C0E6C" w:rsidR="00324B33" w:rsidRPr="00D01DDB" w:rsidRDefault="00324B33" w:rsidP="00324B33">
            <w:pPr>
              <w:rPr>
                <w:szCs w:val="22"/>
              </w:rPr>
            </w:pPr>
            <w:r w:rsidRPr="00D01DDB">
              <w:rPr>
                <w:szCs w:val="22"/>
              </w:rPr>
              <w:t>Region</w:t>
            </w:r>
          </w:p>
        </w:tc>
        <w:tc>
          <w:tcPr>
            <w:tcW w:w="1018" w:type="pct"/>
          </w:tcPr>
          <w:p w14:paraId="778C35C7" w14:textId="52D23C8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Submission date</w:t>
            </w:r>
          </w:p>
        </w:tc>
        <w:tc>
          <w:tcPr>
            <w:tcW w:w="1173" w:type="pct"/>
          </w:tcPr>
          <w:p w14:paraId="58F81584" w14:textId="66689ABF"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Status</w:t>
            </w:r>
          </w:p>
        </w:tc>
        <w:tc>
          <w:tcPr>
            <w:tcW w:w="1795" w:type="pct"/>
          </w:tcPr>
          <w:p w14:paraId="50B2D435" w14:textId="560588D2"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Approved indications</w:t>
            </w:r>
          </w:p>
        </w:tc>
      </w:tr>
      <w:tr w:rsidR="00324B33" w:rsidRPr="00D01DDB" w14:paraId="38D24E86" w14:textId="77777777" w:rsidTr="0013132F">
        <w:tc>
          <w:tcPr>
            <w:cnfStyle w:val="001000000000" w:firstRow="0" w:lastRow="0" w:firstColumn="1" w:lastColumn="0" w:oddVBand="0" w:evenVBand="0" w:oddHBand="0" w:evenHBand="0" w:firstRowFirstColumn="0" w:firstRowLastColumn="0" w:lastRowFirstColumn="0" w:lastRowLastColumn="0"/>
            <w:tcW w:w="1014" w:type="pct"/>
          </w:tcPr>
          <w:p w14:paraId="4C540DE5" w14:textId="4D83F861" w:rsidR="00324B33" w:rsidRPr="00D01DDB" w:rsidRDefault="001C65D8" w:rsidP="00324B33">
            <w:pPr>
              <w:rPr>
                <w:szCs w:val="22"/>
              </w:rPr>
            </w:pPr>
            <w:r>
              <w:rPr>
                <w:szCs w:val="22"/>
              </w:rPr>
              <w:t>European Union (via centralised procedure</w:t>
            </w:r>
          </w:p>
        </w:tc>
        <w:tc>
          <w:tcPr>
            <w:tcW w:w="1018" w:type="pct"/>
          </w:tcPr>
          <w:p w14:paraId="4FA5DDA9" w14:textId="77777777"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p>
        </w:tc>
        <w:tc>
          <w:tcPr>
            <w:tcW w:w="1173" w:type="pct"/>
          </w:tcPr>
          <w:p w14:paraId="1BBAD15E" w14:textId="77777777" w:rsidR="00E568B7"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 xml:space="preserve">Approved on </w:t>
            </w:r>
          </w:p>
          <w:p w14:paraId="29358393" w14:textId="7F0FC9BA" w:rsidR="00324B33" w:rsidRPr="00D01DDB" w:rsidRDefault="00BF4F3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9 February 2024</w:t>
            </w:r>
          </w:p>
        </w:tc>
        <w:tc>
          <w:tcPr>
            <w:tcW w:w="1795" w:type="pct"/>
          </w:tcPr>
          <w:p w14:paraId="05055674" w14:textId="59382AB7" w:rsidR="00324B33" w:rsidRPr="00D01DDB" w:rsidRDefault="00BF4F3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Skyclarys is indicated for the treatment of Fried</w:t>
            </w:r>
            <w:r w:rsidR="00DD2C08">
              <w:rPr>
                <w:szCs w:val="22"/>
              </w:rPr>
              <w:t>reich’s ataxia in adults and adolescents aged 16 years and older.</w:t>
            </w:r>
          </w:p>
        </w:tc>
      </w:tr>
      <w:tr w:rsidR="00324B33" w:rsidRPr="00D01DDB" w14:paraId="18B6E2AA" w14:textId="7783D66F" w:rsidTr="0013132F">
        <w:tc>
          <w:tcPr>
            <w:cnfStyle w:val="001000000000" w:firstRow="0" w:lastRow="0" w:firstColumn="1" w:lastColumn="0" w:oddVBand="0" w:evenVBand="0" w:oddHBand="0" w:evenHBand="0" w:firstRowFirstColumn="0" w:firstRowLastColumn="0" w:lastRowFirstColumn="0" w:lastRowLastColumn="0"/>
            <w:tcW w:w="1014" w:type="pct"/>
          </w:tcPr>
          <w:p w14:paraId="7F348960" w14:textId="1FBD6A2B" w:rsidR="00324B33" w:rsidRPr="00D01DDB" w:rsidRDefault="00DD2C08" w:rsidP="00324B33">
            <w:pPr>
              <w:rPr>
                <w:szCs w:val="22"/>
              </w:rPr>
            </w:pPr>
            <w:r>
              <w:rPr>
                <w:szCs w:val="22"/>
              </w:rPr>
              <w:t>United States of America</w:t>
            </w:r>
          </w:p>
        </w:tc>
        <w:tc>
          <w:tcPr>
            <w:tcW w:w="1018" w:type="pct"/>
          </w:tcPr>
          <w:p w14:paraId="1D871E57" w14:textId="77777777"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p>
        </w:tc>
        <w:tc>
          <w:tcPr>
            <w:tcW w:w="1173" w:type="pct"/>
          </w:tcPr>
          <w:p w14:paraId="12F538A8" w14:textId="77777777" w:rsidR="00E568B7" w:rsidRDefault="00DD2C08"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Approved on</w:t>
            </w:r>
          </w:p>
          <w:p w14:paraId="63A3A9D3" w14:textId="648B3EF3" w:rsidR="00324B33" w:rsidRPr="00D01DDB" w:rsidRDefault="004A1ED8"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28 February 2023</w:t>
            </w:r>
          </w:p>
        </w:tc>
        <w:tc>
          <w:tcPr>
            <w:tcW w:w="1795" w:type="pct"/>
          </w:tcPr>
          <w:p w14:paraId="17C650B8" w14:textId="27F0C925" w:rsidR="00324B33" w:rsidRPr="00D01DDB" w:rsidRDefault="004A1ED8"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Skyclarys is indicated for the treatment of Friedreich’s ataxia in adults and adolescents aged 16 years and older.</w:t>
            </w:r>
          </w:p>
        </w:tc>
      </w:tr>
      <w:tr w:rsidR="004A1ED8" w:rsidRPr="00D01DDB" w14:paraId="0965106A" w14:textId="77777777" w:rsidTr="0013132F">
        <w:tc>
          <w:tcPr>
            <w:cnfStyle w:val="001000000000" w:firstRow="0" w:lastRow="0" w:firstColumn="1" w:lastColumn="0" w:oddVBand="0" w:evenVBand="0" w:oddHBand="0" w:evenHBand="0" w:firstRowFirstColumn="0" w:firstRowLastColumn="0" w:lastRowFirstColumn="0" w:lastRowLastColumn="0"/>
            <w:tcW w:w="1014" w:type="pct"/>
          </w:tcPr>
          <w:p w14:paraId="163CA55D" w14:textId="07A9AB55" w:rsidR="004A1ED8" w:rsidRDefault="004A1ED8" w:rsidP="00324B33">
            <w:pPr>
              <w:rPr>
                <w:szCs w:val="22"/>
              </w:rPr>
            </w:pPr>
            <w:r>
              <w:rPr>
                <w:szCs w:val="22"/>
              </w:rPr>
              <w:t>Canada</w:t>
            </w:r>
          </w:p>
        </w:tc>
        <w:tc>
          <w:tcPr>
            <w:tcW w:w="1018" w:type="pct"/>
          </w:tcPr>
          <w:p w14:paraId="2FA09709" w14:textId="4025D1CE" w:rsidR="004A1ED8" w:rsidRPr="00D01DDB" w:rsidRDefault="004A1ED8"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Planned submission Q3 </w:t>
            </w:r>
            <w:r w:rsidR="00455A5B">
              <w:rPr>
                <w:szCs w:val="22"/>
              </w:rPr>
              <w:t>2024</w:t>
            </w:r>
          </w:p>
        </w:tc>
        <w:tc>
          <w:tcPr>
            <w:tcW w:w="1173" w:type="pct"/>
          </w:tcPr>
          <w:p w14:paraId="3ECEFB3A" w14:textId="77777777" w:rsidR="004A1ED8" w:rsidRDefault="004A1ED8" w:rsidP="00324B33">
            <w:pPr>
              <w:cnfStyle w:val="000000000000" w:firstRow="0" w:lastRow="0" w:firstColumn="0" w:lastColumn="0" w:oddVBand="0" w:evenVBand="0" w:oddHBand="0" w:evenHBand="0" w:firstRowFirstColumn="0" w:firstRowLastColumn="0" w:lastRowFirstColumn="0" w:lastRowLastColumn="0"/>
              <w:rPr>
                <w:szCs w:val="22"/>
              </w:rPr>
            </w:pPr>
          </w:p>
        </w:tc>
        <w:tc>
          <w:tcPr>
            <w:tcW w:w="1795" w:type="pct"/>
          </w:tcPr>
          <w:p w14:paraId="2588BA70" w14:textId="77777777" w:rsidR="004A1ED8" w:rsidRDefault="004A1ED8" w:rsidP="00324B33">
            <w:pPr>
              <w:cnfStyle w:val="000000000000" w:firstRow="0" w:lastRow="0" w:firstColumn="0" w:lastColumn="0" w:oddVBand="0" w:evenVBand="0" w:oddHBand="0" w:evenHBand="0" w:firstRowFirstColumn="0" w:firstRowLastColumn="0" w:lastRowFirstColumn="0" w:lastRowLastColumn="0"/>
              <w:rPr>
                <w:szCs w:val="22"/>
              </w:rPr>
            </w:pPr>
          </w:p>
        </w:tc>
      </w:tr>
      <w:tr w:rsidR="004A1ED8" w:rsidRPr="00D01DDB" w14:paraId="1492DCB0" w14:textId="77777777" w:rsidTr="0013132F">
        <w:tc>
          <w:tcPr>
            <w:cnfStyle w:val="001000000000" w:firstRow="0" w:lastRow="0" w:firstColumn="1" w:lastColumn="0" w:oddVBand="0" w:evenVBand="0" w:oddHBand="0" w:evenHBand="0" w:firstRowFirstColumn="0" w:firstRowLastColumn="0" w:lastRowFirstColumn="0" w:lastRowLastColumn="0"/>
            <w:tcW w:w="1014" w:type="pct"/>
          </w:tcPr>
          <w:p w14:paraId="0CD8C129" w14:textId="2891C610" w:rsidR="004A1ED8" w:rsidRDefault="00455A5B" w:rsidP="00324B33">
            <w:pPr>
              <w:rPr>
                <w:szCs w:val="22"/>
              </w:rPr>
            </w:pPr>
            <w:r>
              <w:rPr>
                <w:szCs w:val="22"/>
              </w:rPr>
              <w:t>New Zealand</w:t>
            </w:r>
          </w:p>
        </w:tc>
        <w:tc>
          <w:tcPr>
            <w:tcW w:w="1018" w:type="pct"/>
          </w:tcPr>
          <w:p w14:paraId="7276EED9" w14:textId="4B49EB68" w:rsidR="004A1ED8" w:rsidRPr="00D01DDB" w:rsidRDefault="00455A5B"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To be submitted after TGA decision</w:t>
            </w:r>
          </w:p>
        </w:tc>
        <w:tc>
          <w:tcPr>
            <w:tcW w:w="1173" w:type="pct"/>
          </w:tcPr>
          <w:p w14:paraId="57B5FA6F" w14:textId="77777777" w:rsidR="004A1ED8" w:rsidRDefault="004A1ED8" w:rsidP="00324B33">
            <w:pPr>
              <w:cnfStyle w:val="000000000000" w:firstRow="0" w:lastRow="0" w:firstColumn="0" w:lastColumn="0" w:oddVBand="0" w:evenVBand="0" w:oddHBand="0" w:evenHBand="0" w:firstRowFirstColumn="0" w:firstRowLastColumn="0" w:lastRowFirstColumn="0" w:lastRowLastColumn="0"/>
              <w:rPr>
                <w:szCs w:val="22"/>
              </w:rPr>
            </w:pPr>
          </w:p>
        </w:tc>
        <w:tc>
          <w:tcPr>
            <w:tcW w:w="1795" w:type="pct"/>
          </w:tcPr>
          <w:p w14:paraId="7B555B0C" w14:textId="77777777" w:rsidR="004A1ED8" w:rsidRDefault="004A1ED8" w:rsidP="00324B33">
            <w:pPr>
              <w:cnfStyle w:val="000000000000" w:firstRow="0" w:lastRow="0" w:firstColumn="0" w:lastColumn="0" w:oddVBand="0" w:evenVBand="0" w:oddHBand="0" w:evenHBand="0" w:firstRowFirstColumn="0" w:firstRowLastColumn="0" w:lastRowFirstColumn="0" w:lastRowLastColumn="0"/>
              <w:rPr>
                <w:szCs w:val="22"/>
              </w:rPr>
            </w:pPr>
          </w:p>
        </w:tc>
      </w:tr>
      <w:tr w:rsidR="00455A5B" w:rsidRPr="00D01DDB" w14:paraId="4E90E052" w14:textId="77777777" w:rsidTr="0013132F">
        <w:tc>
          <w:tcPr>
            <w:cnfStyle w:val="001000000000" w:firstRow="0" w:lastRow="0" w:firstColumn="1" w:lastColumn="0" w:oddVBand="0" w:evenVBand="0" w:oddHBand="0" w:evenHBand="0" w:firstRowFirstColumn="0" w:firstRowLastColumn="0" w:lastRowFirstColumn="0" w:lastRowLastColumn="0"/>
            <w:tcW w:w="1014" w:type="pct"/>
          </w:tcPr>
          <w:p w14:paraId="4FC0E831" w14:textId="2022DD70" w:rsidR="00455A5B" w:rsidRDefault="00455A5B" w:rsidP="00324B33">
            <w:pPr>
              <w:rPr>
                <w:szCs w:val="22"/>
              </w:rPr>
            </w:pPr>
            <w:r>
              <w:rPr>
                <w:szCs w:val="22"/>
              </w:rPr>
              <w:t>Singapore</w:t>
            </w:r>
          </w:p>
        </w:tc>
        <w:tc>
          <w:tcPr>
            <w:tcW w:w="1018" w:type="pct"/>
          </w:tcPr>
          <w:p w14:paraId="36988D0C" w14:textId="2E9052AF" w:rsidR="00455A5B" w:rsidRDefault="00455A5B"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Planned submission to be confirmed</w:t>
            </w:r>
          </w:p>
        </w:tc>
        <w:tc>
          <w:tcPr>
            <w:tcW w:w="1173" w:type="pct"/>
          </w:tcPr>
          <w:p w14:paraId="1567D8C2" w14:textId="77777777" w:rsidR="00455A5B" w:rsidRDefault="00455A5B" w:rsidP="00324B33">
            <w:pPr>
              <w:cnfStyle w:val="000000000000" w:firstRow="0" w:lastRow="0" w:firstColumn="0" w:lastColumn="0" w:oddVBand="0" w:evenVBand="0" w:oddHBand="0" w:evenHBand="0" w:firstRowFirstColumn="0" w:firstRowLastColumn="0" w:lastRowFirstColumn="0" w:lastRowLastColumn="0"/>
              <w:rPr>
                <w:szCs w:val="22"/>
              </w:rPr>
            </w:pPr>
          </w:p>
        </w:tc>
        <w:tc>
          <w:tcPr>
            <w:tcW w:w="1795" w:type="pct"/>
          </w:tcPr>
          <w:p w14:paraId="4BF34452" w14:textId="77777777" w:rsidR="00455A5B" w:rsidRDefault="00455A5B" w:rsidP="00324B33">
            <w:pPr>
              <w:cnfStyle w:val="000000000000" w:firstRow="0" w:lastRow="0" w:firstColumn="0" w:lastColumn="0" w:oddVBand="0" w:evenVBand="0" w:oddHBand="0" w:evenHBand="0" w:firstRowFirstColumn="0" w:firstRowLastColumn="0" w:lastRowFirstColumn="0" w:lastRowLastColumn="0"/>
              <w:rPr>
                <w:szCs w:val="22"/>
              </w:rPr>
            </w:pPr>
          </w:p>
        </w:tc>
      </w:tr>
      <w:tr w:rsidR="00455A5B" w:rsidRPr="00D01DDB" w14:paraId="6D0C4431" w14:textId="77777777" w:rsidTr="0013132F">
        <w:tc>
          <w:tcPr>
            <w:cnfStyle w:val="001000000000" w:firstRow="0" w:lastRow="0" w:firstColumn="1" w:lastColumn="0" w:oddVBand="0" w:evenVBand="0" w:oddHBand="0" w:evenHBand="0" w:firstRowFirstColumn="0" w:firstRowLastColumn="0" w:lastRowFirstColumn="0" w:lastRowLastColumn="0"/>
            <w:tcW w:w="1014" w:type="pct"/>
          </w:tcPr>
          <w:p w14:paraId="0F0B15AC" w14:textId="4006445A" w:rsidR="00455A5B" w:rsidRDefault="009B2081" w:rsidP="00324B33">
            <w:pPr>
              <w:rPr>
                <w:szCs w:val="22"/>
              </w:rPr>
            </w:pPr>
            <w:r>
              <w:rPr>
                <w:szCs w:val="22"/>
              </w:rPr>
              <w:t>Switzerland</w:t>
            </w:r>
          </w:p>
        </w:tc>
        <w:tc>
          <w:tcPr>
            <w:tcW w:w="1018" w:type="pct"/>
          </w:tcPr>
          <w:p w14:paraId="374B0FCC" w14:textId="24F3F8A0" w:rsidR="00455A5B" w:rsidRDefault="009B208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Submitted 12 January 2024</w:t>
            </w:r>
          </w:p>
        </w:tc>
        <w:tc>
          <w:tcPr>
            <w:tcW w:w="1173" w:type="pct"/>
          </w:tcPr>
          <w:p w14:paraId="55A9D44F" w14:textId="74F88126" w:rsidR="00455A5B" w:rsidRDefault="009B208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Under evaluation</w:t>
            </w:r>
          </w:p>
        </w:tc>
        <w:tc>
          <w:tcPr>
            <w:tcW w:w="1795" w:type="pct"/>
          </w:tcPr>
          <w:p w14:paraId="6F42B450" w14:textId="69CAEB3C" w:rsidR="00455A5B" w:rsidRDefault="009B208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Skyclarys is indicated for the treatment of Friedreich’s ataxia in adults and adolescents aged 16 years and older.</w:t>
            </w:r>
          </w:p>
        </w:tc>
      </w:tr>
    </w:tbl>
    <w:p w14:paraId="3964634D" w14:textId="77777777" w:rsidR="00D76A14" w:rsidRDefault="00D76A14">
      <w:pPr>
        <w:rPr>
          <w:rFonts w:ascii="Arial" w:eastAsia="Times New Roman" w:hAnsi="Arial" w:cs="Times New Roman"/>
          <w:b/>
          <w:bCs/>
          <w:color w:val="001871"/>
          <w:sz w:val="38"/>
          <w:szCs w:val="38"/>
        </w:rPr>
      </w:pPr>
      <w:bookmarkStart w:id="28" w:name="_Toc504480011"/>
      <w:bookmarkStart w:id="29" w:name="_Toc103679293"/>
      <w:r>
        <w:br w:type="page"/>
      </w:r>
    </w:p>
    <w:p w14:paraId="6D92589C" w14:textId="437D4F9F" w:rsidR="00324B33" w:rsidRDefault="00324B33" w:rsidP="00324B33">
      <w:pPr>
        <w:pStyle w:val="Heading2"/>
      </w:pPr>
      <w:bookmarkStart w:id="30" w:name="_Toc233964969"/>
      <w:r>
        <w:lastRenderedPageBreak/>
        <w:t>Registration timeline</w:t>
      </w:r>
      <w:bookmarkEnd w:id="28"/>
      <w:bookmarkEnd w:id="29"/>
      <w:bookmarkEnd w:id="30"/>
    </w:p>
    <w:p w14:paraId="5B779104" w14:textId="6782FF9D" w:rsidR="0017005C" w:rsidRDefault="0017005C" w:rsidP="00D76A14">
      <w:pPr>
        <w:spacing w:after="240"/>
      </w:pPr>
      <w:r w:rsidRPr="00BD5DBD">
        <w:rPr>
          <w:szCs w:val="22"/>
        </w:rPr>
        <w:t>Th</w:t>
      </w:r>
      <w:r w:rsidR="00804897">
        <w:rPr>
          <w:szCs w:val="22"/>
        </w:rPr>
        <w:t>e active ingredient with its proposed indication was given</w:t>
      </w:r>
      <w:r w:rsidR="00804897" w:rsidRPr="00804897">
        <w:t xml:space="preserve"> </w:t>
      </w:r>
      <w:hyperlink r:id="rId22" w:history="1">
        <w:r w:rsidR="00804897">
          <w:rPr>
            <w:rStyle w:val="Hyperlink"/>
          </w:rPr>
          <w:t>orphan drug designation</w:t>
        </w:r>
      </w:hyperlink>
      <w:r w:rsidR="00804897">
        <w:t>.</w:t>
      </w:r>
    </w:p>
    <w:p w14:paraId="44628C5F" w14:textId="203C582F" w:rsidR="00324B33" w:rsidRDefault="00324B33" w:rsidP="00D76A14">
      <w:pPr>
        <w:pStyle w:val="TableTitle"/>
      </w:pPr>
      <w:r w:rsidRPr="002C1232">
        <w:t xml:space="preserve">Table </w:t>
      </w:r>
      <w:fldSimple w:instr=" SEQ Table \* ARABIC ">
        <w:r w:rsidR="008B1CB5" w:rsidRPr="002C1232">
          <w:t>2</w:t>
        </w:r>
      </w:fldSimple>
      <w:r w:rsidR="003302FF">
        <w:t>.</w:t>
      </w:r>
      <w:r w:rsidRPr="002C1232">
        <w:t xml:space="preserve"> Timeline for </w:t>
      </w:r>
      <w:r w:rsidR="00516936">
        <w:t>Skyclarys</w:t>
      </w:r>
      <w:r w:rsidR="006E6059">
        <w:t>, s</w:t>
      </w:r>
      <w:r w:rsidRPr="002C1232">
        <w:t xml:space="preserve">ubmission </w:t>
      </w:r>
      <w:r w:rsidR="00391250" w:rsidRPr="000B7091">
        <w:t>PM-2024-02530-1-1</w:t>
      </w:r>
    </w:p>
    <w:tbl>
      <w:tblPr>
        <w:tblStyle w:val="TableTGAblue2023"/>
        <w:tblW w:w="8642" w:type="dxa"/>
        <w:tblLook w:val="04A0" w:firstRow="1" w:lastRow="0" w:firstColumn="1" w:lastColumn="0" w:noHBand="0" w:noVBand="1"/>
      </w:tblPr>
      <w:tblGrid>
        <w:gridCol w:w="5665"/>
        <w:gridCol w:w="2977"/>
      </w:tblGrid>
      <w:tr w:rsidR="00324B33" w:rsidRPr="00D01DDB" w14:paraId="6C59BE9C" w14:textId="77777777" w:rsidTr="000D7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6D80E78" w14:textId="3EC0CCAF" w:rsidR="00324B33" w:rsidRPr="00D01DDB" w:rsidRDefault="00324B33" w:rsidP="00324B33">
            <w:pPr>
              <w:rPr>
                <w:szCs w:val="22"/>
              </w:rPr>
            </w:pPr>
            <w:r w:rsidRPr="00D01DDB">
              <w:rPr>
                <w:szCs w:val="22"/>
              </w:rPr>
              <w:t>Description</w:t>
            </w:r>
          </w:p>
        </w:tc>
        <w:tc>
          <w:tcPr>
            <w:tcW w:w="2977" w:type="dxa"/>
          </w:tcPr>
          <w:p w14:paraId="79AFDC4B" w14:textId="0579203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Date</w:t>
            </w:r>
          </w:p>
        </w:tc>
      </w:tr>
      <w:tr w:rsidR="00324B33" w:rsidRPr="00D01DDB" w14:paraId="1398460B"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1106CC1E" w14:textId="56269E33" w:rsidR="00324B33" w:rsidRPr="00376A08" w:rsidRDefault="00324B33" w:rsidP="00E679D1">
            <w:r w:rsidRPr="00376A08">
              <w:t>Designation (Orphan)</w:t>
            </w:r>
          </w:p>
        </w:tc>
        <w:tc>
          <w:tcPr>
            <w:tcW w:w="2977" w:type="dxa"/>
          </w:tcPr>
          <w:p w14:paraId="4CD143CF" w14:textId="0145BED1" w:rsidR="00324B33" w:rsidRPr="00376A08" w:rsidRDefault="00617C34"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14 May 2024</w:t>
            </w:r>
          </w:p>
        </w:tc>
      </w:tr>
      <w:tr w:rsidR="00324B33" w:rsidRPr="00D01DDB" w14:paraId="23610C53"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759D2A12" w14:textId="4D46D246" w:rsidR="00324B33" w:rsidRPr="00376A08" w:rsidRDefault="00324B33" w:rsidP="00E679D1">
            <w:r w:rsidRPr="00376A08">
              <w:t>Submission dossier accepted evaluation commenced</w:t>
            </w:r>
          </w:p>
        </w:tc>
        <w:tc>
          <w:tcPr>
            <w:tcW w:w="2977" w:type="dxa"/>
          </w:tcPr>
          <w:p w14:paraId="2963D9D8" w14:textId="05823744" w:rsidR="00324B33" w:rsidRPr="00376A08" w:rsidRDefault="00EB68F4"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 xml:space="preserve">31 </w:t>
            </w:r>
            <w:r w:rsidR="00E768B9" w:rsidRPr="00376A08">
              <w:rPr>
                <w:szCs w:val="22"/>
              </w:rPr>
              <w:t>July 2024</w:t>
            </w:r>
          </w:p>
        </w:tc>
      </w:tr>
      <w:tr w:rsidR="00803926" w:rsidRPr="00D01DDB" w14:paraId="16D13F79"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6858B45A" w14:textId="0BB67609" w:rsidR="00803926" w:rsidRPr="00376A08" w:rsidDel="00C62B1C" w:rsidRDefault="00803926" w:rsidP="00E679D1">
            <w:r w:rsidRPr="00376A08">
              <w:t>Evaluation completed</w:t>
            </w:r>
          </w:p>
        </w:tc>
        <w:tc>
          <w:tcPr>
            <w:tcW w:w="2977" w:type="dxa"/>
          </w:tcPr>
          <w:p w14:paraId="2E0BD403" w14:textId="010E84B4" w:rsidR="00803926" w:rsidRPr="00376A08" w:rsidRDefault="0040543C"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 xml:space="preserve">24 </w:t>
            </w:r>
            <w:r w:rsidR="00914E52" w:rsidRPr="00376A08">
              <w:rPr>
                <w:szCs w:val="22"/>
              </w:rPr>
              <w:t xml:space="preserve">February </w:t>
            </w:r>
            <w:r w:rsidR="001D635D" w:rsidRPr="00376A08">
              <w:rPr>
                <w:szCs w:val="22"/>
              </w:rPr>
              <w:t>2025</w:t>
            </w:r>
          </w:p>
        </w:tc>
      </w:tr>
      <w:tr w:rsidR="00324B33" w:rsidRPr="00D01DDB" w14:paraId="5754F7AC"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789DE187" w14:textId="438F4A68" w:rsidR="00324B33" w:rsidRPr="00376A08" w:rsidRDefault="00324B33" w:rsidP="00E679D1">
            <w:r w:rsidRPr="00376A08">
              <w:t xml:space="preserve">Advisory </w:t>
            </w:r>
            <w:r w:rsidR="00F8568E" w:rsidRPr="00376A08">
              <w:t>c</w:t>
            </w:r>
            <w:r w:rsidRPr="00376A08">
              <w:t>ommittee meeting</w:t>
            </w:r>
          </w:p>
        </w:tc>
        <w:tc>
          <w:tcPr>
            <w:tcW w:w="2977" w:type="dxa"/>
          </w:tcPr>
          <w:p w14:paraId="5BE1EDE7" w14:textId="34506240" w:rsidR="00324B33" w:rsidRPr="00376A08" w:rsidRDefault="00E5234D"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4 April 2025</w:t>
            </w:r>
          </w:p>
        </w:tc>
      </w:tr>
      <w:tr w:rsidR="00324B33" w:rsidRPr="00D01DDB" w14:paraId="6E5D32FE"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4E95C44C" w14:textId="7A91C710" w:rsidR="00324B33" w:rsidRPr="00376A08" w:rsidRDefault="00324B33" w:rsidP="00E679D1">
            <w:r w:rsidRPr="00376A08">
              <w:t>Registration decision (Outcome)</w:t>
            </w:r>
          </w:p>
        </w:tc>
        <w:tc>
          <w:tcPr>
            <w:tcW w:w="2977" w:type="dxa"/>
          </w:tcPr>
          <w:p w14:paraId="62987ABD" w14:textId="27F11D40" w:rsidR="00324B33" w:rsidRPr="00376A08" w:rsidRDefault="00376A08"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23 May 2025</w:t>
            </w:r>
          </w:p>
        </w:tc>
      </w:tr>
      <w:tr w:rsidR="00324B33" w:rsidRPr="00D01DDB" w14:paraId="6DDCDDA4"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192FD19D" w14:textId="186F3E94" w:rsidR="00324B33" w:rsidRPr="00376A08" w:rsidRDefault="0013132F" w:rsidP="007311B9">
            <w:pPr>
              <w:ind w:left="0"/>
            </w:pPr>
            <w:r w:rsidRPr="00376A08">
              <w:t xml:space="preserve"> </w:t>
            </w:r>
            <w:r w:rsidR="00C96D3F" w:rsidRPr="00376A08">
              <w:t xml:space="preserve"> </w:t>
            </w:r>
            <w:r w:rsidR="00C00844" w:rsidRPr="00376A08">
              <w:t>R</w:t>
            </w:r>
            <w:r w:rsidRPr="00376A08">
              <w:t xml:space="preserve">egistration </w:t>
            </w:r>
            <w:r w:rsidR="005C4B46" w:rsidRPr="00376A08">
              <w:t xml:space="preserve">in </w:t>
            </w:r>
            <w:r w:rsidRPr="00376A08">
              <w:t>the ARTG completed</w:t>
            </w:r>
          </w:p>
        </w:tc>
        <w:tc>
          <w:tcPr>
            <w:tcW w:w="2977" w:type="dxa"/>
          </w:tcPr>
          <w:p w14:paraId="5A8923FD" w14:textId="7BEC1AC5" w:rsidR="00324B33" w:rsidRPr="00376A08" w:rsidRDefault="00864B56" w:rsidP="00324B33">
            <w:pPr>
              <w:cnfStyle w:val="000000000000" w:firstRow="0" w:lastRow="0" w:firstColumn="0" w:lastColumn="0" w:oddVBand="0" w:evenVBand="0" w:oddHBand="0" w:evenHBand="0" w:firstRowFirstColumn="0" w:firstRowLastColumn="0" w:lastRowFirstColumn="0" w:lastRowLastColumn="0"/>
              <w:rPr>
                <w:szCs w:val="22"/>
              </w:rPr>
            </w:pPr>
            <w:r w:rsidRPr="00376A08">
              <w:rPr>
                <w:szCs w:val="22"/>
              </w:rPr>
              <w:t>26 June 2025</w:t>
            </w:r>
          </w:p>
        </w:tc>
      </w:tr>
      <w:tr w:rsidR="00324B33" w:rsidRPr="007F1E4E" w14:paraId="56D922E2" w14:textId="77777777" w:rsidTr="000D78EC">
        <w:tc>
          <w:tcPr>
            <w:cnfStyle w:val="001000000000" w:firstRow="0" w:lastRow="0" w:firstColumn="1" w:lastColumn="0" w:oddVBand="0" w:evenVBand="0" w:oddHBand="0" w:evenHBand="0" w:firstRowFirstColumn="0" w:firstRowLastColumn="0" w:lastRowFirstColumn="0" w:lastRowLastColumn="0"/>
            <w:tcW w:w="5665" w:type="dxa"/>
          </w:tcPr>
          <w:p w14:paraId="787FD8DD" w14:textId="0E0CF97F" w:rsidR="00324B33" w:rsidRPr="007F1E4E" w:rsidRDefault="00324B33" w:rsidP="00E679D1">
            <w:r w:rsidRPr="007F1E4E">
              <w:t>Number of working days from submission dossier acceptance to registration decision*</w:t>
            </w:r>
          </w:p>
        </w:tc>
        <w:tc>
          <w:tcPr>
            <w:tcW w:w="2977" w:type="dxa"/>
          </w:tcPr>
          <w:p w14:paraId="5BAF9FA1" w14:textId="31F2B2B6" w:rsidR="00324B33" w:rsidRPr="007F1E4E" w:rsidRDefault="007F1E4E" w:rsidP="00324B33">
            <w:pPr>
              <w:cnfStyle w:val="000000000000" w:firstRow="0" w:lastRow="0" w:firstColumn="0" w:lastColumn="0" w:oddVBand="0" w:evenVBand="0" w:oddHBand="0" w:evenHBand="0" w:firstRowFirstColumn="0" w:firstRowLastColumn="0" w:lastRowFirstColumn="0" w:lastRowLastColumn="0"/>
              <w:rPr>
                <w:szCs w:val="22"/>
              </w:rPr>
            </w:pPr>
            <w:r w:rsidRPr="007F1E4E">
              <w:rPr>
                <w:szCs w:val="22"/>
              </w:rPr>
              <w:t>144 days</w:t>
            </w:r>
          </w:p>
        </w:tc>
      </w:tr>
    </w:tbl>
    <w:p w14:paraId="47E88CFC" w14:textId="52215AAF" w:rsidR="00433318" w:rsidRDefault="00433318" w:rsidP="00854D98">
      <w:pPr>
        <w:pStyle w:val="TableDescription"/>
      </w:pPr>
      <w:r w:rsidRPr="007F1E4E">
        <w:t>* The COR-B process has a 175 working day evaluation and decision timeframe.</w:t>
      </w:r>
    </w:p>
    <w:p w14:paraId="220925F1" w14:textId="75C7430A" w:rsidR="00C22214" w:rsidRPr="00792A32" w:rsidRDefault="00083763" w:rsidP="00C22214">
      <w:pPr>
        <w:pStyle w:val="Heading2"/>
      </w:pPr>
      <w:bookmarkStart w:id="31" w:name="_Toc233964970"/>
      <w:bookmarkStart w:id="32" w:name="_Toc196046504"/>
      <w:bookmarkStart w:id="33" w:name="_Toc247691527"/>
      <w:bookmarkStart w:id="34" w:name="_Toc314842510"/>
      <w:bookmarkStart w:id="35" w:name="_Toc103679294"/>
      <w:r>
        <w:t xml:space="preserve">Assessment </w:t>
      </w:r>
      <w:r w:rsidR="00C22214" w:rsidRPr="00006FAB">
        <w:t>overview</w:t>
      </w:r>
      <w:bookmarkEnd w:id="31"/>
      <w:r w:rsidR="00C22214" w:rsidRPr="00006FAB">
        <w:t xml:space="preserve"> </w:t>
      </w:r>
      <w:bookmarkEnd w:id="32"/>
      <w:bookmarkEnd w:id="33"/>
      <w:bookmarkEnd w:id="34"/>
      <w:bookmarkEnd w:id="35"/>
    </w:p>
    <w:p w14:paraId="710382B6" w14:textId="024EE4F0" w:rsidR="00AD089E" w:rsidRDefault="00AD089E" w:rsidP="00AD089E">
      <w:pPr>
        <w:rPr>
          <w:szCs w:val="22"/>
        </w:rPr>
      </w:pPr>
      <w:bookmarkStart w:id="36" w:name="_Toc247691528"/>
      <w:bookmarkStart w:id="37" w:name="_Toc314842511"/>
      <w:r w:rsidRPr="00AD089E">
        <w:rPr>
          <w:szCs w:val="22"/>
        </w:rPr>
        <w:t xml:space="preserve">This submission was submitted through the TGA’s </w:t>
      </w:r>
      <w:hyperlink r:id="rId23" w:history="1">
        <w:r w:rsidRPr="00AD089E">
          <w:rPr>
            <w:rStyle w:val="Hyperlink"/>
            <w:szCs w:val="22"/>
          </w:rPr>
          <w:t>Comparable Overseas Regulator</w:t>
        </w:r>
      </w:hyperlink>
      <w:r w:rsidRPr="00AD089E">
        <w:rPr>
          <w:szCs w:val="22"/>
        </w:rPr>
        <w:t xml:space="preserve"> B (COR-B) process, using evaluation reports from </w:t>
      </w:r>
      <w:r w:rsidR="00EE7AA6">
        <w:rPr>
          <w:szCs w:val="22"/>
        </w:rPr>
        <w:t>the EMA.</w:t>
      </w:r>
      <w:r w:rsidRPr="00AD089E">
        <w:rPr>
          <w:iCs/>
          <w:szCs w:val="22"/>
        </w:rPr>
        <w:t xml:space="preserve"> </w:t>
      </w:r>
      <w:r w:rsidRPr="00AD089E">
        <w:rPr>
          <w:szCs w:val="22"/>
        </w:rPr>
        <w:t>The full dossier was submitted to the TGA.</w:t>
      </w:r>
    </w:p>
    <w:p w14:paraId="540151FC" w14:textId="06E096BD" w:rsidR="00C22214" w:rsidRPr="00BD5DBD" w:rsidRDefault="00C22214" w:rsidP="00BD5DBD">
      <w:pPr>
        <w:rPr>
          <w:szCs w:val="22"/>
        </w:rPr>
      </w:pPr>
      <w:r w:rsidRPr="00BD5DBD">
        <w:rPr>
          <w:szCs w:val="22"/>
        </w:rPr>
        <w:t>A summary of the TGA’s assessment for this submission is provided below.</w:t>
      </w:r>
    </w:p>
    <w:p w14:paraId="37F5A1C0" w14:textId="5D3D5FE0" w:rsidR="00C22214" w:rsidRDefault="00095C6A" w:rsidP="00C22214">
      <w:pPr>
        <w:pStyle w:val="Heading3"/>
      </w:pPr>
      <w:bookmarkStart w:id="38" w:name="_Toc103679295"/>
      <w:bookmarkStart w:id="39" w:name="_Toc233964971"/>
      <w:r>
        <w:t>Q</w:t>
      </w:r>
      <w:r w:rsidR="00C22214">
        <w:t>uality</w:t>
      </w:r>
      <w:bookmarkEnd w:id="36"/>
      <w:bookmarkEnd w:id="37"/>
      <w:bookmarkEnd w:id="38"/>
      <w:r w:rsidR="007E6443">
        <w:t xml:space="preserve"> evaluation</w:t>
      </w:r>
      <w:r>
        <w:t xml:space="preserve"> summary</w:t>
      </w:r>
      <w:bookmarkEnd w:id="39"/>
    </w:p>
    <w:p w14:paraId="26C9F84D" w14:textId="2AF3EE88" w:rsidR="00762A34" w:rsidRPr="00AA1ACE" w:rsidRDefault="00762A34" w:rsidP="00762A34">
      <w:r w:rsidRPr="00AA1ACE">
        <w:t>The proposed product is indicated for the treatment of Friedreich’s ataxia in adults and adolescents aged 16 years and older, which is consistent with the Orphan drug designation approved 14 May 2024, and aligns with the indications approved in EU and the USA.</w:t>
      </w:r>
    </w:p>
    <w:p w14:paraId="2D4766D5" w14:textId="0CED97A4" w:rsidR="00762A34" w:rsidRPr="00AA1ACE" w:rsidRDefault="00762A34" w:rsidP="00762A34">
      <w:r w:rsidRPr="00AA1ACE">
        <w:t>The EU submission was approved</w:t>
      </w:r>
      <w:r w:rsidR="00D61A0B">
        <w:t xml:space="preserve"> on</w:t>
      </w:r>
      <w:r w:rsidRPr="00AA1ACE">
        <w:t xml:space="preserve"> 9 February 2024, although it is noted that the stability data provided for the EU submission was for a different condition (25°C/60% RH) to that proposed for Australia (30°C/75% RH).</w:t>
      </w:r>
    </w:p>
    <w:p w14:paraId="2740D073" w14:textId="77777777" w:rsidR="00762A34" w:rsidRPr="00AA1ACE" w:rsidRDefault="00762A34" w:rsidP="00762A34">
      <w:r w:rsidRPr="00AA1ACE">
        <w:t xml:space="preserve">The recommend maximum dose is 150 mg once daily. </w:t>
      </w:r>
    </w:p>
    <w:p w14:paraId="2356A76F" w14:textId="77777777" w:rsidR="00762A34" w:rsidRDefault="00762A34">
      <w:pPr>
        <w:rPr>
          <w:rFonts w:ascii="Arial" w:eastAsia="Times New Roman" w:hAnsi="Arial" w:cs="Times New Roman"/>
          <w:b/>
          <w:bCs/>
          <w:i/>
          <w:color w:val="001871"/>
          <w:sz w:val="26"/>
          <w:szCs w:val="26"/>
        </w:rPr>
      </w:pPr>
      <w:r>
        <w:br w:type="page"/>
      </w:r>
    </w:p>
    <w:p w14:paraId="7C8981CC" w14:textId="21570B3B" w:rsidR="00762A34" w:rsidRPr="00AA1ACE" w:rsidRDefault="00762A34" w:rsidP="00762A34">
      <w:pPr>
        <w:pStyle w:val="Heading5"/>
      </w:pPr>
      <w:r w:rsidRPr="00AA1ACE">
        <w:lastRenderedPageBreak/>
        <w:t>Drug substance</w:t>
      </w:r>
    </w:p>
    <w:p w14:paraId="42456DE3" w14:textId="23A76259" w:rsidR="00762A34" w:rsidRDefault="00762A34" w:rsidP="00762A34">
      <w:proofErr w:type="spellStart"/>
      <w:r w:rsidRPr="00AA1ACE">
        <w:t>Omaveloxolone</w:t>
      </w:r>
      <w:proofErr w:type="spellEnd"/>
      <w:r w:rsidRPr="00AA1ACE">
        <w:t xml:space="preserve"> is a semi-synthetic oleanane triterpenoid derived from naturally occurring oleanolic acid extracted from olive tree leaves</w:t>
      </w:r>
      <w:r w:rsidR="001113AE">
        <w:t>.</w:t>
      </w:r>
    </w:p>
    <w:p w14:paraId="05015CBB" w14:textId="340B320D" w:rsidR="001113AE" w:rsidRDefault="001113AE" w:rsidP="001113AE">
      <w:pPr>
        <w:pStyle w:val="FigureTitle"/>
      </w:pPr>
      <w:r>
        <w:t xml:space="preserve">Figure 1: </w:t>
      </w:r>
      <w:r w:rsidR="008C6941">
        <w:t>S</w:t>
      </w:r>
      <w:r>
        <w:t>tructure</w:t>
      </w:r>
      <w:r w:rsidR="008C6941">
        <w:t xml:space="preserve"> of the active substance (</w:t>
      </w:r>
      <w:proofErr w:type="spellStart"/>
      <w:r w:rsidR="008C6941">
        <w:t>omaveloxolone</w:t>
      </w:r>
      <w:proofErr w:type="spellEnd"/>
      <w:r w:rsidR="008C6941">
        <w:t>)</w:t>
      </w:r>
    </w:p>
    <w:tbl>
      <w:tblPr>
        <w:tblStyle w:val="TableGrid"/>
        <w:tblW w:w="13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474"/>
        <w:gridCol w:w="4310"/>
      </w:tblGrid>
      <w:tr w:rsidR="00762A34" w:rsidRPr="00AA1ACE" w14:paraId="3EE322BE" w14:textId="77777777" w:rsidTr="001113AE">
        <w:tc>
          <w:tcPr>
            <w:tcW w:w="4716" w:type="dxa"/>
          </w:tcPr>
          <w:p w14:paraId="7C958430" w14:textId="77777777" w:rsidR="00762A34" w:rsidRPr="00AA1ACE" w:rsidRDefault="00762A34" w:rsidP="00770C68">
            <w:pPr>
              <w:spacing w:line="240" w:lineRule="atLeast"/>
              <w:ind w:left="360"/>
            </w:pPr>
            <w:r w:rsidRPr="00AA1ACE">
              <w:rPr>
                <w:noProof/>
              </w:rPr>
              <w:drawing>
                <wp:inline distT="0" distB="0" distL="0" distR="0" wp14:anchorId="11239CF8" wp14:editId="26867D59">
                  <wp:extent cx="2624754" cy="1534867"/>
                  <wp:effectExtent l="0" t="0" r="4445" b="8255"/>
                  <wp:docPr id="1786254998" name="Picture 1" descr="Figure 1: Structure of the active substance (omavelox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54998" name="Picture 1" descr="Figure 1: Structure of the active substance (omaveloxolone)"/>
                          <pic:cNvPicPr/>
                        </pic:nvPicPr>
                        <pic:blipFill>
                          <a:blip r:embed="rId24"/>
                          <a:stretch>
                            <a:fillRect/>
                          </a:stretch>
                        </pic:blipFill>
                        <pic:spPr>
                          <a:xfrm>
                            <a:off x="0" y="0"/>
                            <a:ext cx="2650994" cy="1550211"/>
                          </a:xfrm>
                          <a:prstGeom prst="rect">
                            <a:avLst/>
                          </a:prstGeom>
                        </pic:spPr>
                      </pic:pic>
                    </a:graphicData>
                  </a:graphic>
                </wp:inline>
              </w:drawing>
            </w:r>
          </w:p>
        </w:tc>
        <w:tc>
          <w:tcPr>
            <w:tcW w:w="4474" w:type="dxa"/>
          </w:tcPr>
          <w:p w14:paraId="0EFD26C4" w14:textId="77777777" w:rsidR="00762A34" w:rsidRPr="00AA1ACE" w:rsidRDefault="00762A34" w:rsidP="00770C68">
            <w:pPr>
              <w:spacing w:line="240" w:lineRule="atLeast"/>
              <w:ind w:left="360"/>
            </w:pPr>
            <w:r w:rsidRPr="00AA1ACE">
              <w:rPr>
                <w:noProof/>
              </w:rPr>
              <w:drawing>
                <wp:inline distT="0" distB="0" distL="0" distR="0" wp14:anchorId="081821BB" wp14:editId="226EC4C3">
                  <wp:extent cx="2107859" cy="1516103"/>
                  <wp:effectExtent l="0" t="0" r="6985" b="8255"/>
                  <wp:docPr id="1088410659" name="Picture 1" descr="Figure 1: Structure of oleanol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10659" name="Picture 1" descr="Figure 1: Structure of oleanolic acid"/>
                          <pic:cNvPicPr/>
                        </pic:nvPicPr>
                        <pic:blipFill>
                          <a:blip r:embed="rId25"/>
                          <a:stretch>
                            <a:fillRect/>
                          </a:stretch>
                        </pic:blipFill>
                        <pic:spPr>
                          <a:xfrm>
                            <a:off x="0" y="0"/>
                            <a:ext cx="2132797" cy="1534040"/>
                          </a:xfrm>
                          <a:prstGeom prst="rect">
                            <a:avLst/>
                          </a:prstGeom>
                        </pic:spPr>
                      </pic:pic>
                    </a:graphicData>
                  </a:graphic>
                </wp:inline>
              </w:drawing>
            </w:r>
          </w:p>
        </w:tc>
        <w:tc>
          <w:tcPr>
            <w:tcW w:w="4310" w:type="dxa"/>
          </w:tcPr>
          <w:p w14:paraId="20C4F476" w14:textId="77777777" w:rsidR="00762A34" w:rsidRPr="00AA1ACE" w:rsidRDefault="00762A34" w:rsidP="00770C68">
            <w:pPr>
              <w:spacing w:line="240" w:lineRule="atLeast"/>
              <w:ind w:left="360"/>
            </w:pPr>
          </w:p>
        </w:tc>
      </w:tr>
      <w:tr w:rsidR="00762A34" w:rsidRPr="00AA1ACE" w14:paraId="5658BD64" w14:textId="77777777" w:rsidTr="001113AE">
        <w:trPr>
          <w:trHeight w:val="80"/>
        </w:trPr>
        <w:tc>
          <w:tcPr>
            <w:tcW w:w="4716" w:type="dxa"/>
          </w:tcPr>
          <w:p w14:paraId="2AB89EA1" w14:textId="3BDD0B7D" w:rsidR="00762A34" w:rsidRPr="00AA1ACE" w:rsidRDefault="00D123B0" w:rsidP="00770C68">
            <w:pPr>
              <w:spacing w:line="240" w:lineRule="atLeast"/>
              <w:ind w:left="360"/>
              <w:rPr>
                <w:b/>
                <w:bCs/>
              </w:rPr>
            </w:pPr>
            <w:r>
              <w:rPr>
                <w:b/>
                <w:bCs/>
              </w:rPr>
              <w:t xml:space="preserve">Active substance structure: </w:t>
            </w:r>
            <w:proofErr w:type="spellStart"/>
            <w:r w:rsidR="00762A34" w:rsidRPr="00AA1ACE">
              <w:rPr>
                <w:b/>
                <w:bCs/>
              </w:rPr>
              <w:t>Omaveloxolone</w:t>
            </w:r>
            <w:proofErr w:type="spellEnd"/>
          </w:p>
        </w:tc>
        <w:tc>
          <w:tcPr>
            <w:tcW w:w="4474" w:type="dxa"/>
          </w:tcPr>
          <w:p w14:paraId="07AA4488" w14:textId="77777777" w:rsidR="00762A34" w:rsidRPr="00AA1ACE" w:rsidRDefault="00762A34" w:rsidP="00770C68">
            <w:pPr>
              <w:spacing w:line="240" w:lineRule="atLeast"/>
              <w:ind w:left="360"/>
              <w:rPr>
                <w:b/>
                <w:bCs/>
              </w:rPr>
            </w:pPr>
            <w:r w:rsidRPr="00AA1ACE">
              <w:rPr>
                <w:b/>
                <w:bCs/>
              </w:rPr>
              <w:t>Oleanolic acid</w:t>
            </w:r>
          </w:p>
        </w:tc>
        <w:tc>
          <w:tcPr>
            <w:tcW w:w="4310" w:type="dxa"/>
          </w:tcPr>
          <w:p w14:paraId="2A13D82B" w14:textId="77777777" w:rsidR="00762A34" w:rsidRPr="00AA1ACE" w:rsidRDefault="00762A34" w:rsidP="00770C68">
            <w:pPr>
              <w:spacing w:line="240" w:lineRule="atLeast"/>
              <w:ind w:left="360"/>
              <w:rPr>
                <w:b/>
                <w:bCs/>
              </w:rPr>
            </w:pPr>
          </w:p>
        </w:tc>
      </w:tr>
    </w:tbl>
    <w:p w14:paraId="25668204" w14:textId="77777777" w:rsidR="00762A34" w:rsidRPr="00AA1ACE" w:rsidRDefault="00762A34" w:rsidP="00762A34"/>
    <w:p w14:paraId="6896A160" w14:textId="77777777" w:rsidR="00762A34" w:rsidRPr="00AA1ACE" w:rsidRDefault="00762A34" w:rsidP="00762A34">
      <w:proofErr w:type="spellStart"/>
      <w:r w:rsidRPr="00AA1ACE">
        <w:t>Omaveloxolone</w:t>
      </w:r>
      <w:proofErr w:type="spellEnd"/>
      <w:r w:rsidRPr="00AA1ACE">
        <w:t xml:space="preserve"> has seven chiral centres. All chiral centres except for one (13</w:t>
      </w:r>
      <w:r w:rsidRPr="00AA1ACE">
        <w:rPr>
          <w:i/>
          <w:iCs/>
        </w:rPr>
        <w:t>R</w:t>
      </w:r>
      <w:r w:rsidRPr="00AA1ACE">
        <w:t>) are introduced with the raw material, oleanolic acid.</w:t>
      </w:r>
    </w:p>
    <w:p w14:paraId="75B9DC7A" w14:textId="77777777" w:rsidR="00762A34" w:rsidRPr="00AA1ACE" w:rsidRDefault="00762A34" w:rsidP="00762A34">
      <w:r w:rsidRPr="00AA1ACE">
        <w:t>The drug substance is an amorphous powder. The amorphous form had higher aqueous solubility than the crystalline forms identified. Aqueous solubility is poor across the physiological pH range but increases to 0.45 mg/L at pH 10.</w:t>
      </w:r>
    </w:p>
    <w:p w14:paraId="764C3724" w14:textId="77777777" w:rsidR="00762A34" w:rsidRPr="00AA1ACE" w:rsidRDefault="00762A34" w:rsidP="00762A34">
      <w:r w:rsidRPr="00AA1ACE">
        <w:t xml:space="preserve">It is considered as a BCS Class 4 (based on the solubility across the physiological pH range and the maximum daily dose).  </w:t>
      </w:r>
    </w:p>
    <w:p w14:paraId="64EC65F9" w14:textId="77777777" w:rsidR="00762A34" w:rsidRPr="00AA1ACE" w:rsidRDefault="00762A34" w:rsidP="00762A34">
      <w:r w:rsidRPr="00AA1ACE">
        <w:t xml:space="preserve">The particle size distribution is adequately controlled. It was not a critical parameter as particle size did not have an impact on the drug product dissolution, bioavailability, processability, stability, or content uniformity.  </w:t>
      </w:r>
    </w:p>
    <w:p w14:paraId="5C10F213" w14:textId="77777777" w:rsidR="00762A34" w:rsidRDefault="00762A34" w:rsidP="00762A34">
      <w:r w:rsidRPr="00AA1ACE">
        <w:t>Apart from the minor issue pending from the MS5 evaluation, the proposed specification adequately controls the identity, potency, purity and chemical and physical properties of the drug substance relevant to the dose form.</w:t>
      </w:r>
    </w:p>
    <w:p w14:paraId="5C809781" w14:textId="77777777" w:rsidR="00852478" w:rsidRPr="00AA1ACE" w:rsidRDefault="00852478" w:rsidP="00852478">
      <w:r w:rsidRPr="00AA1ACE">
        <w:t>The synthetic impurities are controlled to either ICH Q3A or where higher were adequately qualified.</w:t>
      </w:r>
    </w:p>
    <w:p w14:paraId="4C410834" w14:textId="77777777" w:rsidR="00852478" w:rsidRPr="00AA1ACE" w:rsidRDefault="00852478" w:rsidP="00852478">
      <w:r w:rsidRPr="00AA1ACE">
        <w:t>Apart from the minor issues pending from the MS5 evaluation, the analytical methods used to analyse the product were adequately described and validated.</w:t>
      </w:r>
    </w:p>
    <w:p w14:paraId="75E492A5" w14:textId="77777777" w:rsidR="00852478" w:rsidRPr="00AA1ACE" w:rsidRDefault="00852478" w:rsidP="00852478">
      <w:r w:rsidRPr="00AA1ACE">
        <w:t xml:space="preserve">Risk evaluations on the potential presence of nitrosamines and elemental impurities were performed. No significant risk was identified. </w:t>
      </w:r>
    </w:p>
    <w:p w14:paraId="5CDAC963" w14:textId="77777777" w:rsidR="00852478" w:rsidRPr="00AA1ACE" w:rsidRDefault="00852478" w:rsidP="00852478">
      <w:r w:rsidRPr="00AA1ACE">
        <w:t>The retest period is 48 months when stored below 25°C.</w:t>
      </w:r>
    </w:p>
    <w:p w14:paraId="5EEF8375" w14:textId="77777777" w:rsidR="006A7437" w:rsidRDefault="006A7437">
      <w:pPr>
        <w:rPr>
          <w:rFonts w:ascii="Arial" w:eastAsia="Times New Roman" w:hAnsi="Arial" w:cs="Times New Roman"/>
          <w:b/>
          <w:bCs/>
          <w:i/>
          <w:color w:val="001871"/>
          <w:sz w:val="26"/>
          <w:szCs w:val="26"/>
        </w:rPr>
      </w:pPr>
      <w:r>
        <w:br w:type="page"/>
      </w:r>
    </w:p>
    <w:p w14:paraId="58B18996" w14:textId="12082E93" w:rsidR="00647310" w:rsidRDefault="00852478" w:rsidP="00852478">
      <w:pPr>
        <w:pStyle w:val="Heading5"/>
      </w:pPr>
      <w:r>
        <w:lastRenderedPageBreak/>
        <w:t>Drug product</w:t>
      </w:r>
    </w:p>
    <w:p w14:paraId="1C3513D3" w14:textId="51CC5AB9" w:rsidR="007F0998" w:rsidRPr="00AA1ACE" w:rsidRDefault="007F0998" w:rsidP="007F0998">
      <w:r w:rsidRPr="00AA1ACE">
        <w:t xml:space="preserve">The drug product is an immediate release oral capsule containing 50 mg of </w:t>
      </w:r>
      <w:proofErr w:type="spellStart"/>
      <w:r w:rsidRPr="00AA1ACE">
        <w:t>omaveloxolone</w:t>
      </w:r>
      <w:proofErr w:type="spellEnd"/>
      <w:r w:rsidRPr="00AA1ACE">
        <w:t xml:space="preserve"> and conventional excipients, filled into a size 0 </w:t>
      </w:r>
      <w:proofErr w:type="spellStart"/>
      <w:r w:rsidRPr="00AA1ACE">
        <w:t>hypromellose</w:t>
      </w:r>
      <w:proofErr w:type="spellEnd"/>
      <w:r w:rsidRPr="00AA1ACE">
        <w:t xml:space="preserve"> capsule imprinted with ‘RTA 408’ on the light green body and </w:t>
      </w:r>
      <w:r w:rsidR="006F7DED">
        <w:t>‘</w:t>
      </w:r>
      <w:r w:rsidRPr="00AA1ACE">
        <w:t>50</w:t>
      </w:r>
      <w:r w:rsidR="000030BE">
        <w:t>’</w:t>
      </w:r>
      <w:r w:rsidRPr="00AA1ACE">
        <w:t xml:space="preserve"> on the blue cap. </w:t>
      </w:r>
    </w:p>
    <w:p w14:paraId="3B463CE1" w14:textId="77777777" w:rsidR="007F0998" w:rsidRPr="00AA1ACE" w:rsidRDefault="007F0998" w:rsidP="007F0998">
      <w:r w:rsidRPr="00AA1ACE">
        <w:rPr>
          <w:noProof/>
        </w:rPr>
        <w:drawing>
          <wp:inline distT="0" distB="0" distL="0" distR="0" wp14:anchorId="19E00B7A" wp14:editId="228CDE0C">
            <wp:extent cx="1276350" cy="925466"/>
            <wp:effectExtent l="0" t="0" r="0" b="8255"/>
            <wp:docPr id="889816729" name="Picture 1" descr="Picture of the caps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16729" name="Picture 1" descr="Picture of the capsule"/>
                    <pic:cNvPicPr/>
                  </pic:nvPicPr>
                  <pic:blipFill>
                    <a:blip r:embed="rId26"/>
                    <a:stretch>
                      <a:fillRect/>
                    </a:stretch>
                  </pic:blipFill>
                  <pic:spPr>
                    <a:xfrm>
                      <a:off x="0" y="0"/>
                      <a:ext cx="1282984" cy="930276"/>
                    </a:xfrm>
                    <a:prstGeom prst="rect">
                      <a:avLst/>
                    </a:prstGeom>
                  </pic:spPr>
                </pic:pic>
              </a:graphicData>
            </a:graphic>
          </wp:inline>
        </w:drawing>
      </w:r>
    </w:p>
    <w:p w14:paraId="109A4933" w14:textId="77777777" w:rsidR="007F0998" w:rsidRPr="00AA1ACE" w:rsidRDefault="007F0998" w:rsidP="007F0998">
      <w:r w:rsidRPr="00AA1ACE">
        <w:t xml:space="preserve">The capsules are packaged in opaque, white, high-density polyethylene (HDPE) bottles containing 90 capsules. </w:t>
      </w:r>
    </w:p>
    <w:p w14:paraId="09F6EB9E" w14:textId="77777777" w:rsidR="007F0998" w:rsidRPr="00AA1ACE" w:rsidRDefault="007F0998" w:rsidP="007F0998">
      <w:r w:rsidRPr="00AA1ACE">
        <w:t>The capsules are manufactured by dry blending and encapsulation.</w:t>
      </w:r>
    </w:p>
    <w:p w14:paraId="60B9C7D1" w14:textId="77777777" w:rsidR="007F0998" w:rsidRPr="00AA1ACE" w:rsidRDefault="007F0998" w:rsidP="007F0998">
      <w:r w:rsidRPr="00AA1ACE">
        <w:t>Apart from the issues with the assay and impurity 1,2-Dihydro RTA 408 limits raised during the MS5 evaluation, the drug product specifications adequately control the quality of the drug product at release and throughout the shelf-life.</w:t>
      </w:r>
    </w:p>
    <w:p w14:paraId="52337856" w14:textId="77777777" w:rsidR="007F0998" w:rsidRPr="00AA1ACE" w:rsidRDefault="007F0998" w:rsidP="007F0998">
      <w:r w:rsidRPr="00AA1ACE">
        <w:t>The impurities are controlled to either ICH Q3B or where higher were adequately qualified.</w:t>
      </w:r>
    </w:p>
    <w:p w14:paraId="1B9C6C29" w14:textId="77777777" w:rsidR="007F0998" w:rsidRPr="00AA1ACE" w:rsidRDefault="007F0998" w:rsidP="007F0998">
      <w:r w:rsidRPr="00AA1ACE">
        <w:t>The analytical methods used to analyse the product were adequately described and validated.</w:t>
      </w:r>
    </w:p>
    <w:p w14:paraId="5AEE3078" w14:textId="77777777" w:rsidR="007F0998" w:rsidRPr="00AA1ACE" w:rsidRDefault="007F0998" w:rsidP="007F0998">
      <w:r w:rsidRPr="00AA1ACE">
        <w:t xml:space="preserve">A risk assessment on the potential contamination of the product with nitrosamine impurities did not identify any significant risk. </w:t>
      </w:r>
    </w:p>
    <w:p w14:paraId="7EC641AF" w14:textId="77777777" w:rsidR="007F0998" w:rsidRPr="00AA1ACE" w:rsidRDefault="007F0998" w:rsidP="007F0998">
      <w:r w:rsidRPr="00AA1ACE">
        <w:t xml:space="preserve">The dissolution limits were adequately justified based on the dissolution profiles of the development and clinical study batches. </w:t>
      </w:r>
    </w:p>
    <w:p w14:paraId="16D2CB77" w14:textId="77777777" w:rsidR="007F0998" w:rsidRPr="00AA1ACE" w:rsidRDefault="007F0998" w:rsidP="007F0998">
      <w:r w:rsidRPr="00AA1ACE">
        <w:t>A shelf life of 48 months when stored below 30</w:t>
      </w:r>
      <w:r w:rsidRPr="00AA1ACE">
        <w:sym w:font="Symbol" w:char="F0B0"/>
      </w:r>
      <w:r w:rsidRPr="00AA1ACE">
        <w:t xml:space="preserve">C is supported. </w:t>
      </w:r>
    </w:p>
    <w:p w14:paraId="2FD4557F" w14:textId="672A7D82" w:rsidR="007F0998" w:rsidRPr="00AA1ACE" w:rsidRDefault="007F0998" w:rsidP="007F0998">
      <w:r w:rsidRPr="00AA1ACE">
        <w:t>An in-use shelf-life of 30 days is supported</w:t>
      </w:r>
      <w:r w:rsidR="00145D82">
        <w:t>. T</w:t>
      </w:r>
      <w:r w:rsidRPr="00AA1ACE">
        <w:t xml:space="preserve">he </w:t>
      </w:r>
      <w:r w:rsidR="007B6B69">
        <w:t>sponsor</w:t>
      </w:r>
      <w:r w:rsidRPr="00AA1ACE">
        <w:t xml:space="preserve"> has provided a commitment to extend testing to 90 days, in line with the potential in-use period when dosed at 50 mg/day.</w:t>
      </w:r>
    </w:p>
    <w:p w14:paraId="7FE0A4A0" w14:textId="77777777" w:rsidR="007F0998" w:rsidRPr="00AA1ACE" w:rsidRDefault="007F0998" w:rsidP="007F0998">
      <w:pPr>
        <w:rPr>
          <w:bCs/>
        </w:rPr>
      </w:pPr>
      <w:r w:rsidRPr="00AA1ACE">
        <w:rPr>
          <w:bCs/>
        </w:rPr>
        <w:t>Biopharmaceutics</w:t>
      </w:r>
    </w:p>
    <w:p w14:paraId="681896DE" w14:textId="77777777" w:rsidR="007F0998" w:rsidRPr="00AA1ACE" w:rsidRDefault="007F0998" w:rsidP="007F0998">
      <w:r w:rsidRPr="00AA1ACE">
        <w:t>The drug product formulation used in the Phase 3 clinical studies is the same as the product formulation proposed for registration.  No bridging studies were required.</w:t>
      </w:r>
    </w:p>
    <w:p w14:paraId="79ABF9FA" w14:textId="77777777" w:rsidR="002634C1" w:rsidRPr="00EF7E16" w:rsidRDefault="002634C1" w:rsidP="002634C1">
      <w:pPr>
        <w:pStyle w:val="Heading5"/>
        <w:rPr>
          <w:szCs w:val="22"/>
        </w:rPr>
      </w:pPr>
      <w:r w:rsidRPr="00EF7E16">
        <w:rPr>
          <w:szCs w:val="22"/>
        </w:rPr>
        <w:t>Recommendation</w:t>
      </w:r>
    </w:p>
    <w:p w14:paraId="55A1DA30" w14:textId="312EFBA0" w:rsidR="002634C1" w:rsidRPr="00EF7E16" w:rsidRDefault="002634C1" w:rsidP="002634C1">
      <w:pPr>
        <w:pStyle w:val="Standard"/>
        <w:rPr>
          <w:sz w:val="22"/>
          <w:szCs w:val="22"/>
        </w:rPr>
      </w:pPr>
      <w:r w:rsidRPr="00EF7E16">
        <w:rPr>
          <w:sz w:val="22"/>
          <w:szCs w:val="22"/>
        </w:rPr>
        <w:t xml:space="preserve">It is expected that approval will be recommended from a quality and biopharmaceutic perspective once </w:t>
      </w:r>
      <w:r w:rsidR="00601797">
        <w:rPr>
          <w:sz w:val="22"/>
          <w:szCs w:val="22"/>
        </w:rPr>
        <w:t>some</w:t>
      </w:r>
      <w:r w:rsidRPr="00EF7E16">
        <w:rPr>
          <w:sz w:val="22"/>
          <w:szCs w:val="22"/>
        </w:rPr>
        <w:t xml:space="preserve"> minor outstanding issues raised in the MS5 evaluation report are resolved</w:t>
      </w:r>
      <w:r w:rsidR="00601797">
        <w:rPr>
          <w:sz w:val="22"/>
          <w:szCs w:val="22"/>
        </w:rPr>
        <w:t>.</w:t>
      </w:r>
      <w:r w:rsidRPr="00EF7E16">
        <w:rPr>
          <w:sz w:val="22"/>
          <w:szCs w:val="22"/>
        </w:rPr>
        <w:t xml:space="preserve"> </w:t>
      </w:r>
    </w:p>
    <w:p w14:paraId="22ADC5F5" w14:textId="77777777" w:rsidR="00E67489" w:rsidRDefault="00E67489">
      <w:pPr>
        <w:rPr>
          <w:rFonts w:ascii="Arial" w:eastAsia="Times New Roman" w:hAnsi="Arial" w:cs="Times New Roman"/>
          <w:b/>
          <w:bCs/>
          <w:color w:val="001871"/>
          <w:sz w:val="32"/>
          <w:szCs w:val="32"/>
        </w:rPr>
      </w:pPr>
      <w:bookmarkStart w:id="40" w:name="_Toc314842512"/>
      <w:bookmarkStart w:id="41" w:name="_Toc103679296"/>
      <w:r>
        <w:br w:type="page"/>
      </w:r>
    </w:p>
    <w:p w14:paraId="2BE90AAE" w14:textId="7257859D" w:rsidR="00C22214" w:rsidRDefault="00C22214" w:rsidP="00C22214">
      <w:pPr>
        <w:pStyle w:val="Heading3"/>
      </w:pPr>
      <w:bookmarkStart w:id="42" w:name="_Toc233964972"/>
      <w:r>
        <w:lastRenderedPageBreak/>
        <w:t>Nonclinical</w:t>
      </w:r>
      <w:bookmarkEnd w:id="40"/>
      <w:bookmarkEnd w:id="41"/>
      <w:r w:rsidR="007E6443">
        <w:t xml:space="preserve"> evaluation</w:t>
      </w:r>
      <w:r w:rsidR="00095C6A">
        <w:t xml:space="preserve"> summary</w:t>
      </w:r>
      <w:bookmarkEnd w:id="42"/>
    </w:p>
    <w:p w14:paraId="5531D7F6" w14:textId="067A5EA2" w:rsidR="00FE3DE3" w:rsidRPr="00C34B5D" w:rsidRDefault="00FE3DE3" w:rsidP="00D705AB">
      <w:r w:rsidRPr="00C34B5D">
        <w:rPr>
          <w:szCs w:val="22"/>
        </w:rPr>
        <w:t xml:space="preserve">Biogen Australia Pty Ltd has applied to register a new chemical entity, </w:t>
      </w:r>
      <w:proofErr w:type="spellStart"/>
      <w:r w:rsidRPr="00C34B5D">
        <w:rPr>
          <w:szCs w:val="22"/>
        </w:rPr>
        <w:t>omaveloxolone</w:t>
      </w:r>
      <w:proofErr w:type="spellEnd"/>
      <w:r w:rsidR="0085552B">
        <w:rPr>
          <w:szCs w:val="22"/>
        </w:rPr>
        <w:t xml:space="preserve"> (Skyclarys)</w:t>
      </w:r>
      <w:r w:rsidRPr="00C34B5D">
        <w:t xml:space="preserve">, </w:t>
      </w:r>
      <w:r>
        <w:t xml:space="preserve">a </w:t>
      </w:r>
      <w:r w:rsidRPr="00BE7620">
        <w:t xml:space="preserve">semi-synthetic oleanane triterpenoid </w:t>
      </w:r>
      <w:r>
        <w:t xml:space="preserve">and </w:t>
      </w:r>
      <w:r w:rsidRPr="00C34B5D">
        <w:t>nuclear factor erythroid 2-like 2 (Nrf2)</w:t>
      </w:r>
      <w:r>
        <w:t xml:space="preserve"> </w:t>
      </w:r>
      <w:proofErr w:type="gramStart"/>
      <w:r w:rsidRPr="00C34B5D">
        <w:t>activator</w:t>
      </w:r>
      <w:proofErr w:type="gramEnd"/>
      <w:r w:rsidRPr="00C34B5D">
        <w:t xml:space="preserve"> for the treatment of Friedreich’s ataxia (FA) in adults and adolescents aged 16 years and older. The proposed dosing regimen involves once daily oral </w:t>
      </w:r>
      <w:r w:rsidRPr="006A33C3">
        <w:t xml:space="preserve">administration of 3 hard capsules of 50 mg each (150 mg/day). Treatment is intended for chronic </w:t>
      </w:r>
      <w:r w:rsidRPr="00C7781F">
        <w:t xml:space="preserve">daily dosing. </w:t>
      </w:r>
    </w:p>
    <w:p w14:paraId="7436C9F6" w14:textId="77777777" w:rsidR="00FE3DE3" w:rsidRPr="00563D2F" w:rsidRDefault="00FE3DE3" w:rsidP="00D705AB">
      <w:pPr>
        <w:rPr>
          <w:color w:val="00B050"/>
        </w:rPr>
      </w:pPr>
      <w:r w:rsidRPr="00FA0C30">
        <w:t xml:space="preserve">The submitted Module 4 dossier was in accordance with the relevant ICH guideline for the nonclinical assessment of </w:t>
      </w:r>
      <w:r>
        <w:t>pharmaceutical (ICH M3(R2)).</w:t>
      </w:r>
      <w:r w:rsidRPr="00FA0C30">
        <w:t xml:space="preserve"> The overall quality of the nonclinical dossier was </w:t>
      </w:r>
      <w:r>
        <w:t>adequate</w:t>
      </w:r>
      <w:r w:rsidRPr="00FA0C30">
        <w:t>. All pivotal safety-related studies were GLP compliant.</w:t>
      </w:r>
      <w:r w:rsidRPr="00563D2F">
        <w:t xml:space="preserve"> </w:t>
      </w:r>
      <w:r w:rsidRPr="00C33666">
        <w:t>This evaluation has used assessments and considerations in reviews conducted by the EMA</w:t>
      </w:r>
      <w:r>
        <w:t xml:space="preserve">. </w:t>
      </w:r>
      <w:r w:rsidRPr="00C33666">
        <w:t xml:space="preserve"> </w:t>
      </w:r>
    </w:p>
    <w:p w14:paraId="6004A79E" w14:textId="77777777" w:rsidR="00344C58" w:rsidRDefault="00FE3DE3" w:rsidP="00D705AB">
      <w:r w:rsidRPr="00235EA4">
        <w:rPr>
          <w:i/>
        </w:rPr>
        <w:t>In vitro</w:t>
      </w:r>
      <w:r w:rsidRPr="002F5FCA">
        <w:t xml:space="preserve">, </w:t>
      </w:r>
      <w:bookmarkStart w:id="43" w:name="_Hlk191213077"/>
      <w:proofErr w:type="spellStart"/>
      <w:r w:rsidRPr="002F5FCA">
        <w:t>omaveloxolone</w:t>
      </w:r>
      <w:proofErr w:type="spellEnd"/>
      <w:r w:rsidRPr="002F5FCA">
        <w:t xml:space="preserve"> </w:t>
      </w:r>
      <w:bookmarkEnd w:id="43"/>
      <w:r>
        <w:t xml:space="preserve">(at clinically relevant concentrations) </w:t>
      </w:r>
      <w:r w:rsidRPr="002F5FCA">
        <w:t xml:space="preserve">demonstrated the ability to restore Nrf2 levels and activity and rescue mitochondrial dysfunction, restore redox balance and suppressed inflammation in models of FA, (including cells from FA patients). </w:t>
      </w:r>
      <w:r w:rsidRPr="00235EA4">
        <w:rPr>
          <w:i/>
          <w:iCs/>
        </w:rPr>
        <w:t>In vivo</w:t>
      </w:r>
      <w:r w:rsidRPr="002F5FCA">
        <w:t xml:space="preserve">, </w:t>
      </w:r>
      <w:proofErr w:type="spellStart"/>
      <w:r w:rsidRPr="002F5FCA">
        <w:t>omaveloxolone</w:t>
      </w:r>
      <w:proofErr w:type="spellEnd"/>
      <w:r w:rsidRPr="002F5FCA">
        <w:t xml:space="preserve"> demonstrated potent and effective </w:t>
      </w:r>
      <w:r w:rsidRPr="000A396D">
        <w:t xml:space="preserve">activation of Nrf2, resulting in induction of its </w:t>
      </w:r>
      <w:r w:rsidRPr="006A33C3">
        <w:t xml:space="preserve">target genes, increase antioxidative capacity and increased mitochondrial function in the brain. </w:t>
      </w:r>
    </w:p>
    <w:p w14:paraId="74EEDB26" w14:textId="1D2999F9" w:rsidR="00FE3DE3" w:rsidRPr="00BB034A" w:rsidRDefault="00FE3DE3" w:rsidP="00D705AB">
      <w:r w:rsidRPr="006A33C3">
        <w:t>The</w:t>
      </w:r>
      <w:r w:rsidRPr="006A33C3">
        <w:rPr>
          <w:i/>
          <w:iCs/>
        </w:rPr>
        <w:t xml:space="preserve"> in vivo </w:t>
      </w:r>
      <w:r w:rsidRPr="006A33C3">
        <w:t xml:space="preserve">efficacy studies of </w:t>
      </w:r>
      <w:proofErr w:type="spellStart"/>
      <w:r w:rsidRPr="006A33C3">
        <w:t>omaveloxolone</w:t>
      </w:r>
      <w:proofErr w:type="spellEnd"/>
      <w:r w:rsidRPr="006A33C3">
        <w:t xml:space="preserve"> were limited</w:t>
      </w:r>
      <w:r w:rsidRPr="00C7781F">
        <w:t xml:space="preserve">, </w:t>
      </w:r>
      <w:r w:rsidRPr="006A33C3">
        <w:t xml:space="preserve">in the absence of well-established and optimal animal models.  Proof of concept and demonstration of the mode of action of </w:t>
      </w:r>
      <w:proofErr w:type="spellStart"/>
      <w:r w:rsidRPr="006A33C3">
        <w:t>omaveloxolone</w:t>
      </w:r>
      <w:proofErr w:type="spellEnd"/>
      <w:r w:rsidRPr="006A33C3">
        <w:t xml:space="preserve"> (mostly through </w:t>
      </w:r>
      <w:r w:rsidRPr="006A33C3">
        <w:rPr>
          <w:i/>
          <w:iCs/>
        </w:rPr>
        <w:t xml:space="preserve">in vitro </w:t>
      </w:r>
      <w:r w:rsidRPr="006A33C3">
        <w:t xml:space="preserve">studies) in the intended disease to be treated (i.e., </w:t>
      </w:r>
      <w:r w:rsidRPr="00BB034A">
        <w:t>proposed indication) was adequate and offer support for the utility of S</w:t>
      </w:r>
      <w:r w:rsidR="00996BED">
        <w:t>kyclar</w:t>
      </w:r>
      <w:r w:rsidR="006866C2">
        <w:t>ys</w:t>
      </w:r>
      <w:r w:rsidRPr="00BB034A">
        <w:t xml:space="preserve"> for the proposed indication. </w:t>
      </w:r>
    </w:p>
    <w:p w14:paraId="0A5A3985" w14:textId="77777777" w:rsidR="00FE3DE3" w:rsidRPr="00BB034A" w:rsidRDefault="00FE3DE3" w:rsidP="00D705AB">
      <w:r w:rsidRPr="00BB034A">
        <w:t xml:space="preserve">Metabolites M22 and M17 (two major circulating metabolites of </w:t>
      </w:r>
      <w:proofErr w:type="spellStart"/>
      <w:r w:rsidRPr="00BB034A">
        <w:t>omaveloxolone</w:t>
      </w:r>
      <w:proofErr w:type="spellEnd"/>
      <w:r w:rsidRPr="00BB034A">
        <w:t xml:space="preserve">) showed no relevant pharmacological activity relative to </w:t>
      </w:r>
      <w:proofErr w:type="spellStart"/>
      <w:r w:rsidRPr="00BB034A">
        <w:t>omaveloxolone</w:t>
      </w:r>
      <w:proofErr w:type="spellEnd"/>
      <w:r w:rsidRPr="00BB034A">
        <w:t>.</w:t>
      </w:r>
    </w:p>
    <w:p w14:paraId="425D4868" w14:textId="77777777" w:rsidR="00FE3DE3" w:rsidRPr="00CB68F4" w:rsidRDefault="00FE3DE3" w:rsidP="00D705AB">
      <w:pPr>
        <w:rPr>
          <w:color w:val="00B050"/>
        </w:rPr>
      </w:pPr>
      <w:r>
        <w:t xml:space="preserve">No potential (clinically relevant) hazards </w:t>
      </w:r>
      <w:r w:rsidRPr="00666F28">
        <w:t xml:space="preserve">were identified in secondary pharmacology studies. </w:t>
      </w:r>
    </w:p>
    <w:p w14:paraId="0FAF9440" w14:textId="77777777" w:rsidR="00FE3DE3" w:rsidRPr="00EB69F1" w:rsidRDefault="00FE3DE3" w:rsidP="00D705AB">
      <w:r w:rsidRPr="000D0777">
        <w:t xml:space="preserve">No adverse effects were seen </w:t>
      </w:r>
      <w:r>
        <w:t>in s</w:t>
      </w:r>
      <w:r w:rsidRPr="000D0777">
        <w:t xml:space="preserve">afety pharmacology studies on CNS function </w:t>
      </w:r>
      <w:r>
        <w:t xml:space="preserve">or </w:t>
      </w:r>
      <w:r w:rsidRPr="000D0777">
        <w:t xml:space="preserve">respiratory function in rats. </w:t>
      </w:r>
      <w:r>
        <w:t>A</w:t>
      </w:r>
      <w:r w:rsidRPr="00BF072D">
        <w:t>t 75</w:t>
      </w:r>
      <w:r>
        <w:t xml:space="preserve">0 </w:t>
      </w:r>
      <w:proofErr w:type="spellStart"/>
      <w:r>
        <w:t>nM</w:t>
      </w:r>
      <w:proofErr w:type="spellEnd"/>
      <w:r w:rsidRPr="00BF072D">
        <w:t xml:space="preserve"> and 12</w:t>
      </w:r>
      <w:r>
        <w:t>00</w:t>
      </w:r>
      <w:r w:rsidRPr="00BF072D">
        <w:t xml:space="preserve"> </w:t>
      </w:r>
      <w:proofErr w:type="spellStart"/>
      <w:r>
        <w:t>n</w:t>
      </w:r>
      <w:r w:rsidRPr="00BF072D">
        <w:t>M</w:t>
      </w:r>
      <w:proofErr w:type="spellEnd"/>
      <w:r>
        <w:t>,</w:t>
      </w:r>
      <w:r w:rsidRPr="00BF072D">
        <w:t xml:space="preserve"> </w:t>
      </w:r>
      <w:proofErr w:type="spellStart"/>
      <w:r>
        <w:t>o</w:t>
      </w:r>
      <w:r w:rsidRPr="00BF072D">
        <w:t>maveloxolone</w:t>
      </w:r>
      <w:proofErr w:type="spellEnd"/>
      <w:r w:rsidRPr="00BF072D">
        <w:t xml:space="preserve"> produced a concentration-dependent inhibition of </w:t>
      </w:r>
      <w:proofErr w:type="spellStart"/>
      <w:r w:rsidRPr="00BF072D">
        <w:t>hERG</w:t>
      </w:r>
      <w:proofErr w:type="spellEnd"/>
      <w:r w:rsidRPr="00BF072D">
        <w:t xml:space="preserve">-mediated potassium currents of 6.72 and 21.5%, respectively. </w:t>
      </w:r>
      <w:r>
        <w:t>However,</w:t>
      </w:r>
      <w:r w:rsidRPr="00BF072D">
        <w:t xml:space="preserve"> </w:t>
      </w:r>
      <w:r w:rsidRPr="000D0777">
        <w:t xml:space="preserve">inhibition of </w:t>
      </w:r>
      <w:proofErr w:type="spellStart"/>
      <w:r w:rsidRPr="000D0777">
        <w:t>hERG</w:t>
      </w:r>
      <w:proofErr w:type="spellEnd"/>
      <w:r w:rsidRPr="000D0777">
        <w:t xml:space="preserve"> K+ channel tail current </w:t>
      </w:r>
      <w:r>
        <w:t xml:space="preserve">is not predicted </w:t>
      </w:r>
      <w:r w:rsidRPr="000D0777">
        <w:t xml:space="preserve">at </w:t>
      </w:r>
      <w:r>
        <w:t xml:space="preserve">an unbound drug </w:t>
      </w:r>
      <w:proofErr w:type="spellStart"/>
      <w:r>
        <w:t>Cmax</w:t>
      </w:r>
      <w:proofErr w:type="spellEnd"/>
      <w:r>
        <w:t xml:space="preserve"> of 4 </w:t>
      </w:r>
      <w:proofErr w:type="spellStart"/>
      <w:r>
        <w:t>nM</w:t>
      </w:r>
      <w:proofErr w:type="spellEnd"/>
      <w:r>
        <w:t xml:space="preserve"> in patients. </w:t>
      </w:r>
      <w:proofErr w:type="spellStart"/>
      <w:r>
        <w:t>Omaveloxolone</w:t>
      </w:r>
      <w:proofErr w:type="spellEnd"/>
      <w:r w:rsidRPr="000D0777">
        <w:t xml:space="preserve"> is not predicted to prolong the QT interval in patients.</w:t>
      </w:r>
    </w:p>
    <w:p w14:paraId="5DD72640" w14:textId="77777777" w:rsidR="00FE3DE3" w:rsidRPr="00D46985" w:rsidRDefault="00FE3DE3" w:rsidP="00D705AB">
      <w:r w:rsidRPr="00D46985">
        <w:t xml:space="preserve">Overall, the pharmacokinetic profile of </w:t>
      </w:r>
      <w:proofErr w:type="spellStart"/>
      <w:r w:rsidRPr="00D46985">
        <w:t>omaveloxolone</w:t>
      </w:r>
      <w:proofErr w:type="spellEnd"/>
      <w:r w:rsidRPr="00D46985">
        <w:t xml:space="preserve"> in animals was qualitatively similar to that of humans. It was rapidly absorbed with within 1-2 h (</w:t>
      </w:r>
      <w:proofErr w:type="spellStart"/>
      <w:r w:rsidRPr="00D46985">
        <w:rPr>
          <w:rFonts w:eastAsia="Cambria"/>
        </w:rPr>
        <w:t>T</w:t>
      </w:r>
      <w:r w:rsidRPr="00D46985">
        <w:rPr>
          <w:rFonts w:eastAsia="Cambria"/>
          <w:vertAlign w:val="subscript"/>
        </w:rPr>
        <w:t>max</w:t>
      </w:r>
      <w:proofErr w:type="spellEnd"/>
      <w:r w:rsidRPr="00D46985">
        <w:t>) in mice and 4-8 h in rats, rabbits, and monkeys. In mice and rats</w:t>
      </w:r>
      <w:r>
        <w:t>,</w:t>
      </w:r>
      <w:r w:rsidRPr="00D46985">
        <w:t xml:space="preserve"> half-life values (5-11 h) were similar but were longer in monkeys (23 h) and humans (48 h). In monkeys </w:t>
      </w:r>
      <w:proofErr w:type="spellStart"/>
      <w:r w:rsidRPr="00D46985">
        <w:t>omaveloxolone</w:t>
      </w:r>
      <w:proofErr w:type="spellEnd"/>
      <w:r w:rsidRPr="00D46985">
        <w:t xml:space="preserve"> has low oral bioavailability (3.4%) and is extensively metabolised following PO and IV dosing. Plasma protein binding was high in all animal species (92.7</w:t>
      </w:r>
      <w:r w:rsidRPr="00C7781F">
        <w:t xml:space="preserve"> - </w:t>
      </w:r>
      <w:r w:rsidRPr="00D46985">
        <w:t>99.6%</w:t>
      </w:r>
      <w:r w:rsidRPr="00C7781F">
        <w:t xml:space="preserve">) </w:t>
      </w:r>
      <w:r w:rsidRPr="00D46985">
        <w:t xml:space="preserve">and humans (96.9%). Tissue distribution was wide, with penetration into brain. </w:t>
      </w:r>
      <w:proofErr w:type="spellStart"/>
      <w:r w:rsidRPr="00D46985">
        <w:t>Omaveloxolone</w:t>
      </w:r>
      <w:proofErr w:type="spellEnd"/>
      <w:r w:rsidRPr="00D46985">
        <w:t xml:space="preserve">-derived radioactivity did not bind to melanin-containing tissues (eyes and skin). CYP3A4 was identified as the main metabolising enzyme in human liver microsomes, with minor contribution from CYP2C8. The main human metabolites (M17 &amp; 22) were significant metabolites in animals. Drug-related material was excreted </w:t>
      </w:r>
      <w:r w:rsidRPr="00D46985">
        <w:rPr>
          <w:i/>
          <w:iCs/>
        </w:rPr>
        <w:t>via</w:t>
      </w:r>
      <w:r w:rsidRPr="00D46985">
        <w:t xml:space="preserve"> urine and faeces, with faeces the predominant route of excretion in animals and humans.  </w:t>
      </w:r>
    </w:p>
    <w:p w14:paraId="21E35EA3" w14:textId="77777777" w:rsidR="00FE3DE3" w:rsidRPr="00FD4442" w:rsidRDefault="00FE3DE3" w:rsidP="00D705AB">
      <w:r w:rsidRPr="00957C11">
        <w:t xml:space="preserve">Based on </w:t>
      </w:r>
      <w:r w:rsidRPr="00957C11">
        <w:rPr>
          <w:i/>
          <w:iCs/>
        </w:rPr>
        <w:t>in vitro</w:t>
      </w:r>
      <w:r w:rsidRPr="00957C11">
        <w:t xml:space="preserve"> studies, </w:t>
      </w:r>
      <w:proofErr w:type="spellStart"/>
      <w:r w:rsidRPr="00957C11">
        <w:t>omaveloxolone</w:t>
      </w:r>
      <w:proofErr w:type="spellEnd"/>
      <w:r w:rsidRPr="00957C11">
        <w:t xml:space="preserve"> is a CYP3A4 substrate, therefore CYP3A4 inhibitors and inducers could alter systemic exposure to </w:t>
      </w:r>
      <w:proofErr w:type="spellStart"/>
      <w:r w:rsidRPr="00957C11">
        <w:t>omaveloxolone</w:t>
      </w:r>
      <w:proofErr w:type="spellEnd"/>
      <w:r w:rsidRPr="00957C11">
        <w:t xml:space="preserve">. </w:t>
      </w:r>
      <w:proofErr w:type="spellStart"/>
      <w:r w:rsidRPr="00957C11">
        <w:t>Omaveloxolone</w:t>
      </w:r>
      <w:proofErr w:type="spellEnd"/>
      <w:r w:rsidRPr="00957C11">
        <w:t xml:space="preserve"> is a weak inducer of CYP3A4 and CYP2C8 and therefore can alter exposure of co-administered drugs that are CYP3A4and CYP2C8 substrates. </w:t>
      </w:r>
      <w:r>
        <w:t>As</w:t>
      </w:r>
      <w:r w:rsidRPr="00957C11">
        <w:t xml:space="preserve"> </w:t>
      </w:r>
      <w:proofErr w:type="spellStart"/>
      <w:r w:rsidRPr="00C7781F">
        <w:t>o</w:t>
      </w:r>
      <w:r w:rsidRPr="00957C11">
        <w:t>maveloxolone</w:t>
      </w:r>
      <w:proofErr w:type="spellEnd"/>
      <w:r w:rsidRPr="00957C11">
        <w:t xml:space="preserve"> inhibited transporters MDR1</w:t>
      </w:r>
      <w:r>
        <w:t xml:space="preserve"> </w:t>
      </w:r>
      <w:r w:rsidRPr="00C7781F">
        <w:t>(P-</w:t>
      </w:r>
      <w:proofErr w:type="spellStart"/>
      <w:r w:rsidRPr="00C7781F">
        <w:t>gp</w:t>
      </w:r>
      <w:proofErr w:type="spellEnd"/>
      <w:r w:rsidRPr="00C7781F">
        <w:t>)</w:t>
      </w:r>
      <w:r w:rsidRPr="00957C11">
        <w:t xml:space="preserve">, OCT1, OAT1 and OATP1B3 </w:t>
      </w:r>
      <w:r w:rsidRPr="00C7781F">
        <w:t xml:space="preserve">at low µM </w:t>
      </w:r>
      <w:r w:rsidRPr="00957C11">
        <w:rPr>
          <w:rFonts w:eastAsia="Cambria"/>
        </w:rPr>
        <w:t>IC</w:t>
      </w:r>
      <w:r w:rsidRPr="00957C11">
        <w:rPr>
          <w:rFonts w:eastAsia="Cambria"/>
          <w:vertAlign w:val="subscript"/>
        </w:rPr>
        <w:t>50</w:t>
      </w:r>
      <w:r w:rsidRPr="00C7781F">
        <w:t xml:space="preserve">s </w:t>
      </w:r>
      <w:r w:rsidRPr="00957C11">
        <w:t xml:space="preserve">values </w:t>
      </w:r>
      <w:r w:rsidRPr="00C7781F">
        <w:t xml:space="preserve">(&gt;180-fold the clinical unbound </w:t>
      </w:r>
      <w:proofErr w:type="spellStart"/>
      <w:r w:rsidRPr="00C7781F">
        <w:t>Cmax</w:t>
      </w:r>
      <w:proofErr w:type="spellEnd"/>
      <w:r w:rsidRPr="00C7781F">
        <w:t>), it is not predicted to affect exposure of drugs that are substrates of these transporters</w:t>
      </w:r>
      <w:r w:rsidRPr="00957C11">
        <w:t>.</w:t>
      </w:r>
      <w:r w:rsidRPr="00C7781F">
        <w:rPr>
          <w:kern w:val="2"/>
        </w:rPr>
        <w:t xml:space="preserve"> </w:t>
      </w:r>
      <w:proofErr w:type="spellStart"/>
      <w:r w:rsidRPr="00957C11">
        <w:rPr>
          <w:kern w:val="2"/>
        </w:rPr>
        <w:t>Omaveloxolone</w:t>
      </w:r>
      <w:proofErr w:type="spellEnd"/>
      <w:r w:rsidRPr="00957C11">
        <w:rPr>
          <w:kern w:val="2"/>
        </w:rPr>
        <w:t xml:space="preserve"> is not an inhibitor of BCRP, BSEP, OAT3, OATP1B1, OATP1B3, OCT2, MATE1 and MATE2-K. </w:t>
      </w:r>
    </w:p>
    <w:p w14:paraId="2AB25095" w14:textId="77777777" w:rsidR="00FE3DE3" w:rsidRPr="00E724BF" w:rsidRDefault="00FE3DE3" w:rsidP="00D705AB">
      <w:pPr>
        <w:rPr>
          <w:kern w:val="2"/>
        </w:rPr>
      </w:pPr>
      <w:r>
        <w:lastRenderedPageBreak/>
        <w:t>In r</w:t>
      </w:r>
      <w:r w:rsidRPr="005F53C1">
        <w:t xml:space="preserve">epeat-dose </w:t>
      </w:r>
      <w:r>
        <w:t xml:space="preserve">PO </w:t>
      </w:r>
      <w:r w:rsidRPr="005F53C1">
        <w:t xml:space="preserve">toxicity studies in rats </w:t>
      </w:r>
      <w:r>
        <w:t xml:space="preserve">and </w:t>
      </w:r>
      <w:r w:rsidRPr="005F53C1">
        <w:t xml:space="preserve">Cynomolgus monkeys (up to 6 </w:t>
      </w:r>
      <w:r>
        <w:t>and 9 months, respectively</w:t>
      </w:r>
      <w:r w:rsidRPr="005F53C1">
        <w:t>)</w:t>
      </w:r>
      <w:r>
        <w:t xml:space="preserve">, systemic </w:t>
      </w:r>
      <w:r w:rsidRPr="008C3123">
        <w:t xml:space="preserve">exposures (AUC) were </w:t>
      </w:r>
      <w:r>
        <w:t xml:space="preserve">adequate (high in </w:t>
      </w:r>
      <w:r w:rsidRPr="008C3123">
        <w:t xml:space="preserve">rats </w:t>
      </w:r>
      <w:r>
        <w:t xml:space="preserve">and </w:t>
      </w:r>
      <w:r w:rsidRPr="008C3123">
        <w:t>low in monkey</w:t>
      </w:r>
      <w:r>
        <w:t>s). T</w:t>
      </w:r>
      <w:r w:rsidRPr="00490EEF">
        <w:t>arget organs for toxicity</w:t>
      </w:r>
      <w:r>
        <w:t xml:space="preserve"> (at clinically relevant exposures) </w:t>
      </w:r>
      <w:r w:rsidRPr="00490EEF">
        <w:t xml:space="preserve">were </w:t>
      </w:r>
      <w:r>
        <w:t xml:space="preserve">mostly partial to fully reversible </w:t>
      </w:r>
      <w:r w:rsidRPr="00E724BF">
        <w:rPr>
          <w:kern w:val="2"/>
        </w:rPr>
        <w:t xml:space="preserve">liver </w:t>
      </w:r>
      <w:r>
        <w:rPr>
          <w:kern w:val="2"/>
        </w:rPr>
        <w:t xml:space="preserve">alterations </w:t>
      </w:r>
      <w:r w:rsidRPr="00E724BF">
        <w:rPr>
          <w:kern w:val="2"/>
        </w:rPr>
        <w:t>(</w:t>
      </w:r>
      <w:r w:rsidRPr="00C7781F">
        <w:rPr>
          <w:i/>
          <w:iCs/>
          <w:kern w:val="2"/>
        </w:rPr>
        <w:t>increased liver weight, hepatocellular hypertrophy, bile duct hypertrophy/hyperplasia</w:t>
      </w:r>
      <w:r w:rsidRPr="00C7781F">
        <w:rPr>
          <w:i/>
          <w:iCs/>
        </w:rPr>
        <w:t xml:space="preserve"> elevations in total bilirubin, GGT, ALT and AST</w:t>
      </w:r>
      <w:r w:rsidRPr="00E724BF">
        <w:rPr>
          <w:kern w:val="2"/>
        </w:rPr>
        <w:t>), kidney (</w:t>
      </w:r>
      <w:r w:rsidRPr="00C7781F">
        <w:rPr>
          <w:i/>
          <w:iCs/>
          <w:kern w:val="2"/>
        </w:rPr>
        <w:t>minimal to mild tubular degeneration/</w:t>
      </w:r>
      <w:r>
        <w:rPr>
          <w:i/>
          <w:iCs/>
          <w:kern w:val="2"/>
        </w:rPr>
        <w:t xml:space="preserve"> </w:t>
      </w:r>
      <w:r w:rsidRPr="00C7781F">
        <w:rPr>
          <w:i/>
          <w:iCs/>
          <w:kern w:val="2"/>
        </w:rPr>
        <w:t>regeneration with associated proteinuria</w:t>
      </w:r>
      <w:r w:rsidRPr="00E724BF">
        <w:rPr>
          <w:kern w:val="2"/>
        </w:rPr>
        <w:t>) and gastrointestinal tract (</w:t>
      </w:r>
      <w:r w:rsidRPr="00C7781F">
        <w:rPr>
          <w:i/>
          <w:iCs/>
          <w:kern w:val="2"/>
        </w:rPr>
        <w:t>squamous epithelial hyperplasia – rats: in the non-glandular portion of the forestomach stomach; rats and monkeys: oesophagus and larynx</w:t>
      </w:r>
      <w:r w:rsidRPr="005310BC">
        <w:rPr>
          <w:kern w:val="2"/>
        </w:rPr>
        <w:t xml:space="preserve">). Increases in APTT, lower erythrocyte mass and iron deficiency were </w:t>
      </w:r>
      <w:r>
        <w:rPr>
          <w:kern w:val="2"/>
        </w:rPr>
        <w:t xml:space="preserve">also </w:t>
      </w:r>
      <w:r w:rsidRPr="005310BC">
        <w:rPr>
          <w:kern w:val="2"/>
        </w:rPr>
        <w:t>seen in monkeys</w:t>
      </w:r>
      <w:r>
        <w:rPr>
          <w:kern w:val="2"/>
        </w:rPr>
        <w:t xml:space="preserve">. </w:t>
      </w:r>
    </w:p>
    <w:p w14:paraId="15CA34E8" w14:textId="77777777" w:rsidR="00FE3DE3" w:rsidRPr="00C73E7A" w:rsidRDefault="00FE3DE3" w:rsidP="00D705AB">
      <w:pPr>
        <w:rPr>
          <w:color w:val="00B050"/>
          <w:kern w:val="2"/>
        </w:rPr>
      </w:pPr>
      <w:r>
        <w:rPr>
          <w:kern w:val="2"/>
        </w:rPr>
        <w:t>I</w:t>
      </w:r>
      <w:r w:rsidRPr="00F425A3">
        <w:rPr>
          <w:kern w:val="2"/>
        </w:rPr>
        <w:t>n human peripheral blood lymphocytes</w:t>
      </w:r>
      <w:r>
        <w:rPr>
          <w:kern w:val="2"/>
        </w:rPr>
        <w:t xml:space="preserve">, </w:t>
      </w:r>
      <w:proofErr w:type="spellStart"/>
      <w:r>
        <w:rPr>
          <w:kern w:val="2"/>
        </w:rPr>
        <w:t>o</w:t>
      </w:r>
      <w:r w:rsidRPr="00F425A3">
        <w:rPr>
          <w:kern w:val="2"/>
        </w:rPr>
        <w:t>maveloxolone</w:t>
      </w:r>
      <w:proofErr w:type="spellEnd"/>
      <w:r w:rsidRPr="00F425A3">
        <w:rPr>
          <w:kern w:val="2"/>
        </w:rPr>
        <w:t xml:space="preserve"> was clastogenic</w:t>
      </w:r>
      <w:r>
        <w:rPr>
          <w:kern w:val="2"/>
        </w:rPr>
        <w:t xml:space="preserve">. </w:t>
      </w:r>
      <w:r>
        <w:t xml:space="preserve">However, it </w:t>
      </w:r>
      <w:r w:rsidRPr="00F425A3">
        <w:rPr>
          <w:kern w:val="2"/>
        </w:rPr>
        <w:t xml:space="preserve">was not mutagenic in the Ames test, </w:t>
      </w:r>
      <w:r>
        <w:rPr>
          <w:kern w:val="2"/>
        </w:rPr>
        <w:t xml:space="preserve">two </w:t>
      </w:r>
      <w:r w:rsidRPr="00F425A3">
        <w:rPr>
          <w:i/>
          <w:iCs/>
          <w:kern w:val="2"/>
        </w:rPr>
        <w:t>in vivo</w:t>
      </w:r>
      <w:r w:rsidRPr="00F425A3">
        <w:rPr>
          <w:kern w:val="2"/>
        </w:rPr>
        <w:t xml:space="preserve"> bone marrow micronucleus test</w:t>
      </w:r>
      <w:r>
        <w:rPr>
          <w:kern w:val="2"/>
        </w:rPr>
        <w:t>s</w:t>
      </w:r>
      <w:r w:rsidRPr="00F425A3">
        <w:rPr>
          <w:kern w:val="2"/>
        </w:rPr>
        <w:t xml:space="preserve"> (rats) and </w:t>
      </w:r>
      <w:r>
        <w:rPr>
          <w:kern w:val="2"/>
        </w:rPr>
        <w:t xml:space="preserve">in </w:t>
      </w:r>
      <w:r w:rsidRPr="00F425A3">
        <w:rPr>
          <w:kern w:val="2"/>
        </w:rPr>
        <w:t xml:space="preserve">an </w:t>
      </w:r>
      <w:r w:rsidRPr="00F425A3">
        <w:rPr>
          <w:i/>
          <w:iCs/>
          <w:kern w:val="2"/>
        </w:rPr>
        <w:t>in vivo</w:t>
      </w:r>
      <w:r w:rsidRPr="00F425A3">
        <w:rPr>
          <w:kern w:val="2"/>
        </w:rPr>
        <w:t xml:space="preserve"> rat liver comet assay.</w:t>
      </w:r>
      <w:r w:rsidRPr="00F425A3">
        <w:t xml:space="preserve"> </w:t>
      </w:r>
      <w:r>
        <w:t>The m</w:t>
      </w:r>
      <w:r w:rsidRPr="0053115C">
        <w:rPr>
          <w:kern w:val="2"/>
        </w:rPr>
        <w:t>ajor human metabolite</w:t>
      </w:r>
      <w:r>
        <w:rPr>
          <w:kern w:val="2"/>
        </w:rPr>
        <w:t xml:space="preserve">s both </w:t>
      </w:r>
      <w:r w:rsidRPr="0053115C">
        <w:rPr>
          <w:kern w:val="2"/>
        </w:rPr>
        <w:t>M17 (TX304571)</w:t>
      </w:r>
      <w:r>
        <w:rPr>
          <w:kern w:val="2"/>
        </w:rPr>
        <w:t xml:space="preserve"> is not </w:t>
      </w:r>
      <w:r w:rsidRPr="0053115C">
        <w:rPr>
          <w:kern w:val="2"/>
        </w:rPr>
        <w:t xml:space="preserve">a bacterial mutagen </w:t>
      </w:r>
      <w:r>
        <w:rPr>
          <w:kern w:val="2"/>
        </w:rPr>
        <w:t>(</w:t>
      </w:r>
      <w:r w:rsidRPr="00C7781F">
        <w:rPr>
          <w:i/>
          <w:iCs/>
          <w:kern w:val="2"/>
        </w:rPr>
        <w:t>i</w:t>
      </w:r>
      <w:r w:rsidRPr="00C123D3">
        <w:rPr>
          <w:i/>
          <w:iCs/>
        </w:rPr>
        <w:t>n</w:t>
      </w:r>
      <w:r>
        <w:rPr>
          <w:i/>
          <w:iCs/>
        </w:rPr>
        <w:t xml:space="preserve"> silico </w:t>
      </w:r>
      <w:r>
        <w:t xml:space="preserve">analysis; </w:t>
      </w:r>
      <w:r w:rsidRPr="0053115C">
        <w:rPr>
          <w:kern w:val="2"/>
        </w:rPr>
        <w:t xml:space="preserve">classified Class 5 per </w:t>
      </w:r>
      <w:r w:rsidRPr="00ED0A7D">
        <w:rPr>
          <w:kern w:val="2"/>
        </w:rPr>
        <w:t>ICH) and M22</w:t>
      </w:r>
      <w:r w:rsidRPr="00473BAC">
        <w:rPr>
          <w:kern w:val="2"/>
        </w:rPr>
        <w:t xml:space="preserve"> (TX304579) did not </w:t>
      </w:r>
      <w:r>
        <w:rPr>
          <w:kern w:val="2"/>
        </w:rPr>
        <w:t xml:space="preserve">show </w:t>
      </w:r>
      <w:r w:rsidRPr="00473BAC">
        <w:rPr>
          <w:kern w:val="2"/>
        </w:rPr>
        <w:t xml:space="preserve">any alerting mutagenic structures </w:t>
      </w:r>
      <w:r>
        <w:rPr>
          <w:kern w:val="2"/>
        </w:rPr>
        <w:t>(</w:t>
      </w:r>
      <w:r>
        <w:rPr>
          <w:i/>
          <w:iCs/>
          <w:kern w:val="2"/>
        </w:rPr>
        <w:t>i</w:t>
      </w:r>
      <w:r w:rsidRPr="00AD5CF2">
        <w:rPr>
          <w:i/>
          <w:iCs/>
          <w:kern w:val="2"/>
        </w:rPr>
        <w:t xml:space="preserve">n silico </w:t>
      </w:r>
      <w:r w:rsidRPr="00473BAC">
        <w:rPr>
          <w:kern w:val="2"/>
        </w:rPr>
        <w:t>analysis</w:t>
      </w:r>
      <w:r>
        <w:rPr>
          <w:kern w:val="2"/>
        </w:rPr>
        <w:t xml:space="preserve">) and </w:t>
      </w:r>
      <w:r w:rsidRPr="00473BAC">
        <w:rPr>
          <w:kern w:val="2"/>
        </w:rPr>
        <w:t xml:space="preserve">was </w:t>
      </w:r>
      <w:r>
        <w:rPr>
          <w:kern w:val="2"/>
        </w:rPr>
        <w:t xml:space="preserve">also </w:t>
      </w:r>
      <w:r w:rsidRPr="00473BAC">
        <w:rPr>
          <w:kern w:val="2"/>
        </w:rPr>
        <w:t>negative in a</w:t>
      </w:r>
      <w:r>
        <w:rPr>
          <w:kern w:val="2"/>
        </w:rPr>
        <w:t xml:space="preserve">n </w:t>
      </w:r>
      <w:r w:rsidRPr="00473BAC">
        <w:rPr>
          <w:kern w:val="2"/>
        </w:rPr>
        <w:t>Ames test</w:t>
      </w:r>
      <w:r>
        <w:rPr>
          <w:kern w:val="2"/>
        </w:rPr>
        <w:t>.</w:t>
      </w:r>
    </w:p>
    <w:p w14:paraId="095C546B" w14:textId="22054617" w:rsidR="00FE3DE3" w:rsidRPr="00390A35" w:rsidRDefault="00FE3DE3" w:rsidP="00D705AB">
      <w:pPr>
        <w:rPr>
          <w:color w:val="00B050"/>
        </w:rPr>
      </w:pPr>
      <w:r>
        <w:t>I</w:t>
      </w:r>
      <w:r w:rsidRPr="005676F2">
        <w:t xml:space="preserve">n </w:t>
      </w:r>
      <w:r>
        <w:t>a 6-month</w:t>
      </w:r>
      <w:r w:rsidRPr="005676F2">
        <w:t xml:space="preserve"> </w:t>
      </w:r>
      <w:r>
        <w:t xml:space="preserve">PO </w:t>
      </w:r>
      <w:r w:rsidRPr="005676F2">
        <w:t>carcinogenicity study</w:t>
      </w:r>
      <w:r w:rsidRPr="008D14F2">
        <w:t xml:space="preserve"> </w:t>
      </w:r>
      <w:r w:rsidRPr="005676F2">
        <w:t xml:space="preserve">in </w:t>
      </w:r>
      <w:r w:rsidRPr="00A37E1C">
        <w:rPr>
          <w:kern w:val="2"/>
        </w:rPr>
        <w:t xml:space="preserve">transgenic rasH2 hemizygous </w:t>
      </w:r>
      <w:r w:rsidRPr="005676F2">
        <w:t>mice</w:t>
      </w:r>
      <w:r>
        <w:t>, there were n</w:t>
      </w:r>
      <w:r w:rsidRPr="005676F2">
        <w:t>o treatment related increase</w:t>
      </w:r>
      <w:r>
        <w:t>s</w:t>
      </w:r>
      <w:r w:rsidRPr="005676F2">
        <w:t xml:space="preserve"> in tumour</w:t>
      </w:r>
      <w:r>
        <w:t>s</w:t>
      </w:r>
      <w:r w:rsidRPr="005676F2">
        <w:t>. NOEL</w:t>
      </w:r>
      <w:r>
        <w:t>s</w:t>
      </w:r>
      <w:r w:rsidRPr="005676F2">
        <w:t xml:space="preserve"> for carcinogenicity in male and female rats w</w:t>
      </w:r>
      <w:r>
        <w:t>ere</w:t>
      </w:r>
      <w:r w:rsidRPr="005676F2">
        <w:t xml:space="preserve"> established at 30 </w:t>
      </w:r>
      <w:r>
        <w:t xml:space="preserve">and </w:t>
      </w:r>
      <w:r w:rsidRPr="005676F2">
        <w:t>100 mg/kg/day (</w:t>
      </w:r>
      <w:r w:rsidRPr="00390A35">
        <w:rPr>
          <w:rFonts w:eastAsia="Cambria"/>
        </w:rPr>
        <w:t>ER</w:t>
      </w:r>
      <w:r w:rsidRPr="00390A35">
        <w:rPr>
          <w:rFonts w:eastAsia="Cambria"/>
          <w:vertAlign w:val="subscript"/>
        </w:rPr>
        <w:t>AUC</w:t>
      </w:r>
      <w:r>
        <w:t xml:space="preserve"> </w:t>
      </w:r>
      <w:r w:rsidRPr="005676F2">
        <w:t>15</w:t>
      </w:r>
      <w:r>
        <w:t xml:space="preserve"> and </w:t>
      </w:r>
      <w:r w:rsidRPr="005676F2">
        <w:t>55), respectively</w:t>
      </w:r>
      <w:r>
        <w:t>.</w:t>
      </w:r>
      <w:r w:rsidRPr="005676F2">
        <w:t xml:space="preserve"> </w:t>
      </w:r>
      <w:r>
        <w:t>However, i</w:t>
      </w:r>
      <w:r w:rsidRPr="00DE1F58">
        <w:t xml:space="preserve">n </w:t>
      </w:r>
      <w:r>
        <w:t xml:space="preserve">two </w:t>
      </w:r>
      <w:r>
        <w:br/>
        <w:t xml:space="preserve">6- and 9-month </w:t>
      </w:r>
      <w:r w:rsidRPr="00DE1F58">
        <w:t>repeat dose toxicity studies</w:t>
      </w:r>
      <w:r>
        <w:t>, h</w:t>
      </w:r>
      <w:r w:rsidRPr="00DE1F58">
        <w:t>yperplasia in the oesophagus and larynx of rats</w:t>
      </w:r>
      <w:r>
        <w:t xml:space="preserve"> </w:t>
      </w:r>
      <w:r w:rsidRPr="00DE1F58">
        <w:t>and monkey</w:t>
      </w:r>
      <w:r>
        <w:t>s</w:t>
      </w:r>
      <w:r w:rsidRPr="00DE1F58">
        <w:t xml:space="preserve"> </w:t>
      </w:r>
      <w:r w:rsidRPr="005E4A53">
        <w:rPr>
          <w:kern w:val="2"/>
        </w:rPr>
        <w:t>(</w:t>
      </w:r>
      <w:r w:rsidRPr="00FC409B">
        <w:rPr>
          <w:rFonts w:eastAsia="Cambria"/>
        </w:rPr>
        <w:t>ER</w:t>
      </w:r>
      <w:r w:rsidRPr="00FC409B">
        <w:rPr>
          <w:rFonts w:eastAsia="Cambria"/>
          <w:vertAlign w:val="subscript"/>
        </w:rPr>
        <w:t>AUC</w:t>
      </w:r>
      <w:r>
        <w:rPr>
          <w:kern w:val="2"/>
        </w:rPr>
        <w:t xml:space="preserve"> </w:t>
      </w:r>
      <w:r w:rsidRPr="005E4A53">
        <w:rPr>
          <w:kern w:val="2"/>
        </w:rPr>
        <w:t>&lt;1</w:t>
      </w:r>
      <w:r>
        <w:rPr>
          <w:kern w:val="2"/>
        </w:rPr>
        <w:t xml:space="preserve"> </w:t>
      </w:r>
      <w:r w:rsidRPr="00C7781F">
        <w:rPr>
          <w:rFonts w:eastAsia="Cambria"/>
        </w:rPr>
        <w:t>and</w:t>
      </w:r>
      <w:r>
        <w:rPr>
          <w:kern w:val="2"/>
        </w:rPr>
        <w:t xml:space="preserve"> </w:t>
      </w:r>
      <w:r w:rsidRPr="00544CEA">
        <w:rPr>
          <w:kern w:val="2"/>
        </w:rPr>
        <w:t>2)</w:t>
      </w:r>
      <w:r>
        <w:rPr>
          <w:kern w:val="2"/>
        </w:rPr>
        <w:t xml:space="preserve">, </w:t>
      </w:r>
      <w:r>
        <w:t>respectively,</w:t>
      </w:r>
      <w:r>
        <w:rPr>
          <w:kern w:val="2"/>
        </w:rPr>
        <w:t xml:space="preserve"> was reported</w:t>
      </w:r>
      <w:r>
        <w:t>.</w:t>
      </w:r>
      <w:r w:rsidRPr="00DE1F58">
        <w:t xml:space="preserve"> </w:t>
      </w:r>
      <w:r w:rsidRPr="00390A35">
        <w:rPr>
          <w:kern w:val="2"/>
        </w:rPr>
        <w:t xml:space="preserve">The </w:t>
      </w:r>
      <w:r w:rsidR="00476E25">
        <w:rPr>
          <w:kern w:val="2"/>
        </w:rPr>
        <w:t>s</w:t>
      </w:r>
      <w:r w:rsidR="007B6B69">
        <w:rPr>
          <w:kern w:val="2"/>
        </w:rPr>
        <w:t>ponsor</w:t>
      </w:r>
      <w:r w:rsidRPr="00390A35">
        <w:rPr>
          <w:kern w:val="2"/>
        </w:rPr>
        <w:t xml:space="preserve"> indicated that </w:t>
      </w:r>
      <w:r w:rsidR="004241C0">
        <w:rPr>
          <w:kern w:val="2"/>
        </w:rPr>
        <w:t>‘</w:t>
      </w:r>
      <w:r w:rsidRPr="00390A35">
        <w:rPr>
          <w:i/>
          <w:iCs/>
          <w:kern w:val="2"/>
        </w:rPr>
        <w:t xml:space="preserve">risk of progression of the epithelial hyperplasia into tumours will be determined in </w:t>
      </w:r>
      <w:r>
        <w:rPr>
          <w:i/>
          <w:iCs/>
          <w:kern w:val="2"/>
        </w:rPr>
        <w:t>an</w:t>
      </w:r>
      <w:r w:rsidRPr="00390A35">
        <w:rPr>
          <w:i/>
          <w:iCs/>
          <w:kern w:val="2"/>
        </w:rPr>
        <w:t xml:space="preserve"> ongoing 2-year oral carcinogenicity study in rats (RTA-P-21070)</w:t>
      </w:r>
      <w:r w:rsidRPr="00390A35">
        <w:rPr>
          <w:kern w:val="2"/>
        </w:rPr>
        <w:t>.</w:t>
      </w:r>
      <w:r w:rsidR="000C29AB">
        <w:rPr>
          <w:kern w:val="2"/>
        </w:rPr>
        <w:t>’</w:t>
      </w:r>
      <w:r w:rsidRPr="00390A35">
        <w:rPr>
          <w:kern w:val="2"/>
        </w:rPr>
        <w:t xml:space="preserve"> </w:t>
      </w:r>
      <w:r w:rsidRPr="00C7781F">
        <w:rPr>
          <w:b/>
          <w:bCs/>
          <w:kern w:val="2"/>
        </w:rPr>
        <w:t xml:space="preserve">The </w:t>
      </w:r>
      <w:r w:rsidR="00476E25">
        <w:rPr>
          <w:b/>
          <w:bCs/>
          <w:kern w:val="2"/>
        </w:rPr>
        <w:t>s</w:t>
      </w:r>
      <w:r w:rsidR="007B6B69">
        <w:rPr>
          <w:b/>
          <w:bCs/>
          <w:kern w:val="2"/>
        </w:rPr>
        <w:t>ponsor</w:t>
      </w:r>
      <w:r w:rsidRPr="00C7781F">
        <w:rPr>
          <w:b/>
          <w:bCs/>
          <w:kern w:val="2"/>
        </w:rPr>
        <w:t xml:space="preserve"> </w:t>
      </w:r>
      <w:r w:rsidR="00A2440F">
        <w:rPr>
          <w:b/>
          <w:bCs/>
          <w:kern w:val="2"/>
        </w:rPr>
        <w:t xml:space="preserve">submitted the completed </w:t>
      </w:r>
      <w:r w:rsidRPr="00C7781F">
        <w:rPr>
          <w:b/>
          <w:bCs/>
          <w:kern w:val="2"/>
        </w:rPr>
        <w:t xml:space="preserve">study (RTA-P-21070) </w:t>
      </w:r>
      <w:r w:rsidR="00DF6813">
        <w:rPr>
          <w:b/>
          <w:bCs/>
          <w:kern w:val="2"/>
        </w:rPr>
        <w:t>in</w:t>
      </w:r>
      <w:r>
        <w:rPr>
          <w:b/>
          <w:bCs/>
          <w:kern w:val="2"/>
        </w:rPr>
        <w:t xml:space="preserve"> </w:t>
      </w:r>
      <w:r w:rsidR="00DF6813">
        <w:rPr>
          <w:b/>
          <w:bCs/>
          <w:kern w:val="2"/>
        </w:rPr>
        <w:t>December</w:t>
      </w:r>
      <w:r w:rsidR="00DF6813" w:rsidRPr="00C7781F">
        <w:rPr>
          <w:b/>
          <w:bCs/>
          <w:kern w:val="2"/>
        </w:rPr>
        <w:t xml:space="preserve"> </w:t>
      </w:r>
      <w:r w:rsidRPr="00C7781F">
        <w:rPr>
          <w:b/>
          <w:bCs/>
          <w:kern w:val="2"/>
        </w:rPr>
        <w:t>2025.</w:t>
      </w:r>
    </w:p>
    <w:p w14:paraId="361F3FD3" w14:textId="3AE6424C" w:rsidR="00FE3DE3" w:rsidRDefault="00FE3DE3" w:rsidP="00D705AB">
      <w:pPr>
        <w:rPr>
          <w:kern w:val="2"/>
        </w:rPr>
      </w:pPr>
      <w:r w:rsidRPr="00C7781F">
        <w:t>Fertility</w:t>
      </w:r>
      <w:r w:rsidRPr="00D351A8">
        <w:rPr>
          <w:kern w:val="2"/>
        </w:rPr>
        <w:t xml:space="preserve"> was unaffected in male and female rats with </w:t>
      </w:r>
      <w:proofErr w:type="spellStart"/>
      <w:r w:rsidRPr="00D351A8">
        <w:rPr>
          <w:kern w:val="2"/>
        </w:rPr>
        <w:t>omaveloxolone</w:t>
      </w:r>
      <w:proofErr w:type="spellEnd"/>
      <w:r w:rsidRPr="00D351A8">
        <w:rPr>
          <w:kern w:val="2"/>
        </w:rPr>
        <w:t xml:space="preserve"> exposures 7- and 2-fold the clinical AUC, respectively. In female rats, increased pre- and post-implantation loss, resorptions, and decreased implantation sites and viable embryos were seen at 10 mg/kg/day PO (</w:t>
      </w:r>
      <w:r w:rsidRPr="00D351A8">
        <w:rPr>
          <w:rFonts w:eastAsia="Cambria"/>
        </w:rPr>
        <w:t>ER</w:t>
      </w:r>
      <w:r w:rsidRPr="00D351A8">
        <w:rPr>
          <w:rFonts w:eastAsia="Cambria"/>
          <w:vertAlign w:val="subscript"/>
        </w:rPr>
        <w:t>AUC</w:t>
      </w:r>
      <w:r w:rsidRPr="00D351A8">
        <w:rPr>
          <w:kern w:val="2"/>
        </w:rPr>
        <w:t xml:space="preserve"> 7).</w:t>
      </w:r>
    </w:p>
    <w:p w14:paraId="67E048E8" w14:textId="012828F6" w:rsidR="00FE3DE3" w:rsidRDefault="00FE3DE3" w:rsidP="00D705AB">
      <w:pPr>
        <w:rPr>
          <w:kern w:val="2"/>
        </w:rPr>
      </w:pPr>
      <w:r w:rsidRPr="00D351A8">
        <w:rPr>
          <w:kern w:val="2"/>
        </w:rPr>
        <w:t xml:space="preserve">In an embryofetal development (EFD) study in rats, there was no effect of </w:t>
      </w:r>
      <w:proofErr w:type="spellStart"/>
      <w:r w:rsidRPr="00D351A8">
        <w:rPr>
          <w:kern w:val="2"/>
        </w:rPr>
        <w:t>omaveloxolone</w:t>
      </w:r>
      <w:proofErr w:type="spellEnd"/>
      <w:r w:rsidRPr="00D351A8">
        <w:rPr>
          <w:kern w:val="2"/>
        </w:rPr>
        <w:t xml:space="preserve"> on maternal or fetal </w:t>
      </w:r>
      <w:r w:rsidRPr="00297C3F">
        <w:rPr>
          <w:kern w:val="2"/>
        </w:rPr>
        <w:t>parameters up to</w:t>
      </w:r>
      <w:r w:rsidRPr="00D351A8">
        <w:rPr>
          <w:kern w:val="2"/>
        </w:rPr>
        <w:t xml:space="preserve"> 10 mg/kg/day (</w:t>
      </w:r>
      <w:r w:rsidRPr="00D351A8">
        <w:rPr>
          <w:rFonts w:eastAsia="Cambria"/>
        </w:rPr>
        <w:t>ER</w:t>
      </w:r>
      <w:r w:rsidRPr="00D351A8">
        <w:rPr>
          <w:rFonts w:eastAsia="Cambria"/>
          <w:vertAlign w:val="subscript"/>
        </w:rPr>
        <w:t>AUC</w:t>
      </w:r>
      <w:r w:rsidRPr="00D351A8">
        <w:rPr>
          <w:kern w:val="2"/>
        </w:rPr>
        <w:t xml:space="preserve"> 6.3). However, at </w:t>
      </w:r>
      <w:r w:rsidRPr="00D351A8">
        <w:rPr>
          <w:kern w:val="2"/>
          <w:u w:val="single"/>
        </w:rPr>
        <w:t>&gt;</w:t>
      </w:r>
      <w:r w:rsidRPr="00D351A8">
        <w:rPr>
          <w:kern w:val="2"/>
        </w:rPr>
        <w:t>10 mg/kg/day in rats (dose-range finding stud</w:t>
      </w:r>
      <w:r>
        <w:rPr>
          <w:kern w:val="2"/>
        </w:rPr>
        <w:t>y</w:t>
      </w:r>
      <w:r w:rsidRPr="00D351A8">
        <w:rPr>
          <w:kern w:val="2"/>
        </w:rPr>
        <w:t xml:space="preserve">), there were decreases in viable </w:t>
      </w:r>
      <w:proofErr w:type="spellStart"/>
      <w:r w:rsidRPr="00D351A8">
        <w:rPr>
          <w:kern w:val="2"/>
        </w:rPr>
        <w:t>fetuses</w:t>
      </w:r>
      <w:proofErr w:type="spellEnd"/>
      <w:r w:rsidRPr="00D351A8">
        <w:rPr>
          <w:kern w:val="2"/>
        </w:rPr>
        <w:t xml:space="preserve">, litter size, gravid uterine weight, fetal body weight and increased post-implantation loss/resorptions. </w:t>
      </w:r>
    </w:p>
    <w:p w14:paraId="2259E285" w14:textId="77777777" w:rsidR="00FE3DE3" w:rsidRDefault="00FE3DE3" w:rsidP="00D705AB">
      <w:pPr>
        <w:rPr>
          <w:kern w:val="2"/>
        </w:rPr>
      </w:pPr>
      <w:r w:rsidRPr="00371C6E">
        <w:rPr>
          <w:kern w:val="2"/>
        </w:rPr>
        <w:t xml:space="preserve">In a rabbit EFD study, increased post-implantation loss, resorptions/late resorptions and lower fetal bodyweights were seen at a </w:t>
      </w:r>
      <w:proofErr w:type="spellStart"/>
      <w:r w:rsidRPr="00371C6E">
        <w:rPr>
          <w:kern w:val="2"/>
        </w:rPr>
        <w:t>maternotoxic</w:t>
      </w:r>
      <w:proofErr w:type="spellEnd"/>
      <w:r w:rsidRPr="00371C6E">
        <w:rPr>
          <w:kern w:val="2"/>
        </w:rPr>
        <w:t xml:space="preserve"> dose (</w:t>
      </w:r>
      <w:r w:rsidRPr="00371C6E">
        <w:rPr>
          <w:rFonts w:eastAsia="Cambria"/>
        </w:rPr>
        <w:t>ER</w:t>
      </w:r>
      <w:r w:rsidRPr="00371C6E">
        <w:rPr>
          <w:rFonts w:eastAsia="Cambria"/>
          <w:vertAlign w:val="subscript"/>
        </w:rPr>
        <w:t>AUC</w:t>
      </w:r>
      <w:r w:rsidRPr="00371C6E">
        <w:rPr>
          <w:kern w:val="2"/>
        </w:rPr>
        <w:t xml:space="preserve"> 1.3). Although slightly higher than recent historical control data (84.2%), there was an increased</w:t>
      </w:r>
      <w:r w:rsidRPr="00D351A8">
        <w:rPr>
          <w:kern w:val="2"/>
        </w:rPr>
        <w:t xml:space="preserve"> treatment-related litter incidence of unilateral full rib (variation; 87.5% (</w:t>
      </w:r>
      <w:r w:rsidRPr="00D351A8">
        <w:rPr>
          <w:rFonts w:eastAsia="Cambria"/>
        </w:rPr>
        <w:t>ER</w:t>
      </w:r>
      <w:r w:rsidRPr="00D351A8">
        <w:rPr>
          <w:rFonts w:eastAsia="Cambria"/>
          <w:vertAlign w:val="subscript"/>
        </w:rPr>
        <w:t>AUC</w:t>
      </w:r>
      <w:r w:rsidRPr="00D351A8">
        <w:rPr>
          <w:kern w:val="2"/>
        </w:rPr>
        <w:t xml:space="preserve"> 1.3).</w:t>
      </w:r>
    </w:p>
    <w:p w14:paraId="6D53D3EB" w14:textId="708952C2" w:rsidR="00FE3DE3" w:rsidRPr="00D351A8" w:rsidRDefault="00FE3DE3" w:rsidP="00D705AB">
      <w:pPr>
        <w:rPr>
          <w:kern w:val="2"/>
        </w:rPr>
      </w:pPr>
      <w:r w:rsidRPr="00371C6E">
        <w:rPr>
          <w:kern w:val="2"/>
        </w:rPr>
        <w:t>In a PPND study in rats</w:t>
      </w:r>
      <w:r>
        <w:rPr>
          <w:kern w:val="2"/>
        </w:rPr>
        <w:t xml:space="preserve">, at a </w:t>
      </w:r>
      <w:proofErr w:type="spellStart"/>
      <w:r>
        <w:rPr>
          <w:kern w:val="2"/>
        </w:rPr>
        <w:t>maternotoxic</w:t>
      </w:r>
      <w:proofErr w:type="spellEnd"/>
      <w:r>
        <w:rPr>
          <w:kern w:val="2"/>
        </w:rPr>
        <w:t xml:space="preserve"> dose (</w:t>
      </w:r>
      <w:r w:rsidRPr="001B38C8">
        <w:rPr>
          <w:rFonts w:eastAsia="Cambria"/>
          <w:szCs w:val="22"/>
        </w:rPr>
        <w:t>ER</w:t>
      </w:r>
      <w:r w:rsidRPr="001B38C8">
        <w:rPr>
          <w:rFonts w:eastAsia="Cambria"/>
          <w:szCs w:val="22"/>
          <w:vertAlign w:val="subscript"/>
        </w:rPr>
        <w:t>AUC</w:t>
      </w:r>
      <w:r w:rsidRPr="001B38C8">
        <w:rPr>
          <w:szCs w:val="22"/>
        </w:rPr>
        <w:t xml:space="preserve"> </w:t>
      </w:r>
      <w:r>
        <w:rPr>
          <w:szCs w:val="22"/>
        </w:rPr>
        <w:t xml:space="preserve">6.3) </w:t>
      </w:r>
      <w:r>
        <w:rPr>
          <w:kern w:val="2"/>
        </w:rPr>
        <w:t>i</w:t>
      </w:r>
      <w:r w:rsidRPr="00D351A8">
        <w:rPr>
          <w:kern w:val="2"/>
        </w:rPr>
        <w:t xml:space="preserve">ncreased litters with stillborn pups, reduced first pup survival, body weights, attaining preputial separation </w:t>
      </w:r>
      <w:proofErr w:type="gramStart"/>
      <w:r w:rsidRPr="00D351A8">
        <w:rPr>
          <w:kern w:val="2"/>
        </w:rPr>
        <w:t>at a later time</w:t>
      </w:r>
      <w:proofErr w:type="gramEnd"/>
      <w:r w:rsidRPr="00D351A8">
        <w:rPr>
          <w:kern w:val="2"/>
        </w:rPr>
        <w:t xml:space="preserve"> in male pups</w:t>
      </w:r>
      <w:r w:rsidR="00410A54">
        <w:rPr>
          <w:kern w:val="2"/>
        </w:rPr>
        <w:t>,</w:t>
      </w:r>
      <w:r w:rsidRPr="00D351A8">
        <w:rPr>
          <w:kern w:val="2"/>
        </w:rPr>
        <w:t xml:space="preserve"> as well as decreased numbers of corpora lutea and implantation sites in female pups were </w:t>
      </w:r>
      <w:r w:rsidRPr="009670A9">
        <w:rPr>
          <w:kern w:val="2"/>
        </w:rPr>
        <w:t xml:space="preserve">evident in </w:t>
      </w:r>
      <w:r w:rsidRPr="00C7781F">
        <w:rPr>
          <w:kern w:val="2"/>
        </w:rPr>
        <w:t xml:space="preserve">dams </w:t>
      </w:r>
      <w:r w:rsidRPr="009670A9">
        <w:rPr>
          <w:kern w:val="2"/>
        </w:rPr>
        <w:t xml:space="preserve">treated with </w:t>
      </w:r>
      <w:proofErr w:type="spellStart"/>
      <w:r w:rsidRPr="009670A9">
        <w:rPr>
          <w:kern w:val="2"/>
        </w:rPr>
        <w:t>omaveloxolone</w:t>
      </w:r>
      <w:proofErr w:type="spellEnd"/>
      <w:r w:rsidRPr="009670A9">
        <w:rPr>
          <w:kern w:val="2"/>
        </w:rPr>
        <w:t xml:space="preserve"> during pregnancy and lactation.</w:t>
      </w:r>
      <w:r w:rsidRPr="009670A9">
        <w:t xml:space="preserve"> </w:t>
      </w:r>
      <w:r w:rsidRPr="009670A9">
        <w:rPr>
          <w:kern w:val="2"/>
        </w:rPr>
        <w:t xml:space="preserve">Increasing levels of </w:t>
      </w:r>
      <w:proofErr w:type="spellStart"/>
      <w:r w:rsidRPr="009670A9">
        <w:rPr>
          <w:kern w:val="2"/>
        </w:rPr>
        <w:t>omaveloxolone</w:t>
      </w:r>
      <w:proofErr w:type="spellEnd"/>
      <w:r w:rsidRPr="009670A9">
        <w:rPr>
          <w:kern w:val="2"/>
        </w:rPr>
        <w:t xml:space="preserve"> (correlating</w:t>
      </w:r>
      <w:r w:rsidRPr="00D351A8">
        <w:rPr>
          <w:kern w:val="2"/>
        </w:rPr>
        <w:t xml:space="preserve"> to doses administered to the dams) were observed in the plasma of the pups, suggesting excretion into milk. The effects in pups were directly linked to exposure to </w:t>
      </w:r>
      <w:proofErr w:type="spellStart"/>
      <w:r w:rsidRPr="00D351A8">
        <w:rPr>
          <w:kern w:val="2"/>
        </w:rPr>
        <w:t>omaveloxolone</w:t>
      </w:r>
      <w:proofErr w:type="spellEnd"/>
      <w:r w:rsidRPr="00D351A8">
        <w:rPr>
          <w:kern w:val="2"/>
        </w:rPr>
        <w:t xml:space="preserve"> and was not observed as secondary to maternal toxicity.</w:t>
      </w:r>
    </w:p>
    <w:p w14:paraId="43F5C2C6" w14:textId="599DD5B9" w:rsidR="00FE3DE3" w:rsidRPr="002448D8" w:rsidRDefault="00FE3DE3" w:rsidP="00D705AB">
      <w:r w:rsidRPr="002448D8">
        <w:t xml:space="preserve">The proposed limit </w:t>
      </w:r>
      <w:r w:rsidRPr="007D3504">
        <w:t xml:space="preserve">for </w:t>
      </w:r>
      <w:r w:rsidRPr="00C7781F">
        <w:t xml:space="preserve">2 </w:t>
      </w:r>
      <w:r w:rsidRPr="007D3504">
        <w:t>impurit</w:t>
      </w:r>
      <w:r w:rsidRPr="00C7781F">
        <w:t xml:space="preserve">ies </w:t>
      </w:r>
      <w:r w:rsidRPr="002448D8">
        <w:t xml:space="preserve">in the drug substance </w:t>
      </w:r>
      <w:r w:rsidR="008F69EA" w:rsidRPr="002448D8">
        <w:t>ha</w:t>
      </w:r>
      <w:r w:rsidR="008F69EA">
        <w:t>s</w:t>
      </w:r>
      <w:r w:rsidRPr="002448D8">
        <w:t xml:space="preserve"> been adequately qualified by submitted toxicity data</w:t>
      </w:r>
      <w:r>
        <w:t xml:space="preserve">. </w:t>
      </w:r>
      <w:r w:rsidRPr="00C57E4A">
        <w:t>A</w:t>
      </w:r>
      <w:r>
        <w:t xml:space="preserve">n </w:t>
      </w:r>
      <w:r w:rsidRPr="00C57E4A">
        <w:t>impurity</w:t>
      </w:r>
      <w:r>
        <w:t xml:space="preserve"> </w:t>
      </w:r>
      <w:r w:rsidRPr="00C57E4A">
        <w:t xml:space="preserve">identified </w:t>
      </w:r>
      <w:r>
        <w:t xml:space="preserve">later during </w:t>
      </w:r>
      <w:r w:rsidRPr="00C57E4A">
        <w:t xml:space="preserve">drug production underwent </w:t>
      </w:r>
      <w:r w:rsidRPr="00C7781F">
        <w:rPr>
          <w:i/>
          <w:iCs/>
        </w:rPr>
        <w:t>in</w:t>
      </w:r>
      <w:r>
        <w:rPr>
          <w:i/>
          <w:iCs/>
        </w:rPr>
        <w:t> </w:t>
      </w:r>
      <w:r w:rsidRPr="00C7781F">
        <w:rPr>
          <w:i/>
          <w:iCs/>
        </w:rPr>
        <w:t>silico</w:t>
      </w:r>
      <w:r w:rsidRPr="00C57E4A">
        <w:t xml:space="preserve"> </w:t>
      </w:r>
      <w:r>
        <w:t xml:space="preserve">and </w:t>
      </w:r>
      <w:r w:rsidRPr="00C7781F">
        <w:rPr>
          <w:i/>
          <w:iCs/>
        </w:rPr>
        <w:t>in vitro</w:t>
      </w:r>
      <w:r>
        <w:t xml:space="preserve"> </w:t>
      </w:r>
      <w:r w:rsidRPr="00C57E4A">
        <w:t>evaluation and was not considered a bacterial mutagen.</w:t>
      </w:r>
    </w:p>
    <w:p w14:paraId="68E4FB14" w14:textId="77777777" w:rsidR="00F93FAB" w:rsidRDefault="00F93FAB">
      <w:pPr>
        <w:rPr>
          <w:rFonts w:ascii="Arial" w:eastAsia="Times New Roman" w:hAnsi="Arial" w:cs="Times New Roman"/>
          <w:b/>
          <w:bCs/>
          <w:i/>
          <w:color w:val="001871"/>
          <w:sz w:val="26"/>
          <w:szCs w:val="26"/>
        </w:rPr>
      </w:pPr>
      <w:r>
        <w:br w:type="page"/>
      </w:r>
    </w:p>
    <w:p w14:paraId="463E0F0E" w14:textId="0C2E57A5" w:rsidR="00FE3DE3" w:rsidRPr="00EB69F1" w:rsidRDefault="00F309AD" w:rsidP="00D705AB">
      <w:pPr>
        <w:pStyle w:val="Heading5"/>
      </w:pPr>
      <w:r>
        <w:lastRenderedPageBreak/>
        <w:t>Conclusions and recommendations</w:t>
      </w:r>
    </w:p>
    <w:p w14:paraId="4F6E313F" w14:textId="33A45FF2" w:rsidR="00FE3DE3" w:rsidRPr="00FC783D" w:rsidRDefault="00FE3DE3" w:rsidP="00F309AD">
      <w:pPr>
        <w:rPr>
          <w:kern w:val="2"/>
        </w:rPr>
      </w:pPr>
      <w:r w:rsidRPr="00ED0A7D">
        <w:t>No major deficiencies were identified.</w:t>
      </w:r>
      <w:r w:rsidR="00E258E3">
        <w:t xml:space="preserve"> </w:t>
      </w:r>
      <w:r w:rsidRPr="006A33C3">
        <w:rPr>
          <w:kern w:val="2"/>
        </w:rPr>
        <w:t xml:space="preserve">The primary pharmacology studies </w:t>
      </w:r>
      <w:r>
        <w:rPr>
          <w:kern w:val="2"/>
        </w:rPr>
        <w:t xml:space="preserve">lend </w:t>
      </w:r>
      <w:r w:rsidRPr="006A33C3">
        <w:rPr>
          <w:kern w:val="2"/>
        </w:rPr>
        <w:t xml:space="preserve">support </w:t>
      </w:r>
      <w:r>
        <w:rPr>
          <w:kern w:val="2"/>
        </w:rPr>
        <w:t xml:space="preserve">for </w:t>
      </w:r>
      <w:r w:rsidRPr="006A33C3">
        <w:rPr>
          <w:kern w:val="2"/>
        </w:rPr>
        <w:t>the proposed indication and</w:t>
      </w:r>
      <w:r w:rsidRPr="00C7781F">
        <w:rPr>
          <w:kern w:val="2"/>
        </w:rPr>
        <w:t xml:space="preserve"> proposed clinical</w:t>
      </w:r>
      <w:r w:rsidRPr="00FC783D">
        <w:rPr>
          <w:kern w:val="2"/>
        </w:rPr>
        <w:t xml:space="preserve"> dose</w:t>
      </w:r>
      <w:r w:rsidRPr="00C7781F">
        <w:rPr>
          <w:kern w:val="2"/>
        </w:rPr>
        <w:t>.</w:t>
      </w:r>
    </w:p>
    <w:p w14:paraId="51640BD0" w14:textId="5B945B29" w:rsidR="00FE3DE3" w:rsidRPr="00E71248" w:rsidRDefault="00FE3DE3" w:rsidP="00F309AD">
      <w:pPr>
        <w:rPr>
          <w:kern w:val="2"/>
        </w:rPr>
      </w:pPr>
      <w:r w:rsidRPr="00FC783D">
        <w:rPr>
          <w:kern w:val="2"/>
        </w:rPr>
        <w:t xml:space="preserve">The </w:t>
      </w:r>
      <w:r w:rsidR="004C338D">
        <w:rPr>
          <w:kern w:val="2"/>
        </w:rPr>
        <w:t>s</w:t>
      </w:r>
      <w:r w:rsidR="007B6B69">
        <w:rPr>
          <w:kern w:val="2"/>
        </w:rPr>
        <w:t>ponsor</w:t>
      </w:r>
      <w:r w:rsidRPr="00FC783D">
        <w:rPr>
          <w:kern w:val="2"/>
        </w:rPr>
        <w:t xml:space="preserve"> noted the overall risk of progression of the epithelial hyperplasia to tumours will be investigated in </w:t>
      </w:r>
      <w:r w:rsidR="00F25B71">
        <w:rPr>
          <w:kern w:val="2"/>
        </w:rPr>
        <w:t xml:space="preserve">the </w:t>
      </w:r>
      <w:r w:rsidRPr="00FC783D">
        <w:rPr>
          <w:kern w:val="2"/>
        </w:rPr>
        <w:t>ongoing 2-year oral carcinogenicity study in rats (RTA-P-21070</w:t>
      </w:r>
      <w:r w:rsidR="00F25B71">
        <w:rPr>
          <w:kern w:val="2"/>
        </w:rPr>
        <w:t xml:space="preserve"> – submitted to the TGA in December 2025</w:t>
      </w:r>
      <w:r w:rsidRPr="00FC783D">
        <w:rPr>
          <w:kern w:val="2"/>
        </w:rPr>
        <w:t xml:space="preserve">). </w:t>
      </w:r>
    </w:p>
    <w:p w14:paraId="062600CF" w14:textId="5EE50B89" w:rsidR="00FE3DE3" w:rsidRDefault="00FE3DE3" w:rsidP="00F309AD">
      <w:pPr>
        <w:rPr>
          <w:kern w:val="2"/>
        </w:rPr>
      </w:pPr>
      <w:r w:rsidRPr="00E71248">
        <w:rPr>
          <w:kern w:val="2"/>
        </w:rPr>
        <w:t xml:space="preserve">Given the adverse effects embryofetal development and pre/postnatal development effects in animal species at </w:t>
      </w:r>
      <w:r w:rsidR="00F309AD" w:rsidRPr="00E71248">
        <w:rPr>
          <w:kern w:val="2"/>
        </w:rPr>
        <w:t>clinically relevant</w:t>
      </w:r>
      <w:r w:rsidRPr="00E71248">
        <w:rPr>
          <w:kern w:val="2"/>
        </w:rPr>
        <w:t xml:space="preserve"> exposures, </w:t>
      </w:r>
      <w:proofErr w:type="spellStart"/>
      <w:r w:rsidRPr="00E71248">
        <w:rPr>
          <w:kern w:val="2"/>
        </w:rPr>
        <w:t>omaveloxolone</w:t>
      </w:r>
      <w:proofErr w:type="spellEnd"/>
      <w:r w:rsidRPr="00E71248">
        <w:rPr>
          <w:kern w:val="2"/>
        </w:rPr>
        <w:t xml:space="preserve"> should not be used during pregnancy or while breast-feeding. </w:t>
      </w:r>
    </w:p>
    <w:p w14:paraId="7AF9BB4B" w14:textId="5D71E671" w:rsidR="00FE3DE3" w:rsidRPr="00E71248" w:rsidRDefault="00FE3DE3" w:rsidP="00F309AD">
      <w:pPr>
        <w:rPr>
          <w:kern w:val="2"/>
        </w:rPr>
      </w:pPr>
      <w:r w:rsidRPr="00E71248">
        <w:rPr>
          <w:kern w:val="2"/>
        </w:rPr>
        <w:t xml:space="preserve">The </w:t>
      </w:r>
      <w:r w:rsidR="00476E25">
        <w:rPr>
          <w:kern w:val="2"/>
        </w:rPr>
        <w:t>s</w:t>
      </w:r>
      <w:r w:rsidR="007B6B69">
        <w:rPr>
          <w:kern w:val="2"/>
        </w:rPr>
        <w:t>ponsor</w:t>
      </w:r>
      <w:r w:rsidRPr="00E71248">
        <w:rPr>
          <w:kern w:val="2"/>
        </w:rPr>
        <w:t xml:space="preserve"> proposes Use in Pregnancy Category B3, which is acceptable.</w:t>
      </w:r>
    </w:p>
    <w:p w14:paraId="599331FE" w14:textId="77777777" w:rsidR="00FE3DE3" w:rsidRDefault="00FE3DE3" w:rsidP="00F309AD">
      <w:pPr>
        <w:rPr>
          <w:kern w:val="2"/>
        </w:rPr>
      </w:pPr>
      <w:r w:rsidRPr="000D7688">
        <w:rPr>
          <w:kern w:val="2"/>
        </w:rPr>
        <w:t xml:space="preserve">There are no nonclinical objections to the registration of </w:t>
      </w:r>
      <w:proofErr w:type="spellStart"/>
      <w:r>
        <w:rPr>
          <w:kern w:val="2"/>
        </w:rPr>
        <w:t>omaveloxolone</w:t>
      </w:r>
      <w:proofErr w:type="spellEnd"/>
      <w:r w:rsidRPr="000D7688">
        <w:rPr>
          <w:kern w:val="2"/>
        </w:rPr>
        <w:t xml:space="preserve"> for the proposed indication.</w:t>
      </w:r>
    </w:p>
    <w:p w14:paraId="35B580A5" w14:textId="40B226DC" w:rsidR="00C22214" w:rsidRDefault="00C22214" w:rsidP="008804CF">
      <w:pPr>
        <w:pStyle w:val="Heading3"/>
      </w:pPr>
      <w:bookmarkStart w:id="44" w:name="_Toc247691530"/>
      <w:bookmarkStart w:id="45" w:name="_Toc314842513"/>
      <w:bookmarkStart w:id="46" w:name="_Toc103679297"/>
      <w:bookmarkStart w:id="47" w:name="_Toc233964973"/>
      <w:r>
        <w:t>Clinical</w:t>
      </w:r>
      <w:bookmarkEnd w:id="44"/>
      <w:bookmarkEnd w:id="45"/>
      <w:bookmarkEnd w:id="46"/>
      <w:r w:rsidR="00095C6A">
        <w:t xml:space="preserve"> evaluation summary</w:t>
      </w:r>
      <w:bookmarkEnd w:id="47"/>
    </w:p>
    <w:p w14:paraId="32B0DEDA" w14:textId="77777777" w:rsidR="00C22214" w:rsidRDefault="00C22214" w:rsidP="00433318">
      <w:pPr>
        <w:pStyle w:val="Heading4"/>
      </w:pPr>
      <w:bookmarkStart w:id="48" w:name="_Toc98931928"/>
      <w:bookmarkStart w:id="49" w:name="_Toc233964974"/>
      <w:r>
        <w:t>Summary of clinical studies</w:t>
      </w:r>
      <w:bookmarkEnd w:id="48"/>
      <w:bookmarkEnd w:id="49"/>
    </w:p>
    <w:p w14:paraId="139BC90B" w14:textId="6C5A0605" w:rsidR="00EE1A7D" w:rsidRDefault="00EE1A7D" w:rsidP="00EE1A7D">
      <w:r>
        <w:t xml:space="preserve">The clinical pharmacological development program for </w:t>
      </w:r>
      <w:r w:rsidR="00DD0CE9">
        <w:t>Skyclarys</w:t>
      </w:r>
      <w:r>
        <w:t xml:space="preserve"> to support its use for the proposed indication consists of 8 studies:</w:t>
      </w:r>
    </w:p>
    <w:p w14:paraId="5A7C56C1" w14:textId="77777777" w:rsidR="00EE1A7D" w:rsidRDefault="00EE1A7D" w:rsidP="00F309AD">
      <w:pPr>
        <w:pStyle w:val="ListBullet"/>
      </w:pPr>
      <w:r>
        <w:t xml:space="preserve">Four Phase 1 studies conducted in healthy participants, assessing the absorption, metabolism, and excretion (AME; Study 408-C-1805); the drug-drug interaction (DDI) potential (408-C-1806); the food effect and dose proportionality (Study 408-C-1703); a relative bioavailability study comparing the relative bioavailability of </w:t>
      </w:r>
      <w:proofErr w:type="spellStart"/>
      <w:r>
        <w:t>omaveloxolone</w:t>
      </w:r>
      <w:proofErr w:type="spellEnd"/>
      <w:r>
        <w:t xml:space="preserve"> when administered in tact capsules vs. </w:t>
      </w:r>
      <w:proofErr w:type="spellStart"/>
      <w:r>
        <w:t>omaveloxolone</w:t>
      </w:r>
      <w:proofErr w:type="spellEnd"/>
      <w:r>
        <w:t xml:space="preserve"> when administered as capsule content sprinkled over apple sauce (Study 408-C-2106).</w:t>
      </w:r>
    </w:p>
    <w:p w14:paraId="6F1906F2" w14:textId="77777777" w:rsidR="00EE1A7D" w:rsidRDefault="00EE1A7D" w:rsidP="00F309AD">
      <w:pPr>
        <w:pStyle w:val="ListBullet"/>
      </w:pPr>
      <w:r>
        <w:t>One Phase 1 study conducted in patients with hepatic impairment to assess the effect of hepatic impairment on the pharmacokinetic profile (Study 408-C-1804).</w:t>
      </w:r>
    </w:p>
    <w:p w14:paraId="2E2C7424" w14:textId="39ACFC03" w:rsidR="00EE1A7D" w:rsidRDefault="00EE1A7D" w:rsidP="00F309AD">
      <w:pPr>
        <w:pStyle w:val="ListBullet"/>
      </w:pPr>
      <w:r>
        <w:t xml:space="preserve">Three Phase 2 studies: two Phase 2 studies conducted in the treatment of patients with FA (Study 408-C-1402 </w:t>
      </w:r>
      <w:r w:rsidR="00982152">
        <w:t>p</w:t>
      </w:r>
      <w:r>
        <w:t xml:space="preserve">art 1 and </w:t>
      </w:r>
      <w:r w:rsidR="00982152">
        <w:t>p</w:t>
      </w:r>
      <w:r>
        <w:t>art 2) and one Phase 2 study conducted in the treatment of patients with mitochondrial myopathy (Study 408- C-1403).</w:t>
      </w:r>
    </w:p>
    <w:p w14:paraId="7A70573A" w14:textId="1366F8D0" w:rsidR="00EE1A7D" w:rsidRDefault="00EE1A7D" w:rsidP="00F309AD">
      <w:pPr>
        <w:pStyle w:val="ListBullet"/>
      </w:pPr>
      <w:r>
        <w:t xml:space="preserve">Study 1402 is an </w:t>
      </w:r>
      <w:r w:rsidR="00FF6FCF">
        <w:t>Open Label Extension (</w:t>
      </w:r>
      <w:r>
        <w:t>OLE</w:t>
      </w:r>
      <w:r w:rsidR="00FF6FCF">
        <w:t>)</w:t>
      </w:r>
      <w:r>
        <w:t xml:space="preserve"> trial for eligible participants who completed studies 1402 part 1 or study 1402 part 2.</w:t>
      </w:r>
    </w:p>
    <w:p w14:paraId="42CF3738" w14:textId="3E2B5C18" w:rsidR="00EE1A7D" w:rsidRDefault="00EE1A7D" w:rsidP="00EE1A7D">
      <w:r>
        <w:t>The clinical and pharmacological studies related to this application are summari</w:t>
      </w:r>
      <w:r w:rsidR="000E23E6">
        <w:t>s</w:t>
      </w:r>
      <w:r>
        <w:t xml:space="preserve">ed </w:t>
      </w:r>
      <w:r w:rsidR="009B002F">
        <w:t xml:space="preserve">in </w:t>
      </w:r>
      <w:r w:rsidR="009B002F" w:rsidRPr="000E23E6">
        <w:t>Tables 3 and 4.</w:t>
      </w:r>
    </w:p>
    <w:p w14:paraId="5BD2DAA4" w14:textId="7F47DAE9" w:rsidR="00425A4B" w:rsidRDefault="0009715E" w:rsidP="0009715E">
      <w:pPr>
        <w:pStyle w:val="TableTitle"/>
      </w:pPr>
      <w:r w:rsidRPr="00A063D8">
        <w:lastRenderedPageBreak/>
        <w:t xml:space="preserve">Table </w:t>
      </w:r>
      <w:fldSimple w:instr=" SEQ Table \* ARABIC ">
        <w:r>
          <w:rPr>
            <w:noProof/>
          </w:rPr>
          <w:t>3</w:t>
        </w:r>
      </w:fldSimple>
      <w:r w:rsidRPr="00A063D8">
        <w:t>: Summary of phase 1 clinical studies for</w:t>
      </w:r>
      <w:r>
        <w:t xml:space="preserve"> oral</w:t>
      </w:r>
      <w:r w:rsidRPr="00A063D8">
        <w:t xml:space="preserve"> </w:t>
      </w:r>
      <w:proofErr w:type="spellStart"/>
      <w:r w:rsidRPr="00A063D8">
        <w:t>omaveloxolone</w:t>
      </w:r>
      <w:proofErr w:type="spellEnd"/>
      <w:r>
        <w:t xml:space="preserve"> </w:t>
      </w:r>
      <w:r w:rsidRPr="00F812CC">
        <w:t>relating to proposed indication</w:t>
      </w:r>
    </w:p>
    <w:p w14:paraId="5D9FA252" w14:textId="5022FA38" w:rsidR="005953FE" w:rsidRPr="00425A4B" w:rsidRDefault="005953FE" w:rsidP="00425A4B">
      <w:r w:rsidRPr="00A475BE">
        <w:rPr>
          <w:noProof/>
        </w:rPr>
        <w:drawing>
          <wp:inline distT="0" distB="0" distL="0" distR="0" wp14:anchorId="68E61101" wp14:editId="67D1F3E9">
            <wp:extent cx="5759450" cy="3187951"/>
            <wp:effectExtent l="0" t="0" r="0" b="0"/>
            <wp:docPr id="2" name="Picture 2" descr="Table 3: Summary of phase 1 clinical studies for oral omaveloxolone relating to proposed in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3: Summary of phase 1 clinical studies for oral omaveloxolone relating to proposed indication."/>
                    <pic:cNvPicPr/>
                  </pic:nvPicPr>
                  <pic:blipFill>
                    <a:blip r:embed="rId27"/>
                    <a:stretch>
                      <a:fillRect/>
                    </a:stretch>
                  </pic:blipFill>
                  <pic:spPr>
                    <a:xfrm>
                      <a:off x="0" y="0"/>
                      <a:ext cx="5759450" cy="3187951"/>
                    </a:xfrm>
                    <a:prstGeom prst="rect">
                      <a:avLst/>
                    </a:prstGeom>
                  </pic:spPr>
                </pic:pic>
              </a:graphicData>
            </a:graphic>
          </wp:inline>
        </w:drawing>
      </w:r>
    </w:p>
    <w:p w14:paraId="6BAC76CD" w14:textId="77777777" w:rsidR="00627585" w:rsidRDefault="00E356AF">
      <w:bookmarkStart w:id="50" w:name="_Toc314842514"/>
      <w:r>
        <w:rPr>
          <w:noProof/>
        </w:rPr>
        <w:drawing>
          <wp:inline distT="0" distB="0" distL="0" distR="0" wp14:anchorId="203269E8" wp14:editId="4F19BE7C">
            <wp:extent cx="5759450" cy="2618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2618560"/>
                    </a:xfrm>
                    <a:prstGeom prst="rect">
                      <a:avLst/>
                    </a:prstGeom>
                    <a:noFill/>
                  </pic:spPr>
                </pic:pic>
              </a:graphicData>
            </a:graphic>
          </wp:inline>
        </w:drawing>
      </w:r>
    </w:p>
    <w:p w14:paraId="153B94FB" w14:textId="77777777" w:rsidR="00566D6B" w:rsidRDefault="00627585">
      <w:r>
        <w:rPr>
          <w:noProof/>
        </w:rPr>
        <w:lastRenderedPageBreak/>
        <w:drawing>
          <wp:inline distT="0" distB="0" distL="0" distR="0" wp14:anchorId="5C5B5990" wp14:editId="787AEAFE">
            <wp:extent cx="5759450" cy="3464806"/>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464806"/>
                    </a:xfrm>
                    <a:prstGeom prst="rect">
                      <a:avLst/>
                    </a:prstGeom>
                    <a:noFill/>
                  </pic:spPr>
                </pic:pic>
              </a:graphicData>
            </a:graphic>
          </wp:inline>
        </w:drawing>
      </w:r>
    </w:p>
    <w:p w14:paraId="2265A8DE" w14:textId="77777777" w:rsidR="00566D6B" w:rsidRDefault="00566D6B">
      <w:r>
        <w:rPr>
          <w:noProof/>
        </w:rPr>
        <w:drawing>
          <wp:inline distT="0" distB="0" distL="0" distR="0" wp14:anchorId="0960DD2C" wp14:editId="3314497B">
            <wp:extent cx="5759450" cy="113694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1136948"/>
                    </a:xfrm>
                    <a:prstGeom prst="rect">
                      <a:avLst/>
                    </a:prstGeom>
                    <a:noFill/>
                  </pic:spPr>
                </pic:pic>
              </a:graphicData>
            </a:graphic>
          </wp:inline>
        </w:drawing>
      </w:r>
    </w:p>
    <w:p w14:paraId="3726EEAB" w14:textId="16242922" w:rsidR="0009715E" w:rsidRDefault="0009715E">
      <w:r>
        <w:br w:type="page"/>
      </w:r>
    </w:p>
    <w:p w14:paraId="1C1A3605" w14:textId="5DC521AB" w:rsidR="00091438" w:rsidRPr="00F812CC" w:rsidRDefault="00091438" w:rsidP="00091438">
      <w:pPr>
        <w:pStyle w:val="TableTitle"/>
      </w:pPr>
      <w:r w:rsidRPr="00F812CC">
        <w:lastRenderedPageBreak/>
        <w:t xml:space="preserve">Table </w:t>
      </w:r>
      <w:fldSimple w:instr=" SEQ Table \* ARABIC ">
        <w:r>
          <w:rPr>
            <w:noProof/>
          </w:rPr>
          <w:t>4</w:t>
        </w:r>
      </w:fldSimple>
      <w:r w:rsidRPr="00F812CC">
        <w:t xml:space="preserve">: Summary of phase </w:t>
      </w:r>
      <w:r>
        <w:t>2</w:t>
      </w:r>
      <w:r w:rsidRPr="00F812CC">
        <w:t xml:space="preserve"> clinical studies for oral </w:t>
      </w:r>
      <w:proofErr w:type="spellStart"/>
      <w:r w:rsidRPr="00F812CC">
        <w:t>omaveloxolone</w:t>
      </w:r>
      <w:proofErr w:type="spellEnd"/>
      <w:r w:rsidRPr="00F812CC">
        <w:t xml:space="preserve"> relating to proposed indication</w:t>
      </w:r>
    </w:p>
    <w:p w14:paraId="69EC3A57" w14:textId="77777777" w:rsidR="00D40F2E" w:rsidRDefault="00D40F2E">
      <w:r>
        <w:rPr>
          <w:noProof/>
        </w:rPr>
        <w:drawing>
          <wp:inline distT="0" distB="0" distL="0" distR="0" wp14:anchorId="47830EEA" wp14:editId="27A312BC">
            <wp:extent cx="5759450" cy="549326"/>
            <wp:effectExtent l="0" t="0" r="0" b="3175"/>
            <wp:docPr id="6" name="Picture 6" descr="Table 4: Summary of phase 2 clinical studies for oral omaveloxolone relating to proposed in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4: Summary of phase 2 clinical studies for oral omaveloxolone relating to proposed indic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549326"/>
                    </a:xfrm>
                    <a:prstGeom prst="rect">
                      <a:avLst/>
                    </a:prstGeom>
                    <a:noFill/>
                  </pic:spPr>
                </pic:pic>
              </a:graphicData>
            </a:graphic>
          </wp:inline>
        </w:drawing>
      </w:r>
    </w:p>
    <w:p w14:paraId="4ABE0170" w14:textId="77777777" w:rsidR="001319B8" w:rsidRDefault="00373B1F">
      <w:r w:rsidRPr="00BA786C">
        <w:rPr>
          <w:noProof/>
        </w:rPr>
        <w:drawing>
          <wp:inline distT="0" distB="0" distL="0" distR="0" wp14:anchorId="7338D83B" wp14:editId="7228D8E6">
            <wp:extent cx="5759450" cy="99057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990570"/>
                    </a:xfrm>
                    <a:prstGeom prst="rect">
                      <a:avLst/>
                    </a:prstGeom>
                  </pic:spPr>
                </pic:pic>
              </a:graphicData>
            </a:graphic>
          </wp:inline>
        </w:drawing>
      </w:r>
    </w:p>
    <w:p w14:paraId="7B73DA29" w14:textId="77777777" w:rsidR="004F36D0" w:rsidRDefault="001319B8">
      <w:r>
        <w:rPr>
          <w:noProof/>
        </w:rPr>
        <w:drawing>
          <wp:inline distT="0" distB="0" distL="0" distR="0" wp14:anchorId="1294506C" wp14:editId="4859E80C">
            <wp:extent cx="5759450" cy="1038753"/>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1038753"/>
                    </a:xfrm>
                    <a:prstGeom prst="rect">
                      <a:avLst/>
                    </a:prstGeom>
                    <a:noFill/>
                  </pic:spPr>
                </pic:pic>
              </a:graphicData>
            </a:graphic>
          </wp:inline>
        </w:drawing>
      </w:r>
    </w:p>
    <w:p w14:paraId="3BA68DA0" w14:textId="77777777" w:rsidR="00B35843" w:rsidRDefault="004F36D0">
      <w:r>
        <w:rPr>
          <w:noProof/>
        </w:rPr>
        <w:drawing>
          <wp:inline distT="0" distB="0" distL="0" distR="0" wp14:anchorId="65AD1D58" wp14:editId="2AC066FB">
            <wp:extent cx="5759450" cy="12427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1242737"/>
                    </a:xfrm>
                    <a:prstGeom prst="rect">
                      <a:avLst/>
                    </a:prstGeom>
                    <a:noFill/>
                  </pic:spPr>
                </pic:pic>
              </a:graphicData>
            </a:graphic>
          </wp:inline>
        </w:drawing>
      </w:r>
    </w:p>
    <w:p w14:paraId="006C90F5" w14:textId="77777777" w:rsidR="00F51A9D" w:rsidRDefault="00B35843">
      <w:r>
        <w:rPr>
          <w:noProof/>
        </w:rPr>
        <w:drawing>
          <wp:inline distT="0" distB="0" distL="0" distR="0" wp14:anchorId="6F90FC94" wp14:editId="21F5D5D0">
            <wp:extent cx="5759450" cy="13372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1337239"/>
                    </a:xfrm>
                    <a:prstGeom prst="rect">
                      <a:avLst/>
                    </a:prstGeom>
                    <a:noFill/>
                  </pic:spPr>
                </pic:pic>
              </a:graphicData>
            </a:graphic>
          </wp:inline>
        </w:drawing>
      </w:r>
    </w:p>
    <w:p w14:paraId="44A96FCA" w14:textId="77777777" w:rsidR="009339AA" w:rsidRDefault="009339AA">
      <w:pPr>
        <w:rPr>
          <w:rFonts w:ascii="Arial" w:eastAsia="Cambria" w:hAnsi="Arial" w:cs="Times New Roman"/>
          <w:b/>
          <w:bCs/>
          <w:color w:val="001871"/>
          <w:sz w:val="28"/>
          <w:szCs w:val="26"/>
        </w:rPr>
      </w:pPr>
      <w:r>
        <w:br w:type="page"/>
      </w:r>
    </w:p>
    <w:p w14:paraId="51B5A2C2" w14:textId="577F2B35" w:rsidR="00F51A9D" w:rsidRPr="00BB4632" w:rsidRDefault="00F51A9D" w:rsidP="00BB4632">
      <w:pPr>
        <w:pStyle w:val="Heading5"/>
        <w:rPr>
          <w:i w:val="0"/>
          <w:iCs/>
        </w:rPr>
      </w:pPr>
      <w:r w:rsidRPr="00BB4632">
        <w:rPr>
          <w:i w:val="0"/>
          <w:iCs/>
        </w:rPr>
        <w:lastRenderedPageBreak/>
        <w:t>Pharmacology</w:t>
      </w:r>
    </w:p>
    <w:p w14:paraId="455ED68D" w14:textId="558387C5" w:rsidR="000A4144" w:rsidRPr="00371155" w:rsidRDefault="000A4144" w:rsidP="00471AF2">
      <w:pPr>
        <w:pStyle w:val="Heading6"/>
      </w:pPr>
      <w:r w:rsidRPr="00371155">
        <w:t xml:space="preserve">Protein </w:t>
      </w:r>
      <w:r w:rsidR="009339AA">
        <w:t>b</w:t>
      </w:r>
      <w:r w:rsidRPr="00371155">
        <w:t>inding</w:t>
      </w:r>
    </w:p>
    <w:p w14:paraId="6259BBAF" w14:textId="69A1EEFA" w:rsidR="000A4144" w:rsidRDefault="000A4144" w:rsidP="000A4144">
      <w:r>
        <w:t xml:space="preserve">Study RTA408-P-1124 examined </w:t>
      </w:r>
      <w:r w:rsidR="003F42B7">
        <w:t>i</w:t>
      </w:r>
      <w:r w:rsidRPr="00C8567F">
        <w:rPr>
          <w:i/>
          <w:iCs/>
        </w:rPr>
        <w:t xml:space="preserve">n </w:t>
      </w:r>
      <w:r w:rsidR="003F42B7">
        <w:rPr>
          <w:i/>
          <w:iCs/>
        </w:rPr>
        <w:t>v</w:t>
      </w:r>
      <w:r w:rsidRPr="00C8567F">
        <w:rPr>
          <w:i/>
          <w:iCs/>
        </w:rPr>
        <w:t xml:space="preserve">itro </w:t>
      </w:r>
      <w:r w:rsidR="00BF6C73">
        <w:t>p</w:t>
      </w:r>
      <w:r w:rsidRPr="00C8567F">
        <w:t xml:space="preserve">lasma </w:t>
      </w:r>
      <w:r w:rsidR="00BF6C73">
        <w:t>p</w:t>
      </w:r>
      <w:r w:rsidRPr="00C8567F">
        <w:t xml:space="preserve">rotein </w:t>
      </w:r>
      <w:r w:rsidR="00BF6C73">
        <w:t>b</w:t>
      </w:r>
      <w:r w:rsidRPr="00C8567F">
        <w:t>inding and</w:t>
      </w:r>
      <w:r>
        <w:t xml:space="preserve"> </w:t>
      </w:r>
      <w:r w:rsidR="00BF6C73">
        <w:t>b</w:t>
      </w:r>
      <w:r w:rsidRPr="00C8567F">
        <w:t>lood-to-</w:t>
      </w:r>
      <w:r w:rsidR="00BF6C73">
        <w:t>p</w:t>
      </w:r>
      <w:r w:rsidRPr="00C8567F">
        <w:t>lasma</w:t>
      </w:r>
      <w:r>
        <w:t xml:space="preserve"> </w:t>
      </w:r>
      <w:r w:rsidR="00BF6C73">
        <w:t>p</w:t>
      </w:r>
      <w:r w:rsidRPr="00C8567F">
        <w:t>artitioning of RTA 408</w:t>
      </w:r>
      <w:r>
        <w:t xml:space="preserve"> (</w:t>
      </w:r>
      <w:proofErr w:type="spellStart"/>
      <w:r>
        <w:t>omaveloxolone</w:t>
      </w:r>
      <w:proofErr w:type="spellEnd"/>
      <w:r>
        <w:t>)</w:t>
      </w:r>
      <w:r w:rsidRPr="00C8567F">
        <w:t xml:space="preserve"> in</w:t>
      </w:r>
      <w:r>
        <w:t xml:space="preserve"> </w:t>
      </w:r>
      <w:r w:rsidR="00774CE9">
        <w:t>mice</w:t>
      </w:r>
      <w:r w:rsidRPr="00C8567F">
        <w:t xml:space="preserve">, </w:t>
      </w:r>
      <w:r w:rsidR="00774CE9">
        <w:t>rats</w:t>
      </w:r>
      <w:r w:rsidRPr="00C8567F">
        <w:t xml:space="preserve">, </w:t>
      </w:r>
      <w:r w:rsidR="00774CE9">
        <w:t>rabbits</w:t>
      </w:r>
      <w:r w:rsidRPr="00C8567F">
        <w:t xml:space="preserve">, </w:t>
      </w:r>
      <w:r w:rsidR="00774CE9">
        <w:t>dogs</w:t>
      </w:r>
      <w:r w:rsidRPr="00C8567F">
        <w:t xml:space="preserve">, </w:t>
      </w:r>
      <w:r w:rsidR="00774CE9">
        <w:t>m</w:t>
      </w:r>
      <w:r w:rsidRPr="00C8567F">
        <w:t>inipig</w:t>
      </w:r>
      <w:r w:rsidR="00774CE9">
        <w:t>s</w:t>
      </w:r>
      <w:r w:rsidRPr="00C8567F">
        <w:t xml:space="preserve">, </w:t>
      </w:r>
      <w:proofErr w:type="spellStart"/>
      <w:r w:rsidR="00774CE9">
        <w:t>m</w:t>
      </w:r>
      <w:r w:rsidRPr="00C8567F">
        <w:t>onk</w:t>
      </w:r>
      <w:r w:rsidR="00774CE9">
        <w:t>ies</w:t>
      </w:r>
      <w:proofErr w:type="spellEnd"/>
      <w:r w:rsidRPr="00C8567F">
        <w:t>,</w:t>
      </w:r>
      <w:r>
        <w:t xml:space="preserve"> </w:t>
      </w:r>
      <w:r w:rsidRPr="00C8567F">
        <w:t xml:space="preserve">and </w:t>
      </w:r>
      <w:r w:rsidR="00774CE9">
        <w:t>h</w:t>
      </w:r>
      <w:r w:rsidRPr="00C8567F">
        <w:t>uman</w:t>
      </w:r>
      <w:r>
        <w:t xml:space="preserve">s. This study found that </w:t>
      </w:r>
      <w:proofErr w:type="spellStart"/>
      <w:r>
        <w:t>o</w:t>
      </w:r>
      <w:r w:rsidRPr="00736AF0">
        <w:t>maveloxolone</w:t>
      </w:r>
      <w:proofErr w:type="spellEnd"/>
      <w:r w:rsidRPr="00736AF0">
        <w:t xml:space="preserve"> is 97% bound to protein in human plasma, the blood-to-plasma ratio in human was 0.694 over the concentration range 10 to 2000 ng/mL, and no concentration dependence was observed for blood-to-plasma partitioning</w:t>
      </w:r>
      <w:r>
        <w:t xml:space="preserve">. </w:t>
      </w:r>
    </w:p>
    <w:p w14:paraId="278207F6" w14:textId="709321A8" w:rsidR="000A4144" w:rsidRPr="00537747" w:rsidRDefault="000A4144" w:rsidP="009339AA">
      <w:pPr>
        <w:pStyle w:val="Heading5"/>
      </w:pPr>
      <w:r w:rsidRPr="00537747">
        <w:t xml:space="preserve">Hepatic </w:t>
      </w:r>
      <w:r w:rsidR="009339AA">
        <w:t>m</w:t>
      </w:r>
      <w:r w:rsidRPr="00537747">
        <w:t>etabolism</w:t>
      </w:r>
    </w:p>
    <w:p w14:paraId="4278249C" w14:textId="34ADA8E2" w:rsidR="000A4144" w:rsidRDefault="000A4144" w:rsidP="000A4144">
      <w:r>
        <w:t xml:space="preserve">Study RTA408-P-1212 was a study involving </w:t>
      </w:r>
      <w:r w:rsidR="006D77C5">
        <w:rPr>
          <w:i/>
          <w:iCs/>
        </w:rPr>
        <w:t>i</w:t>
      </w:r>
      <w:r w:rsidRPr="00807FD4">
        <w:rPr>
          <w:i/>
          <w:iCs/>
        </w:rPr>
        <w:t xml:space="preserve">n </w:t>
      </w:r>
      <w:r w:rsidR="006D77C5">
        <w:rPr>
          <w:i/>
          <w:iCs/>
        </w:rPr>
        <w:t>v</w:t>
      </w:r>
      <w:r w:rsidRPr="00807FD4">
        <w:rPr>
          <w:i/>
          <w:iCs/>
        </w:rPr>
        <w:t>itro</w:t>
      </w:r>
      <w:r w:rsidRPr="00F83C98">
        <w:t xml:space="preserve"> </w:t>
      </w:r>
      <w:r w:rsidR="00F92E07">
        <w:t>c</w:t>
      </w:r>
      <w:r w:rsidRPr="00F83C98">
        <w:t xml:space="preserve">ytochrome P450 </w:t>
      </w:r>
      <w:r w:rsidR="006D77C5">
        <w:t>r</w:t>
      </w:r>
      <w:r w:rsidRPr="00F83C98">
        <w:t xml:space="preserve">eaction </w:t>
      </w:r>
      <w:r w:rsidR="006D77C5">
        <w:t>p</w:t>
      </w:r>
      <w:r w:rsidRPr="00F83C98">
        <w:t xml:space="preserve">henotyping of RTA 408 in </w:t>
      </w:r>
      <w:r w:rsidR="006D77C5">
        <w:t>h</w:t>
      </w:r>
      <w:r w:rsidRPr="00F83C98">
        <w:t xml:space="preserve">uman </w:t>
      </w:r>
      <w:r w:rsidR="006D77C5">
        <w:t>l</w:t>
      </w:r>
      <w:r w:rsidRPr="00F83C98">
        <w:t xml:space="preserve">iver </w:t>
      </w:r>
      <w:r w:rsidR="006D77C5">
        <w:t>m</w:t>
      </w:r>
      <w:r w:rsidRPr="00F83C98">
        <w:t xml:space="preserve">icrosomes and </w:t>
      </w:r>
      <w:r w:rsidR="00FE374E">
        <w:t>r</w:t>
      </w:r>
      <w:r w:rsidRPr="00F83C98">
        <w:t xml:space="preserve">ecombinant </w:t>
      </w:r>
      <w:r w:rsidR="00FE374E">
        <w:t>h</w:t>
      </w:r>
      <w:r w:rsidRPr="00F83C98">
        <w:t>uman CYP Enzymes</w:t>
      </w:r>
      <w:r>
        <w:t xml:space="preserve">. This study </w:t>
      </w:r>
      <w:r w:rsidRPr="00D96BB6">
        <w:t>suggest</w:t>
      </w:r>
      <w:r>
        <w:t>ed</w:t>
      </w:r>
      <w:r w:rsidRPr="00D96BB6">
        <w:t xml:space="preserve"> that </w:t>
      </w:r>
      <w:proofErr w:type="spellStart"/>
      <w:r w:rsidRPr="00D96BB6">
        <w:t>omaveloxolone</w:t>
      </w:r>
      <w:proofErr w:type="spellEnd"/>
      <w:r w:rsidRPr="00D96BB6">
        <w:t xml:space="preserve"> (RTA</w:t>
      </w:r>
      <w:r w:rsidR="00A049F1">
        <w:t xml:space="preserve"> </w:t>
      </w:r>
      <w:r w:rsidRPr="00D96BB6">
        <w:t>408) is metabolized mainly by CYP3A4 with minor contributions from CYP2C8 and CYP2J2</w:t>
      </w:r>
      <w:r w:rsidR="00FE374E">
        <w:t xml:space="preserve">. </w:t>
      </w:r>
      <w:proofErr w:type="spellStart"/>
      <w:r w:rsidR="00FE374E">
        <w:t>U</w:t>
      </w:r>
      <w:r w:rsidRPr="00D96BB6">
        <w:t>ridinediphosphate</w:t>
      </w:r>
      <w:proofErr w:type="spellEnd"/>
      <w:r w:rsidRPr="00D96BB6">
        <w:t xml:space="preserve"> glucuronosyltransferase enzymes do not play a role in the in vitro metabolism of </w:t>
      </w:r>
      <w:proofErr w:type="spellStart"/>
      <w:r w:rsidRPr="00D96BB6">
        <w:t>omaveloxolone</w:t>
      </w:r>
      <w:proofErr w:type="spellEnd"/>
      <w:r w:rsidRPr="00D96BB6">
        <w:t xml:space="preserve"> (</w:t>
      </w:r>
      <w:r w:rsidR="00A049F1">
        <w:t>S</w:t>
      </w:r>
      <w:r w:rsidRPr="00D96BB6">
        <w:t>tudy RTA408-P-1212)</w:t>
      </w:r>
      <w:r>
        <w:t xml:space="preserve">. This is reflected in figure 2 when the direct acting CYP3A4/5 inhibitor </w:t>
      </w:r>
      <w:proofErr w:type="spellStart"/>
      <w:r>
        <w:t>ketaconazole</w:t>
      </w:r>
      <w:proofErr w:type="spellEnd"/>
      <w:r>
        <w:t xml:space="preserve"> was added to human liver microsome in increasing concentration this resulted in increasing reductions in </w:t>
      </w:r>
      <w:proofErr w:type="spellStart"/>
      <w:r>
        <w:t>omaveloxolone</w:t>
      </w:r>
      <w:proofErr w:type="spellEnd"/>
      <w:r>
        <w:t xml:space="preserve"> concentrations.</w:t>
      </w:r>
    </w:p>
    <w:p w14:paraId="58D5B766" w14:textId="77777777" w:rsidR="00660E25" w:rsidRDefault="0048375D" w:rsidP="00471AF2">
      <w:pPr>
        <w:pStyle w:val="FigureTitle"/>
      </w:pPr>
      <w:r w:rsidRPr="00C76801">
        <w:t xml:space="preserve">Figure </w:t>
      </w:r>
      <w:r w:rsidR="00351BA9">
        <w:t>2</w:t>
      </w:r>
      <w:r w:rsidRPr="00C76801">
        <w:t xml:space="preserve">: </w:t>
      </w:r>
      <w:r w:rsidR="00351BA9">
        <w:t>E</w:t>
      </w:r>
      <w:r w:rsidRPr="00C76801">
        <w:t>ffect of ketoconazole on the disappearance of RTA 408 by human liver microsomes (0.1 and 0.25mg protein/mL)</w:t>
      </w:r>
    </w:p>
    <w:p w14:paraId="366CA8B3" w14:textId="2FA49ADC" w:rsidR="005C6463" w:rsidRDefault="00051BBA" w:rsidP="00471AF2">
      <w:pPr>
        <w:pStyle w:val="FigureTitle"/>
      </w:pPr>
      <w:r w:rsidRPr="00AF3D02">
        <w:rPr>
          <w:b w:val="0"/>
          <w:bCs/>
          <w:noProof/>
        </w:rPr>
        <w:drawing>
          <wp:inline distT="0" distB="0" distL="0" distR="0" wp14:anchorId="10AB18BE" wp14:editId="0C9038EC">
            <wp:extent cx="5105400" cy="3495902"/>
            <wp:effectExtent l="0" t="0" r="0" b="9525"/>
            <wp:docPr id="12" name="Picture 12" descr="Figure 2: Effect of ketoconazole on the disappearance of RTA 408 by human liver microsomes (0.1 and 0.25mg protei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Effect of ketoconazole on the disappearance of RTA 408 by human liver microsomes (0.1 and 0.25mg protein/mL)"/>
                    <pic:cNvPicPr/>
                  </pic:nvPicPr>
                  <pic:blipFill>
                    <a:blip r:embed="rId36"/>
                    <a:stretch>
                      <a:fillRect/>
                    </a:stretch>
                  </pic:blipFill>
                  <pic:spPr>
                    <a:xfrm>
                      <a:off x="0" y="0"/>
                      <a:ext cx="5124316" cy="3508855"/>
                    </a:xfrm>
                    <a:prstGeom prst="rect">
                      <a:avLst/>
                    </a:prstGeom>
                  </pic:spPr>
                </pic:pic>
              </a:graphicData>
            </a:graphic>
          </wp:inline>
        </w:drawing>
      </w:r>
    </w:p>
    <w:p w14:paraId="4E463375" w14:textId="77777777" w:rsidR="009339AA" w:rsidRDefault="009339AA">
      <w:pPr>
        <w:rPr>
          <w:rFonts w:ascii="Arial" w:eastAsia="Times New Roman" w:hAnsi="Arial" w:cs="Times New Roman"/>
          <w:b/>
          <w:bCs/>
          <w:i/>
          <w:color w:val="001871"/>
          <w:sz w:val="26"/>
          <w:szCs w:val="26"/>
        </w:rPr>
      </w:pPr>
      <w:r>
        <w:br w:type="page"/>
      </w:r>
    </w:p>
    <w:p w14:paraId="01909B18" w14:textId="1F6DB1AE" w:rsidR="005C6463" w:rsidRPr="009339AA" w:rsidRDefault="005C6463" w:rsidP="009339AA">
      <w:pPr>
        <w:pStyle w:val="Heading5"/>
      </w:pPr>
      <w:r w:rsidRPr="009339AA">
        <w:lastRenderedPageBreak/>
        <w:t>Pharmacokinetics (PK)</w:t>
      </w:r>
    </w:p>
    <w:p w14:paraId="239AA6CF" w14:textId="77777777" w:rsidR="005C6463" w:rsidRPr="009339AA" w:rsidRDefault="005C6463" w:rsidP="009339AA">
      <w:pPr>
        <w:pStyle w:val="Heading6"/>
      </w:pPr>
      <w:bookmarkStart w:id="51" w:name="_Ref188270403"/>
      <w:r w:rsidRPr="009339AA">
        <w:t xml:space="preserve">Study 1703 (effects of food on </w:t>
      </w:r>
      <w:proofErr w:type="spellStart"/>
      <w:r w:rsidRPr="009339AA">
        <w:t>omaveloxolone</w:t>
      </w:r>
      <w:proofErr w:type="spellEnd"/>
      <w:r w:rsidRPr="009339AA">
        <w:t xml:space="preserve"> PK and dose proportionality):</w:t>
      </w:r>
      <w:bookmarkEnd w:id="51"/>
    </w:p>
    <w:p w14:paraId="637FD71E" w14:textId="022F7C33" w:rsidR="001550FD" w:rsidRDefault="005C6463" w:rsidP="005C6463">
      <w:r>
        <w:t xml:space="preserve">This was a </w:t>
      </w:r>
      <w:r w:rsidRPr="00E02CB6">
        <w:t xml:space="preserve">single centre, open-label, </w:t>
      </w:r>
      <w:r w:rsidR="00D56B6E">
        <w:t>p</w:t>
      </w:r>
      <w:r w:rsidRPr="00E02CB6">
        <w:t xml:space="preserve">hase 1 study conducted in 2 parts simultaneously. </w:t>
      </w:r>
    </w:p>
    <w:p w14:paraId="7EFE2ACA" w14:textId="72BC5697" w:rsidR="005C6463" w:rsidRDefault="005C6463" w:rsidP="005C6463">
      <w:r w:rsidRPr="00E02CB6">
        <w:t xml:space="preserve">Part 1 was a fixed-sequence crossover study that was to assess the food effect of </w:t>
      </w:r>
      <w:proofErr w:type="spellStart"/>
      <w:r w:rsidRPr="00E02CB6">
        <w:t>omaveloxolone</w:t>
      </w:r>
      <w:proofErr w:type="spellEnd"/>
      <w:r w:rsidRPr="00E02CB6">
        <w:t xml:space="preserve">; </w:t>
      </w:r>
      <w:r w:rsidR="00D1301E">
        <w:t>p</w:t>
      </w:r>
      <w:r w:rsidR="00D1301E" w:rsidRPr="00E02CB6">
        <w:t xml:space="preserve">art </w:t>
      </w:r>
      <w:r w:rsidRPr="00E02CB6">
        <w:t>2 was to assess dose proportionality</w:t>
      </w:r>
      <w:r>
        <w:t>.</w:t>
      </w:r>
    </w:p>
    <w:p w14:paraId="77BC79AF" w14:textId="2D14AD8F" w:rsidR="005C6463" w:rsidRDefault="005C6463" w:rsidP="005C6463">
      <w:r>
        <w:t>The study consisted of a screening period of 28 days prior to study day -1. Patients were observed in a clinic setting from study day -1 to study day 6 in period 1 and in period 2 from study day 14 to study day 20 (in Part 1 only). Study designs of part 1 is outlined in figure 3.</w:t>
      </w:r>
    </w:p>
    <w:p w14:paraId="14951F32" w14:textId="6FE55B9E" w:rsidR="005C6463" w:rsidRDefault="005C6463" w:rsidP="00472318">
      <w:r>
        <w:t xml:space="preserve">In part </w:t>
      </w:r>
      <w:r w:rsidR="00294558">
        <w:t>1</w:t>
      </w:r>
      <w:r w:rsidR="00A162F2">
        <w:t>,</w:t>
      </w:r>
      <w:r w:rsidR="00294558">
        <w:t xml:space="preserve"> </w:t>
      </w:r>
      <w:r>
        <w:t xml:space="preserve">32 patients were enrolled and randomly assigned to 1 of 2 treatment sequences, </w:t>
      </w:r>
      <w:r w:rsidR="00BD0309">
        <w:t>p</w:t>
      </w:r>
      <w:r>
        <w:t xml:space="preserve">eriod 1 fed and period 2 fasted or period 1 fasted and period 2 fed. </w:t>
      </w:r>
      <w:r w:rsidR="00294558">
        <w:t xml:space="preserve">Two </w:t>
      </w:r>
      <w:r>
        <w:t xml:space="preserve">single doses of 150mg </w:t>
      </w:r>
      <w:proofErr w:type="spellStart"/>
      <w:r>
        <w:t>omaveloxolone</w:t>
      </w:r>
      <w:proofErr w:type="spellEnd"/>
      <w:r>
        <w:t xml:space="preserve"> were administered with ~240mL of water at beginning of each period. There was a 1-week washout period between period 1 and period 2.</w:t>
      </w:r>
    </w:p>
    <w:p w14:paraId="37DA74F1" w14:textId="5258A7C1" w:rsidR="005C6463" w:rsidRPr="00F9624F" w:rsidRDefault="005C6463" w:rsidP="00ED543C">
      <w:pPr>
        <w:pStyle w:val="FigureTitle"/>
        <w:spacing w:before="240"/>
      </w:pPr>
      <w:r w:rsidRPr="00F9624F">
        <w:t xml:space="preserve">Figure </w:t>
      </w:r>
      <w:r w:rsidR="00AA1E43">
        <w:t>3</w:t>
      </w:r>
      <w:r w:rsidRPr="00F9624F">
        <w:t>: Part</w:t>
      </w:r>
      <w:r w:rsidR="00B90E10">
        <w:t xml:space="preserve"> 1</w:t>
      </w:r>
      <w:r w:rsidRPr="00F9624F">
        <w:t xml:space="preserve">, Food </w:t>
      </w:r>
      <w:r w:rsidR="00471D90">
        <w:t>e</w:t>
      </w:r>
      <w:r w:rsidRPr="00F9624F">
        <w:t xml:space="preserve">ffect </w:t>
      </w:r>
      <w:r w:rsidR="00471D90">
        <w:t>s</w:t>
      </w:r>
      <w:r w:rsidRPr="00F9624F">
        <w:t xml:space="preserve">tudy </w:t>
      </w:r>
      <w:r w:rsidR="00471D90">
        <w:t>s</w:t>
      </w:r>
      <w:r w:rsidRPr="00F9624F">
        <w:t>chematic</w:t>
      </w:r>
    </w:p>
    <w:p w14:paraId="7E5A603A" w14:textId="667C8515" w:rsidR="00666EAD" w:rsidRDefault="00F83249" w:rsidP="005C6463">
      <w:r w:rsidRPr="00F83249">
        <w:rPr>
          <w:noProof/>
        </w:rPr>
        <w:drawing>
          <wp:inline distT="0" distB="0" distL="0" distR="0" wp14:anchorId="520A6D64" wp14:editId="3BF499F4">
            <wp:extent cx="5429250" cy="1436606"/>
            <wp:effectExtent l="0" t="0" r="0" b="0"/>
            <wp:docPr id="932800404" name="Picture 1" descr="Figure 3: Part 2, Food Effect Study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00404" name="Picture 1" descr="Figure 3: Part 2, Food Effect Study Schematic"/>
                    <pic:cNvPicPr/>
                  </pic:nvPicPr>
                  <pic:blipFill>
                    <a:blip r:embed="rId37"/>
                    <a:stretch>
                      <a:fillRect/>
                    </a:stretch>
                  </pic:blipFill>
                  <pic:spPr>
                    <a:xfrm>
                      <a:off x="0" y="0"/>
                      <a:ext cx="5469010" cy="1447127"/>
                    </a:xfrm>
                    <a:prstGeom prst="rect">
                      <a:avLst/>
                    </a:prstGeom>
                  </pic:spPr>
                </pic:pic>
              </a:graphicData>
            </a:graphic>
          </wp:inline>
        </w:drawing>
      </w:r>
    </w:p>
    <w:p w14:paraId="6BECDD33" w14:textId="72CA645D" w:rsidR="005C6463" w:rsidRDefault="005C6463" w:rsidP="005C6463">
      <w:r>
        <w:t xml:space="preserve">Part </w:t>
      </w:r>
      <w:r w:rsidR="001550FD">
        <w:t>2</w:t>
      </w:r>
      <w:r>
        <w:t xml:space="preserve"> was an open label randomized phase of the study to assess dose proportionality of </w:t>
      </w:r>
      <w:proofErr w:type="spellStart"/>
      <w:r>
        <w:t>omaveloxolone</w:t>
      </w:r>
      <w:proofErr w:type="spellEnd"/>
      <w:r>
        <w:t>. 18 patients were randomly assigned to one of two treatment groups</w:t>
      </w:r>
      <w:r w:rsidR="00A76E4E">
        <w:t>;</w:t>
      </w:r>
      <w:r>
        <w:t xml:space="preserve"> these groups were receiving either </w:t>
      </w:r>
      <w:proofErr w:type="spellStart"/>
      <w:r>
        <w:t>omaveloxolone</w:t>
      </w:r>
      <w:proofErr w:type="spellEnd"/>
      <w:r>
        <w:t xml:space="preserve"> 50mg (N=8) or </w:t>
      </w:r>
      <w:proofErr w:type="spellStart"/>
      <w:r>
        <w:t>omaveloxolone</w:t>
      </w:r>
      <w:proofErr w:type="spellEnd"/>
      <w:r>
        <w:t xml:space="preserve"> 100mg (N=8). To assess dose proportionality of the 50mg, 100mg and 150mg doses data from patients during fasted period of part one were included in </w:t>
      </w:r>
      <w:r w:rsidR="00A76E4E">
        <w:t xml:space="preserve">the </w:t>
      </w:r>
      <w:r>
        <w:t xml:space="preserve">part </w:t>
      </w:r>
      <w:r w:rsidR="00A76E4E">
        <w:t xml:space="preserve">2 </w:t>
      </w:r>
      <w:r>
        <w:t>analysis.</w:t>
      </w:r>
    </w:p>
    <w:p w14:paraId="78EEE39C" w14:textId="2995A9D3" w:rsidR="005C6463" w:rsidRDefault="005C6463" w:rsidP="005C6463">
      <w:r>
        <w:t xml:space="preserve">The primary objective was to determine the effect of food on PK of </w:t>
      </w:r>
      <w:proofErr w:type="spellStart"/>
      <w:r>
        <w:t>omaveloxolone</w:t>
      </w:r>
      <w:proofErr w:type="spellEnd"/>
      <w:r>
        <w:t xml:space="preserve"> (150mg</w:t>
      </w:r>
      <w:proofErr w:type="gramStart"/>
      <w:r>
        <w:t>)</w:t>
      </w:r>
      <w:proofErr w:type="gramEnd"/>
      <w:r>
        <w:t xml:space="preserve"> and the secondary objective was to assess safety, tolerability and dose proportionality of the 50mg, 100mg and 150mg doses. All patients were healthy males or females between 18 to 55 years of age. Fed and fasted PK value results from this study are shown in table </w:t>
      </w:r>
      <w:r w:rsidR="00170424">
        <w:t>5</w:t>
      </w:r>
      <w:r>
        <w:t>.</w:t>
      </w:r>
    </w:p>
    <w:p w14:paraId="20EEE0ED" w14:textId="77777777" w:rsidR="00170424" w:rsidRDefault="00170424">
      <w:pPr>
        <w:rPr>
          <w:b/>
        </w:rPr>
      </w:pPr>
      <w:r>
        <w:br w:type="page"/>
      </w:r>
    </w:p>
    <w:p w14:paraId="7F9EE210" w14:textId="1AC28330" w:rsidR="005C6463" w:rsidRPr="001F6FF5" w:rsidRDefault="005C6463" w:rsidP="00170424">
      <w:pPr>
        <w:pStyle w:val="FigureTitle"/>
      </w:pPr>
      <w:r w:rsidRPr="001F6FF5">
        <w:lastRenderedPageBreak/>
        <w:t xml:space="preserve">Table </w:t>
      </w:r>
      <w:fldSimple w:instr=" SEQ Table \* ARABIC ">
        <w:r>
          <w:rPr>
            <w:noProof/>
          </w:rPr>
          <w:t>5</w:t>
        </w:r>
      </w:fldSimple>
      <w:r w:rsidRPr="001F6FF5">
        <w:t xml:space="preserve">: Effect of food on plasma </w:t>
      </w:r>
      <w:proofErr w:type="spellStart"/>
      <w:r w:rsidRPr="001F6FF5">
        <w:t>omaveloxolone</w:t>
      </w:r>
      <w:proofErr w:type="spellEnd"/>
      <w:r w:rsidRPr="001F6FF5">
        <w:t xml:space="preserve"> PK parameters</w:t>
      </w:r>
    </w:p>
    <w:p w14:paraId="0D536C89" w14:textId="77777777" w:rsidR="005C6463" w:rsidRDefault="005C6463" w:rsidP="005C6463">
      <w:r w:rsidRPr="006D1C8C">
        <w:rPr>
          <w:noProof/>
        </w:rPr>
        <w:drawing>
          <wp:inline distT="0" distB="0" distL="0" distR="0" wp14:anchorId="296CEB35" wp14:editId="3E835246">
            <wp:extent cx="4685122" cy="2051943"/>
            <wp:effectExtent l="0" t="0" r="1270" b="5715"/>
            <wp:docPr id="16" name="Picture 16" descr="Table 5: Effect of food on plasma omaveloxolone PK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 5: Effect of food on plasma omaveloxolone PK parameters."/>
                    <pic:cNvPicPr/>
                  </pic:nvPicPr>
                  <pic:blipFill>
                    <a:blip r:embed="rId38"/>
                    <a:stretch>
                      <a:fillRect/>
                    </a:stretch>
                  </pic:blipFill>
                  <pic:spPr>
                    <a:xfrm>
                      <a:off x="0" y="0"/>
                      <a:ext cx="4693541" cy="2055630"/>
                    </a:xfrm>
                    <a:prstGeom prst="rect">
                      <a:avLst/>
                    </a:prstGeom>
                  </pic:spPr>
                </pic:pic>
              </a:graphicData>
            </a:graphic>
          </wp:inline>
        </w:drawing>
      </w:r>
    </w:p>
    <w:p w14:paraId="4D451FF5" w14:textId="77777777" w:rsidR="00613E2F" w:rsidRDefault="00613E2F" w:rsidP="00170424">
      <w:pPr>
        <w:pStyle w:val="FigureTitle"/>
      </w:pPr>
    </w:p>
    <w:p w14:paraId="54778CD3" w14:textId="1BD9735A" w:rsidR="005C6463" w:rsidRPr="009F0737" w:rsidRDefault="005C6463" w:rsidP="00170424">
      <w:pPr>
        <w:pStyle w:val="FigureTitle"/>
      </w:pPr>
      <w:r w:rsidRPr="009F0737">
        <w:t xml:space="preserve">Figure </w:t>
      </w:r>
      <w:r w:rsidR="006C1D3B">
        <w:t>4</w:t>
      </w:r>
      <w:r w:rsidRPr="009F0737">
        <w:t xml:space="preserve">: Concentration </w:t>
      </w:r>
      <w:r w:rsidR="00471D90">
        <w:t>v</w:t>
      </w:r>
      <w:r>
        <w:t>ersus</w:t>
      </w:r>
      <w:r w:rsidRPr="009F0737">
        <w:t xml:space="preserve"> time of </w:t>
      </w:r>
      <w:proofErr w:type="spellStart"/>
      <w:r w:rsidRPr="009F0737">
        <w:t>omaveloxolone</w:t>
      </w:r>
      <w:proofErr w:type="spellEnd"/>
      <w:r w:rsidRPr="009F0737">
        <w:t xml:space="preserve"> in fed vs fasted </w:t>
      </w:r>
      <w:r>
        <w:t>patients</w:t>
      </w:r>
    </w:p>
    <w:p w14:paraId="09625851" w14:textId="77777777" w:rsidR="005C6463" w:rsidRDefault="005C6463" w:rsidP="005C6463">
      <w:r>
        <w:rPr>
          <w:noProof/>
        </w:rPr>
        <w:drawing>
          <wp:inline distT="0" distB="0" distL="0" distR="0" wp14:anchorId="4973B28B" wp14:editId="43994F6A">
            <wp:extent cx="5165889" cy="2553051"/>
            <wp:effectExtent l="0" t="0" r="0" b="0"/>
            <wp:docPr id="17" name="Picture 17" descr="Figure 4: Concentration Versus time of omaveloxolone in fed vs fast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4: Concentration Versus time of omaveloxolone in fed vs fasted patien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71228" cy="2555689"/>
                    </a:xfrm>
                    <a:prstGeom prst="rect">
                      <a:avLst/>
                    </a:prstGeom>
                    <a:noFill/>
                  </pic:spPr>
                </pic:pic>
              </a:graphicData>
            </a:graphic>
          </wp:inline>
        </w:drawing>
      </w:r>
    </w:p>
    <w:p w14:paraId="1CE2D0DA" w14:textId="77777777" w:rsidR="005C6463" w:rsidRDefault="005C6463" w:rsidP="005C6463">
      <w:r>
        <w:t xml:space="preserve">These results show that administration of 150mg </w:t>
      </w:r>
      <w:proofErr w:type="spellStart"/>
      <w:r>
        <w:t>omaveloxolone</w:t>
      </w:r>
      <w:proofErr w:type="spellEnd"/>
      <w:r>
        <w:t xml:space="preserve"> with a high fat meal caused an increase in the total exposure of </w:t>
      </w:r>
      <w:proofErr w:type="spellStart"/>
      <w:r>
        <w:t>omaveloxolone</w:t>
      </w:r>
      <w:proofErr w:type="spellEnd"/>
      <w:r>
        <w:t xml:space="preserve"> (AUC</w:t>
      </w:r>
      <w:r w:rsidRPr="0093271F">
        <w:rPr>
          <w:vertAlign w:val="subscript"/>
        </w:rPr>
        <w:t>inf</w:t>
      </w:r>
      <w:r>
        <w:t xml:space="preserve"> increased by about 15%) compared to fasted conditions. In the fed state there was an approximate increase in </w:t>
      </w:r>
      <w:proofErr w:type="spellStart"/>
      <w:r>
        <w:t>C</w:t>
      </w:r>
      <w:r w:rsidRPr="00781716">
        <w:rPr>
          <w:vertAlign w:val="subscript"/>
        </w:rPr>
        <w:t>max</w:t>
      </w:r>
      <w:proofErr w:type="spellEnd"/>
      <w:r>
        <w:t xml:space="preserve"> of ~4.5 fold compared to fasted conditions. High fat food increased the absorption rate of </w:t>
      </w:r>
      <w:proofErr w:type="spellStart"/>
      <w:r>
        <w:t>omaveloxolone</w:t>
      </w:r>
      <w:proofErr w:type="spellEnd"/>
      <w:r>
        <w:t xml:space="preserve"> with a median </w:t>
      </w:r>
      <w:proofErr w:type="spellStart"/>
      <w:r>
        <w:t>T</w:t>
      </w:r>
      <w:r w:rsidRPr="0042544B">
        <w:rPr>
          <w:vertAlign w:val="subscript"/>
        </w:rPr>
        <w:t>max</w:t>
      </w:r>
      <w:proofErr w:type="spellEnd"/>
      <w:r w:rsidRPr="0042544B">
        <w:t xml:space="preserve"> </w:t>
      </w:r>
      <w:r>
        <w:t>of 5.0 hours for a 150mg dose.</w:t>
      </w:r>
    </w:p>
    <w:p w14:paraId="4473023A" w14:textId="34813A53" w:rsidR="005C6463" w:rsidRDefault="005C6463" w:rsidP="005C6463">
      <w:r>
        <w:t>In part 2 of this study</w:t>
      </w:r>
      <w:r w:rsidR="006C276E">
        <w:t>,</w:t>
      </w:r>
      <w:r>
        <w:t xml:space="preserve"> dose proportionality was investigated for </w:t>
      </w:r>
      <w:proofErr w:type="spellStart"/>
      <w:r>
        <w:t>omaveloxolone</w:t>
      </w:r>
      <w:proofErr w:type="spellEnd"/>
      <w:r>
        <w:t xml:space="preserve"> under fasted conditions. The median </w:t>
      </w:r>
      <w:proofErr w:type="spellStart"/>
      <w:r>
        <w:t>T</w:t>
      </w:r>
      <w:r w:rsidRPr="008A7AD4">
        <w:rPr>
          <w:vertAlign w:val="subscript"/>
        </w:rPr>
        <w:t>max</w:t>
      </w:r>
      <w:proofErr w:type="spellEnd"/>
      <w:r>
        <w:t xml:space="preserve"> was between 5.5hours and 11 hours for the dose ranges of 50mg to 150mg. </w:t>
      </w:r>
      <w:r w:rsidRPr="00191088">
        <w:t xml:space="preserve">Plasma </w:t>
      </w:r>
      <w:proofErr w:type="spellStart"/>
      <w:r w:rsidRPr="00191088">
        <w:t>omaveloxolone</w:t>
      </w:r>
      <w:proofErr w:type="spellEnd"/>
      <w:r w:rsidRPr="00191088">
        <w:t xml:space="preserve"> levels declined in a multi exponential manner following single dosing</w:t>
      </w:r>
      <w:r>
        <w:t xml:space="preserve"> with PK parameters for each dose shown in table </w:t>
      </w:r>
      <w:r w:rsidR="009E3D93">
        <w:t>6</w:t>
      </w:r>
      <w:r>
        <w:t>.</w:t>
      </w:r>
    </w:p>
    <w:p w14:paraId="51D85555" w14:textId="77777777" w:rsidR="001927F0" w:rsidRDefault="001927F0">
      <w:pPr>
        <w:rPr>
          <w:rFonts w:eastAsia="Cambria" w:cs="Times New Roman"/>
          <w:b/>
          <w:szCs w:val="22"/>
        </w:rPr>
      </w:pPr>
      <w:r>
        <w:br w:type="page"/>
      </w:r>
    </w:p>
    <w:p w14:paraId="0B294C68" w14:textId="12992DB8" w:rsidR="005C6463" w:rsidRPr="00CA4517" w:rsidRDefault="005C6463" w:rsidP="00170424">
      <w:pPr>
        <w:pStyle w:val="TableTitle"/>
      </w:pPr>
      <w:r w:rsidRPr="00CA4517">
        <w:lastRenderedPageBreak/>
        <w:t xml:space="preserve">Table </w:t>
      </w:r>
      <w:fldSimple w:instr=" SEQ Table \* ARABIC ">
        <w:r>
          <w:rPr>
            <w:noProof/>
          </w:rPr>
          <w:t>6</w:t>
        </w:r>
      </w:fldSimple>
      <w:r w:rsidRPr="00CA4517">
        <w:t xml:space="preserve">: Plasma </w:t>
      </w:r>
      <w:proofErr w:type="spellStart"/>
      <w:r w:rsidRPr="00CA4517">
        <w:t>omaveloxolone</w:t>
      </w:r>
      <w:proofErr w:type="spellEnd"/>
      <w:r w:rsidRPr="00CA4517">
        <w:t xml:space="preserve"> PK parameters from part 2 of study</w:t>
      </w:r>
    </w:p>
    <w:p w14:paraId="00A195FF" w14:textId="5541CDE3" w:rsidR="004906BF" w:rsidRDefault="001927F0" w:rsidP="005C6463">
      <w:r w:rsidRPr="001927F0">
        <w:rPr>
          <w:noProof/>
        </w:rPr>
        <w:drawing>
          <wp:inline distT="0" distB="0" distL="0" distR="0" wp14:anchorId="58844E3D" wp14:editId="3B418EE3">
            <wp:extent cx="4200525" cy="5311875"/>
            <wp:effectExtent l="0" t="0" r="0" b="3175"/>
            <wp:docPr id="727380810" name="Picture 1" descr="Table 6: Plasma omaveloxolone PK parameters from part 2 of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80810" name="Picture 1" descr="Table 6: Plasma omaveloxolone PK parameters from part 2 of study"/>
                    <pic:cNvPicPr/>
                  </pic:nvPicPr>
                  <pic:blipFill>
                    <a:blip r:embed="rId40"/>
                    <a:stretch>
                      <a:fillRect/>
                    </a:stretch>
                  </pic:blipFill>
                  <pic:spPr>
                    <a:xfrm>
                      <a:off x="0" y="0"/>
                      <a:ext cx="4205902" cy="5318675"/>
                    </a:xfrm>
                    <a:prstGeom prst="rect">
                      <a:avLst/>
                    </a:prstGeom>
                  </pic:spPr>
                </pic:pic>
              </a:graphicData>
            </a:graphic>
          </wp:inline>
        </w:drawing>
      </w:r>
    </w:p>
    <w:p w14:paraId="0EE07458" w14:textId="77777777" w:rsidR="001927F0" w:rsidRDefault="001927F0" w:rsidP="005C6463"/>
    <w:p w14:paraId="1B7409E2" w14:textId="099576FC" w:rsidR="005C6463" w:rsidRPr="006E0371" w:rsidRDefault="005C6463" w:rsidP="005C6463">
      <w:r>
        <w:t xml:space="preserve">Dose proportionality was assessed by fitting a power model. The </w:t>
      </w:r>
      <w:r w:rsidR="007B6B69">
        <w:t>sponsor</w:t>
      </w:r>
      <w:r>
        <w:t xml:space="preserve"> states in the study conclusion there was a </w:t>
      </w:r>
      <w:r w:rsidR="004A6FE5">
        <w:t>‘</w:t>
      </w:r>
      <w:r>
        <w:t>dose related increase</w:t>
      </w:r>
      <w:r w:rsidRPr="000F135E">
        <w:t xml:space="preserve"> over the dose range of 50 mg to 150 mg for AUC</w:t>
      </w:r>
      <w:r w:rsidRPr="0094084A">
        <w:rPr>
          <w:vertAlign w:val="subscript"/>
        </w:rPr>
        <w:t xml:space="preserve">0-t </w:t>
      </w:r>
      <w:r w:rsidRPr="000F135E">
        <w:t>and AUC</w:t>
      </w:r>
      <w:r w:rsidRPr="0094084A">
        <w:rPr>
          <w:vertAlign w:val="subscript"/>
        </w:rPr>
        <w:t>0-∞</w:t>
      </w:r>
      <w:r w:rsidRPr="000F135E">
        <w:t xml:space="preserve">, but not demonstrated for </w:t>
      </w:r>
      <w:proofErr w:type="spellStart"/>
      <w:r w:rsidRPr="000F135E">
        <w:t>C</w:t>
      </w:r>
      <w:r w:rsidRPr="000F135E">
        <w:rPr>
          <w:vertAlign w:val="subscript"/>
        </w:rPr>
        <w:t>max</w:t>
      </w:r>
      <w:proofErr w:type="spellEnd"/>
      <w:r w:rsidRPr="000F135E">
        <w:t>, which increased in a less than dose proportional manner.</w:t>
      </w:r>
      <w:r>
        <w:t xml:space="preserve"> </w:t>
      </w:r>
      <w:r w:rsidR="0013482F">
        <w:t xml:space="preserve">The </w:t>
      </w:r>
      <w:r w:rsidR="00185508">
        <w:t>Delegate</w:t>
      </w:r>
      <w:r w:rsidR="0013482F">
        <w:t xml:space="preserve"> </w:t>
      </w:r>
      <w:r>
        <w:t>note</w:t>
      </w:r>
      <w:r w:rsidR="0013482F">
        <w:t>s</w:t>
      </w:r>
      <w:r>
        <w:t xml:space="preserve"> that the AUC</w:t>
      </w:r>
      <w:r w:rsidRPr="006E0371">
        <w:rPr>
          <w:vertAlign w:val="subscript"/>
        </w:rPr>
        <w:t xml:space="preserve">0-t </w:t>
      </w:r>
      <w:r>
        <w:t>and AUC</w:t>
      </w:r>
      <w:r w:rsidRPr="006E0371">
        <w:rPr>
          <w:vertAlign w:val="subscript"/>
        </w:rPr>
        <w:t>0-∞</w:t>
      </w:r>
      <w:r>
        <w:t xml:space="preserve"> are approximately dose proportional between doses of 50mg and 100mg fasted, but the AUC</w:t>
      </w:r>
      <w:r w:rsidRPr="006E0371">
        <w:rPr>
          <w:vertAlign w:val="subscript"/>
        </w:rPr>
        <w:t xml:space="preserve">0-t </w:t>
      </w:r>
      <w:r>
        <w:t xml:space="preserve">values between the 100mg (Geometric mean </w:t>
      </w:r>
      <w:bookmarkStart w:id="52" w:name="_Hlk187760918"/>
      <w:r>
        <w:t>1030h*ng/mL</w:t>
      </w:r>
      <w:bookmarkEnd w:id="52"/>
      <w:r>
        <w:t xml:space="preserve">) and 150mg (Geometric mean also 1030h*ng/mL) thus suggesting that between the doses of 100mg and 150mg </w:t>
      </w:r>
      <w:proofErr w:type="spellStart"/>
      <w:r>
        <w:t>omaveloxolone</w:t>
      </w:r>
      <w:proofErr w:type="spellEnd"/>
      <w:r>
        <w:t xml:space="preserve"> does not increase proportionally and may increase significantly less then proportionally. The evaluator has referenced a slope curve based on a power model which considers all 3 doses studied in an aggregate manner and does not appear to discriminate specifically in the dose range of 100mg to 150mg. The </w:t>
      </w:r>
      <w:r w:rsidR="004C338D">
        <w:t>s</w:t>
      </w:r>
      <w:r w:rsidR="007B6B69">
        <w:t>ponsor</w:t>
      </w:r>
      <w:r>
        <w:t xml:space="preserve"> has stated that </w:t>
      </w:r>
      <w:proofErr w:type="spellStart"/>
      <w:r>
        <w:t>C</w:t>
      </w:r>
      <w:r w:rsidRPr="00D16693">
        <w:rPr>
          <w:vertAlign w:val="subscript"/>
        </w:rPr>
        <w:t>max</w:t>
      </w:r>
      <w:proofErr w:type="spellEnd"/>
      <w:r>
        <w:t xml:space="preserve"> increases less then dose proportionally which the </w:t>
      </w:r>
      <w:r w:rsidR="00185508">
        <w:t>Delegate</w:t>
      </w:r>
      <w:r>
        <w:t xml:space="preserve"> agrees with. Based on this it is unclear regarding the dose proportionality of </w:t>
      </w:r>
      <w:proofErr w:type="spellStart"/>
      <w:r>
        <w:t>omaveloxolone</w:t>
      </w:r>
      <w:proofErr w:type="spellEnd"/>
      <w:r>
        <w:t xml:space="preserve"> at doses between 100mg to 150mgand higher, but given there is only a single recommended dose of </w:t>
      </w:r>
      <w:proofErr w:type="spellStart"/>
      <w:r>
        <w:t>omaveloxolone</w:t>
      </w:r>
      <w:proofErr w:type="spellEnd"/>
      <w:r>
        <w:t xml:space="preserve"> recommended for this indication that is supported by the pivotal trial using this dose the </w:t>
      </w:r>
      <w:r w:rsidR="00185508">
        <w:t>Delegate</w:t>
      </w:r>
      <w:r>
        <w:t xml:space="preserve"> does not believe these results impact on the applicant’s application for the proposed indication at the recommended dose of 150mg daily.</w:t>
      </w:r>
    </w:p>
    <w:p w14:paraId="4DABF06D" w14:textId="77777777" w:rsidR="005C6463" w:rsidRPr="006A1513" w:rsidRDefault="005C6463" w:rsidP="005C6463"/>
    <w:p w14:paraId="583370D2" w14:textId="568C7FE7" w:rsidR="005C6463" w:rsidRDefault="005C6463" w:rsidP="005C6463">
      <w:pPr>
        <w:pStyle w:val="Heading6"/>
        <w:rPr>
          <w:b w:val="0"/>
          <w:bCs w:val="0"/>
        </w:rPr>
      </w:pPr>
      <w:bookmarkStart w:id="53" w:name="_Ref188270378"/>
      <w:r w:rsidRPr="00B41903">
        <w:rPr>
          <w:bCs w:val="0"/>
        </w:rPr>
        <w:lastRenderedPageBreak/>
        <w:t>Study 1805</w:t>
      </w:r>
      <w:bookmarkEnd w:id="53"/>
      <w:r w:rsidR="00CF3FCA">
        <w:rPr>
          <w:bCs w:val="0"/>
        </w:rPr>
        <w:t xml:space="preserve"> (Absorption, metabolism and excretion of </w:t>
      </w:r>
      <w:proofErr w:type="spellStart"/>
      <w:r w:rsidR="00CF3FCA">
        <w:rPr>
          <w:bCs w:val="0"/>
        </w:rPr>
        <w:t>omaveloxolone</w:t>
      </w:r>
      <w:proofErr w:type="spellEnd"/>
      <w:r w:rsidR="00CF3FCA">
        <w:rPr>
          <w:bCs w:val="0"/>
        </w:rPr>
        <w:t>)</w:t>
      </w:r>
    </w:p>
    <w:p w14:paraId="487BFF5B" w14:textId="62C8981C" w:rsidR="005C6463" w:rsidRDefault="005C6463" w:rsidP="005C6463">
      <w:r>
        <w:t xml:space="preserve">This was a </w:t>
      </w:r>
      <w:r w:rsidR="00AE6509">
        <w:t>p</w:t>
      </w:r>
      <w:r w:rsidRPr="00A542D5">
        <w:t xml:space="preserve">hase 1 </w:t>
      </w:r>
      <w:r>
        <w:t>s</w:t>
      </w:r>
      <w:r w:rsidRPr="00A542D5">
        <w:t xml:space="preserve">tudy to </w:t>
      </w:r>
      <w:r w:rsidR="00AE6509">
        <w:t>i</w:t>
      </w:r>
      <w:r w:rsidRPr="00A542D5">
        <w:t xml:space="preserve">nvestigate the </w:t>
      </w:r>
      <w:r w:rsidR="00AE6509">
        <w:t>a</w:t>
      </w:r>
      <w:r w:rsidRPr="00A542D5">
        <w:t xml:space="preserve">bsorption, </w:t>
      </w:r>
      <w:r w:rsidR="00AE6509">
        <w:t>m</w:t>
      </w:r>
      <w:r w:rsidRPr="00A542D5">
        <w:t xml:space="preserve">etabolism, and </w:t>
      </w:r>
      <w:r w:rsidR="00AE6509">
        <w:t>e</w:t>
      </w:r>
      <w:r w:rsidRPr="00A542D5">
        <w:t>xcretion of [14C]-</w:t>
      </w:r>
      <w:proofErr w:type="spellStart"/>
      <w:r w:rsidR="00AE6509">
        <w:t>o</w:t>
      </w:r>
      <w:r w:rsidRPr="00A542D5">
        <w:t>maveloxolone</w:t>
      </w:r>
      <w:proofErr w:type="spellEnd"/>
      <w:r w:rsidRPr="00A542D5">
        <w:t xml:space="preserve"> </w:t>
      </w:r>
      <w:r w:rsidR="00AE6509">
        <w:t>f</w:t>
      </w:r>
      <w:r w:rsidRPr="00A542D5">
        <w:t xml:space="preserve">ollowing </w:t>
      </w:r>
      <w:r w:rsidR="00AE6509">
        <w:t>s</w:t>
      </w:r>
      <w:r w:rsidRPr="00A542D5">
        <w:t xml:space="preserve">ingle </w:t>
      </w:r>
      <w:r w:rsidR="00AE6509">
        <w:t>o</w:t>
      </w:r>
      <w:r w:rsidRPr="00A542D5">
        <w:t xml:space="preserve">ral </w:t>
      </w:r>
      <w:r w:rsidR="00AE6509">
        <w:t>d</w:t>
      </w:r>
      <w:r w:rsidRPr="00A542D5">
        <w:t xml:space="preserve">ose </w:t>
      </w:r>
      <w:r w:rsidR="00AE6509">
        <w:t>a</w:t>
      </w:r>
      <w:r w:rsidRPr="00A542D5">
        <w:t xml:space="preserve">dministration in </w:t>
      </w:r>
      <w:r w:rsidR="00AE6509">
        <w:t>h</w:t>
      </w:r>
      <w:r w:rsidRPr="00A542D5">
        <w:t xml:space="preserve">ealthy </w:t>
      </w:r>
      <w:r w:rsidR="00AE6509">
        <w:t>m</w:t>
      </w:r>
      <w:r w:rsidRPr="00A542D5">
        <w:t xml:space="preserve">ale </w:t>
      </w:r>
      <w:bookmarkStart w:id="54" w:name="_Hlk173833517"/>
      <w:r>
        <w:t>participants</w:t>
      </w:r>
      <w:bookmarkEnd w:id="54"/>
      <w:r>
        <w:t>. The study was</w:t>
      </w:r>
      <w:r w:rsidR="004C555E">
        <w:t xml:space="preserve"> an</w:t>
      </w:r>
      <w:r>
        <w:t xml:space="preserve"> </w:t>
      </w:r>
      <w:r w:rsidRPr="00CB0015">
        <w:t>open-label, non-randomized</w:t>
      </w:r>
      <w:r>
        <w:t xml:space="preserve"> and</w:t>
      </w:r>
      <w:r w:rsidRPr="00CB0015">
        <w:t xml:space="preserve"> single-dose study</w:t>
      </w:r>
      <w:r>
        <w:t xml:space="preserve">. </w:t>
      </w:r>
    </w:p>
    <w:p w14:paraId="58002272" w14:textId="46B4C46D" w:rsidR="005C6463" w:rsidRDefault="005C6463" w:rsidP="005C6463">
      <w:r>
        <w:t>A total of 8 patients were enrolled in this study. Participants were screened 28 days prior to dosing. On morning of day 1 following at least a 10 hour fast</w:t>
      </w:r>
      <w:r w:rsidR="00483B54">
        <w:t>,</w:t>
      </w:r>
      <w:r>
        <w:t xml:space="preserve"> all patients received a single oral dose of (in the form of a capsule) </w:t>
      </w:r>
      <w:r w:rsidRPr="000571F6">
        <w:t>150 mg</w:t>
      </w:r>
      <w:r>
        <w:t xml:space="preserve"> </w:t>
      </w:r>
      <w:proofErr w:type="spellStart"/>
      <w:r>
        <w:t>omaveloxolone</w:t>
      </w:r>
      <w:proofErr w:type="spellEnd"/>
      <w:r w:rsidRPr="000571F6">
        <w:t xml:space="preserve"> containing approximately 90 </w:t>
      </w:r>
      <w:proofErr w:type="spellStart"/>
      <w:r w:rsidRPr="000571F6">
        <w:t>μCi</w:t>
      </w:r>
      <w:proofErr w:type="spellEnd"/>
      <w:r w:rsidRPr="000571F6">
        <w:t xml:space="preserve"> of</w:t>
      </w:r>
      <w:r w:rsidR="00000BB9">
        <w:br/>
      </w:r>
      <w:r w:rsidRPr="000571F6">
        <w:t>[14C]-</w:t>
      </w:r>
      <w:proofErr w:type="spellStart"/>
      <w:r w:rsidRPr="000571F6">
        <w:t>omaveloxolone</w:t>
      </w:r>
      <w:proofErr w:type="spellEnd"/>
      <w:r>
        <w:t xml:space="preserve"> (radiolabelled </w:t>
      </w:r>
      <w:proofErr w:type="spellStart"/>
      <w:r>
        <w:t>omaveloxolone</w:t>
      </w:r>
      <w:proofErr w:type="spellEnd"/>
      <w:r>
        <w:t>)</w:t>
      </w:r>
      <w:r w:rsidRPr="000571F6">
        <w:t>.</w:t>
      </w:r>
      <w:r>
        <w:t xml:space="preserve"> Participants were monitored in an inpatient unit until at least day 9. A pre-dose blood test and a total of 18 blood samples were taken between 0 hours and 168 (days 0-8) hours post-dose to establish PK parameters, with more frequent blood samples taken in first 24 hours post dose. A total of 11 urine samples and 8 faecal samples were planned to be collected between days 0-8 to determine routes of elimination.</w:t>
      </w:r>
    </w:p>
    <w:p w14:paraId="183647D5" w14:textId="77777777" w:rsidR="005C6463" w:rsidRDefault="005C6463" w:rsidP="005C6463">
      <w:r>
        <w:t>The primary objective of this study was to assess the pharmacokinetic (PK), mass balance, metabolite profiles, and rates and routes of elimination of [14C]-</w:t>
      </w:r>
      <w:proofErr w:type="spellStart"/>
      <w:r>
        <w:t>omaveloxolone</w:t>
      </w:r>
      <w:proofErr w:type="spellEnd"/>
      <w:r>
        <w:t xml:space="preserve"> and derived metabolites following administration as a single 150-mg (containing approximately 90 </w:t>
      </w:r>
      <w:proofErr w:type="spellStart"/>
      <w:r>
        <w:t>μCi</w:t>
      </w:r>
      <w:proofErr w:type="spellEnd"/>
      <w:r>
        <w:t>) dose to healthy male participants. Study participants were healthy males aged between 18-55 years with BMI between 18.0-32.0.</w:t>
      </w:r>
    </w:p>
    <w:p w14:paraId="554B45DB" w14:textId="574B81FE" w:rsidR="008839BA" w:rsidRDefault="005C6463" w:rsidP="008839BA">
      <w:r>
        <w:t xml:space="preserve">The arithmetic mean (+SD) concentration profiles for </w:t>
      </w:r>
      <w:proofErr w:type="spellStart"/>
      <w:r>
        <w:t>omaveloxolone</w:t>
      </w:r>
      <w:proofErr w:type="spellEnd"/>
      <w:r>
        <w:t xml:space="preserve"> in plasma for all</w:t>
      </w:r>
      <w:r w:rsidRPr="00445B58">
        <w:t xml:space="preserve"> </w:t>
      </w:r>
      <w:r>
        <w:t xml:space="preserve">participants are presented in </w:t>
      </w:r>
      <w:r w:rsidR="000314B6">
        <w:t xml:space="preserve">figure 5 </w:t>
      </w:r>
      <w:r>
        <w:t xml:space="preserve">with key PK parameters for all participants being presented in table </w:t>
      </w:r>
      <w:r w:rsidR="000314B6">
        <w:t>7</w:t>
      </w:r>
      <w:r>
        <w:t>.</w:t>
      </w:r>
    </w:p>
    <w:p w14:paraId="29CE31FD" w14:textId="0EF71E18" w:rsidR="005C6463" w:rsidRPr="00FA34D7" w:rsidRDefault="005C6463" w:rsidP="008839BA">
      <w:pPr>
        <w:rPr>
          <w:b/>
          <w:bCs/>
          <w:szCs w:val="22"/>
        </w:rPr>
      </w:pPr>
      <w:r w:rsidRPr="00FA34D7">
        <w:rPr>
          <w:b/>
          <w:bCs/>
          <w:szCs w:val="22"/>
        </w:rPr>
        <w:t xml:space="preserve">Figure </w:t>
      </w:r>
      <w:r w:rsidR="008D2916">
        <w:rPr>
          <w:b/>
          <w:bCs/>
          <w:szCs w:val="22"/>
        </w:rPr>
        <w:t>5</w:t>
      </w:r>
      <w:r w:rsidRPr="00FA34D7">
        <w:rPr>
          <w:b/>
          <w:bCs/>
          <w:szCs w:val="22"/>
        </w:rPr>
        <w:t xml:space="preserve">: Arithmetic </w:t>
      </w:r>
      <w:r w:rsidR="00E279D4">
        <w:rPr>
          <w:b/>
          <w:bCs/>
          <w:szCs w:val="22"/>
        </w:rPr>
        <w:t>m</w:t>
      </w:r>
      <w:r w:rsidRPr="00FA34D7">
        <w:rPr>
          <w:b/>
          <w:bCs/>
          <w:szCs w:val="22"/>
        </w:rPr>
        <w:t xml:space="preserve">ean (+SD) </w:t>
      </w:r>
      <w:r w:rsidR="00C54002">
        <w:rPr>
          <w:b/>
          <w:bCs/>
          <w:szCs w:val="22"/>
        </w:rPr>
        <w:t>c</w:t>
      </w:r>
      <w:r w:rsidRPr="00FA34D7">
        <w:rPr>
          <w:b/>
          <w:bCs/>
          <w:szCs w:val="22"/>
        </w:rPr>
        <w:t xml:space="preserve">oncentration </w:t>
      </w:r>
      <w:r w:rsidR="00C54002">
        <w:rPr>
          <w:b/>
          <w:bCs/>
          <w:szCs w:val="22"/>
        </w:rPr>
        <w:t>p</w:t>
      </w:r>
      <w:r w:rsidRPr="00FA34D7">
        <w:rPr>
          <w:b/>
          <w:bCs/>
          <w:szCs w:val="22"/>
        </w:rPr>
        <w:t xml:space="preserve">rofiles of </w:t>
      </w:r>
      <w:r w:rsidR="00D66255">
        <w:rPr>
          <w:b/>
          <w:bCs/>
          <w:szCs w:val="22"/>
        </w:rPr>
        <w:t>p</w:t>
      </w:r>
      <w:r w:rsidRPr="00FA34D7">
        <w:rPr>
          <w:b/>
          <w:bCs/>
          <w:szCs w:val="22"/>
        </w:rPr>
        <w:t xml:space="preserve">lasma </w:t>
      </w:r>
      <w:proofErr w:type="spellStart"/>
      <w:r w:rsidR="00D66255">
        <w:rPr>
          <w:b/>
          <w:bCs/>
          <w:szCs w:val="22"/>
        </w:rPr>
        <w:t>o</w:t>
      </w:r>
      <w:r w:rsidRPr="00FA34D7">
        <w:rPr>
          <w:b/>
          <w:bCs/>
          <w:szCs w:val="22"/>
        </w:rPr>
        <w:t>maveloxolone</w:t>
      </w:r>
      <w:proofErr w:type="spellEnd"/>
      <w:r w:rsidRPr="00FA34D7">
        <w:rPr>
          <w:b/>
          <w:bCs/>
          <w:szCs w:val="22"/>
        </w:rPr>
        <w:t xml:space="preserve">, </w:t>
      </w:r>
      <w:r w:rsidR="00D66255">
        <w:rPr>
          <w:b/>
          <w:bCs/>
          <w:szCs w:val="22"/>
        </w:rPr>
        <w:t>p</w:t>
      </w:r>
      <w:r w:rsidRPr="00FA34D7">
        <w:rPr>
          <w:b/>
          <w:bCs/>
          <w:szCs w:val="22"/>
        </w:rPr>
        <w:t xml:space="preserve">lasma </w:t>
      </w:r>
      <w:r w:rsidR="00D66255">
        <w:rPr>
          <w:b/>
          <w:bCs/>
          <w:szCs w:val="22"/>
        </w:rPr>
        <w:t>t</w:t>
      </w:r>
      <w:r w:rsidRPr="00FA34D7">
        <w:rPr>
          <w:b/>
          <w:bCs/>
          <w:szCs w:val="22"/>
        </w:rPr>
        <w:t xml:space="preserve">otal </w:t>
      </w:r>
      <w:r w:rsidR="00D66255">
        <w:rPr>
          <w:b/>
          <w:bCs/>
          <w:szCs w:val="22"/>
        </w:rPr>
        <w:t>r</w:t>
      </w:r>
      <w:r w:rsidRPr="00FA34D7">
        <w:rPr>
          <w:b/>
          <w:bCs/>
          <w:szCs w:val="22"/>
        </w:rPr>
        <w:t xml:space="preserve">adioactivity, and </w:t>
      </w:r>
      <w:r w:rsidR="00D66255">
        <w:rPr>
          <w:b/>
          <w:bCs/>
          <w:szCs w:val="22"/>
        </w:rPr>
        <w:t>w</w:t>
      </w:r>
      <w:r w:rsidRPr="00FA34D7">
        <w:rPr>
          <w:b/>
          <w:bCs/>
          <w:szCs w:val="22"/>
        </w:rPr>
        <w:t xml:space="preserve">hole </w:t>
      </w:r>
      <w:r w:rsidR="00D66255">
        <w:rPr>
          <w:b/>
          <w:bCs/>
          <w:szCs w:val="22"/>
        </w:rPr>
        <w:t>b</w:t>
      </w:r>
      <w:r w:rsidRPr="00FA34D7">
        <w:rPr>
          <w:b/>
          <w:bCs/>
          <w:szCs w:val="22"/>
        </w:rPr>
        <w:t xml:space="preserve">lood </w:t>
      </w:r>
      <w:r w:rsidR="00D66255">
        <w:rPr>
          <w:b/>
          <w:bCs/>
          <w:szCs w:val="22"/>
        </w:rPr>
        <w:t>t</w:t>
      </w:r>
      <w:r w:rsidRPr="00FA34D7">
        <w:rPr>
          <w:b/>
          <w:bCs/>
          <w:szCs w:val="22"/>
        </w:rPr>
        <w:t xml:space="preserve">otal </w:t>
      </w:r>
      <w:r w:rsidR="00D66255">
        <w:rPr>
          <w:b/>
          <w:bCs/>
          <w:szCs w:val="22"/>
        </w:rPr>
        <w:t>r</w:t>
      </w:r>
      <w:r w:rsidRPr="00FA34D7">
        <w:rPr>
          <w:b/>
          <w:bCs/>
          <w:szCs w:val="22"/>
        </w:rPr>
        <w:t>adioactivity</w:t>
      </w:r>
    </w:p>
    <w:p w14:paraId="66607E2A" w14:textId="77777777" w:rsidR="005C6463" w:rsidRDefault="005C6463" w:rsidP="005C6463">
      <w:r w:rsidRPr="00FA34D7">
        <w:rPr>
          <w:noProof/>
        </w:rPr>
        <w:drawing>
          <wp:inline distT="0" distB="0" distL="0" distR="0" wp14:anchorId="0AD053B3" wp14:editId="67448FD0">
            <wp:extent cx="3944594" cy="4267200"/>
            <wp:effectExtent l="0" t="0" r="0" b="0"/>
            <wp:docPr id="1286839437" name="Picture 1286839437" descr="Figure 5: Arithmetic Mean (+SD) Concentration Profiles of Plasma Omaveloxolone, Plasma Total Radioactivity, and Whole Blood Total Radio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39437" name="Picture 1286839437" descr="Figure 5: Arithmetic Mean (+SD) Concentration Profiles of Plasma Omaveloxolone, Plasma Total Radioactivity, and Whole Blood Total Radioactivity"/>
                    <pic:cNvPicPr/>
                  </pic:nvPicPr>
                  <pic:blipFill>
                    <a:blip r:embed="rId41"/>
                    <a:stretch>
                      <a:fillRect/>
                    </a:stretch>
                  </pic:blipFill>
                  <pic:spPr>
                    <a:xfrm>
                      <a:off x="0" y="0"/>
                      <a:ext cx="3986221" cy="4312232"/>
                    </a:xfrm>
                    <a:prstGeom prst="rect">
                      <a:avLst/>
                    </a:prstGeom>
                  </pic:spPr>
                </pic:pic>
              </a:graphicData>
            </a:graphic>
          </wp:inline>
        </w:drawing>
      </w:r>
    </w:p>
    <w:p w14:paraId="1ED5077F" w14:textId="77777777" w:rsidR="005C6463" w:rsidRDefault="005C6463" w:rsidP="005C6463"/>
    <w:p w14:paraId="6D8D5EBD" w14:textId="1E8D7B43" w:rsidR="005C6463" w:rsidRPr="002E2478" w:rsidRDefault="005C6463" w:rsidP="008839BA">
      <w:pPr>
        <w:pStyle w:val="TableTitle"/>
      </w:pPr>
      <w:r w:rsidRPr="002E2478">
        <w:lastRenderedPageBreak/>
        <w:t xml:space="preserve">Table </w:t>
      </w:r>
      <w:fldSimple w:instr=" SEQ Table \* ARABIC ">
        <w:r>
          <w:rPr>
            <w:noProof/>
          </w:rPr>
          <w:t>7</w:t>
        </w:r>
      </w:fldSimple>
      <w:r w:rsidRPr="002E2478">
        <w:t>: Summary of the Pharmacokinetic</w:t>
      </w:r>
      <w:r w:rsidR="00E279D4">
        <w:t xml:space="preserve"> (PK)</w:t>
      </w:r>
      <w:r w:rsidRPr="002E2478">
        <w:t xml:space="preserve"> </w:t>
      </w:r>
      <w:r w:rsidR="00616D8D">
        <w:t>p</w:t>
      </w:r>
      <w:r w:rsidRPr="002E2478">
        <w:t xml:space="preserve">arameters for </w:t>
      </w:r>
      <w:proofErr w:type="spellStart"/>
      <w:r w:rsidR="00616D8D">
        <w:t>o</w:t>
      </w:r>
      <w:r w:rsidRPr="002E2478">
        <w:t>maveloxolone</w:t>
      </w:r>
      <w:proofErr w:type="spellEnd"/>
      <w:r w:rsidRPr="002E2478">
        <w:t xml:space="preserve"> </w:t>
      </w:r>
      <w:r w:rsidR="00616D8D">
        <w:t>f</w:t>
      </w:r>
      <w:r w:rsidRPr="002E2478">
        <w:t xml:space="preserve">ollowing </w:t>
      </w:r>
      <w:r w:rsidR="00616D8D">
        <w:t>s</w:t>
      </w:r>
      <w:r w:rsidRPr="002E2478">
        <w:t xml:space="preserve">ingle </w:t>
      </w:r>
      <w:r w:rsidR="00616D8D">
        <w:t>o</w:t>
      </w:r>
      <w:r w:rsidRPr="002E2478">
        <w:t xml:space="preserve">ral </w:t>
      </w:r>
      <w:r w:rsidR="00616D8D">
        <w:t>d</w:t>
      </w:r>
      <w:r w:rsidRPr="002E2478">
        <w:t>oses</w:t>
      </w:r>
    </w:p>
    <w:p w14:paraId="46A3661D" w14:textId="473BDB6D" w:rsidR="00B9609D" w:rsidRDefault="00653743" w:rsidP="005C6463">
      <w:r w:rsidRPr="00653743">
        <w:rPr>
          <w:noProof/>
        </w:rPr>
        <w:drawing>
          <wp:inline distT="0" distB="0" distL="0" distR="0" wp14:anchorId="5E5DAFE6" wp14:editId="279187FC">
            <wp:extent cx="4352925" cy="2685847"/>
            <wp:effectExtent l="0" t="0" r="0" b="635"/>
            <wp:docPr id="541312575" name="Picture 1" descr="Table 7: Summary of the Pharmacokinetic Parameters for Omaveloxolone Following Single Oral D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12575" name="Picture 1" descr="Table 7: Summary of the Pharmacokinetic Parameters for Omaveloxolone Following Single Oral Doses"/>
                    <pic:cNvPicPr/>
                  </pic:nvPicPr>
                  <pic:blipFill>
                    <a:blip r:embed="rId42"/>
                    <a:stretch>
                      <a:fillRect/>
                    </a:stretch>
                  </pic:blipFill>
                  <pic:spPr>
                    <a:xfrm>
                      <a:off x="0" y="0"/>
                      <a:ext cx="4379000" cy="2701936"/>
                    </a:xfrm>
                    <a:prstGeom prst="rect">
                      <a:avLst/>
                    </a:prstGeom>
                  </pic:spPr>
                </pic:pic>
              </a:graphicData>
            </a:graphic>
          </wp:inline>
        </w:drawing>
      </w:r>
    </w:p>
    <w:p w14:paraId="23AC750F" w14:textId="1BD5A1D9" w:rsidR="00B9609D" w:rsidRDefault="00FC2BA2" w:rsidP="00FC2BA2">
      <w:pPr>
        <w:ind w:left="113"/>
      </w:pPr>
      <w:r w:rsidRPr="00FC2BA2">
        <w:rPr>
          <w:noProof/>
        </w:rPr>
        <w:drawing>
          <wp:inline distT="0" distB="0" distL="0" distR="0" wp14:anchorId="6DAECAA9" wp14:editId="047A8793">
            <wp:extent cx="4210347" cy="1171575"/>
            <wp:effectExtent l="0" t="0" r="0" b="0"/>
            <wp:docPr id="1914913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13217" name=""/>
                    <pic:cNvPicPr/>
                  </pic:nvPicPr>
                  <pic:blipFill>
                    <a:blip r:embed="rId43"/>
                    <a:stretch>
                      <a:fillRect/>
                    </a:stretch>
                  </pic:blipFill>
                  <pic:spPr>
                    <a:xfrm>
                      <a:off x="0" y="0"/>
                      <a:ext cx="4260441" cy="1185514"/>
                    </a:xfrm>
                    <a:prstGeom prst="rect">
                      <a:avLst/>
                    </a:prstGeom>
                  </pic:spPr>
                </pic:pic>
              </a:graphicData>
            </a:graphic>
          </wp:inline>
        </w:drawing>
      </w:r>
    </w:p>
    <w:p w14:paraId="1B9717F0" w14:textId="7E7B2D63" w:rsidR="005C6463" w:rsidRDefault="005C6463" w:rsidP="005C6463">
      <w:r w:rsidRPr="00CD6F16">
        <w:t xml:space="preserve">The PK results show a mean apparent volume of distribution of 57200L. For plasma </w:t>
      </w:r>
      <w:proofErr w:type="spellStart"/>
      <w:r w:rsidRPr="00CD6F16">
        <w:t>omaveloxolone</w:t>
      </w:r>
      <w:proofErr w:type="spellEnd"/>
      <w:r w:rsidRPr="00CD6F16">
        <w:t xml:space="preserve"> concentrations after a single 150mg dose</w:t>
      </w:r>
      <w:r w:rsidR="00823D5D">
        <w:t>,</w:t>
      </w:r>
      <w:r w:rsidRPr="00CD6F16">
        <w:t xml:space="preserve"> the mean apparent terminal half-life was calculated at 48.4 hours (SD 29.9). Mean </w:t>
      </w:r>
      <w:proofErr w:type="spellStart"/>
      <w:r w:rsidRPr="00CD6F16">
        <w:t>C</w:t>
      </w:r>
      <w:r w:rsidRPr="00CD6F16">
        <w:rPr>
          <w:vertAlign w:val="subscript"/>
        </w:rPr>
        <w:t>max</w:t>
      </w:r>
      <w:proofErr w:type="spellEnd"/>
      <w:r w:rsidRPr="00CD6F16">
        <w:t xml:space="preserve"> was calculated as 3.75 (SD 63.3) ng/mL after single dose. Mean apparent total clearance was calculated at 818 L/h (SD 25.7).</w:t>
      </w:r>
      <w:r>
        <w:t xml:space="preserve"> Mean AUC</w:t>
      </w:r>
      <w:r w:rsidRPr="00931818">
        <w:rPr>
          <w:vertAlign w:val="subscript"/>
        </w:rPr>
        <w:t>0-∞</w:t>
      </w:r>
      <w:r>
        <w:t xml:space="preserve"> was calculated at 183 (SD 25.7) h*ng/</w:t>
      </w:r>
      <w:proofErr w:type="spellStart"/>
      <w:r>
        <w:t>mL.</w:t>
      </w:r>
      <w:proofErr w:type="spellEnd"/>
      <w:r>
        <w:t xml:space="preserve"> The evaluator has noted that in another clinical study</w:t>
      </w:r>
      <w:r w:rsidR="00E442FE">
        <w:t xml:space="preserve"> </w:t>
      </w:r>
      <w:r w:rsidR="00D05EF7">
        <w:t xml:space="preserve">(Study </w:t>
      </w:r>
      <w:r>
        <w:t>1703</w:t>
      </w:r>
      <w:r w:rsidR="00D05EF7">
        <w:t>)</w:t>
      </w:r>
      <w:r>
        <w:t xml:space="preserve"> in</w:t>
      </w:r>
      <w:r w:rsidR="00D05EF7">
        <w:t xml:space="preserve"> </w:t>
      </w:r>
      <w:r>
        <w:t>healthy participants</w:t>
      </w:r>
      <w:r w:rsidR="00E442FE">
        <w:t>,</w:t>
      </w:r>
      <w:r>
        <w:t xml:space="preserve"> the apparent clearance was determined to be 148L/hr (same dose). Volume of distribution </w:t>
      </w:r>
      <w:r w:rsidR="0014313D">
        <w:t xml:space="preserve">in </w:t>
      </w:r>
      <w:r w:rsidR="0060435F">
        <w:t>S</w:t>
      </w:r>
      <w:r>
        <w:t>tudy 1703 was also noted to be considerably lower in healthy participants at 6631.6L (same dose) compared to this study</w:t>
      </w:r>
      <w:r w:rsidR="00B17DDA">
        <w:t>. S</w:t>
      </w:r>
      <w:r>
        <w:t xml:space="preserve">tudy 1703 also noted lower terminal half-life at 31.52 hours (same dose) and higher </w:t>
      </w:r>
      <w:proofErr w:type="spellStart"/>
      <w:r>
        <w:t>C</w:t>
      </w:r>
      <w:r w:rsidRPr="00012B80">
        <w:rPr>
          <w:vertAlign w:val="subscript"/>
        </w:rPr>
        <w:t>max</w:t>
      </w:r>
      <w:proofErr w:type="spellEnd"/>
      <w:r>
        <w:t xml:space="preserve"> of 28.18ng/mL (same dose).</w:t>
      </w:r>
    </w:p>
    <w:p w14:paraId="0E7E25F6" w14:textId="46B1F04D" w:rsidR="005C6463" w:rsidRDefault="005C6463" w:rsidP="005C6463">
      <w:r>
        <w:t>Regarding elimination</w:t>
      </w:r>
      <w:r w:rsidR="00B17DDA">
        <w:t>,</w:t>
      </w:r>
      <w:r>
        <w:t xml:space="preserve"> it was found that </w:t>
      </w:r>
      <w:r w:rsidRPr="00B21F1D">
        <w:t>after administration of a single oral dose of 150 mg containing approximately 90μCi of [14C]-</w:t>
      </w:r>
      <w:proofErr w:type="spellStart"/>
      <w:r w:rsidRPr="00B21F1D">
        <w:t>omaveloxolone</w:t>
      </w:r>
      <w:proofErr w:type="spellEnd"/>
      <w:r w:rsidRPr="00B21F1D">
        <w:t>, f</w:t>
      </w:r>
      <w:r>
        <w:t>a</w:t>
      </w:r>
      <w:r w:rsidRPr="00B21F1D">
        <w:t>ecal excretion was the predominant route of elimination, with a mean (SD) radioactivity recovery of 92.4% (4.91) through 528 hours post dose</w:t>
      </w:r>
      <w:r>
        <w:t xml:space="preserve">. </w:t>
      </w:r>
      <w:r w:rsidRPr="00CD6F16">
        <w:t>The contribution of renal elimination was minor</w:t>
      </w:r>
      <w:r w:rsidR="00676B92">
        <w:t>,</w:t>
      </w:r>
      <w:r w:rsidRPr="00CD6F16">
        <w:t xml:space="preserve"> with a mean (SD) recovery of the administered radioactivity in urine of 0.0968% (0.0347). Almost </w:t>
      </w:r>
      <w:r w:rsidR="0060435F" w:rsidRPr="00CD6F16">
        <w:t>all</w:t>
      </w:r>
      <w:r w:rsidRPr="00CD6F16">
        <w:t xml:space="preserve"> the radiolabelled material voided in faeces had been recovered by 96 hours post-dose for all participants, with mean recovery of 90.7%.</w:t>
      </w:r>
      <w:r>
        <w:t xml:space="preserve"> Of excreted radioactivity in faeces after 144 hours</w:t>
      </w:r>
      <w:r w:rsidR="0060435F">
        <w:t>,</w:t>
      </w:r>
      <w:r>
        <w:t xml:space="preserve"> 40.3% was unchanged </w:t>
      </w:r>
      <w:proofErr w:type="spellStart"/>
      <w:r>
        <w:t>omaveloxolone</w:t>
      </w:r>
      <w:proofErr w:type="spellEnd"/>
      <w:r>
        <w:t>. The evaluator has noted that the unchanged drug product excreted could be overestimated by a large amount of non-absorbed drug material in this study.</w:t>
      </w:r>
    </w:p>
    <w:p w14:paraId="11C50ED5" w14:textId="77777777" w:rsidR="00CD6F16" w:rsidRDefault="00CD6F16">
      <w:r>
        <w:br w:type="page"/>
      </w:r>
    </w:p>
    <w:p w14:paraId="188304B1" w14:textId="766019B5" w:rsidR="005C6463" w:rsidRDefault="005C6463" w:rsidP="005C6463">
      <w:r w:rsidRPr="000B3E9E">
        <w:lastRenderedPageBreak/>
        <w:t xml:space="preserve">It was shown that </w:t>
      </w:r>
      <w:proofErr w:type="spellStart"/>
      <w:r w:rsidRPr="000B3E9E">
        <w:t>omaveloxolone</w:t>
      </w:r>
      <w:proofErr w:type="spellEnd"/>
      <w:r w:rsidRPr="000B3E9E">
        <w:t xml:space="preserve"> underwent metabolism in human </w:t>
      </w:r>
      <w:r>
        <w:t>participants</w:t>
      </w:r>
      <w:r w:rsidRPr="000B3E9E">
        <w:t xml:space="preserve"> to produce 30 metabolites, of which seven were identified. The major metabolites identified in plasma were the M22 metabolite and M17 metabolite, accounting for 18.6% and 10.9%, respectively, of total plasma radioactivity. Of note</w:t>
      </w:r>
      <w:r w:rsidR="003E7DD5">
        <w:t>,</w:t>
      </w:r>
      <w:r w:rsidRPr="000B3E9E">
        <w:t xml:space="preserve"> the M22 and M17 metabolite could not be detected in f</w:t>
      </w:r>
      <w:r>
        <w:t>a</w:t>
      </w:r>
      <w:r w:rsidRPr="000B3E9E">
        <w:t>eces where another major metabolite M29 was identified.</w:t>
      </w:r>
      <w:r w:rsidRPr="004A5FF7">
        <w:t xml:space="preserve"> It was demonstrated</w:t>
      </w:r>
      <w:r w:rsidR="003E7DD5">
        <w:t xml:space="preserve"> in</w:t>
      </w:r>
      <w:r w:rsidRPr="004A5FF7">
        <w:t xml:space="preserve"> </w:t>
      </w:r>
      <w:r w:rsidRPr="003E7DD5">
        <w:rPr>
          <w:i/>
          <w:iCs/>
        </w:rPr>
        <w:t>in vitro</w:t>
      </w:r>
      <w:r w:rsidRPr="004A5FF7">
        <w:t xml:space="preserve"> assays that the identified metabolites were inactive.</w:t>
      </w:r>
    </w:p>
    <w:p w14:paraId="7557C839" w14:textId="2CDA4397" w:rsidR="005C6463" w:rsidRPr="00EB3CE6" w:rsidRDefault="005C6463" w:rsidP="00EB3CE6">
      <w:pPr>
        <w:pStyle w:val="Heading5"/>
        <w:rPr>
          <w:i w:val="0"/>
          <w:iCs/>
        </w:rPr>
      </w:pPr>
      <w:bookmarkStart w:id="55" w:name="_Ref188270359"/>
      <w:r w:rsidRPr="00EB3CE6">
        <w:rPr>
          <w:i w:val="0"/>
          <w:iCs/>
        </w:rPr>
        <w:t>Study 1804 (</w:t>
      </w:r>
      <w:r w:rsidR="00CF3FCA">
        <w:rPr>
          <w:i w:val="0"/>
          <w:iCs/>
        </w:rPr>
        <w:t>E</w:t>
      </w:r>
      <w:r w:rsidRPr="00EB3CE6">
        <w:rPr>
          <w:i w:val="0"/>
          <w:iCs/>
        </w:rPr>
        <w:t>ffect of hepatic impairment on PK)</w:t>
      </w:r>
      <w:bookmarkEnd w:id="55"/>
    </w:p>
    <w:p w14:paraId="43A92F50" w14:textId="1BE47E37" w:rsidR="005C6463" w:rsidRPr="005529A4" w:rsidRDefault="005C6463" w:rsidP="005C6463">
      <w:r w:rsidRPr="005529A4">
        <w:t xml:space="preserve">This was a </w:t>
      </w:r>
      <w:r w:rsidR="00940233">
        <w:t>s</w:t>
      </w:r>
      <w:r w:rsidRPr="005529A4">
        <w:t>ingle-</w:t>
      </w:r>
      <w:r w:rsidR="00940233">
        <w:t>d</w:t>
      </w:r>
      <w:r w:rsidRPr="005529A4">
        <w:t xml:space="preserve">ose, </w:t>
      </w:r>
      <w:r w:rsidR="00940233">
        <w:t>o</w:t>
      </w:r>
      <w:r w:rsidRPr="005529A4">
        <w:t>pen-</w:t>
      </w:r>
      <w:r w:rsidR="00940233">
        <w:t>l</w:t>
      </w:r>
      <w:r w:rsidRPr="005529A4">
        <w:t xml:space="preserve">abel </w:t>
      </w:r>
      <w:r w:rsidR="00940233">
        <w:t>p</w:t>
      </w:r>
      <w:r w:rsidRPr="005529A4">
        <w:t xml:space="preserve">harmacokinetic </w:t>
      </w:r>
      <w:r w:rsidR="00940233">
        <w:t>s</w:t>
      </w:r>
      <w:r w:rsidRPr="005529A4">
        <w:t xml:space="preserve">tudy of </w:t>
      </w:r>
      <w:proofErr w:type="spellStart"/>
      <w:r w:rsidR="00940233">
        <w:t>o</w:t>
      </w:r>
      <w:r w:rsidRPr="005529A4">
        <w:t>maveloxolone</w:t>
      </w:r>
      <w:proofErr w:type="spellEnd"/>
      <w:r w:rsidRPr="005529A4">
        <w:t xml:space="preserve"> in </w:t>
      </w:r>
      <w:r>
        <w:t>participants</w:t>
      </w:r>
      <w:r w:rsidRPr="005529A4">
        <w:t xml:space="preserve"> with </w:t>
      </w:r>
      <w:r w:rsidR="00D32D97">
        <w:t>m</w:t>
      </w:r>
      <w:r w:rsidRPr="005529A4">
        <w:t xml:space="preserve">ild, </w:t>
      </w:r>
      <w:r w:rsidR="00D32D97">
        <w:t>m</w:t>
      </w:r>
      <w:r w:rsidRPr="005529A4">
        <w:t xml:space="preserve">oderate, or </w:t>
      </w:r>
      <w:r w:rsidR="00D32D97">
        <w:t>s</w:t>
      </w:r>
      <w:r w:rsidRPr="005529A4">
        <w:t xml:space="preserve">evere </w:t>
      </w:r>
      <w:r w:rsidR="00D32D97">
        <w:t>h</w:t>
      </w:r>
      <w:r w:rsidRPr="005529A4">
        <w:t xml:space="preserve">epatic </w:t>
      </w:r>
      <w:r w:rsidR="00D32D97">
        <w:t>i</w:t>
      </w:r>
      <w:r w:rsidRPr="005529A4">
        <w:t xml:space="preserve">mpairment, or with </w:t>
      </w:r>
      <w:r w:rsidR="00D32D97">
        <w:t>n</w:t>
      </w:r>
      <w:r w:rsidRPr="005529A4">
        <w:t xml:space="preserve">ormal </w:t>
      </w:r>
      <w:r w:rsidR="00D32D97">
        <w:t>h</w:t>
      </w:r>
      <w:r w:rsidRPr="005529A4">
        <w:t xml:space="preserve">epatic </w:t>
      </w:r>
      <w:r w:rsidR="00D32D97">
        <w:t>f</w:t>
      </w:r>
      <w:r w:rsidRPr="005529A4">
        <w:t>unction.</w:t>
      </w:r>
    </w:p>
    <w:p w14:paraId="4C88EC99" w14:textId="2127D621" w:rsidR="005C6463" w:rsidRDefault="00EA7BEA" w:rsidP="005C6463">
      <w:r>
        <w:t>Thirty-two</w:t>
      </w:r>
      <w:r w:rsidR="005C6463">
        <w:t xml:space="preserve"> participants were separated into 4 treatment groups: healthy matched controls (N=12, group 1)</w:t>
      </w:r>
      <w:r w:rsidR="000332BC">
        <w:t>,</w:t>
      </w:r>
      <w:r w:rsidR="005C6463">
        <w:t xml:space="preserve"> participants with mild hepatic impairment (N=8, group 2)</w:t>
      </w:r>
      <w:r w:rsidR="000332BC">
        <w:t>,</w:t>
      </w:r>
      <w:r w:rsidR="005C6463">
        <w:t xml:space="preserve"> participants with moderate hepatic impairment (N=7, group 3)</w:t>
      </w:r>
      <w:r w:rsidR="00801E61">
        <w:t>,</w:t>
      </w:r>
      <w:r w:rsidR="005C6463">
        <w:t xml:space="preserve"> and participants</w:t>
      </w:r>
      <w:r w:rsidR="005C6463" w:rsidRPr="009C16BF">
        <w:t xml:space="preserve"> with </w:t>
      </w:r>
      <w:r w:rsidR="005C6463">
        <w:t>severe</w:t>
      </w:r>
      <w:r w:rsidR="005C6463" w:rsidRPr="009C16BF">
        <w:t xml:space="preserve"> hepatic impairment</w:t>
      </w:r>
      <w:r w:rsidR="005C6463">
        <w:t xml:space="preserve"> (N=5, group 4). Each subject with normal hepatic function was demographically matched (1:1) by sex, age and body mass index (BMI). Participants were screened within 28 days of first dose administration (day 1). Participants were admitted to a clinical research unit (CRU) and were confined to the CRU until discharge on day 6 with the last follow up visit on day 15 post dose. Following an overnight fast on morning of day 1 a 150mg (3 × 50-mg capsules) dose of </w:t>
      </w:r>
      <w:proofErr w:type="spellStart"/>
      <w:r w:rsidR="005C6463">
        <w:t>omaveloxolone</w:t>
      </w:r>
      <w:proofErr w:type="spellEnd"/>
      <w:r w:rsidR="005C6463">
        <w:t xml:space="preserve"> was administered with 240mL of water. </w:t>
      </w:r>
      <w:r w:rsidR="005C6463" w:rsidRPr="00644C55">
        <w:t xml:space="preserve">Hepatic impairment group selection was via </w:t>
      </w:r>
      <w:r w:rsidR="005C6463">
        <w:t>participants</w:t>
      </w:r>
      <w:r w:rsidR="00B557C8">
        <w:t>’</w:t>
      </w:r>
      <w:r w:rsidR="005C6463" w:rsidRPr="00644C55">
        <w:t xml:space="preserve"> Child-Pugh scores.</w:t>
      </w:r>
    </w:p>
    <w:p w14:paraId="3BE98FEF" w14:textId="77777777" w:rsidR="005C6463" w:rsidRDefault="005C6463" w:rsidP="005C6463">
      <w:r>
        <w:t xml:space="preserve">The primary objective was to determine the PK parameters of </w:t>
      </w:r>
      <w:proofErr w:type="spellStart"/>
      <w:r>
        <w:t>omaveloxolone</w:t>
      </w:r>
      <w:proofErr w:type="spellEnd"/>
      <w:r>
        <w:t xml:space="preserve"> after single dose in people with mild, moderate and severe hepatic impairment with secondary objective of evaluating the safety and tolerability of a single dose of </w:t>
      </w:r>
      <w:proofErr w:type="spellStart"/>
      <w:r>
        <w:t>omaveloxolone</w:t>
      </w:r>
      <w:proofErr w:type="spellEnd"/>
      <w:r>
        <w:t xml:space="preserve"> in this population. Participants in this study were male or female aged between 18 and 70 years with BMI between 18.0 to 38. Participants were in good health except for the inclusion criteria relating to hepatic impairment. </w:t>
      </w:r>
    </w:p>
    <w:p w14:paraId="31C4D273" w14:textId="288F43FE" w:rsidR="00CD6F16" w:rsidRDefault="005C6463" w:rsidP="00CD6F16">
      <w:r>
        <w:t xml:space="preserve">PK results for this study are shown in table </w:t>
      </w:r>
      <w:r w:rsidR="00BE6055">
        <w:t>8</w:t>
      </w:r>
      <w:r>
        <w:t xml:space="preserve"> with figure </w:t>
      </w:r>
      <w:r w:rsidR="00BE6055">
        <w:t>6</w:t>
      </w:r>
      <w:r>
        <w:t xml:space="preserve"> showing the concentration time curves of arithmetic mean </w:t>
      </w:r>
      <w:proofErr w:type="spellStart"/>
      <w:r>
        <w:t>omaveloxolone</w:t>
      </w:r>
      <w:proofErr w:type="spellEnd"/>
      <w:r>
        <w:t xml:space="preserve"> concentrations for each treatment group.</w:t>
      </w:r>
    </w:p>
    <w:p w14:paraId="5FB68C69" w14:textId="03D3A1A7" w:rsidR="005C6463" w:rsidRDefault="005C6463" w:rsidP="00CD6F16">
      <w:pPr>
        <w:rPr>
          <w:b/>
          <w:bCs/>
          <w:szCs w:val="22"/>
        </w:rPr>
      </w:pPr>
      <w:r w:rsidRPr="00F9732C">
        <w:rPr>
          <w:b/>
          <w:bCs/>
          <w:szCs w:val="22"/>
        </w:rPr>
        <w:t xml:space="preserve">Table </w:t>
      </w:r>
      <w:r w:rsidRPr="00F9732C">
        <w:rPr>
          <w:b/>
          <w:bCs/>
          <w:szCs w:val="22"/>
        </w:rPr>
        <w:fldChar w:fldCharType="begin"/>
      </w:r>
      <w:r w:rsidRPr="00F9732C">
        <w:rPr>
          <w:b/>
          <w:bCs/>
          <w:szCs w:val="22"/>
        </w:rPr>
        <w:instrText xml:space="preserve"> SEQ Table \* ARABIC </w:instrText>
      </w:r>
      <w:r w:rsidRPr="00F9732C">
        <w:rPr>
          <w:b/>
          <w:bCs/>
          <w:szCs w:val="22"/>
        </w:rPr>
        <w:fldChar w:fldCharType="separate"/>
      </w:r>
      <w:r>
        <w:rPr>
          <w:b/>
          <w:bCs/>
          <w:noProof/>
          <w:szCs w:val="22"/>
        </w:rPr>
        <w:t>8</w:t>
      </w:r>
      <w:r w:rsidRPr="00F9732C">
        <w:rPr>
          <w:b/>
          <w:bCs/>
          <w:szCs w:val="22"/>
        </w:rPr>
        <w:fldChar w:fldCharType="end"/>
      </w:r>
      <w:r w:rsidRPr="00F9732C">
        <w:rPr>
          <w:b/>
          <w:bCs/>
          <w:szCs w:val="22"/>
        </w:rPr>
        <w:t xml:space="preserve">: Summary of PK parameters for </w:t>
      </w:r>
      <w:proofErr w:type="spellStart"/>
      <w:r w:rsidRPr="00F9732C">
        <w:rPr>
          <w:b/>
          <w:bCs/>
          <w:szCs w:val="22"/>
        </w:rPr>
        <w:t>omaveloxolone</w:t>
      </w:r>
      <w:proofErr w:type="spellEnd"/>
      <w:r w:rsidRPr="00F9732C">
        <w:rPr>
          <w:b/>
          <w:bCs/>
          <w:szCs w:val="22"/>
        </w:rPr>
        <w:t xml:space="preserve"> following single oral dose of 150mg</w:t>
      </w:r>
    </w:p>
    <w:p w14:paraId="1F2CCCB8" w14:textId="62D65F00" w:rsidR="00A738B7" w:rsidRDefault="00A738B7" w:rsidP="00CD6F16">
      <w:pPr>
        <w:rPr>
          <w:b/>
          <w:bCs/>
          <w:szCs w:val="22"/>
        </w:rPr>
      </w:pPr>
      <w:r w:rsidRPr="00A738B7">
        <w:rPr>
          <w:b/>
          <w:bCs/>
          <w:noProof/>
          <w:szCs w:val="22"/>
        </w:rPr>
        <w:drawing>
          <wp:inline distT="0" distB="0" distL="0" distR="0" wp14:anchorId="550770EB" wp14:editId="3D4BA4A7">
            <wp:extent cx="5038725" cy="2346803"/>
            <wp:effectExtent l="0" t="0" r="0" b="0"/>
            <wp:docPr id="47976337" name="Picture 1" descr="Table 8: Summary of PK parameters for omaveloxolone following single oral dose of 150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6337" name="Picture 1" descr="Table 8: Summary of PK parameters for omaveloxolone following single oral dose of 150mg"/>
                    <pic:cNvPicPr/>
                  </pic:nvPicPr>
                  <pic:blipFill>
                    <a:blip r:embed="rId44"/>
                    <a:stretch>
                      <a:fillRect/>
                    </a:stretch>
                  </pic:blipFill>
                  <pic:spPr>
                    <a:xfrm>
                      <a:off x="0" y="0"/>
                      <a:ext cx="5082298" cy="2367097"/>
                    </a:xfrm>
                    <a:prstGeom prst="rect">
                      <a:avLst/>
                    </a:prstGeom>
                  </pic:spPr>
                </pic:pic>
              </a:graphicData>
            </a:graphic>
          </wp:inline>
        </w:drawing>
      </w:r>
    </w:p>
    <w:p w14:paraId="4746A0EA" w14:textId="7023932B" w:rsidR="0064694A" w:rsidRPr="00F9732C" w:rsidRDefault="00D12B04" w:rsidP="00CD6F16">
      <w:pPr>
        <w:rPr>
          <w:b/>
          <w:bCs/>
          <w:szCs w:val="22"/>
        </w:rPr>
      </w:pPr>
      <w:r w:rsidRPr="00D12B04">
        <w:rPr>
          <w:b/>
          <w:bCs/>
          <w:noProof/>
          <w:szCs w:val="22"/>
        </w:rPr>
        <w:drawing>
          <wp:inline distT="0" distB="0" distL="0" distR="0" wp14:anchorId="1FD1D335" wp14:editId="5E3C1AF0">
            <wp:extent cx="4381500" cy="900869"/>
            <wp:effectExtent l="0" t="0" r="0" b="0"/>
            <wp:docPr id="1059555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55480" name=""/>
                    <pic:cNvPicPr/>
                  </pic:nvPicPr>
                  <pic:blipFill>
                    <a:blip r:embed="rId45"/>
                    <a:stretch>
                      <a:fillRect/>
                    </a:stretch>
                  </pic:blipFill>
                  <pic:spPr>
                    <a:xfrm>
                      <a:off x="0" y="0"/>
                      <a:ext cx="4421197" cy="909031"/>
                    </a:xfrm>
                    <a:prstGeom prst="rect">
                      <a:avLst/>
                    </a:prstGeom>
                  </pic:spPr>
                </pic:pic>
              </a:graphicData>
            </a:graphic>
          </wp:inline>
        </w:drawing>
      </w:r>
    </w:p>
    <w:p w14:paraId="1CC19321" w14:textId="152A3A2E" w:rsidR="00FE583D" w:rsidRPr="00E4086F" w:rsidRDefault="00FE583D" w:rsidP="00CD6F16">
      <w:pPr>
        <w:pStyle w:val="FigureTitle"/>
      </w:pPr>
      <w:r w:rsidRPr="00E4086F">
        <w:lastRenderedPageBreak/>
        <w:t xml:space="preserve">Figure </w:t>
      </w:r>
      <w:r w:rsidR="00961538">
        <w:t>6</w:t>
      </w:r>
      <w:r w:rsidRPr="00E4086F">
        <w:t xml:space="preserve">: Arithmetic mean (+SD) </w:t>
      </w:r>
      <w:proofErr w:type="spellStart"/>
      <w:r w:rsidRPr="00E4086F">
        <w:t>omaveloxolone</w:t>
      </w:r>
      <w:proofErr w:type="spellEnd"/>
      <w:r w:rsidRPr="00E4086F">
        <w:t xml:space="preserve"> concentration profiles of each treatment group from 0 to 336 hours</w:t>
      </w:r>
    </w:p>
    <w:p w14:paraId="493614A2" w14:textId="77777777" w:rsidR="00FE583D" w:rsidRDefault="00FE583D" w:rsidP="00FE583D">
      <w:r>
        <w:rPr>
          <w:noProof/>
        </w:rPr>
        <w:drawing>
          <wp:inline distT="0" distB="0" distL="0" distR="0" wp14:anchorId="32BA40DD" wp14:editId="677212EE">
            <wp:extent cx="4288790" cy="4600281"/>
            <wp:effectExtent l="0" t="0" r="0" b="0"/>
            <wp:docPr id="21" name="Picture 21" descr="Figure 6: Arithmetic mean (+SD) omaveloxolone concentration profiles of each treatment group from 0 to 336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6: Arithmetic mean (+SD) omaveloxolone concentration profiles of each treatment group from 0 to 336 hour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05613" cy="4618326"/>
                    </a:xfrm>
                    <a:prstGeom prst="rect">
                      <a:avLst/>
                    </a:prstGeom>
                    <a:noFill/>
                  </pic:spPr>
                </pic:pic>
              </a:graphicData>
            </a:graphic>
          </wp:inline>
        </w:drawing>
      </w:r>
    </w:p>
    <w:p w14:paraId="6A45560B" w14:textId="77777777" w:rsidR="000953D1" w:rsidRDefault="000953D1" w:rsidP="00FE583D"/>
    <w:p w14:paraId="3AC254CE" w14:textId="43298311" w:rsidR="00FE583D" w:rsidRDefault="00FE583D" w:rsidP="00FE583D">
      <w:r>
        <w:t>Mean t</w:t>
      </w:r>
      <w:r w:rsidRPr="00E758AF">
        <w:rPr>
          <w:vertAlign w:val="subscript"/>
        </w:rPr>
        <w:t xml:space="preserve">1/2 </w:t>
      </w:r>
      <w:r w:rsidRPr="00E758AF">
        <w:t>was increased for the moderate and severe hepatic impairment groups (119</w:t>
      </w:r>
      <w:r w:rsidR="009E6746">
        <w:t xml:space="preserve"> </w:t>
      </w:r>
      <w:r w:rsidRPr="00E758AF">
        <w:t>hours and 187 hours respectively</w:t>
      </w:r>
      <w:r w:rsidR="00EC4629">
        <w:t>)</w:t>
      </w:r>
      <w:r w:rsidR="00BB48B3">
        <w:t>,</w:t>
      </w:r>
      <w:r>
        <w:t xml:space="preserve"> compared to participants with normal hepatic function and the mild hepatic impairment groups (86.8</w:t>
      </w:r>
      <w:r w:rsidR="009E6746">
        <w:t xml:space="preserve"> </w:t>
      </w:r>
      <w:r>
        <w:t>hours and 83.8</w:t>
      </w:r>
      <w:r w:rsidR="009E6746">
        <w:t xml:space="preserve"> </w:t>
      </w:r>
      <w:r>
        <w:t>hours respectively).</w:t>
      </w:r>
    </w:p>
    <w:p w14:paraId="4C3C4764" w14:textId="75FA7F23" w:rsidR="00FE583D" w:rsidRDefault="00FE583D" w:rsidP="00FE583D">
      <w:r>
        <w:t>Compared to the normal hepatic function group</w:t>
      </w:r>
      <w:r w:rsidR="007E2B5A">
        <w:t>,</w:t>
      </w:r>
      <w:r>
        <w:t xml:space="preserve"> participants with mild hepatic impairment had an approximately 22% increased mean </w:t>
      </w:r>
      <w:proofErr w:type="spellStart"/>
      <w:r>
        <w:t>C</w:t>
      </w:r>
      <w:r w:rsidRPr="005A4105">
        <w:rPr>
          <w:vertAlign w:val="subscript"/>
        </w:rPr>
        <w:t>max</w:t>
      </w:r>
      <w:proofErr w:type="spellEnd"/>
      <w:r>
        <w:t xml:space="preserve"> with a similar total exposure between these 2 groups. Participants with moderate hepatic impairment had 53% and 51% higher mean AUC</w:t>
      </w:r>
      <w:r w:rsidRPr="00FE63AD">
        <w:rPr>
          <w:vertAlign w:val="subscript"/>
        </w:rPr>
        <w:t>inf</w:t>
      </w:r>
      <w:r>
        <w:t xml:space="preserve"> and mean </w:t>
      </w:r>
      <w:proofErr w:type="spellStart"/>
      <w:r>
        <w:t>C</w:t>
      </w:r>
      <w:r w:rsidRPr="00FE63AD">
        <w:rPr>
          <w:vertAlign w:val="subscript"/>
        </w:rPr>
        <w:t>max</w:t>
      </w:r>
      <w:proofErr w:type="spellEnd"/>
      <w:r>
        <w:t xml:space="preserve"> values respectively compared to the normal hepatic function group. Participants</w:t>
      </w:r>
      <w:r w:rsidRPr="00B33B84">
        <w:t xml:space="preserve"> with severe hepatic impairment had an approximately 56% increase in mean AUC</w:t>
      </w:r>
      <w:r w:rsidRPr="00B33B84">
        <w:rPr>
          <w:vertAlign w:val="subscript"/>
        </w:rPr>
        <w:t>0-∞</w:t>
      </w:r>
      <w:r w:rsidRPr="00B33B84">
        <w:t xml:space="preserve"> compared to the normal hepatic group. </w:t>
      </w:r>
      <w:proofErr w:type="spellStart"/>
      <w:r w:rsidRPr="00B33B84">
        <w:t>C</w:t>
      </w:r>
      <w:r w:rsidRPr="00B33B84">
        <w:rPr>
          <w:vertAlign w:val="subscript"/>
        </w:rPr>
        <w:t>max</w:t>
      </w:r>
      <w:proofErr w:type="spellEnd"/>
      <w:r w:rsidRPr="00B33B84">
        <w:t xml:space="preserve"> was approximately 30% lower for the severe impairment group compared to the normal group</w:t>
      </w:r>
      <w:r>
        <w:t>.</w:t>
      </w:r>
    </w:p>
    <w:p w14:paraId="0B46DEA0" w14:textId="77777777" w:rsidR="00CD6F16" w:rsidRDefault="00CD6F16">
      <w:pPr>
        <w:rPr>
          <w:rFonts w:ascii="Arial" w:eastAsia="Times New Roman" w:hAnsi="Arial" w:cs="Times New Roman"/>
          <w:b/>
          <w:i/>
          <w:color w:val="001871"/>
          <w:sz w:val="24"/>
          <w:szCs w:val="21"/>
        </w:rPr>
      </w:pPr>
      <w:bookmarkStart w:id="56" w:name="_Ref188270341"/>
      <w:r>
        <w:rPr>
          <w:bCs/>
        </w:rPr>
        <w:br w:type="page"/>
      </w:r>
    </w:p>
    <w:p w14:paraId="3F8B9807" w14:textId="4718268A" w:rsidR="00FE583D" w:rsidRPr="00EB3CE6" w:rsidRDefault="00FE583D" w:rsidP="00EB3CE6">
      <w:pPr>
        <w:pStyle w:val="Heading5"/>
        <w:rPr>
          <w:i w:val="0"/>
          <w:iCs/>
        </w:rPr>
      </w:pPr>
      <w:r w:rsidRPr="00EB3CE6">
        <w:rPr>
          <w:i w:val="0"/>
          <w:iCs/>
        </w:rPr>
        <w:lastRenderedPageBreak/>
        <w:t>Study 1806 (Drug-</w:t>
      </w:r>
      <w:r w:rsidR="00507B7F">
        <w:rPr>
          <w:i w:val="0"/>
          <w:iCs/>
        </w:rPr>
        <w:t>d</w:t>
      </w:r>
      <w:r w:rsidRPr="00EB3CE6">
        <w:rPr>
          <w:i w:val="0"/>
          <w:iCs/>
        </w:rPr>
        <w:t>rug interaction study)</w:t>
      </w:r>
      <w:bookmarkEnd w:id="56"/>
    </w:p>
    <w:p w14:paraId="69541012" w14:textId="7F6488F9" w:rsidR="00FE583D" w:rsidRDefault="00FE583D" w:rsidP="00FE583D">
      <w:r>
        <w:t>This was a</w:t>
      </w:r>
      <w:r w:rsidRPr="00CA2410">
        <w:t xml:space="preserve"> Phase 1, </w:t>
      </w:r>
      <w:r w:rsidR="009C133A">
        <w:t>o</w:t>
      </w:r>
      <w:r w:rsidRPr="00CA2410">
        <w:t>pen-</w:t>
      </w:r>
      <w:r w:rsidR="009C133A">
        <w:t>l</w:t>
      </w:r>
      <w:r w:rsidRPr="00CA2410">
        <w:t>abel, 4-</w:t>
      </w:r>
      <w:r w:rsidR="009C133A">
        <w:t>p</w:t>
      </w:r>
      <w:r w:rsidRPr="00CA2410">
        <w:t xml:space="preserve">art, </w:t>
      </w:r>
      <w:r w:rsidR="009C133A">
        <w:t>d</w:t>
      </w:r>
      <w:r w:rsidRPr="00CA2410">
        <w:t>rug-</w:t>
      </w:r>
      <w:r w:rsidR="009C133A">
        <w:t>d</w:t>
      </w:r>
      <w:r w:rsidRPr="00CA2410">
        <w:t xml:space="preserve">rug </w:t>
      </w:r>
      <w:r w:rsidR="009C133A">
        <w:t>i</w:t>
      </w:r>
      <w:r w:rsidRPr="00CA2410">
        <w:t xml:space="preserve">nteraction </w:t>
      </w:r>
      <w:r w:rsidR="009C133A">
        <w:t>s</w:t>
      </w:r>
      <w:r w:rsidRPr="00CA2410">
        <w:t xml:space="preserve">tudy with </w:t>
      </w:r>
      <w:proofErr w:type="spellStart"/>
      <w:r w:rsidRPr="00CA2410">
        <w:t>Omaveloxolone</w:t>
      </w:r>
      <w:proofErr w:type="spellEnd"/>
      <w:r w:rsidRPr="00CA2410">
        <w:t xml:space="preserve"> in </w:t>
      </w:r>
      <w:r w:rsidR="009C133A">
        <w:t>h</w:t>
      </w:r>
      <w:r w:rsidRPr="00CA2410">
        <w:t xml:space="preserve">ealthy </w:t>
      </w:r>
      <w:r>
        <w:t>participants.</w:t>
      </w:r>
    </w:p>
    <w:p w14:paraId="1026B68B" w14:textId="19EDD77A" w:rsidR="009855BC" w:rsidRDefault="00FE583D" w:rsidP="00CD6F16">
      <w:pPr>
        <w:spacing w:after="240"/>
      </w:pPr>
      <w:r>
        <w:t>A total of 16 participants were enrolled in part 1 as a single group</w:t>
      </w:r>
      <w:r w:rsidR="00676EFD">
        <w:t>. S</w:t>
      </w:r>
      <w:r>
        <w:t>tudy probe drugs in part 1 were chose</w:t>
      </w:r>
      <w:r w:rsidR="00676EFD">
        <w:t>n</w:t>
      </w:r>
      <w:r>
        <w:t xml:space="preserve"> due to these being sensitive of different CYP enzymes as indicated in brackets next to </w:t>
      </w:r>
      <w:r w:rsidR="009855BC">
        <w:t xml:space="preserve">the </w:t>
      </w:r>
      <w:r>
        <w:t>probe drugs</w:t>
      </w:r>
      <w:r w:rsidR="00676EFD">
        <w:t>’</w:t>
      </w:r>
      <w:r>
        <w:t xml:space="preserve"> name</w:t>
      </w:r>
      <w:r w:rsidR="009855BC">
        <w:t>s</w:t>
      </w:r>
      <w:r>
        <w:t xml:space="preserve">. </w:t>
      </w:r>
    </w:p>
    <w:p w14:paraId="58F95FF9" w14:textId="584CF75C" w:rsidR="00FE583D" w:rsidRDefault="00FE583D" w:rsidP="00CD6F16">
      <w:pPr>
        <w:spacing w:after="240"/>
      </w:pPr>
      <w:r>
        <w:t xml:space="preserve">Part 1 of this study investigated the effect of multiple oral doses of </w:t>
      </w:r>
      <w:proofErr w:type="spellStart"/>
      <w:r>
        <w:t>omaveloxolone</w:t>
      </w:r>
      <w:proofErr w:type="spellEnd"/>
      <w:r>
        <w:t xml:space="preserve"> on the single dose PK of: midazolam (CYP3A), repaglinide (CYP2C8), metformin (OCT1) and rosuvastatin (BCRP)/digoxin (P-</w:t>
      </w:r>
      <w:proofErr w:type="spellStart"/>
      <w:r>
        <w:t>gp</w:t>
      </w:r>
      <w:proofErr w:type="spellEnd"/>
      <w:r>
        <w:t xml:space="preserve">) cocktail in health participants. These were given sequentially on different study days as outlined in figure 7. Following a </w:t>
      </w:r>
      <w:r w:rsidR="009E6746">
        <w:t>28-day</w:t>
      </w:r>
      <w:r>
        <w:t xml:space="preserve"> screening period</w:t>
      </w:r>
      <w:r w:rsidR="0047478E">
        <w:t>,</w:t>
      </w:r>
      <w:r>
        <w:t xml:space="preserve"> participants were admitted to a CRU until discharge on day 28 for part 1 or day 23 for parts 2,</w:t>
      </w:r>
      <w:r w:rsidR="00D83675">
        <w:t xml:space="preserve"> </w:t>
      </w:r>
      <w:r>
        <w:t>3 and 4.</w:t>
      </w:r>
    </w:p>
    <w:p w14:paraId="71E3C0B3" w14:textId="22F05322" w:rsidR="00FE583D" w:rsidRPr="00957804" w:rsidRDefault="00FE583D" w:rsidP="00CD6F16">
      <w:pPr>
        <w:pStyle w:val="FigureTitle"/>
      </w:pPr>
      <w:r w:rsidRPr="00957804">
        <w:t xml:space="preserve">Figure </w:t>
      </w:r>
      <w:r w:rsidR="000953D1">
        <w:t>7</w:t>
      </w:r>
      <w:r w:rsidRPr="00957804">
        <w:t>: Study schematic for study part 1</w:t>
      </w:r>
    </w:p>
    <w:p w14:paraId="49648CC9" w14:textId="77777777" w:rsidR="00FE583D" w:rsidRDefault="00FE583D" w:rsidP="00FE583D">
      <w:r w:rsidRPr="00957804">
        <w:rPr>
          <w:noProof/>
        </w:rPr>
        <w:drawing>
          <wp:inline distT="0" distB="0" distL="0" distR="0" wp14:anchorId="5FDDBA27" wp14:editId="2701CCDF">
            <wp:extent cx="4637988" cy="2402813"/>
            <wp:effectExtent l="0" t="0" r="0" b="0"/>
            <wp:docPr id="20" name="Picture 20" descr="Figure 7: Study schematic for study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7: Study schematic for study part 1"/>
                    <pic:cNvPicPr/>
                  </pic:nvPicPr>
                  <pic:blipFill>
                    <a:blip r:embed="rId47"/>
                    <a:stretch>
                      <a:fillRect/>
                    </a:stretch>
                  </pic:blipFill>
                  <pic:spPr>
                    <a:xfrm>
                      <a:off x="0" y="0"/>
                      <a:ext cx="4642724" cy="2405267"/>
                    </a:xfrm>
                    <a:prstGeom prst="rect">
                      <a:avLst/>
                    </a:prstGeom>
                  </pic:spPr>
                </pic:pic>
              </a:graphicData>
            </a:graphic>
          </wp:inline>
        </w:drawing>
      </w:r>
    </w:p>
    <w:p w14:paraId="3179DB4E" w14:textId="7CFF97B4" w:rsidR="00FE583D" w:rsidRDefault="00FE583D" w:rsidP="00FE583D">
      <w:r>
        <w:t>A total of 15 participants were enrolled in each of parts 2,3 and 4 of this study. Study drugs in parts 2 and 3 were chosen because Gemfibrozil and itraconazole are known strong inhibitors of CYP2C8 and CYP3A4 respectively</w:t>
      </w:r>
      <w:r w:rsidR="00C15AAE">
        <w:t>.</w:t>
      </w:r>
      <w:r>
        <w:t xml:space="preserve"> </w:t>
      </w:r>
      <w:r w:rsidR="00C15AAE">
        <w:t>V</w:t>
      </w:r>
      <w:r>
        <w:t>erapamil was chosen in part 4 as it is a known inhibitor of the P-</w:t>
      </w:r>
      <w:proofErr w:type="spellStart"/>
      <w:r>
        <w:t>gp</w:t>
      </w:r>
      <w:proofErr w:type="spellEnd"/>
      <w:r>
        <w:t xml:space="preserve"> drug transporter. </w:t>
      </w:r>
      <w:r w:rsidRPr="00BB3C55">
        <w:t xml:space="preserve">Parts 2, 3, and 4 were to investigate the effects of multiple oral doses of gemfibrozil, itraconazole, or verapamil, respectively, on the single oral dose PK of </w:t>
      </w:r>
      <w:proofErr w:type="spellStart"/>
      <w:r w:rsidRPr="00BB3C55">
        <w:t>omaveloxolone</w:t>
      </w:r>
      <w:proofErr w:type="spellEnd"/>
      <w:r w:rsidRPr="00BB3C55">
        <w:t xml:space="preserve"> in healthy </w:t>
      </w:r>
      <w:r>
        <w:t xml:space="preserve">participants. Figure 8 shows </w:t>
      </w:r>
      <w:r w:rsidR="00100878">
        <w:t xml:space="preserve">the </w:t>
      </w:r>
      <w:r>
        <w:t xml:space="preserve">study design of parts 2,3 and 4 and when doses of </w:t>
      </w:r>
      <w:proofErr w:type="spellStart"/>
      <w:r>
        <w:t>omaveloxolone</w:t>
      </w:r>
      <w:proofErr w:type="spellEnd"/>
      <w:r>
        <w:t>, gemfibrozil, itraconazole and verapamil were given in each study part.</w:t>
      </w:r>
    </w:p>
    <w:p w14:paraId="76F54A1D" w14:textId="6A81F78F" w:rsidR="002E4A5F" w:rsidRDefault="002E4A5F" w:rsidP="002E4A5F">
      <w:proofErr w:type="spellStart"/>
      <w:r>
        <w:t>Omaveloxolone</w:t>
      </w:r>
      <w:proofErr w:type="spellEnd"/>
      <w:r>
        <w:t xml:space="preserve"> was administered at dose of 150mg (3x50mg capsules) in this study. All other study drug doses are shown in table 9.</w:t>
      </w:r>
    </w:p>
    <w:p w14:paraId="3B2921A3" w14:textId="7F875DE3" w:rsidR="002E4A5F" w:rsidRDefault="002E4A5F" w:rsidP="002E4A5F">
      <w:r>
        <w:t>All participants were healthy males or females aged between 18 to 55</w:t>
      </w:r>
      <w:r w:rsidR="008D434F">
        <w:t xml:space="preserve"> </w:t>
      </w:r>
      <w:r>
        <w:t>with a BMI between 18.0 and 32.0.</w:t>
      </w:r>
    </w:p>
    <w:p w14:paraId="5BD8578D" w14:textId="77777777" w:rsidR="002E4A5F" w:rsidRDefault="002E4A5F" w:rsidP="00FE583D"/>
    <w:p w14:paraId="2ADF0279" w14:textId="0CD6D371" w:rsidR="00FE583D" w:rsidRPr="000C038C" w:rsidRDefault="00FE583D" w:rsidP="00CD6F16">
      <w:pPr>
        <w:pStyle w:val="FigureTitle"/>
      </w:pPr>
      <w:r w:rsidRPr="000C038C">
        <w:lastRenderedPageBreak/>
        <w:t xml:space="preserve">Figure </w:t>
      </w:r>
      <w:r w:rsidR="00170F8F">
        <w:t>8</w:t>
      </w:r>
      <w:r w:rsidRPr="000C038C">
        <w:t>: Study schematic of parts 2,3 and 4</w:t>
      </w:r>
    </w:p>
    <w:p w14:paraId="486EAC34" w14:textId="77777777" w:rsidR="00FE583D" w:rsidRDefault="00FE583D" w:rsidP="00FE583D">
      <w:r w:rsidRPr="00E54503">
        <w:rPr>
          <w:noProof/>
        </w:rPr>
        <w:drawing>
          <wp:inline distT="0" distB="0" distL="0" distR="0" wp14:anchorId="78250A6F" wp14:editId="7FA8AF7E">
            <wp:extent cx="5731510" cy="2216785"/>
            <wp:effectExtent l="0" t="0" r="2540" b="0"/>
            <wp:docPr id="22" name="Picture 22" descr="Figure 98: Study schematic of parts 2,3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98: Study schematic of parts 2,3 and 4"/>
                    <pic:cNvPicPr/>
                  </pic:nvPicPr>
                  <pic:blipFill>
                    <a:blip r:embed="rId48"/>
                    <a:stretch>
                      <a:fillRect/>
                    </a:stretch>
                  </pic:blipFill>
                  <pic:spPr>
                    <a:xfrm>
                      <a:off x="0" y="0"/>
                      <a:ext cx="5731510" cy="2216785"/>
                    </a:xfrm>
                    <a:prstGeom prst="rect">
                      <a:avLst/>
                    </a:prstGeom>
                  </pic:spPr>
                </pic:pic>
              </a:graphicData>
            </a:graphic>
          </wp:inline>
        </w:drawing>
      </w:r>
    </w:p>
    <w:p w14:paraId="7F5A0EA0" w14:textId="77777777" w:rsidR="00FE583D" w:rsidRPr="00022C26" w:rsidRDefault="00FE583D" w:rsidP="00CD6F16">
      <w:pPr>
        <w:pStyle w:val="TableTitle"/>
      </w:pPr>
      <w:r w:rsidRPr="00022C26">
        <w:t xml:space="preserve">Table </w:t>
      </w:r>
      <w:fldSimple w:instr=" SEQ Table \* ARABIC ">
        <w:r>
          <w:rPr>
            <w:noProof/>
          </w:rPr>
          <w:t>9</w:t>
        </w:r>
      </w:fldSimple>
      <w:r w:rsidRPr="00022C26">
        <w:t>: Study drug treatments</w:t>
      </w:r>
    </w:p>
    <w:p w14:paraId="3CF01F04" w14:textId="77777777" w:rsidR="00FE583D" w:rsidRDefault="00FE583D" w:rsidP="00FE583D">
      <w:r>
        <w:rPr>
          <w:noProof/>
        </w:rPr>
        <w:drawing>
          <wp:inline distT="0" distB="0" distL="0" distR="0" wp14:anchorId="7D39EE71" wp14:editId="15F9AD4B">
            <wp:extent cx="5241303" cy="2030526"/>
            <wp:effectExtent l="0" t="0" r="0" b="8255"/>
            <wp:docPr id="23" name="Picture 23" descr="Table 9: Study drug trea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 9: Study drug treatment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52493" cy="2034861"/>
                    </a:xfrm>
                    <a:prstGeom prst="rect">
                      <a:avLst/>
                    </a:prstGeom>
                    <a:noFill/>
                  </pic:spPr>
                </pic:pic>
              </a:graphicData>
            </a:graphic>
          </wp:inline>
        </w:drawing>
      </w:r>
    </w:p>
    <w:p w14:paraId="05141487" w14:textId="77777777" w:rsidR="00DB75FD" w:rsidRDefault="00FE583D" w:rsidP="00FE583D">
      <w:r>
        <w:t xml:space="preserve">Part 1 results showed that the systemic exposure of the probe drugs was either unchanged or reduced following co-administration with </w:t>
      </w:r>
      <w:proofErr w:type="spellStart"/>
      <w:r>
        <w:t>omaveloxolone</w:t>
      </w:r>
      <w:proofErr w:type="spellEnd"/>
      <w:r>
        <w:t xml:space="preserve">. </w:t>
      </w:r>
    </w:p>
    <w:p w14:paraId="12966AB5" w14:textId="77777777" w:rsidR="00DB75FD" w:rsidRDefault="00FE583D" w:rsidP="00FE583D">
      <w:r>
        <w:t xml:space="preserve">When co-administration of midazolam was compared with midazolam (CYP3A) </w:t>
      </w:r>
      <w:r w:rsidRPr="00775A25">
        <w:t xml:space="preserve">administration alone, the ratio of geometric LS means (90% CI) of midazolam AUC0-∞ and </w:t>
      </w:r>
      <w:proofErr w:type="spellStart"/>
      <w:r w:rsidRPr="00775A25">
        <w:t>Cmax</w:t>
      </w:r>
      <w:proofErr w:type="spellEnd"/>
      <w:r w:rsidRPr="00775A25">
        <w:t xml:space="preserve"> were 0.549 (0.490, 0.616) and 0.657 (0.573, 0.753), respectively.</w:t>
      </w:r>
      <w:r>
        <w:t xml:space="preserve"> </w:t>
      </w:r>
    </w:p>
    <w:p w14:paraId="3F3ED688" w14:textId="77777777" w:rsidR="00DB75FD" w:rsidRDefault="00FE583D" w:rsidP="00FE583D">
      <w:r w:rsidRPr="008D2927">
        <w:t>When co-administration of repaglinide</w:t>
      </w:r>
      <w:r>
        <w:t xml:space="preserve"> (CYP2C8)</w:t>
      </w:r>
      <w:r w:rsidRPr="008D2927">
        <w:t xml:space="preserve"> with </w:t>
      </w:r>
      <w:proofErr w:type="spellStart"/>
      <w:r w:rsidRPr="008D2927">
        <w:t>omaveloxolone</w:t>
      </w:r>
      <w:proofErr w:type="spellEnd"/>
      <w:r w:rsidRPr="008D2927">
        <w:t xml:space="preserve"> was compared with repaglinide administration alone, the ratio of geometric LS means (90% CI) of repaglinide AUC0-∞ and </w:t>
      </w:r>
      <w:proofErr w:type="spellStart"/>
      <w:r w:rsidRPr="008D2927">
        <w:t>Cmax</w:t>
      </w:r>
      <w:proofErr w:type="spellEnd"/>
      <w:r w:rsidRPr="008D2927">
        <w:t xml:space="preserve"> were 0.652 (0.593, 0.716) and 0.765 (0.639, 0.915), respectively.</w:t>
      </w:r>
      <w:r>
        <w:t xml:space="preserve"> </w:t>
      </w:r>
    </w:p>
    <w:p w14:paraId="5DD0AAD4" w14:textId="77777777" w:rsidR="00DB75FD" w:rsidRDefault="00FE583D" w:rsidP="00FE583D">
      <w:r w:rsidRPr="008D2927">
        <w:t>When co-administration of metformin</w:t>
      </w:r>
      <w:r>
        <w:t xml:space="preserve"> (OCT1)</w:t>
      </w:r>
      <w:r w:rsidRPr="008D2927">
        <w:t xml:space="preserve"> with </w:t>
      </w:r>
      <w:proofErr w:type="spellStart"/>
      <w:r w:rsidRPr="008D2927">
        <w:t>omaveloxolone</w:t>
      </w:r>
      <w:proofErr w:type="spellEnd"/>
      <w:r w:rsidRPr="008D2927">
        <w:t xml:space="preserve"> was compared with metformin administration alone, the ratio of geometric LS means (90% CI) of metformin AUC</w:t>
      </w:r>
      <w:r w:rsidRPr="005F367E">
        <w:rPr>
          <w:vertAlign w:val="subscript"/>
        </w:rPr>
        <w:t>0-∞</w:t>
      </w:r>
      <w:r w:rsidRPr="008D2927">
        <w:t xml:space="preserve"> and </w:t>
      </w:r>
      <w:proofErr w:type="spellStart"/>
      <w:r w:rsidRPr="008D2927">
        <w:t>C</w:t>
      </w:r>
      <w:r w:rsidRPr="005F367E">
        <w:rPr>
          <w:vertAlign w:val="subscript"/>
        </w:rPr>
        <w:t>max</w:t>
      </w:r>
      <w:proofErr w:type="spellEnd"/>
      <w:r w:rsidRPr="008D2927">
        <w:t xml:space="preserve"> were 1.03 (0.962, 1.11) and 0.834 (0.752, 0.925), respectively.</w:t>
      </w:r>
      <w:r>
        <w:t xml:space="preserve"> </w:t>
      </w:r>
    </w:p>
    <w:p w14:paraId="4DCCE4F0" w14:textId="37F695E6" w:rsidR="00DB75FD" w:rsidRDefault="00FE583D" w:rsidP="00FE583D">
      <w:r w:rsidRPr="0003702E">
        <w:t>When co-administration of rosuvastatin/digoxin</w:t>
      </w:r>
      <w:r>
        <w:t xml:space="preserve"> (</w:t>
      </w:r>
      <w:r w:rsidR="002C1459">
        <w:t>r</w:t>
      </w:r>
      <w:r>
        <w:t>osuvastatin was analyte)</w:t>
      </w:r>
      <w:r w:rsidRPr="0003702E">
        <w:t xml:space="preserve"> cocktail with </w:t>
      </w:r>
      <w:proofErr w:type="spellStart"/>
      <w:r w:rsidRPr="0003702E">
        <w:t>omaveloxolone</w:t>
      </w:r>
      <w:proofErr w:type="spellEnd"/>
      <w:r w:rsidRPr="0003702E">
        <w:t xml:space="preserve"> was compared with rosuvastatin</w:t>
      </w:r>
      <w:r>
        <w:t xml:space="preserve"> </w:t>
      </w:r>
      <w:r w:rsidRPr="0061332C">
        <w:t xml:space="preserve">(BCRP) </w:t>
      </w:r>
      <w:r w:rsidRPr="0003702E">
        <w:t>/digoxin</w:t>
      </w:r>
      <w:r>
        <w:t xml:space="preserve"> </w:t>
      </w:r>
      <w:r w:rsidRPr="0003702E">
        <w:t xml:space="preserve">cocktail administration alone, the ratio of geometric LS means (90% CI) of rosuvastatin AUC0-∞ and </w:t>
      </w:r>
      <w:proofErr w:type="spellStart"/>
      <w:r w:rsidRPr="0003702E">
        <w:t>Cmax</w:t>
      </w:r>
      <w:proofErr w:type="spellEnd"/>
      <w:r w:rsidRPr="0003702E">
        <w:t xml:space="preserve"> were 0.695 (0.618, 0.781) and 0.609 (0.498, 0.744), respectively.</w:t>
      </w:r>
    </w:p>
    <w:p w14:paraId="62E29EEA" w14:textId="7F043DED" w:rsidR="00FE583D" w:rsidRDefault="00FE583D" w:rsidP="00FE583D">
      <w:r w:rsidRPr="00E624A9">
        <w:t>When co-administration of rosuvastatin/digoxin</w:t>
      </w:r>
      <w:r>
        <w:t xml:space="preserve"> (P-</w:t>
      </w:r>
      <w:proofErr w:type="spellStart"/>
      <w:r>
        <w:t>gp</w:t>
      </w:r>
      <w:proofErr w:type="spellEnd"/>
      <w:r>
        <w:t>)</w:t>
      </w:r>
      <w:r w:rsidRPr="00E624A9">
        <w:t xml:space="preserve"> </w:t>
      </w:r>
      <w:r>
        <w:t xml:space="preserve">(digoxin was analyte) </w:t>
      </w:r>
      <w:r w:rsidRPr="00E624A9">
        <w:t xml:space="preserve">cocktail with </w:t>
      </w:r>
      <w:proofErr w:type="spellStart"/>
      <w:r w:rsidRPr="00E624A9">
        <w:t>omaveloxolone</w:t>
      </w:r>
      <w:proofErr w:type="spellEnd"/>
      <w:r w:rsidRPr="00E624A9">
        <w:t xml:space="preserve"> was compared with rosuvastatin/digoxin cocktail administration alone, the ratio of geometric LS means (90% CI) of digoxin AUC0-∞ and </w:t>
      </w:r>
      <w:proofErr w:type="spellStart"/>
      <w:r w:rsidRPr="00E624A9">
        <w:t>Cmax</w:t>
      </w:r>
      <w:proofErr w:type="spellEnd"/>
      <w:r w:rsidRPr="00E624A9">
        <w:t xml:space="preserve"> were 0.968 (0.875, 1.07) and 0.853 (0.758, 0.961), respectively.</w:t>
      </w:r>
    </w:p>
    <w:p w14:paraId="408F1181" w14:textId="77777777" w:rsidR="00DB75FD" w:rsidRDefault="00DB75FD">
      <w:r>
        <w:br w:type="page"/>
      </w:r>
    </w:p>
    <w:p w14:paraId="216628BE" w14:textId="77777777" w:rsidR="002120E5" w:rsidRDefault="00FE583D" w:rsidP="00FE583D">
      <w:r>
        <w:lastRenderedPageBreak/>
        <w:t xml:space="preserve">Part 2 results indicated CYP2C8 was a minor contributing enzyme to </w:t>
      </w:r>
      <w:proofErr w:type="spellStart"/>
      <w:r>
        <w:t>omaveloxolone</w:t>
      </w:r>
      <w:proofErr w:type="spellEnd"/>
      <w:r>
        <w:t xml:space="preserve"> metabolism</w:t>
      </w:r>
      <w:r w:rsidR="004D4ED9">
        <w:t>,</w:t>
      </w:r>
      <w:r>
        <w:t xml:space="preserve"> with </w:t>
      </w:r>
      <w:r w:rsidRPr="00395757">
        <w:t xml:space="preserve">the systemic exposure to </w:t>
      </w:r>
      <w:proofErr w:type="spellStart"/>
      <w:r w:rsidRPr="00395757">
        <w:t>omaveloxolone</w:t>
      </w:r>
      <w:proofErr w:type="spellEnd"/>
      <w:r w:rsidRPr="00395757">
        <w:t xml:space="preserve"> </w:t>
      </w:r>
      <w:r>
        <w:t>being</w:t>
      </w:r>
      <w:r w:rsidRPr="00395757">
        <w:t xml:space="preserve"> similar when administered alone compared to co-administration with gemfibrozil (a CYP2C8 inhibitor)</w:t>
      </w:r>
      <w:r>
        <w:t xml:space="preserve">. </w:t>
      </w:r>
    </w:p>
    <w:p w14:paraId="2AF75545" w14:textId="2066C37C" w:rsidR="00FE583D" w:rsidRDefault="00FE583D" w:rsidP="00FE583D">
      <w:r w:rsidRPr="00395757">
        <w:t xml:space="preserve">When co-administration of </w:t>
      </w:r>
      <w:proofErr w:type="spellStart"/>
      <w:r w:rsidRPr="00395757">
        <w:t>omaveloxolone</w:t>
      </w:r>
      <w:proofErr w:type="spellEnd"/>
      <w:r w:rsidRPr="00395757">
        <w:t xml:space="preserve"> with gemfibrozil was compared with </w:t>
      </w:r>
      <w:proofErr w:type="spellStart"/>
      <w:r w:rsidRPr="00395757">
        <w:t>omaveloxolone</w:t>
      </w:r>
      <w:proofErr w:type="spellEnd"/>
      <w:r w:rsidRPr="00395757">
        <w:t xml:space="preserve"> administration alone, the ratio of geometric LS means (90% CI) of </w:t>
      </w:r>
      <w:proofErr w:type="spellStart"/>
      <w:r w:rsidRPr="00395757">
        <w:t>omaveloxolone</w:t>
      </w:r>
      <w:proofErr w:type="spellEnd"/>
      <w:r w:rsidRPr="00395757">
        <w:t xml:space="preserve"> AUC0-∞ and </w:t>
      </w:r>
      <w:proofErr w:type="spellStart"/>
      <w:r w:rsidRPr="00395757">
        <w:t>Cmax</w:t>
      </w:r>
      <w:proofErr w:type="spellEnd"/>
      <w:r w:rsidRPr="00395757">
        <w:t xml:space="preserve"> were 0.914 (0.770, 1.09) and 0.881 (0.756, 1.03), respectively.</w:t>
      </w:r>
    </w:p>
    <w:p w14:paraId="5D4F0612" w14:textId="77777777" w:rsidR="002120E5" w:rsidRDefault="00FE583D" w:rsidP="00FE583D">
      <w:r>
        <w:t>Part 3 results showed a</w:t>
      </w:r>
      <w:r w:rsidRPr="00D730CE">
        <w:t xml:space="preserve">n increase in systemic exposure of </w:t>
      </w:r>
      <w:proofErr w:type="spellStart"/>
      <w:r w:rsidRPr="00D730CE">
        <w:t>omaveloxolone</w:t>
      </w:r>
      <w:proofErr w:type="spellEnd"/>
      <w:r w:rsidRPr="00D730CE">
        <w:t xml:space="preserve"> (approximately 4- and 3-fold in AUC</w:t>
      </w:r>
      <w:r w:rsidRPr="005E3A9C">
        <w:rPr>
          <w:vertAlign w:val="subscript"/>
        </w:rPr>
        <w:t xml:space="preserve">0-∞ </w:t>
      </w:r>
      <w:r w:rsidRPr="00D730CE">
        <w:t xml:space="preserve">and </w:t>
      </w:r>
      <w:proofErr w:type="spellStart"/>
      <w:r w:rsidRPr="00D730CE">
        <w:t>C</w:t>
      </w:r>
      <w:r w:rsidRPr="005E3A9C">
        <w:rPr>
          <w:vertAlign w:val="subscript"/>
        </w:rPr>
        <w:t>max</w:t>
      </w:r>
      <w:proofErr w:type="spellEnd"/>
      <w:r w:rsidRPr="00D730CE">
        <w:t>, respectively) was observed following co-administration with itraconazole</w:t>
      </w:r>
      <w:r>
        <w:t xml:space="preserve"> (strong CYP3A4 inhibitor)</w:t>
      </w:r>
      <w:r w:rsidRPr="00D730CE">
        <w:t xml:space="preserve"> compared to </w:t>
      </w:r>
      <w:proofErr w:type="spellStart"/>
      <w:r w:rsidRPr="00D730CE">
        <w:t>omaveloxolone</w:t>
      </w:r>
      <w:proofErr w:type="spellEnd"/>
      <w:r w:rsidRPr="00D730CE">
        <w:t xml:space="preserve"> administered alone.</w:t>
      </w:r>
      <w:r>
        <w:t xml:space="preserve"> </w:t>
      </w:r>
    </w:p>
    <w:p w14:paraId="6D8EFEDF" w14:textId="32DCD7C9" w:rsidR="00FE583D" w:rsidRDefault="00FE583D" w:rsidP="00FE583D">
      <w:r w:rsidRPr="00CF4694">
        <w:t xml:space="preserve">When co-administration of </w:t>
      </w:r>
      <w:proofErr w:type="spellStart"/>
      <w:r w:rsidRPr="00CF4694">
        <w:t>omaveloxolone</w:t>
      </w:r>
      <w:proofErr w:type="spellEnd"/>
      <w:r w:rsidRPr="00CF4694">
        <w:t xml:space="preserve"> with itraconazole was compared with </w:t>
      </w:r>
      <w:proofErr w:type="spellStart"/>
      <w:r w:rsidRPr="00CF4694">
        <w:t>omaveloxolone</w:t>
      </w:r>
      <w:proofErr w:type="spellEnd"/>
      <w:r w:rsidRPr="00CF4694">
        <w:t xml:space="preserve"> administration alone, the ratio of geometric LS means (90% CI) of </w:t>
      </w:r>
      <w:proofErr w:type="spellStart"/>
      <w:r w:rsidRPr="00CF4694">
        <w:t>omaveloxolone</w:t>
      </w:r>
      <w:proofErr w:type="spellEnd"/>
      <w:r w:rsidRPr="00CF4694">
        <w:t xml:space="preserve"> AUC</w:t>
      </w:r>
      <w:r w:rsidRPr="009C3956">
        <w:rPr>
          <w:vertAlign w:val="subscript"/>
        </w:rPr>
        <w:t>0-∞</w:t>
      </w:r>
      <w:r w:rsidRPr="00CF4694">
        <w:t xml:space="preserve"> and </w:t>
      </w:r>
      <w:proofErr w:type="spellStart"/>
      <w:r w:rsidRPr="00CF4694">
        <w:t>C</w:t>
      </w:r>
      <w:r w:rsidRPr="00E8164D">
        <w:rPr>
          <w:vertAlign w:val="subscript"/>
        </w:rPr>
        <w:t>max</w:t>
      </w:r>
      <w:proofErr w:type="spellEnd"/>
      <w:r w:rsidRPr="00CF4694">
        <w:t xml:space="preserve"> were 4.12 (3.48, 4.87) and 2.77 (2.17, 3.54), respectively.</w:t>
      </w:r>
    </w:p>
    <w:p w14:paraId="21D4A3CE" w14:textId="1BF12294" w:rsidR="00FE583D" w:rsidRDefault="00FE583D" w:rsidP="00FE583D">
      <w:r w:rsidRPr="00236484">
        <w:t xml:space="preserve">In </w:t>
      </w:r>
      <w:r w:rsidR="00850015">
        <w:t>p</w:t>
      </w:r>
      <w:r w:rsidRPr="00236484">
        <w:t xml:space="preserve">art 4 of </w:t>
      </w:r>
      <w:r>
        <w:t xml:space="preserve">this </w:t>
      </w:r>
      <w:r w:rsidRPr="00236484">
        <w:t xml:space="preserve">study, the systemic exposure of </w:t>
      </w:r>
      <w:proofErr w:type="spellStart"/>
      <w:r w:rsidRPr="00236484">
        <w:t>omaveloxolone</w:t>
      </w:r>
      <w:proofErr w:type="spellEnd"/>
      <w:r w:rsidRPr="00236484">
        <w:t xml:space="preserve"> increased by approximately 24% to 28%, following co-administration with verapamil</w:t>
      </w:r>
      <w:r>
        <w:t xml:space="preserve"> (P-</w:t>
      </w:r>
      <w:proofErr w:type="spellStart"/>
      <w:r>
        <w:t>gp</w:t>
      </w:r>
      <w:proofErr w:type="spellEnd"/>
      <w:r>
        <w:t xml:space="preserve"> transporter inhibitor)</w:t>
      </w:r>
      <w:r w:rsidRPr="00236484">
        <w:t xml:space="preserve"> compared to </w:t>
      </w:r>
      <w:proofErr w:type="spellStart"/>
      <w:r w:rsidRPr="00236484">
        <w:t>omaveloxolone</w:t>
      </w:r>
      <w:proofErr w:type="spellEnd"/>
      <w:r w:rsidRPr="00236484">
        <w:t xml:space="preserve"> administration alone.</w:t>
      </w:r>
    </w:p>
    <w:p w14:paraId="759CD3CC" w14:textId="1483ACF4" w:rsidR="00FE583D" w:rsidRPr="00B7218A" w:rsidRDefault="00FE583D" w:rsidP="00B7218A">
      <w:pPr>
        <w:pStyle w:val="Heading5"/>
        <w:rPr>
          <w:i w:val="0"/>
          <w:iCs/>
        </w:rPr>
      </w:pPr>
      <w:r w:rsidRPr="00B7218A">
        <w:rPr>
          <w:i w:val="0"/>
          <w:iCs/>
        </w:rPr>
        <w:t>Study 2106 (</w:t>
      </w:r>
      <w:r w:rsidR="00043445">
        <w:rPr>
          <w:i w:val="0"/>
          <w:iCs/>
        </w:rPr>
        <w:t>a</w:t>
      </w:r>
      <w:r w:rsidRPr="00B7218A">
        <w:rPr>
          <w:i w:val="0"/>
          <w:iCs/>
        </w:rPr>
        <w:t>ssessed by the module 3, quality unit)</w:t>
      </w:r>
    </w:p>
    <w:p w14:paraId="1C7641A2" w14:textId="3EA275FB" w:rsidR="00FE583D" w:rsidRPr="005B4A67" w:rsidRDefault="00FE583D" w:rsidP="00FE583D">
      <w:r w:rsidRPr="005B4A67">
        <w:t xml:space="preserve">Study 408-C-2106 was performed </w:t>
      </w:r>
      <w:r w:rsidR="00764993">
        <w:t>in the USA</w:t>
      </w:r>
      <w:r w:rsidR="00764993" w:rsidRPr="005B4A67">
        <w:t xml:space="preserve"> </w:t>
      </w:r>
      <w:r w:rsidRPr="005B4A67">
        <w:t xml:space="preserve">to assess the relative bioavailability of </w:t>
      </w:r>
      <w:proofErr w:type="spellStart"/>
      <w:r w:rsidRPr="005B4A67">
        <w:t>omaveloxolone</w:t>
      </w:r>
      <w:proofErr w:type="spellEnd"/>
      <w:r w:rsidRPr="005B4A67">
        <w:t xml:space="preserve"> capsules at a dose of 150 mg (3 x 50 mg capsules) when administered as either intact capsules or capsule contents sprinkled on applesauce in healthy subjects. The study also assess</w:t>
      </w:r>
      <w:r w:rsidR="00A26BB5">
        <w:t>ed</w:t>
      </w:r>
      <w:r w:rsidRPr="005B4A67">
        <w:t xml:space="preserve"> the safety</w:t>
      </w:r>
      <w:r w:rsidR="00A26BB5">
        <w:t>,</w:t>
      </w:r>
      <w:r w:rsidRPr="005B4A67">
        <w:t xml:space="preserve"> tolerability, and palatability of </w:t>
      </w:r>
      <w:proofErr w:type="spellStart"/>
      <w:r w:rsidRPr="005B4A67">
        <w:t>omaveloxolone</w:t>
      </w:r>
      <w:proofErr w:type="spellEnd"/>
      <w:r w:rsidRPr="005B4A67">
        <w:t xml:space="preserve"> with applesauce. </w:t>
      </w:r>
    </w:p>
    <w:p w14:paraId="7FC09587" w14:textId="291B60E5" w:rsidR="00FE583D" w:rsidRPr="005B4A67" w:rsidRDefault="00FE583D" w:rsidP="00FE583D">
      <w:r w:rsidRPr="005B4A67">
        <w:t xml:space="preserve">This was a </w:t>
      </w:r>
      <w:r w:rsidR="00F373A2">
        <w:t>p</w:t>
      </w:r>
      <w:r w:rsidRPr="005B4A67">
        <w:t xml:space="preserve">hase 1, single-dose, randomised, open-label, single-centre, 2-way crossover study in healthy subjects. The study was conducted in 2 periods with a washout of at least 14 days in between periods. </w:t>
      </w:r>
    </w:p>
    <w:p w14:paraId="1A35464B" w14:textId="6DE90617" w:rsidR="00FE583D" w:rsidRPr="005B4A67" w:rsidRDefault="00FE583D" w:rsidP="00FE583D">
      <w:r w:rsidRPr="005B4A67">
        <w:t>Thirty-two adult male (44%) and female (56%) subjects between the ages of 18 and 55 years (inclusive), in generally good health, and who met the study eligibility criteria were enrolled to ensure at least 26 subjects completed the study. A total of 31 subjects completed the study</w:t>
      </w:r>
      <w:r w:rsidR="009220DE">
        <w:t xml:space="preserve"> –</w:t>
      </w:r>
      <w:r w:rsidRPr="005B4A67">
        <w:t xml:space="preserve"> one subject was removed from the study due to violation of clinic rules. </w:t>
      </w:r>
    </w:p>
    <w:p w14:paraId="08D6749B" w14:textId="0F259C9E" w:rsidR="00FE583D" w:rsidRPr="005B4A67" w:rsidRDefault="00FE583D" w:rsidP="00FE583D">
      <w:r w:rsidRPr="005B4A67">
        <w:t xml:space="preserve">Subjects were confined to the clinical unit and supervised for approximately 29 days. Serial blood samples were collected before study drug administration (pre-dose) and 0.5, 1, 2, 3, 4, 5, 6, 8, 10, 12, 18, 24, 36, 48, 72, 96, 120, 144, 168, 192, 216, 240, 288, and 336 hours after dosing. The </w:t>
      </w:r>
      <w:r w:rsidR="001D6A6D">
        <w:t>p</w:t>
      </w:r>
      <w:r w:rsidR="001D6A6D" w:rsidRPr="005B4A67">
        <w:t xml:space="preserve">eriod </w:t>
      </w:r>
      <w:r w:rsidRPr="005B4A67">
        <w:t xml:space="preserve">2 pre-dose sample served as the 336-hour sample in </w:t>
      </w:r>
      <w:r w:rsidR="001D6A6D">
        <w:t>p</w:t>
      </w:r>
      <w:r w:rsidR="001D6A6D" w:rsidRPr="005B4A67">
        <w:t xml:space="preserve">eriod </w:t>
      </w:r>
      <w:r w:rsidRPr="005B4A67">
        <w:t xml:space="preserve">1. </w:t>
      </w:r>
    </w:p>
    <w:p w14:paraId="26440B1E" w14:textId="77777777" w:rsidR="00FE583D" w:rsidRPr="005B4A67" w:rsidRDefault="00FE583D" w:rsidP="00FE583D">
      <w:r w:rsidRPr="005B4A67">
        <w:t xml:space="preserve">There were no major protocol deviations during the study. The most common minor protocol deviations included sample time deviations, procedural deviations, documentation deviations, and concomitant use of medications, and none of these deviations were likely to have a significant impact on the outcomes of the study. </w:t>
      </w:r>
    </w:p>
    <w:p w14:paraId="1B6B4934" w14:textId="5C299453" w:rsidR="00FE583D" w:rsidRPr="005B4A67" w:rsidRDefault="00FE583D" w:rsidP="00FE583D">
      <w:r w:rsidRPr="005B4A67">
        <w:t xml:space="preserve">Plasma concentrations of </w:t>
      </w:r>
      <w:proofErr w:type="spellStart"/>
      <w:r w:rsidRPr="005B4A67">
        <w:t>omaveloxolone</w:t>
      </w:r>
      <w:proofErr w:type="spellEnd"/>
      <w:r w:rsidRPr="005B4A67">
        <w:t xml:space="preserve"> were determined using a validated protein precipitation HPLC-MS/MS method. The analytical range of the method was 0.0750 – 40 ng/</w:t>
      </w:r>
      <w:proofErr w:type="spellStart"/>
      <w:r w:rsidRPr="005B4A67">
        <w:t>mL.</w:t>
      </w:r>
      <w:proofErr w:type="spellEnd"/>
      <w:r w:rsidRPr="005B4A67">
        <w:t xml:space="preserve"> </w:t>
      </w:r>
    </w:p>
    <w:p w14:paraId="7DE4186B" w14:textId="77777777" w:rsidR="00FE583D" w:rsidRPr="005B4A67" w:rsidRDefault="00FE583D" w:rsidP="00FE583D">
      <w:r w:rsidRPr="005B4A67">
        <w:t xml:space="preserve">Concentrations remained quantifiable (≤0.677 ng/mL) for </w:t>
      </w:r>
      <w:proofErr w:type="gramStart"/>
      <w:r w:rsidRPr="005B4A67">
        <w:t>the majority of</w:t>
      </w:r>
      <w:proofErr w:type="gramEnd"/>
      <w:r w:rsidRPr="005B4A67">
        <w:t xml:space="preserve"> subjects at 336 hours post-dose for both treatments. </w:t>
      </w:r>
    </w:p>
    <w:p w14:paraId="3289BA7B" w14:textId="77777777" w:rsidR="00FE583D" w:rsidRPr="005B4A67" w:rsidRDefault="00FE583D" w:rsidP="00FE583D">
      <w:r w:rsidRPr="005B4A67">
        <w:t xml:space="preserve">PK parameters were determined by noncompartmental methods using Phoenix® </w:t>
      </w:r>
      <w:proofErr w:type="spellStart"/>
      <w:r w:rsidRPr="005B4A67">
        <w:t>WinNonLin</w:t>
      </w:r>
      <w:proofErr w:type="spellEnd"/>
      <w:r w:rsidRPr="005B4A67">
        <w:t>® Version 8.3.4. An analysis of variance (ANOVA) was performed on each of the natural-log (ln)-transformed PK parameters (</w:t>
      </w:r>
      <w:proofErr w:type="spellStart"/>
      <w:r w:rsidRPr="005B4A67">
        <w:t>Cmax</w:t>
      </w:r>
      <w:proofErr w:type="spellEnd"/>
      <w:r w:rsidRPr="005B4A67">
        <w:t>, AUC0-t, and AUC0-∞) to assess the relative bioavailability of sprinkled versus intact capsules.</w:t>
      </w:r>
    </w:p>
    <w:p w14:paraId="68C3D307" w14:textId="6BF1C5C2" w:rsidR="00FE583D" w:rsidRPr="005B4A67" w:rsidRDefault="00FE583D" w:rsidP="00FE583D">
      <w:pPr>
        <w:rPr>
          <w:b/>
          <w:bCs/>
        </w:rPr>
      </w:pPr>
      <w:r w:rsidRPr="00684A10">
        <w:rPr>
          <w:b/>
          <w:bCs/>
        </w:rPr>
        <w:lastRenderedPageBreak/>
        <w:t xml:space="preserve">Table </w:t>
      </w:r>
      <w:r w:rsidRPr="009E4FDF">
        <w:rPr>
          <w:b/>
          <w:bCs/>
        </w:rPr>
        <w:fldChar w:fldCharType="begin"/>
      </w:r>
      <w:r w:rsidRPr="009E4FDF">
        <w:rPr>
          <w:b/>
          <w:bCs/>
        </w:rPr>
        <w:instrText xml:space="preserve"> SEQ Table \* ARABIC </w:instrText>
      </w:r>
      <w:r w:rsidRPr="009E4FDF">
        <w:rPr>
          <w:b/>
          <w:bCs/>
        </w:rPr>
        <w:fldChar w:fldCharType="separate"/>
      </w:r>
      <w:r w:rsidRPr="009E4FDF">
        <w:rPr>
          <w:b/>
          <w:bCs/>
        </w:rPr>
        <w:t>1</w:t>
      </w:r>
      <w:r w:rsidRPr="009E4FDF">
        <w:rPr>
          <w:b/>
          <w:bCs/>
        </w:rPr>
        <w:fldChar w:fldCharType="end"/>
      </w:r>
      <w:r w:rsidR="00684A10" w:rsidRPr="009E4FDF">
        <w:rPr>
          <w:b/>
          <w:bCs/>
        </w:rPr>
        <w:t>0</w:t>
      </w:r>
      <w:r w:rsidRPr="009E4FDF">
        <w:rPr>
          <w:b/>
          <w:bCs/>
        </w:rPr>
        <w:t>:</w:t>
      </w:r>
      <w:r w:rsidRPr="005B4A67">
        <w:rPr>
          <w:b/>
          <w:bCs/>
        </w:rPr>
        <w:t xml:space="preserve"> PK parameters for treatment A (</w:t>
      </w:r>
      <w:r w:rsidR="00D801A9">
        <w:rPr>
          <w:b/>
          <w:bCs/>
        </w:rPr>
        <w:t>a</w:t>
      </w:r>
      <w:r w:rsidRPr="005B4A67">
        <w:rPr>
          <w:b/>
          <w:bCs/>
        </w:rPr>
        <w:t xml:space="preserve"> single oral dose of 150mg </w:t>
      </w:r>
      <w:proofErr w:type="spellStart"/>
      <w:r w:rsidRPr="005B4A67">
        <w:rPr>
          <w:b/>
          <w:bCs/>
        </w:rPr>
        <w:t>omaveloxolone</w:t>
      </w:r>
      <w:proofErr w:type="spellEnd"/>
      <w:r w:rsidRPr="005B4A67">
        <w:rPr>
          <w:b/>
          <w:bCs/>
        </w:rPr>
        <w:t xml:space="preserve"> intact capsule [3x50mg] sprinkled on apple sauce) and Treatment B ((A single oral dose of 150mg </w:t>
      </w:r>
      <w:proofErr w:type="spellStart"/>
      <w:r w:rsidRPr="005B4A67">
        <w:rPr>
          <w:b/>
          <w:bCs/>
        </w:rPr>
        <w:t>omaveloxolone</w:t>
      </w:r>
      <w:proofErr w:type="spellEnd"/>
      <w:r w:rsidRPr="005B4A67">
        <w:rPr>
          <w:b/>
          <w:bCs/>
        </w:rPr>
        <w:t xml:space="preserve"> intact capsule [3x50mg])</w:t>
      </w:r>
    </w:p>
    <w:p w14:paraId="3B83A549" w14:textId="77777777" w:rsidR="00FE583D" w:rsidRPr="005B4A67" w:rsidRDefault="00FE583D" w:rsidP="00FE583D">
      <w:r w:rsidRPr="005B4A67">
        <w:rPr>
          <w:noProof/>
        </w:rPr>
        <w:drawing>
          <wp:inline distT="0" distB="0" distL="0" distR="0" wp14:anchorId="0D82F8E2" wp14:editId="0F17BF7F">
            <wp:extent cx="5731510" cy="2030095"/>
            <wp:effectExtent l="0" t="0" r="2540" b="8255"/>
            <wp:docPr id="1679322783" name="Picture 1" descr="Table 10: PK parameters for treatment A (A single oral dose of 150mg omaveloxolone intact capsule [3x50mg] sprinkled on apple sauce) and Treatment B ((A single oral dose of 150mg omaveloxolone intact capsule [3x50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2783" name="Picture 1" descr="Table 10: PK parameters for treatment A (A single oral dose of 150mg omaveloxolone intact capsule [3x50mg] sprinkled on apple sauce) and Treatment B ((A single oral dose of 150mg omaveloxolone intact capsule [3x50mg])"/>
                    <pic:cNvPicPr/>
                  </pic:nvPicPr>
                  <pic:blipFill>
                    <a:blip r:embed="rId50"/>
                    <a:stretch>
                      <a:fillRect/>
                    </a:stretch>
                  </pic:blipFill>
                  <pic:spPr>
                    <a:xfrm>
                      <a:off x="0" y="0"/>
                      <a:ext cx="5731510" cy="2030095"/>
                    </a:xfrm>
                    <a:prstGeom prst="rect">
                      <a:avLst/>
                    </a:prstGeom>
                  </pic:spPr>
                </pic:pic>
              </a:graphicData>
            </a:graphic>
          </wp:inline>
        </w:drawing>
      </w:r>
    </w:p>
    <w:p w14:paraId="4468B105" w14:textId="6824A6AD" w:rsidR="00FE583D" w:rsidRPr="005B4A67" w:rsidRDefault="00FE583D" w:rsidP="009211CC">
      <w:pPr>
        <w:spacing w:before="240"/>
        <w:rPr>
          <w:b/>
          <w:bCs/>
        </w:rPr>
      </w:pPr>
      <w:r w:rsidRPr="00684A10">
        <w:rPr>
          <w:b/>
          <w:bCs/>
        </w:rPr>
        <w:t xml:space="preserve">Table </w:t>
      </w:r>
      <w:r w:rsidR="00684A10" w:rsidRPr="00684A10">
        <w:rPr>
          <w:b/>
          <w:bCs/>
        </w:rPr>
        <w:t>11</w:t>
      </w:r>
      <w:r w:rsidRPr="00684A10">
        <w:rPr>
          <w:b/>
          <w:bCs/>
        </w:rPr>
        <w:t>: Geometric</w:t>
      </w:r>
      <w:r w:rsidRPr="005B4A67">
        <w:rPr>
          <w:b/>
          <w:bCs/>
        </w:rPr>
        <w:t xml:space="preserve"> mean ratios for AUC and </w:t>
      </w:r>
      <w:proofErr w:type="spellStart"/>
      <w:r w:rsidRPr="005B4A67">
        <w:rPr>
          <w:b/>
          <w:bCs/>
        </w:rPr>
        <w:t>C</w:t>
      </w:r>
      <w:r w:rsidRPr="005B4A67">
        <w:rPr>
          <w:b/>
          <w:bCs/>
          <w:vertAlign w:val="subscript"/>
        </w:rPr>
        <w:t>max</w:t>
      </w:r>
      <w:proofErr w:type="spellEnd"/>
      <w:r w:rsidRPr="005B4A67">
        <w:rPr>
          <w:b/>
          <w:bCs/>
        </w:rPr>
        <w:t xml:space="preserve"> for treatment B and treatment A</w:t>
      </w:r>
    </w:p>
    <w:p w14:paraId="7F5BDBF0" w14:textId="77777777" w:rsidR="00FE583D" w:rsidRPr="005B4A67" w:rsidRDefault="00FE583D" w:rsidP="00FE583D">
      <w:r w:rsidRPr="005B4A67">
        <w:rPr>
          <w:noProof/>
        </w:rPr>
        <w:drawing>
          <wp:inline distT="0" distB="0" distL="0" distR="0" wp14:anchorId="37839B54" wp14:editId="0448BEA7">
            <wp:extent cx="5731510" cy="1709420"/>
            <wp:effectExtent l="0" t="0" r="2540" b="5080"/>
            <wp:docPr id="1964743928" name="Picture 1" descr="Table 11: Geometric mean ratios for AUC and Cmax for treatment B and treatmen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43928" name="Picture 1" descr="Table 11: Geometric mean ratios for AUC and Cmax for treatment B and treatment A"/>
                    <pic:cNvPicPr/>
                  </pic:nvPicPr>
                  <pic:blipFill>
                    <a:blip r:embed="rId51"/>
                    <a:stretch>
                      <a:fillRect/>
                    </a:stretch>
                  </pic:blipFill>
                  <pic:spPr>
                    <a:xfrm>
                      <a:off x="0" y="0"/>
                      <a:ext cx="5731510" cy="1709420"/>
                    </a:xfrm>
                    <a:prstGeom prst="rect">
                      <a:avLst/>
                    </a:prstGeom>
                  </pic:spPr>
                </pic:pic>
              </a:graphicData>
            </a:graphic>
          </wp:inline>
        </w:drawing>
      </w:r>
    </w:p>
    <w:p w14:paraId="02117F33" w14:textId="7D46E6D7" w:rsidR="00FE583D" w:rsidRPr="005B4A67" w:rsidRDefault="00FE583D" w:rsidP="009211CC">
      <w:pPr>
        <w:spacing w:before="240"/>
        <w:rPr>
          <w:b/>
          <w:bCs/>
        </w:rPr>
      </w:pPr>
      <w:r w:rsidRPr="005B4A67">
        <w:rPr>
          <w:b/>
          <w:bCs/>
        </w:rPr>
        <w:t xml:space="preserve">Figure </w:t>
      </w:r>
      <w:r w:rsidR="004132C3">
        <w:rPr>
          <w:b/>
          <w:bCs/>
        </w:rPr>
        <w:t>9</w:t>
      </w:r>
      <w:r w:rsidRPr="005B4A67">
        <w:rPr>
          <w:b/>
          <w:bCs/>
        </w:rPr>
        <w:t xml:space="preserve">: Linear plot of mean plasma concentrations versus time of </w:t>
      </w:r>
      <w:proofErr w:type="spellStart"/>
      <w:r w:rsidRPr="005B4A67">
        <w:rPr>
          <w:b/>
          <w:bCs/>
        </w:rPr>
        <w:t>omaveloxolone</w:t>
      </w:r>
      <w:proofErr w:type="spellEnd"/>
      <w:r w:rsidRPr="005B4A67">
        <w:rPr>
          <w:b/>
          <w:bCs/>
        </w:rPr>
        <w:t xml:space="preserve"> for Test product (treatment B) and Reference product (treatment A)</w:t>
      </w:r>
    </w:p>
    <w:p w14:paraId="7449887D" w14:textId="77777777" w:rsidR="00FE583D" w:rsidRPr="005B4A67" w:rsidRDefault="00FE583D" w:rsidP="00FE583D">
      <w:r w:rsidRPr="005B4A67">
        <w:rPr>
          <w:noProof/>
        </w:rPr>
        <w:drawing>
          <wp:inline distT="0" distB="0" distL="0" distR="0" wp14:anchorId="1EC19779" wp14:editId="001518DD">
            <wp:extent cx="5423336" cy="3552825"/>
            <wp:effectExtent l="0" t="0" r="6350" b="0"/>
            <wp:docPr id="1722083786" name="Picture 1" descr="Figure 9: Linear plot of mean plasma concentrations versus time of omaveloxolone for Test product (treatment B) and Reference product (treatmen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3786" name="Picture 1" descr="Figure 9: Linear plot of mean plasma concentrations versus time of omaveloxolone for Test product (treatment B) and Reference product (treatment 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13883" cy="3612142"/>
                    </a:xfrm>
                    <a:prstGeom prst="rect">
                      <a:avLst/>
                    </a:prstGeom>
                    <a:noFill/>
                  </pic:spPr>
                </pic:pic>
              </a:graphicData>
            </a:graphic>
          </wp:inline>
        </w:drawing>
      </w:r>
    </w:p>
    <w:p w14:paraId="44060FC2" w14:textId="77777777" w:rsidR="00FE583D" w:rsidRPr="005B4A67" w:rsidRDefault="00FE583D" w:rsidP="00FE583D">
      <w:r w:rsidRPr="005B4A67">
        <w:lastRenderedPageBreak/>
        <w:t>The peak (</w:t>
      </w:r>
      <w:proofErr w:type="spellStart"/>
      <w:r w:rsidRPr="005B4A67">
        <w:t>Cmax</w:t>
      </w:r>
      <w:proofErr w:type="spellEnd"/>
      <w:r w:rsidRPr="005B4A67">
        <w:t xml:space="preserve">) and overall (AUC) exposures were similar following a single oral dose of 150 mg (3 x 50 mg) </w:t>
      </w:r>
      <w:proofErr w:type="spellStart"/>
      <w:r w:rsidRPr="005B4A67">
        <w:t>omaveloxolone</w:t>
      </w:r>
      <w:proofErr w:type="spellEnd"/>
      <w:r w:rsidRPr="005B4A67">
        <w:t xml:space="preserve"> sprinkled on applesauce versus intact capsules, with the 90% CIs of the GMRs falling within the 80.00% to 125.00% reference interval. However, the median </w:t>
      </w:r>
      <w:proofErr w:type="spellStart"/>
      <w:r w:rsidRPr="005B4A67">
        <w:t>Tmax</w:t>
      </w:r>
      <w:proofErr w:type="spellEnd"/>
      <w:r w:rsidRPr="005B4A67">
        <w:t xml:space="preserve"> occurred earlier for </w:t>
      </w:r>
      <w:proofErr w:type="spellStart"/>
      <w:r w:rsidRPr="005B4A67">
        <w:t>omaveloxolone</w:t>
      </w:r>
      <w:proofErr w:type="spellEnd"/>
      <w:r w:rsidRPr="005B4A67">
        <w:t xml:space="preserve"> sprinkled on applesauce compared to </w:t>
      </w:r>
      <w:proofErr w:type="spellStart"/>
      <w:r w:rsidRPr="005B4A67">
        <w:t>omaveloxolone</w:t>
      </w:r>
      <w:proofErr w:type="spellEnd"/>
      <w:r w:rsidRPr="005B4A67">
        <w:t xml:space="preserve"> intact capsules, at approximately 6 and 10 hours post-dose, respectively. These results suggest that absorption was faster following administration of </w:t>
      </w:r>
      <w:proofErr w:type="spellStart"/>
      <w:r w:rsidRPr="005B4A67">
        <w:t>omaveloxolone</w:t>
      </w:r>
      <w:proofErr w:type="spellEnd"/>
      <w:r w:rsidRPr="005B4A67">
        <w:t xml:space="preserve"> sprinkled on applesauce relative to </w:t>
      </w:r>
      <w:proofErr w:type="spellStart"/>
      <w:r w:rsidRPr="005B4A67">
        <w:t>omaveloxolone</w:t>
      </w:r>
      <w:proofErr w:type="spellEnd"/>
      <w:r w:rsidRPr="005B4A67">
        <w:t xml:space="preserve"> intact capsules. </w:t>
      </w:r>
    </w:p>
    <w:p w14:paraId="3797690F" w14:textId="77777777" w:rsidR="00FE583D" w:rsidRDefault="00FE583D" w:rsidP="00FE583D">
      <w:r w:rsidRPr="005B4A67">
        <w:t>The study supports the statement in the proposed PI regarding the absorption when administered with apple sauce:</w:t>
      </w:r>
    </w:p>
    <w:p w14:paraId="46A62749" w14:textId="77777777" w:rsidR="00FE583D" w:rsidRPr="006F2368" w:rsidRDefault="00FE583D" w:rsidP="003D3BB0">
      <w:pPr>
        <w:ind w:left="340"/>
      </w:pPr>
      <w:r w:rsidRPr="005B4A67">
        <w:rPr>
          <w:noProof/>
        </w:rPr>
        <w:drawing>
          <wp:inline distT="0" distB="0" distL="0" distR="0" wp14:anchorId="48DBB0C8" wp14:editId="072B76CC">
            <wp:extent cx="5731510" cy="833755"/>
            <wp:effectExtent l="0" t="0" r="2540" b="4445"/>
            <wp:docPr id="1363307253" name="Picture 1" descr="Under 5.2 Pharmacokinetic properties: Absorption&#10;&#10;Omaveloxolone Cmax and AUC 0-inf were similar when capsule contents were sprinkled on apple sauce or when administered as intact capsules. The median time to achieve Cmax (tmax) of omaveloxolone was shortened from approximately 10 hours when sprinkled on apple sau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7253" name="Picture 1" descr="Under 5.2 Pharmacokinetic properties: Absorption&#10;&#10;Omaveloxolone Cmax and AUC 0-inf were similar when capsule contents were sprinkled on apple sauce or when administered as intact capsules. The median time to achieve Cmax (tmax) of omaveloxolone was shortened from approximately 10 hours when sprinkled on apple sauce. "/>
                    <pic:cNvPicPr/>
                  </pic:nvPicPr>
                  <pic:blipFill>
                    <a:blip r:embed="rId53"/>
                    <a:stretch>
                      <a:fillRect/>
                    </a:stretch>
                  </pic:blipFill>
                  <pic:spPr>
                    <a:xfrm>
                      <a:off x="0" y="0"/>
                      <a:ext cx="5731510" cy="833755"/>
                    </a:xfrm>
                    <a:prstGeom prst="rect">
                      <a:avLst/>
                    </a:prstGeom>
                  </pic:spPr>
                </pic:pic>
              </a:graphicData>
            </a:graphic>
          </wp:inline>
        </w:drawing>
      </w:r>
    </w:p>
    <w:p w14:paraId="6F3DF641" w14:textId="77777777" w:rsidR="00FE583D" w:rsidRPr="00BB4632" w:rsidRDefault="00FE583D" w:rsidP="00BB4632">
      <w:pPr>
        <w:pStyle w:val="Heading5"/>
        <w:rPr>
          <w:i w:val="0"/>
          <w:iCs/>
        </w:rPr>
      </w:pPr>
      <w:r w:rsidRPr="00BB4632">
        <w:rPr>
          <w:i w:val="0"/>
          <w:iCs/>
        </w:rPr>
        <w:t>Population PK data (</w:t>
      </w:r>
      <w:proofErr w:type="spellStart"/>
      <w:r w:rsidRPr="00BB4632">
        <w:rPr>
          <w:i w:val="0"/>
          <w:iCs/>
        </w:rPr>
        <w:t>popPK</w:t>
      </w:r>
      <w:proofErr w:type="spellEnd"/>
      <w:r w:rsidRPr="00BB4632">
        <w:rPr>
          <w:i w:val="0"/>
          <w:iCs/>
        </w:rPr>
        <w:t xml:space="preserve">) </w:t>
      </w:r>
    </w:p>
    <w:p w14:paraId="371D1A8B" w14:textId="77777777" w:rsidR="00FE583D" w:rsidRPr="00BB4632" w:rsidRDefault="00FE583D" w:rsidP="00713BD9">
      <w:pPr>
        <w:pStyle w:val="Heading5"/>
      </w:pPr>
      <w:bookmarkStart w:id="57" w:name="_Ref188270322"/>
      <w:proofErr w:type="spellStart"/>
      <w:r w:rsidRPr="00BB4632">
        <w:t>PopPK</w:t>
      </w:r>
      <w:proofErr w:type="spellEnd"/>
      <w:r w:rsidRPr="00BB4632">
        <w:t xml:space="preserve"> report REAT-PMX-OMAV-2081</w:t>
      </w:r>
      <w:bookmarkEnd w:id="57"/>
    </w:p>
    <w:p w14:paraId="729014F1" w14:textId="21B9194B" w:rsidR="00FE583D" w:rsidRPr="00B62AC1" w:rsidRDefault="00FE583D" w:rsidP="00202FEA">
      <w:r w:rsidRPr="00B62AC1">
        <w:t>The</w:t>
      </w:r>
      <w:r>
        <w:t xml:space="preserve"> </w:t>
      </w:r>
      <w:r w:rsidR="007B6B69">
        <w:t>sponsor</w:t>
      </w:r>
      <w:r>
        <w:t xml:space="preserve"> states the</w:t>
      </w:r>
      <w:r w:rsidRPr="00B62AC1">
        <w:t xml:space="preserve"> objectives of this </w:t>
      </w:r>
      <w:proofErr w:type="spellStart"/>
      <w:r w:rsidRPr="00B62AC1">
        <w:t>PopPK</w:t>
      </w:r>
      <w:proofErr w:type="spellEnd"/>
      <w:r w:rsidRPr="00B62AC1">
        <w:t xml:space="preserve"> report were:</w:t>
      </w:r>
    </w:p>
    <w:p w14:paraId="65D92E33" w14:textId="04309077" w:rsidR="00FE583D" w:rsidRPr="00B62AC1" w:rsidRDefault="00FE583D" w:rsidP="000E505A">
      <w:pPr>
        <w:pStyle w:val="Numberbullet0"/>
      </w:pPr>
      <w:r w:rsidRPr="007A78F6">
        <w:t xml:space="preserve">To identify the intrinsic and extrinsic factors that affect </w:t>
      </w:r>
      <w:proofErr w:type="spellStart"/>
      <w:r w:rsidRPr="007A78F6">
        <w:t>omaveloxolone</w:t>
      </w:r>
      <w:proofErr w:type="spellEnd"/>
      <w:r w:rsidR="00202FEA">
        <w:t xml:space="preserve"> </w:t>
      </w:r>
      <w:r w:rsidRPr="00B62AC1">
        <w:t>concentrations in plasma in adult healthy subjects and patients with FA using a</w:t>
      </w:r>
      <w:r w:rsidR="00202FEA">
        <w:t xml:space="preserve"> </w:t>
      </w:r>
      <w:r w:rsidRPr="00B62AC1">
        <w:t>population pharmacokinetic (PK) approach.</w:t>
      </w:r>
    </w:p>
    <w:p w14:paraId="3CDEB98D" w14:textId="73830E53" w:rsidR="00FE583D" w:rsidRPr="00B62AC1" w:rsidRDefault="00FE583D" w:rsidP="00713461">
      <w:pPr>
        <w:pStyle w:val="Numberbullet0"/>
      </w:pPr>
      <w:r w:rsidRPr="00CC2715">
        <w:rPr>
          <w:szCs w:val="22"/>
        </w:rPr>
        <w:t xml:space="preserve">To perform E-R </w:t>
      </w:r>
      <w:proofErr w:type="spellStart"/>
      <w:r w:rsidRPr="00CC2715">
        <w:rPr>
          <w:szCs w:val="22"/>
        </w:rPr>
        <w:t>modeling</w:t>
      </w:r>
      <w:proofErr w:type="spellEnd"/>
      <w:r w:rsidRPr="00CC2715">
        <w:rPr>
          <w:szCs w:val="22"/>
        </w:rPr>
        <w:t xml:space="preserve"> with the following endpoints: modified Friedreich’s</w:t>
      </w:r>
      <w:r w:rsidR="00CC2715" w:rsidRPr="00CC2715">
        <w:rPr>
          <w:szCs w:val="22"/>
        </w:rPr>
        <w:t xml:space="preserve"> </w:t>
      </w:r>
      <w:r w:rsidRPr="00B62AC1">
        <w:t>ataxia rating scale (</w:t>
      </w:r>
      <w:r w:rsidR="00B15DD9" w:rsidRPr="00B62AC1">
        <w:t>mars</w:t>
      </w:r>
      <w:r w:rsidRPr="00B62AC1">
        <w:t>) scores, aminotransferase levels, cardiac adverse</w:t>
      </w:r>
      <w:r w:rsidR="00CC2715">
        <w:t xml:space="preserve"> </w:t>
      </w:r>
      <w:r w:rsidRPr="00B62AC1">
        <w:t>events (AEs), and infections and infestations AEs. All exposure-response (E-R) analyses were conducted with data from Study 408-C-1402 Part 1 and Part 2 only.</w:t>
      </w:r>
    </w:p>
    <w:p w14:paraId="3FBF22C6" w14:textId="256D89D2" w:rsidR="00FE583D" w:rsidRDefault="00FE583D" w:rsidP="00CC2715">
      <w:r w:rsidRPr="00E22E0A">
        <w:t xml:space="preserve">The </w:t>
      </w:r>
      <w:r w:rsidR="007B6B69">
        <w:t>sponsor</w:t>
      </w:r>
      <w:r>
        <w:t xml:space="preserve"> states that th</w:t>
      </w:r>
      <w:r w:rsidR="003A0247">
        <w:t>e</w:t>
      </w:r>
      <w:r>
        <w:t xml:space="preserve"> </w:t>
      </w:r>
      <w:r w:rsidRPr="00E22E0A">
        <w:t>population PK model was developed using data from Studies</w:t>
      </w:r>
      <w:r w:rsidR="00286FE9">
        <w:br/>
      </w:r>
      <w:r w:rsidRPr="00E22E0A">
        <w:t>408-C-1402 Part 1,</w:t>
      </w:r>
      <w:r>
        <w:t xml:space="preserve"> </w:t>
      </w:r>
      <w:r w:rsidRPr="00E22E0A">
        <w:t>408-C-1402 Part 2, 408-C-1403, 408-C-1703, 408-C-1804, and 408-C-1806. The</w:t>
      </w:r>
      <w:r w:rsidR="00286FE9">
        <w:t xml:space="preserve"> </w:t>
      </w:r>
      <w:r w:rsidRPr="00E22E0A">
        <w:t>E-R</w:t>
      </w:r>
      <w:r>
        <w:t xml:space="preserve"> </w:t>
      </w:r>
      <w:r w:rsidRPr="00E22E0A">
        <w:t>models for efficacy and safety were developed using data from Study 408-C-1402 Part 1</w:t>
      </w:r>
      <w:r w:rsidR="00CC2715">
        <w:t xml:space="preserve"> </w:t>
      </w:r>
      <w:r w:rsidRPr="00B62AC1">
        <w:t xml:space="preserve">and Part 2. Study designs, including PK sampling, are summarized in table </w:t>
      </w:r>
      <w:r w:rsidR="008B7607">
        <w:t>12</w:t>
      </w:r>
      <w:r w:rsidR="00101265">
        <w:t xml:space="preserve"> on the following page</w:t>
      </w:r>
      <w:r w:rsidRPr="00B62AC1">
        <w:t>.</w:t>
      </w:r>
    </w:p>
    <w:p w14:paraId="133682C8" w14:textId="77777777" w:rsidR="00B474F4" w:rsidRDefault="00A13C62" w:rsidP="00B474F4">
      <w:r w:rsidRPr="00DE06F1">
        <w:t>The structural model is a 2-compartment disposition model, first-order absorption, and linear clearance. Interindividual variability terms are included on absorption rate constant (Ka), apparent total plasma clearance (CL/F), apparent central volume of distribution (</w:t>
      </w:r>
      <w:proofErr w:type="spellStart"/>
      <w:r w:rsidRPr="00DE06F1">
        <w:t>Vc</w:t>
      </w:r>
      <w:proofErr w:type="spellEnd"/>
      <w:r w:rsidRPr="00DE06F1">
        <w:t>/F), apparent intercompartmental clearance, and apparent peripheral volume of distribution (</w:t>
      </w:r>
      <w:proofErr w:type="spellStart"/>
      <w:r w:rsidRPr="00DE06F1">
        <w:t>Vp</w:t>
      </w:r>
      <w:proofErr w:type="spellEnd"/>
      <w:r w:rsidRPr="00DE06F1">
        <w:t>/F) parameters.</w:t>
      </w:r>
    </w:p>
    <w:p w14:paraId="1B341927" w14:textId="4279F1BC" w:rsidR="002368C2" w:rsidRDefault="002368C2" w:rsidP="00B474F4">
      <w:r w:rsidRPr="00DE06F1">
        <w:t>The PK analysis dataset included 3335 measurable PK observations from 252 subjects.</w:t>
      </w:r>
      <w:r>
        <w:t xml:space="preserve"> </w:t>
      </w:r>
      <w:r w:rsidRPr="00DE06F1">
        <w:t xml:space="preserve">Number of subjects, measurable observations, and </w:t>
      </w:r>
      <w:r>
        <w:t>below the lower assay limit of quantification (</w:t>
      </w:r>
      <w:r w:rsidRPr="00DE06F1">
        <w:t>BLQ</w:t>
      </w:r>
      <w:r>
        <w:t>)</w:t>
      </w:r>
      <w:r w:rsidRPr="00DE06F1">
        <w:t xml:space="preserve"> observations across studies are</w:t>
      </w:r>
      <w:r>
        <w:t xml:space="preserve"> </w:t>
      </w:r>
      <w:r w:rsidRPr="00DE06F1">
        <w:t>summarized by study, number of subjects, and</w:t>
      </w:r>
      <w:r>
        <w:t xml:space="preserve"> </w:t>
      </w:r>
      <w:r w:rsidRPr="00DE06F1">
        <w:t>measurable observations excluded from</w:t>
      </w:r>
      <w:r>
        <w:t xml:space="preserve"> </w:t>
      </w:r>
      <w:r w:rsidRPr="00DE06F1">
        <w:t>the analysis in</w:t>
      </w:r>
      <w:r>
        <w:t xml:space="preserve"> Table 13</w:t>
      </w:r>
      <w:r w:rsidR="00AF177A">
        <w:t xml:space="preserve"> (on page 37)</w:t>
      </w:r>
      <w:r>
        <w:t>.</w:t>
      </w:r>
    </w:p>
    <w:p w14:paraId="608570E2" w14:textId="77777777" w:rsidR="002368C2" w:rsidRDefault="002368C2" w:rsidP="00CC2715"/>
    <w:p w14:paraId="7D72AE0E" w14:textId="77777777" w:rsidR="00A13C62" w:rsidRDefault="00A13C62">
      <w:pPr>
        <w:rPr>
          <w:rFonts w:eastAsia="Cambria" w:cs="Times New Roman"/>
          <w:b/>
          <w:szCs w:val="22"/>
        </w:rPr>
      </w:pPr>
      <w:r>
        <w:br w:type="page"/>
      </w:r>
    </w:p>
    <w:p w14:paraId="4E899121" w14:textId="116F8BD8" w:rsidR="00FE583D" w:rsidRPr="00B62AC1" w:rsidRDefault="00FE583D" w:rsidP="000B144F">
      <w:pPr>
        <w:pStyle w:val="TableTitle"/>
      </w:pPr>
      <w:r w:rsidRPr="00B62AC1">
        <w:lastRenderedPageBreak/>
        <w:t xml:space="preserve">Table </w:t>
      </w:r>
      <w:fldSimple w:instr=" SEQ Table \* ARABIC ">
        <w:r w:rsidR="008B7607">
          <w:rPr>
            <w:noProof/>
          </w:rPr>
          <w:t>12</w:t>
        </w:r>
      </w:fldSimple>
      <w:r w:rsidR="00C66C91">
        <w:t>::</w:t>
      </w:r>
      <w:r w:rsidRPr="00B62AC1">
        <w:t xml:space="preserve">Clinical studies included in </w:t>
      </w:r>
      <w:proofErr w:type="spellStart"/>
      <w:r w:rsidRPr="00B62AC1">
        <w:t>PopPK</w:t>
      </w:r>
      <w:proofErr w:type="spellEnd"/>
      <w:r w:rsidRPr="00B62AC1">
        <w:t xml:space="preserve"> analysis</w:t>
      </w:r>
    </w:p>
    <w:p w14:paraId="0E9178E8" w14:textId="77777777" w:rsidR="00FE583D" w:rsidRPr="00B62AC1" w:rsidRDefault="00FE583D" w:rsidP="00FE583D">
      <w:pPr>
        <w:autoSpaceDE w:val="0"/>
        <w:autoSpaceDN w:val="0"/>
        <w:adjustRightInd w:val="0"/>
        <w:spacing w:after="0" w:line="240" w:lineRule="auto"/>
        <w:rPr>
          <w:rFonts w:asciiTheme="minorHAnsi" w:hAnsiTheme="minorHAnsi" w:cs="TimesNewRomanPSMT"/>
        </w:rPr>
      </w:pPr>
      <w:r w:rsidRPr="00B62AC1">
        <w:rPr>
          <w:rFonts w:asciiTheme="minorHAnsi" w:hAnsiTheme="minorHAnsi" w:cs="TimesNewRomanPSMT"/>
          <w:noProof/>
        </w:rPr>
        <w:drawing>
          <wp:inline distT="0" distB="0" distL="0" distR="0" wp14:anchorId="0CDC7611" wp14:editId="7960FC03">
            <wp:extent cx="5731510" cy="5790565"/>
            <wp:effectExtent l="0" t="0" r="2540" b="635"/>
            <wp:docPr id="380099762" name="Picture 1" descr="Table 12. Clinical studies included in PopPK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99762" name="Picture 1" descr="Table 12. Clinical studies included in PopPK analysis"/>
                    <pic:cNvPicPr/>
                  </pic:nvPicPr>
                  <pic:blipFill>
                    <a:blip r:embed="rId54"/>
                    <a:stretch>
                      <a:fillRect/>
                    </a:stretch>
                  </pic:blipFill>
                  <pic:spPr>
                    <a:xfrm>
                      <a:off x="0" y="0"/>
                      <a:ext cx="5731510" cy="5790565"/>
                    </a:xfrm>
                    <a:prstGeom prst="rect">
                      <a:avLst/>
                    </a:prstGeom>
                  </pic:spPr>
                </pic:pic>
              </a:graphicData>
            </a:graphic>
          </wp:inline>
        </w:drawing>
      </w:r>
    </w:p>
    <w:p w14:paraId="43F21DDF" w14:textId="77777777" w:rsidR="008B7607" w:rsidRDefault="00FE583D" w:rsidP="008B7607">
      <w:pPr>
        <w:autoSpaceDE w:val="0"/>
        <w:autoSpaceDN w:val="0"/>
        <w:adjustRightInd w:val="0"/>
        <w:spacing w:after="0" w:line="240" w:lineRule="auto"/>
      </w:pPr>
      <w:r>
        <w:rPr>
          <w:rFonts w:ascii="TimesNewRomanPSMT" w:hAnsi="TimesNewRomanPSMT" w:cs="TimesNewRomanPSMT"/>
          <w:noProof/>
          <w:sz w:val="24"/>
          <w:szCs w:val="24"/>
        </w:rPr>
        <w:drawing>
          <wp:inline distT="0" distB="0" distL="0" distR="0" wp14:anchorId="1ADE4EB8" wp14:editId="5D7EB040">
            <wp:extent cx="5712643" cy="1519260"/>
            <wp:effectExtent l="0" t="0" r="2540" b="5080"/>
            <wp:docPr id="173562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9696" cy="1526455"/>
                    </a:xfrm>
                    <a:prstGeom prst="rect">
                      <a:avLst/>
                    </a:prstGeom>
                    <a:noFill/>
                  </pic:spPr>
                </pic:pic>
              </a:graphicData>
            </a:graphic>
          </wp:inline>
        </w:drawing>
      </w:r>
    </w:p>
    <w:p w14:paraId="23EF25A4" w14:textId="77777777" w:rsidR="008B7607" w:rsidRDefault="008B7607" w:rsidP="008B7607">
      <w:pPr>
        <w:autoSpaceDE w:val="0"/>
        <w:autoSpaceDN w:val="0"/>
        <w:adjustRightInd w:val="0"/>
        <w:spacing w:after="0" w:line="240" w:lineRule="auto"/>
      </w:pPr>
    </w:p>
    <w:p w14:paraId="1BBA6024" w14:textId="77777777" w:rsidR="00F94AD1" w:rsidRDefault="00F94AD1" w:rsidP="00FE583D">
      <w:pPr>
        <w:autoSpaceDE w:val="0"/>
        <w:autoSpaceDN w:val="0"/>
        <w:adjustRightInd w:val="0"/>
        <w:spacing w:after="0" w:line="240" w:lineRule="auto"/>
        <w:rPr>
          <w:rFonts w:asciiTheme="minorHAnsi" w:hAnsiTheme="minorHAnsi" w:cs="TimesNewRomanPSMT"/>
        </w:rPr>
      </w:pPr>
    </w:p>
    <w:p w14:paraId="02057596" w14:textId="3A33CCFA" w:rsidR="00FE583D" w:rsidRPr="00DD25A4" w:rsidRDefault="00FE583D" w:rsidP="00C4470E">
      <w:pPr>
        <w:pStyle w:val="FigureTitle"/>
      </w:pPr>
      <w:r w:rsidRPr="00DD25A4">
        <w:lastRenderedPageBreak/>
        <w:t xml:space="preserve">Table </w:t>
      </w:r>
      <w:fldSimple w:instr=" SEQ Table \* ARABIC ">
        <w:r w:rsidR="008B7607">
          <w:rPr>
            <w:noProof/>
          </w:rPr>
          <w:t>13</w:t>
        </w:r>
      </w:fldSimple>
      <w:r w:rsidRPr="00DD25A4">
        <w:t>: Plasma concentrations in the PK analysis dataset</w:t>
      </w:r>
    </w:p>
    <w:p w14:paraId="267CBE55" w14:textId="77777777" w:rsidR="00FE583D" w:rsidRDefault="00FE583D" w:rsidP="00FE583D">
      <w:pPr>
        <w:autoSpaceDE w:val="0"/>
        <w:autoSpaceDN w:val="0"/>
        <w:adjustRightInd w:val="0"/>
        <w:spacing w:after="0" w:line="240" w:lineRule="auto"/>
        <w:rPr>
          <w:rFonts w:asciiTheme="minorHAnsi" w:hAnsiTheme="minorHAnsi" w:cs="TimesNewRomanPSMT"/>
        </w:rPr>
      </w:pPr>
      <w:r w:rsidRPr="00DD25A4">
        <w:rPr>
          <w:rFonts w:asciiTheme="minorHAnsi" w:hAnsiTheme="minorHAnsi" w:cs="TimesNewRomanPSMT"/>
          <w:noProof/>
        </w:rPr>
        <w:drawing>
          <wp:inline distT="0" distB="0" distL="0" distR="0" wp14:anchorId="603C708F" wp14:editId="2D0A4F27">
            <wp:extent cx="5731510" cy="2071370"/>
            <wp:effectExtent l="0" t="0" r="2540" b="5080"/>
            <wp:docPr id="708807510" name="Picture 1" descr="Table 13: Plasma concentrations in the PK analysis datas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07510" name="Picture 1" descr="Table 13: Plasma concentrations in the PK analysis dataset&#10;"/>
                    <pic:cNvPicPr/>
                  </pic:nvPicPr>
                  <pic:blipFill>
                    <a:blip r:embed="rId56"/>
                    <a:stretch>
                      <a:fillRect/>
                    </a:stretch>
                  </pic:blipFill>
                  <pic:spPr>
                    <a:xfrm>
                      <a:off x="0" y="0"/>
                      <a:ext cx="5731510" cy="2071370"/>
                    </a:xfrm>
                    <a:prstGeom prst="rect">
                      <a:avLst/>
                    </a:prstGeom>
                  </pic:spPr>
                </pic:pic>
              </a:graphicData>
            </a:graphic>
          </wp:inline>
        </w:drawing>
      </w:r>
    </w:p>
    <w:p w14:paraId="7DA508BC" w14:textId="77777777" w:rsidR="00C4470E" w:rsidRDefault="00C4470E" w:rsidP="00FE583D">
      <w:pPr>
        <w:autoSpaceDE w:val="0"/>
        <w:autoSpaceDN w:val="0"/>
        <w:adjustRightInd w:val="0"/>
        <w:spacing w:after="0" w:line="240" w:lineRule="auto"/>
        <w:rPr>
          <w:rFonts w:asciiTheme="minorHAnsi" w:hAnsiTheme="minorHAnsi" w:cs="TimesNewRomanPSMT"/>
        </w:rPr>
      </w:pPr>
    </w:p>
    <w:p w14:paraId="1A9E7742" w14:textId="2DD20DC2" w:rsidR="00FE583D" w:rsidRDefault="00FE583D" w:rsidP="000B144F">
      <w:r>
        <w:t xml:space="preserve">Covariates evaluated in this </w:t>
      </w:r>
      <w:proofErr w:type="spellStart"/>
      <w:r>
        <w:t>popPK</w:t>
      </w:r>
      <w:proofErr w:type="spellEnd"/>
      <w:r>
        <w:t xml:space="preserve"> model are shown in </w:t>
      </w:r>
      <w:r w:rsidR="00AC465E" w:rsidRPr="009B148B">
        <w:fldChar w:fldCharType="begin"/>
      </w:r>
      <w:r w:rsidR="00AC465E" w:rsidRPr="009B148B">
        <w:instrText xml:space="preserve"> REF _Ref187843420 \h  \* MERGEFORMAT </w:instrText>
      </w:r>
      <w:r w:rsidR="00AC465E" w:rsidRPr="009B148B">
        <w:fldChar w:fldCharType="separate"/>
      </w:r>
      <w:r w:rsidR="00AC465E" w:rsidRPr="009B148B">
        <w:t xml:space="preserve">Table </w:t>
      </w:r>
      <w:r w:rsidR="00AC465E">
        <w:rPr>
          <w:noProof/>
        </w:rPr>
        <w:t>1</w:t>
      </w:r>
      <w:r w:rsidR="00AC465E" w:rsidRPr="009B148B">
        <w:fldChar w:fldCharType="end"/>
      </w:r>
      <w:r w:rsidR="00AC465E">
        <w:t>4</w:t>
      </w:r>
      <w:r w:rsidRPr="009B148B">
        <w:t>.</w:t>
      </w:r>
      <w:r>
        <w:t xml:space="preserve"> For a covariate to be included in the formal covariate analysis the following conditions had to apply:</w:t>
      </w:r>
    </w:p>
    <w:p w14:paraId="4C51E82E" w14:textId="7C291D26" w:rsidR="00FE583D" w:rsidRPr="004032E3" w:rsidRDefault="00FE583D" w:rsidP="000B144F">
      <w:pPr>
        <w:pStyle w:val="ListBullet"/>
      </w:pPr>
      <w:r w:rsidRPr="004032E3">
        <w:t>The covariate had to be available in at least 80% of subjects.</w:t>
      </w:r>
    </w:p>
    <w:p w14:paraId="5EC2623E" w14:textId="30875264" w:rsidR="00FE583D" w:rsidRPr="00C4470E" w:rsidRDefault="00FE583D" w:rsidP="000B144F">
      <w:pPr>
        <w:pStyle w:val="ListBullet"/>
      </w:pPr>
      <w:r w:rsidRPr="004032E3">
        <w:t>For categorical covariates, a minimum number of 15 subjects had to be in each</w:t>
      </w:r>
      <w:r w:rsidR="00C4470E">
        <w:t xml:space="preserve"> </w:t>
      </w:r>
      <w:r w:rsidRPr="00C4470E">
        <w:t>category.</w:t>
      </w:r>
    </w:p>
    <w:p w14:paraId="6B52ECC4" w14:textId="1F6BA517" w:rsidR="000B144F" w:rsidRDefault="00FE583D">
      <w:r w:rsidRPr="004032E3">
        <w:t>If covariates showed a correlation of &gt;0.5, only one of the correlated covariates</w:t>
      </w:r>
      <w:r w:rsidR="00C4470E">
        <w:t xml:space="preserve"> </w:t>
      </w:r>
      <w:r w:rsidRPr="00C4470E">
        <w:t>was</w:t>
      </w:r>
      <w:r w:rsidR="00F75C35">
        <w:t xml:space="preserve"> </w:t>
      </w:r>
      <w:r w:rsidRPr="00C4470E">
        <w:t>included in the formal analysis. This was either the covariate with the strongest</w:t>
      </w:r>
      <w:r w:rsidR="00F75C35">
        <w:t xml:space="preserve"> </w:t>
      </w:r>
      <w:r w:rsidRPr="004032E3">
        <w:t>influence as determined by exploratory graphical analysis or the variable that was</w:t>
      </w:r>
      <w:r w:rsidR="00F75C35">
        <w:t xml:space="preserve"> </w:t>
      </w:r>
      <w:r w:rsidRPr="004032E3">
        <w:t>most meaningful from a clinical, biological, or practical perspective. Continuous</w:t>
      </w:r>
      <w:r w:rsidR="00F75C35">
        <w:t xml:space="preserve"> </w:t>
      </w:r>
      <w:r w:rsidRPr="004032E3">
        <w:t>covariates were preferred over categorized covariates with the same meaning.</w:t>
      </w:r>
    </w:p>
    <w:p w14:paraId="14198414" w14:textId="77777777" w:rsidR="00840ED3" w:rsidRDefault="00840ED3" w:rsidP="00B610AF">
      <w:pPr>
        <w:pStyle w:val="TableTitle"/>
      </w:pPr>
      <w:bookmarkStart w:id="58" w:name="_Ref187843420"/>
    </w:p>
    <w:p w14:paraId="67521110" w14:textId="6E6E994F" w:rsidR="00FE583D" w:rsidRPr="009B148B" w:rsidRDefault="00FE583D" w:rsidP="00B610AF">
      <w:pPr>
        <w:pStyle w:val="TableTitle"/>
      </w:pPr>
      <w:r w:rsidRPr="009B148B">
        <w:t xml:space="preserve">Table </w:t>
      </w:r>
      <w:fldSimple w:instr=" SEQ Table \* ARABIC ">
        <w:r>
          <w:rPr>
            <w:noProof/>
          </w:rPr>
          <w:t>1</w:t>
        </w:r>
        <w:r w:rsidR="00AC465E">
          <w:rPr>
            <w:noProof/>
          </w:rPr>
          <w:t>4</w:t>
        </w:r>
      </w:fldSimple>
      <w:bookmarkEnd w:id="58"/>
      <w:r w:rsidRPr="009B148B">
        <w:t xml:space="preserve">: </w:t>
      </w:r>
      <w:bookmarkStart w:id="59" w:name="3.3.2.7_Covariate_Selection_for_the_Popu"/>
      <w:bookmarkStart w:id="60" w:name="Table_4_Covariates_Evaluated_in_the_Popu"/>
      <w:bookmarkEnd w:id="59"/>
      <w:bookmarkEnd w:id="60"/>
      <w:r w:rsidRPr="009B148B">
        <w:t xml:space="preserve">Covariates </w:t>
      </w:r>
      <w:r w:rsidR="00484900">
        <w:t>e</w:t>
      </w:r>
      <w:r w:rsidRPr="009B148B">
        <w:t>valuated in the Population PK Model</w:t>
      </w:r>
    </w:p>
    <w:p w14:paraId="52658860" w14:textId="77777777" w:rsidR="00FE583D" w:rsidRDefault="00FE583D" w:rsidP="00FE583D">
      <w:pPr>
        <w:autoSpaceDE w:val="0"/>
        <w:autoSpaceDN w:val="0"/>
        <w:adjustRightInd w:val="0"/>
        <w:spacing w:after="0" w:line="240" w:lineRule="auto"/>
        <w:rPr>
          <w:rFonts w:asciiTheme="minorHAnsi" w:hAnsiTheme="minorHAnsi" w:cs="TimesNewRomanPSMT"/>
        </w:rPr>
      </w:pPr>
      <w:r w:rsidRPr="00D67026">
        <w:rPr>
          <w:rFonts w:asciiTheme="minorHAnsi" w:hAnsiTheme="minorHAnsi" w:cs="TimesNewRomanPSMT"/>
          <w:noProof/>
        </w:rPr>
        <w:drawing>
          <wp:inline distT="0" distB="0" distL="0" distR="0" wp14:anchorId="4FDEBD6B" wp14:editId="76568F39">
            <wp:extent cx="5165889" cy="1941930"/>
            <wp:effectExtent l="0" t="0" r="0" b="1270"/>
            <wp:docPr id="805909960" name="Picture 1" descr="Table 14: Covariates Evaluated in the Population PK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09960" name="Picture 1" descr="Table 14: Covariates Evaluated in the Population PK Model"/>
                    <pic:cNvPicPr/>
                  </pic:nvPicPr>
                  <pic:blipFill>
                    <a:blip r:embed="rId57"/>
                    <a:stretch>
                      <a:fillRect/>
                    </a:stretch>
                  </pic:blipFill>
                  <pic:spPr>
                    <a:xfrm>
                      <a:off x="0" y="0"/>
                      <a:ext cx="5174906" cy="1945319"/>
                    </a:xfrm>
                    <a:prstGeom prst="rect">
                      <a:avLst/>
                    </a:prstGeom>
                  </pic:spPr>
                </pic:pic>
              </a:graphicData>
            </a:graphic>
          </wp:inline>
        </w:drawing>
      </w:r>
    </w:p>
    <w:p w14:paraId="3A23907A" w14:textId="77777777" w:rsidR="008F62E2" w:rsidRDefault="00FE583D" w:rsidP="00343333">
      <w:pPr>
        <w:spacing w:before="120" w:after="240"/>
      </w:pPr>
      <w:r>
        <w:rPr>
          <w:rFonts w:asciiTheme="minorHAnsi" w:hAnsiTheme="minorHAnsi" w:cs="TimesNewRomanPSMT"/>
          <w:noProof/>
        </w:rPr>
        <w:drawing>
          <wp:inline distT="0" distB="0" distL="0" distR="0" wp14:anchorId="6A276512" wp14:editId="045D47CC">
            <wp:extent cx="5043340" cy="1285134"/>
            <wp:effectExtent l="0" t="0" r="5080" b="0"/>
            <wp:docPr id="246238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76884" cy="1293682"/>
                    </a:xfrm>
                    <a:prstGeom prst="rect">
                      <a:avLst/>
                    </a:prstGeom>
                    <a:noFill/>
                  </pic:spPr>
                </pic:pic>
              </a:graphicData>
            </a:graphic>
          </wp:inline>
        </w:drawing>
      </w:r>
    </w:p>
    <w:p w14:paraId="5B8BAD0A" w14:textId="77777777" w:rsidR="009F5BF4" w:rsidRDefault="009F5BF4">
      <w:r>
        <w:br w:type="page"/>
      </w:r>
    </w:p>
    <w:p w14:paraId="1AD93EFE" w14:textId="6EA11468" w:rsidR="00345494" w:rsidRDefault="00FE583D" w:rsidP="00343333">
      <w:pPr>
        <w:spacing w:before="120" w:after="240"/>
      </w:pPr>
      <w:r w:rsidRPr="00B610AF">
        <w:lastRenderedPageBreak/>
        <w:t xml:space="preserve">The continuous and categorical covariates included in this </w:t>
      </w:r>
      <w:proofErr w:type="spellStart"/>
      <w:r w:rsidRPr="00B610AF">
        <w:t>PopPK</w:t>
      </w:r>
      <w:proofErr w:type="spellEnd"/>
      <w:r w:rsidRPr="00B610AF">
        <w:t xml:space="preserve"> dataset are shown in </w:t>
      </w:r>
      <w:r w:rsidRPr="00B610AF">
        <w:fldChar w:fldCharType="begin"/>
      </w:r>
      <w:r w:rsidRPr="00B610AF">
        <w:instrText xml:space="preserve"> REF _Ref187843635 \h  \* MERGEFORMAT </w:instrText>
      </w:r>
      <w:r w:rsidRPr="00B610AF">
        <w:fldChar w:fldCharType="separate"/>
      </w:r>
      <w:r w:rsidR="005A47C5">
        <w:t>t</w:t>
      </w:r>
      <w:r w:rsidRPr="00B610AF">
        <w:t>able</w:t>
      </w:r>
      <w:r w:rsidR="00484900">
        <w:t>s</w:t>
      </w:r>
      <w:r w:rsidRPr="00B610AF">
        <w:t xml:space="preserve"> </w:t>
      </w:r>
      <w:r w:rsidR="00484900">
        <w:rPr>
          <w:noProof/>
        </w:rPr>
        <w:t>15</w:t>
      </w:r>
      <w:r w:rsidRPr="00B610AF">
        <w:fldChar w:fldCharType="end"/>
      </w:r>
      <w:r w:rsidRPr="00B610AF">
        <w:t xml:space="preserve"> and </w:t>
      </w:r>
      <w:r w:rsidR="00484900">
        <w:t>16</w:t>
      </w:r>
      <w:r w:rsidR="00990852">
        <w:t xml:space="preserve"> (page 39)</w:t>
      </w:r>
      <w:r w:rsidRPr="00B610AF">
        <w:t>.</w:t>
      </w:r>
      <w:r w:rsidR="00B01AED">
        <w:t xml:space="preserve"> </w:t>
      </w:r>
      <w:bookmarkStart w:id="61" w:name="_Ref187843635"/>
    </w:p>
    <w:p w14:paraId="1FD88B64" w14:textId="298E9F2B" w:rsidR="00343333" w:rsidRDefault="00FE583D" w:rsidP="00343333">
      <w:pPr>
        <w:spacing w:before="120" w:after="240"/>
        <w:rPr>
          <w:b/>
          <w:bCs/>
        </w:rPr>
      </w:pPr>
      <w:r w:rsidRPr="00DD0D60">
        <w:rPr>
          <w:b/>
          <w:bCs/>
        </w:rPr>
        <w:t xml:space="preserve">Table </w:t>
      </w:r>
      <w:bookmarkEnd w:id="61"/>
      <w:r w:rsidR="00484900" w:rsidRPr="00DD0D60">
        <w:rPr>
          <w:b/>
          <w:bCs/>
        </w:rPr>
        <w:t>15</w:t>
      </w:r>
      <w:r w:rsidRPr="00DD0D60">
        <w:rPr>
          <w:b/>
          <w:bCs/>
        </w:rPr>
        <w:t xml:space="preserve">: Summary of </w:t>
      </w:r>
      <w:r w:rsidR="00E33C6E" w:rsidRPr="00DD0D60">
        <w:rPr>
          <w:b/>
          <w:bCs/>
        </w:rPr>
        <w:t>c</w:t>
      </w:r>
      <w:r w:rsidRPr="00DD0D60">
        <w:rPr>
          <w:b/>
          <w:bCs/>
        </w:rPr>
        <w:t xml:space="preserve">ontinuous </w:t>
      </w:r>
      <w:r w:rsidR="00E33C6E" w:rsidRPr="00DD0D60">
        <w:rPr>
          <w:b/>
          <w:bCs/>
        </w:rPr>
        <w:t xml:space="preserve">covariates </w:t>
      </w:r>
      <w:r w:rsidRPr="00DD0D60">
        <w:rPr>
          <w:b/>
          <w:bCs/>
        </w:rPr>
        <w:t xml:space="preserve">at </w:t>
      </w:r>
      <w:r w:rsidR="00E33C6E" w:rsidRPr="00DD0D60">
        <w:rPr>
          <w:b/>
          <w:bCs/>
        </w:rPr>
        <w:t>baseline</w:t>
      </w:r>
    </w:p>
    <w:p w14:paraId="58B07A91" w14:textId="24FBE655" w:rsidR="00FE583D" w:rsidRDefault="00FE583D" w:rsidP="00DD0D60">
      <w:pPr>
        <w:spacing w:before="120" w:after="240"/>
        <w:rPr>
          <w:rFonts w:asciiTheme="minorHAnsi" w:hAnsiTheme="minorHAnsi"/>
        </w:rPr>
      </w:pPr>
      <w:r w:rsidRPr="00CF09BB">
        <w:rPr>
          <w:rFonts w:asciiTheme="minorHAnsi" w:hAnsiTheme="minorHAnsi"/>
          <w:noProof/>
        </w:rPr>
        <w:drawing>
          <wp:inline distT="0" distB="0" distL="0" distR="0" wp14:anchorId="099811F0" wp14:editId="586B6FA7">
            <wp:extent cx="3565686" cy="3943350"/>
            <wp:effectExtent l="0" t="0" r="0" b="0"/>
            <wp:docPr id="13113841" name="Picture 1" descr="Table 15: Summary of continuous covariates at bas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841" name="Picture 1" descr="Table 15: Summary of continuous covariates at baseline "/>
                    <pic:cNvPicPr/>
                  </pic:nvPicPr>
                  <pic:blipFill>
                    <a:blip r:embed="rId59"/>
                    <a:stretch>
                      <a:fillRect/>
                    </a:stretch>
                  </pic:blipFill>
                  <pic:spPr>
                    <a:xfrm>
                      <a:off x="0" y="0"/>
                      <a:ext cx="3626960" cy="4011114"/>
                    </a:xfrm>
                    <a:prstGeom prst="rect">
                      <a:avLst/>
                    </a:prstGeom>
                  </pic:spPr>
                </pic:pic>
              </a:graphicData>
            </a:graphic>
          </wp:inline>
        </w:drawing>
      </w:r>
    </w:p>
    <w:p w14:paraId="5EC5FAFD" w14:textId="2BD6D636" w:rsidR="007C58EE" w:rsidRDefault="007C58EE">
      <w:pPr>
        <w:rPr>
          <w:rFonts w:asciiTheme="minorHAnsi" w:hAnsiTheme="minorHAnsi"/>
        </w:rPr>
      </w:pPr>
      <w:r>
        <w:rPr>
          <w:rFonts w:asciiTheme="minorHAnsi" w:hAnsiTheme="minorHAnsi"/>
        </w:rPr>
        <w:br w:type="page"/>
      </w:r>
    </w:p>
    <w:p w14:paraId="055AE2FF" w14:textId="7BE420C6" w:rsidR="00FE583D" w:rsidRPr="00CF09BB" w:rsidRDefault="00FE583D" w:rsidP="00B610AF">
      <w:pPr>
        <w:pStyle w:val="TableTitle"/>
      </w:pPr>
      <w:bookmarkStart w:id="62" w:name="_Ref187843638"/>
      <w:r w:rsidRPr="00CF09BB">
        <w:lastRenderedPageBreak/>
        <w:t xml:space="preserve">Table </w:t>
      </w:r>
      <w:bookmarkEnd w:id="62"/>
      <w:r w:rsidR="00E33C6E" w:rsidRPr="00CF09BB">
        <w:fldChar w:fldCharType="begin"/>
      </w:r>
      <w:r w:rsidR="00E33C6E" w:rsidRPr="00CF09BB">
        <w:instrText xml:space="preserve"> SEQ Table \* ARABIC </w:instrText>
      </w:r>
      <w:r w:rsidR="00E33C6E" w:rsidRPr="00CF09BB">
        <w:fldChar w:fldCharType="separate"/>
      </w:r>
      <w:r w:rsidR="00E33C6E">
        <w:rPr>
          <w:noProof/>
        </w:rPr>
        <w:t>1</w:t>
      </w:r>
      <w:r w:rsidR="00E33C6E" w:rsidRPr="00CF09BB">
        <w:fldChar w:fldCharType="end"/>
      </w:r>
      <w:r w:rsidR="00484900">
        <w:t>6</w:t>
      </w:r>
      <w:r w:rsidRPr="00CF09BB">
        <w:t xml:space="preserve">: </w:t>
      </w:r>
      <w:r w:rsidR="00E33C6E">
        <w:t>S</w:t>
      </w:r>
      <w:r w:rsidRPr="00CF09BB">
        <w:t>ummary of categorical covariates</w:t>
      </w:r>
    </w:p>
    <w:p w14:paraId="0AC30DB5" w14:textId="77777777" w:rsidR="00FE583D" w:rsidRDefault="00FE583D" w:rsidP="00FE583D">
      <w:pPr>
        <w:autoSpaceDE w:val="0"/>
        <w:autoSpaceDN w:val="0"/>
        <w:adjustRightInd w:val="0"/>
        <w:spacing w:after="0" w:line="240" w:lineRule="auto"/>
        <w:rPr>
          <w:rFonts w:asciiTheme="minorHAnsi" w:hAnsiTheme="minorHAnsi" w:cs="TimesNewRomanPSMT"/>
        </w:rPr>
      </w:pPr>
      <w:r w:rsidRPr="00C17A13">
        <w:rPr>
          <w:rFonts w:asciiTheme="minorHAnsi" w:hAnsiTheme="minorHAnsi" w:cs="TimesNewRomanPSMT"/>
          <w:noProof/>
        </w:rPr>
        <w:drawing>
          <wp:inline distT="0" distB="0" distL="0" distR="0" wp14:anchorId="3155C2AE" wp14:editId="6E4570C2">
            <wp:extent cx="4078651" cy="5420413"/>
            <wp:effectExtent l="0" t="0" r="0" b="8890"/>
            <wp:docPr id="2425931" name="Picture 1" descr="Table 16: Summary of categorical covari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931" name="Picture 1" descr="Table 16: Summary of categorical covariates"/>
                    <pic:cNvPicPr/>
                  </pic:nvPicPr>
                  <pic:blipFill>
                    <a:blip r:embed="rId60"/>
                    <a:stretch>
                      <a:fillRect/>
                    </a:stretch>
                  </pic:blipFill>
                  <pic:spPr>
                    <a:xfrm>
                      <a:off x="0" y="0"/>
                      <a:ext cx="4087175" cy="5431741"/>
                    </a:xfrm>
                    <a:prstGeom prst="rect">
                      <a:avLst/>
                    </a:prstGeom>
                  </pic:spPr>
                </pic:pic>
              </a:graphicData>
            </a:graphic>
          </wp:inline>
        </w:drawing>
      </w:r>
    </w:p>
    <w:p w14:paraId="77F18DA6" w14:textId="77777777" w:rsidR="00FE583D" w:rsidRDefault="00FE583D" w:rsidP="00FE583D">
      <w:pPr>
        <w:autoSpaceDE w:val="0"/>
        <w:autoSpaceDN w:val="0"/>
        <w:adjustRightInd w:val="0"/>
        <w:spacing w:after="0" w:line="240" w:lineRule="auto"/>
        <w:rPr>
          <w:rFonts w:asciiTheme="minorHAnsi" w:hAnsiTheme="minorHAnsi" w:cs="TimesNewRomanPSMT"/>
        </w:rPr>
      </w:pPr>
    </w:p>
    <w:p w14:paraId="08D422A7" w14:textId="37C94DB1" w:rsidR="00FE583D" w:rsidRPr="00EA4FA3" w:rsidRDefault="00FE583D" w:rsidP="001033DD">
      <w:r w:rsidRPr="00EA4FA3">
        <w:t xml:space="preserve">The </w:t>
      </w:r>
      <w:r w:rsidR="007B6B69">
        <w:t>sponsor</w:t>
      </w:r>
      <w:r w:rsidRPr="00EA4FA3">
        <w:t xml:space="preserve"> makes the following conclusions based on this </w:t>
      </w:r>
      <w:proofErr w:type="spellStart"/>
      <w:r w:rsidRPr="00EA4FA3">
        <w:t>PopPK</w:t>
      </w:r>
      <w:proofErr w:type="spellEnd"/>
      <w:r w:rsidRPr="00EA4FA3">
        <w:t xml:space="preserve"> analysis:</w:t>
      </w:r>
    </w:p>
    <w:p w14:paraId="7AC0E479" w14:textId="275D0CC6" w:rsidR="00FE583D" w:rsidRDefault="00FE583D" w:rsidP="00E413DE">
      <w:pPr>
        <w:pStyle w:val="ListBullet"/>
      </w:pPr>
      <w:r w:rsidRPr="00EA4FA3">
        <w:t xml:space="preserve">The PK of </w:t>
      </w:r>
      <w:proofErr w:type="spellStart"/>
      <w:r w:rsidRPr="00EA4FA3">
        <w:t>omaveloxolone</w:t>
      </w:r>
      <w:proofErr w:type="spellEnd"/>
      <w:r w:rsidRPr="00EA4FA3">
        <w:t xml:space="preserve"> following oral administration was well characterized</w:t>
      </w:r>
      <w:r w:rsidR="001033DD">
        <w:t xml:space="preserve"> </w:t>
      </w:r>
      <w:r w:rsidRPr="00EA4FA3">
        <w:t>by a 2-compartment disposition model with first-order absorption and linear CL.</w:t>
      </w:r>
    </w:p>
    <w:p w14:paraId="78F3631F" w14:textId="4FAF7179" w:rsidR="00FE583D" w:rsidRPr="00EA4FA3" w:rsidRDefault="00FE583D" w:rsidP="001033DD">
      <w:pPr>
        <w:pStyle w:val="ListBullet"/>
      </w:pPr>
      <w:r w:rsidRPr="00EA4FA3">
        <w:t>The following covariate/parameter relationships were retained in the final model.</w:t>
      </w:r>
    </w:p>
    <w:p w14:paraId="3F623070" w14:textId="77777777" w:rsidR="001033DD" w:rsidRDefault="00FE583D" w:rsidP="001033DD">
      <w:pPr>
        <w:pStyle w:val="ListBullet2"/>
      </w:pPr>
      <w:r w:rsidRPr="00EA4FA3">
        <w:t>The exponent for the effect of age on CL/F was -0.2767. The results suggest a</w:t>
      </w:r>
      <w:r w:rsidR="001033DD">
        <w:t xml:space="preserve"> </w:t>
      </w:r>
      <w:r w:rsidRPr="00EA4FA3">
        <w:t>lower CL in subjects 35 years and older relative to the CL of a subject who is</w:t>
      </w:r>
      <w:r w:rsidR="001033DD">
        <w:t xml:space="preserve"> </w:t>
      </w:r>
      <w:r w:rsidRPr="00EA4FA3">
        <w:t>34 years old.</w:t>
      </w:r>
    </w:p>
    <w:p w14:paraId="2035A8EF" w14:textId="77777777" w:rsidR="00E52F74" w:rsidRPr="00E52F74" w:rsidRDefault="00FE583D" w:rsidP="001033DD">
      <w:pPr>
        <w:pStyle w:val="ListBullet2"/>
        <w:rPr>
          <w:rFonts w:asciiTheme="minorHAnsi" w:hAnsiTheme="minorHAnsi" w:cs="TimesNewRomanPSMT"/>
        </w:rPr>
      </w:pPr>
      <w:r w:rsidRPr="001033DD">
        <w:t>The exponent for the effect of baseline ALP on CL/F was -0.3393. The results</w:t>
      </w:r>
      <w:r w:rsidR="001033DD">
        <w:t xml:space="preserve"> </w:t>
      </w:r>
      <w:r w:rsidRPr="001033DD">
        <w:t>suggest a higher CL in subjects with lower baseline ALP levels.</w:t>
      </w:r>
    </w:p>
    <w:p w14:paraId="3DB2CD46" w14:textId="62CC82B6" w:rsidR="00FE583D" w:rsidRPr="001033DD" w:rsidRDefault="00FE583D" w:rsidP="00E52F74">
      <w:pPr>
        <w:pStyle w:val="ListBullet2"/>
      </w:pPr>
      <w:r w:rsidRPr="001033DD">
        <w:t>Healthy subjects were found to have a 55.6% lower Ka than patients with FA.</w:t>
      </w:r>
    </w:p>
    <w:p w14:paraId="5003CF8E" w14:textId="4E711DBC" w:rsidR="00FE583D" w:rsidRDefault="00FE583D" w:rsidP="00A14AA3">
      <w:pPr>
        <w:pStyle w:val="ListBullet2"/>
      </w:pPr>
      <w:r w:rsidRPr="00EA4FA3">
        <w:t>Healthy subjects under fed conditions were found to have a 508% higher Ka</w:t>
      </w:r>
      <w:r w:rsidR="00E52F74">
        <w:t xml:space="preserve"> </w:t>
      </w:r>
      <w:r w:rsidRPr="00EA4FA3">
        <w:t>than healthy subjects under fasted conditions.</w:t>
      </w:r>
    </w:p>
    <w:p w14:paraId="3D3E624A" w14:textId="732569FB" w:rsidR="00B44357" w:rsidRDefault="00B44357">
      <w:pPr>
        <w:rPr>
          <w:rFonts w:asciiTheme="minorHAnsi" w:hAnsiTheme="minorHAnsi" w:cs="TimesNewRomanPSMT"/>
        </w:rPr>
      </w:pPr>
      <w:r>
        <w:rPr>
          <w:rFonts w:asciiTheme="minorHAnsi" w:hAnsiTheme="minorHAnsi" w:cs="TimesNewRomanPSMT"/>
        </w:rPr>
        <w:br w:type="page"/>
      </w:r>
    </w:p>
    <w:p w14:paraId="3F4ED53B" w14:textId="1825CC03" w:rsidR="00FE583D" w:rsidRPr="00EA4FA3" w:rsidRDefault="00FE583D" w:rsidP="008E6AC1">
      <w:pPr>
        <w:pStyle w:val="ListBullet"/>
      </w:pPr>
      <w:r w:rsidRPr="00EA4FA3">
        <w:lastRenderedPageBreak/>
        <w:t xml:space="preserve">E-R relationships were established for the effect of </w:t>
      </w:r>
      <w:proofErr w:type="spellStart"/>
      <w:r w:rsidRPr="00EA4FA3">
        <w:t>omaveloxolone</w:t>
      </w:r>
      <w:proofErr w:type="spellEnd"/>
      <w:r w:rsidRPr="00EA4FA3">
        <w:t xml:space="preserve"> on incidences</w:t>
      </w:r>
      <w:r w:rsidR="00E52F74">
        <w:t xml:space="preserve"> </w:t>
      </w:r>
      <w:r w:rsidRPr="00EA4FA3">
        <w:t xml:space="preserve">of cardiac events </w:t>
      </w:r>
      <w:r w:rsidR="00266253">
        <w:t xml:space="preserve">as well as </w:t>
      </w:r>
      <w:r w:rsidRPr="00EA4FA3">
        <w:t>infections and infestations events.</w:t>
      </w:r>
    </w:p>
    <w:p w14:paraId="05F193FF" w14:textId="5DD8F40C" w:rsidR="00FE583D" w:rsidRPr="00EA4FA3" w:rsidRDefault="00FE583D" w:rsidP="00054F33">
      <w:pPr>
        <w:pStyle w:val="ListBullet2"/>
      </w:pPr>
      <w:r w:rsidRPr="00EA4FA3">
        <w:t>The probability of a cardiac event showed a slight increase with increasing</w:t>
      </w:r>
      <w:r w:rsidR="00E52F74">
        <w:t xml:space="preserve"> </w:t>
      </w:r>
      <w:proofErr w:type="spellStart"/>
      <w:r w:rsidR="00E52F74">
        <w:t>C</w:t>
      </w:r>
      <w:r w:rsidRPr="00EA4FA3">
        <w:t>max</w:t>
      </w:r>
      <w:proofErr w:type="spellEnd"/>
      <w:r w:rsidRPr="00EA4FA3">
        <w:t xml:space="preserve"> that was not statistically different from placebo. The model-predicted</w:t>
      </w:r>
      <w:r w:rsidR="00E52F74">
        <w:t xml:space="preserve"> </w:t>
      </w:r>
      <w:r w:rsidRPr="00EA4FA3">
        <w:t>mean (5th, 95th prediction interval) probability of a cardiac event for a subject</w:t>
      </w:r>
      <w:r w:rsidR="00E52F74">
        <w:t xml:space="preserve"> </w:t>
      </w:r>
      <w:r w:rsidRPr="00EA4FA3">
        <w:t>receiving a 150-mg dose was 16.5% (11.9%, 20.9%) compared to 14.8%</w:t>
      </w:r>
      <w:r w:rsidR="00BA5360">
        <w:t xml:space="preserve"> </w:t>
      </w:r>
      <w:r w:rsidRPr="00EA4FA3">
        <w:t>(9.7%, 21.4%) for placebo.</w:t>
      </w:r>
    </w:p>
    <w:p w14:paraId="3C4619CB" w14:textId="672F80C9" w:rsidR="00FE583D" w:rsidRPr="00BA5360" w:rsidRDefault="00FE583D" w:rsidP="002F5A5D">
      <w:pPr>
        <w:pStyle w:val="ListBullet2"/>
      </w:pPr>
      <w:r w:rsidRPr="00BA5360">
        <w:t>The probability of an infections or infestations event showed a strong increase</w:t>
      </w:r>
      <w:r w:rsidR="00BA5360">
        <w:t xml:space="preserve"> </w:t>
      </w:r>
      <w:r w:rsidRPr="00BA5360">
        <w:t xml:space="preserve">with increasing </w:t>
      </w:r>
      <w:proofErr w:type="spellStart"/>
      <w:r w:rsidRPr="00BA5360">
        <w:t>Cmax</w:t>
      </w:r>
      <w:proofErr w:type="spellEnd"/>
      <w:r w:rsidRPr="00BA5360">
        <w:t xml:space="preserve"> that was statistically different compared to placebo.</w:t>
      </w:r>
    </w:p>
    <w:p w14:paraId="293F5EFF" w14:textId="511328F1" w:rsidR="00FE583D" w:rsidRPr="00BA5360" w:rsidRDefault="00FE583D" w:rsidP="007A6C97">
      <w:pPr>
        <w:pStyle w:val="ListBullet2"/>
      </w:pPr>
      <w:r w:rsidRPr="00BA5360">
        <w:t>Overall, the model-predicted mean (5th, 95th prediction interval) probability of</w:t>
      </w:r>
      <w:r w:rsidR="00BA5360">
        <w:t xml:space="preserve"> </w:t>
      </w:r>
      <w:r w:rsidRPr="00BA5360">
        <w:t xml:space="preserve">an infections </w:t>
      </w:r>
      <w:r w:rsidR="00B55E70">
        <w:t>or</w:t>
      </w:r>
      <w:r w:rsidR="00B55E70" w:rsidRPr="00BA5360">
        <w:t xml:space="preserve"> </w:t>
      </w:r>
      <w:r w:rsidRPr="00BA5360">
        <w:t>infestations event for a subject receiving 150-mg dose was</w:t>
      </w:r>
      <w:r w:rsidR="00BA5360">
        <w:t xml:space="preserve"> </w:t>
      </w:r>
      <w:r w:rsidRPr="00BA5360">
        <w:t>62.6% (55.0%, 69.9%) compared to 47.8% (39.1%, 56.1%) for placebo.</w:t>
      </w:r>
    </w:p>
    <w:p w14:paraId="4D984566" w14:textId="740CFB34" w:rsidR="00FE583D" w:rsidRPr="00EA4FA3" w:rsidRDefault="00FE583D" w:rsidP="0004792B">
      <w:pPr>
        <w:pStyle w:val="ListBullet"/>
      </w:pPr>
      <w:r w:rsidRPr="00EA4FA3">
        <w:t xml:space="preserve">E-R relationships were established for the effect of </w:t>
      </w:r>
      <w:proofErr w:type="spellStart"/>
      <w:r w:rsidRPr="00EA4FA3">
        <w:t>omaveloxolone</w:t>
      </w:r>
      <w:proofErr w:type="spellEnd"/>
      <w:r w:rsidRPr="00EA4FA3">
        <w:t xml:space="preserve"> on the time</w:t>
      </w:r>
      <w:r w:rsidR="005945DB">
        <w:t xml:space="preserve"> </w:t>
      </w:r>
      <w:r w:rsidRPr="00EA4FA3">
        <w:t>course of ALT and AST elevations.</w:t>
      </w:r>
    </w:p>
    <w:p w14:paraId="66738E29" w14:textId="7DBF2922" w:rsidR="005945DB" w:rsidRPr="002E1C54" w:rsidRDefault="00FE583D" w:rsidP="005945DB">
      <w:pPr>
        <w:pStyle w:val="ListBullet2"/>
        <w:rPr>
          <w:rFonts w:cs="TimesNewRomanPSMT"/>
        </w:rPr>
      </w:pPr>
      <w:r w:rsidRPr="002E1C54">
        <w:rPr>
          <w:rFonts w:cs="TimesNewRomanPSMT"/>
        </w:rPr>
        <w:t>The proposed models consist of the following components:</w:t>
      </w:r>
      <w:r w:rsidR="005945DB" w:rsidRPr="002E1C54">
        <w:rPr>
          <w:rFonts w:cs="TimesNewRomanPSMT"/>
        </w:rPr>
        <w:t xml:space="preserve"> </w:t>
      </w:r>
    </w:p>
    <w:p w14:paraId="70B5A2CB" w14:textId="77777777" w:rsidR="005945DB" w:rsidRDefault="005945DB" w:rsidP="00FE583D">
      <w:pPr>
        <w:autoSpaceDE w:val="0"/>
        <w:autoSpaceDN w:val="0"/>
        <w:adjustRightInd w:val="0"/>
        <w:spacing w:after="0" w:line="240" w:lineRule="auto"/>
        <w:ind w:firstLine="720"/>
        <w:rPr>
          <w:rFonts w:asciiTheme="minorHAnsi" w:hAnsiTheme="minorHAnsi" w:cs="TimesNewRomanPSMT"/>
        </w:rPr>
      </w:pPr>
    </w:p>
    <w:p w14:paraId="72B39837" w14:textId="6CE348FA" w:rsidR="00FE583D" w:rsidRPr="00EA4FA3" w:rsidRDefault="00FE583D" w:rsidP="00FE583D">
      <w:pPr>
        <w:autoSpaceDE w:val="0"/>
        <w:autoSpaceDN w:val="0"/>
        <w:adjustRightInd w:val="0"/>
        <w:spacing w:after="0" w:line="240" w:lineRule="auto"/>
        <w:ind w:firstLine="720"/>
        <w:rPr>
          <w:rFonts w:asciiTheme="minorHAnsi" w:hAnsiTheme="minorHAnsi" w:cs="TimesNewRomanPSMT"/>
        </w:rPr>
      </w:pPr>
      <w:r w:rsidRPr="00EA4FA3">
        <w:rPr>
          <w:rFonts w:asciiTheme="minorHAnsi" w:hAnsiTheme="minorHAnsi" w:cs="TimesNewRomanPSMT"/>
          <w:noProof/>
        </w:rPr>
        <w:drawing>
          <wp:inline distT="0" distB="0" distL="0" distR="0" wp14:anchorId="093557CE" wp14:editId="5E762C30">
            <wp:extent cx="4006392" cy="1094495"/>
            <wp:effectExtent l="0" t="0" r="0" b="0"/>
            <wp:docPr id="1139659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59013" name=""/>
                    <pic:cNvPicPr/>
                  </pic:nvPicPr>
                  <pic:blipFill>
                    <a:blip r:embed="rId61"/>
                    <a:stretch>
                      <a:fillRect/>
                    </a:stretch>
                  </pic:blipFill>
                  <pic:spPr>
                    <a:xfrm>
                      <a:off x="0" y="0"/>
                      <a:ext cx="4036042" cy="1102595"/>
                    </a:xfrm>
                    <a:prstGeom prst="rect">
                      <a:avLst/>
                    </a:prstGeom>
                  </pic:spPr>
                </pic:pic>
              </a:graphicData>
            </a:graphic>
          </wp:inline>
        </w:drawing>
      </w:r>
    </w:p>
    <w:p w14:paraId="6EE372CF" w14:textId="77777777" w:rsidR="00FE583D" w:rsidRPr="00EA4FA3" w:rsidRDefault="00FE583D" w:rsidP="00FE583D">
      <w:pPr>
        <w:autoSpaceDE w:val="0"/>
        <w:autoSpaceDN w:val="0"/>
        <w:adjustRightInd w:val="0"/>
        <w:spacing w:after="0" w:line="240" w:lineRule="auto"/>
        <w:ind w:firstLine="720"/>
        <w:rPr>
          <w:rFonts w:asciiTheme="minorHAnsi" w:hAnsiTheme="minorHAnsi" w:cs="TimesNewRomanPSMT"/>
        </w:rPr>
      </w:pPr>
    </w:p>
    <w:p w14:paraId="19D5DD0C" w14:textId="4B56AD2C" w:rsidR="00FE583D" w:rsidRPr="000353C7" w:rsidRDefault="00FE583D" w:rsidP="00FB39A2">
      <w:pPr>
        <w:pStyle w:val="ListBullet2"/>
        <w:autoSpaceDE w:val="0"/>
        <w:autoSpaceDN w:val="0"/>
        <w:adjustRightInd w:val="0"/>
        <w:spacing w:after="0" w:line="240" w:lineRule="auto"/>
        <w:rPr>
          <w:rFonts w:cs="TimesNewRomanPSMT"/>
        </w:rPr>
      </w:pPr>
      <w:r w:rsidRPr="000353C7">
        <w:rPr>
          <w:rFonts w:cs="TimesNewRomanPSMT"/>
        </w:rPr>
        <w:t>For ALT, covariate modelling suggested that baseline ALT was body weight</w:t>
      </w:r>
      <w:r w:rsidR="005945DB" w:rsidRPr="000353C7">
        <w:rPr>
          <w:rFonts w:cs="TimesNewRomanPSMT"/>
        </w:rPr>
        <w:t xml:space="preserve"> </w:t>
      </w:r>
      <w:r w:rsidRPr="000353C7">
        <w:rPr>
          <w:rFonts w:cs="TimesNewRomanPSMT"/>
        </w:rPr>
        <w:t>dependent. Specifically, the results suggest that higher baseline ALT is</w:t>
      </w:r>
      <w:r w:rsidR="005945DB" w:rsidRPr="000353C7">
        <w:rPr>
          <w:rFonts w:cs="TimesNewRomanPSMT"/>
        </w:rPr>
        <w:t xml:space="preserve"> </w:t>
      </w:r>
      <w:r w:rsidRPr="000353C7">
        <w:rPr>
          <w:rFonts w:cs="TimesNewRomanPSMT"/>
        </w:rPr>
        <w:t>associated with higher baseline body weight.</w:t>
      </w:r>
    </w:p>
    <w:p w14:paraId="2A411EAB" w14:textId="5F0825B1" w:rsidR="00FE583D" w:rsidRPr="00A14577" w:rsidRDefault="00FE583D" w:rsidP="000353C7">
      <w:pPr>
        <w:pStyle w:val="ListBullet"/>
        <w:autoSpaceDE w:val="0"/>
        <w:autoSpaceDN w:val="0"/>
        <w:adjustRightInd w:val="0"/>
        <w:spacing w:after="120" w:line="240" w:lineRule="auto"/>
        <w:ind w:left="357" w:hanging="357"/>
        <w:rPr>
          <w:rFonts w:cs="TimesNewRomanPSMT"/>
        </w:rPr>
      </w:pPr>
      <w:r w:rsidRPr="00EA4FA3">
        <w:t xml:space="preserve">E-R relationships were established for the effect of </w:t>
      </w:r>
      <w:proofErr w:type="spellStart"/>
      <w:r w:rsidRPr="00EA4FA3">
        <w:t>omaveloxolone</w:t>
      </w:r>
      <w:proofErr w:type="spellEnd"/>
      <w:r w:rsidRPr="00EA4FA3">
        <w:t xml:space="preserve"> on the time</w:t>
      </w:r>
      <w:r w:rsidR="005945DB">
        <w:t xml:space="preserve"> </w:t>
      </w:r>
      <w:r w:rsidRPr="005945DB">
        <w:rPr>
          <w:rFonts w:asciiTheme="minorHAnsi" w:hAnsiTheme="minorHAnsi" w:cs="TimesNewRomanPSMT"/>
        </w:rPr>
        <w:t xml:space="preserve">course of </w:t>
      </w:r>
      <w:proofErr w:type="spellStart"/>
      <w:r w:rsidRPr="00A14577">
        <w:rPr>
          <w:rFonts w:cs="TimesNewRomanPSMT"/>
        </w:rPr>
        <w:t>mFARS</w:t>
      </w:r>
      <w:proofErr w:type="spellEnd"/>
      <w:r w:rsidRPr="00A14577">
        <w:rPr>
          <w:rFonts w:cs="TimesNewRomanPSMT"/>
        </w:rPr>
        <w:t xml:space="preserve"> elevations.</w:t>
      </w:r>
    </w:p>
    <w:p w14:paraId="1F425912" w14:textId="79CAF03A" w:rsidR="00FE583D" w:rsidRPr="002E1C54" w:rsidRDefault="00FE583D" w:rsidP="000353C7">
      <w:pPr>
        <w:pStyle w:val="ListBullet2"/>
        <w:spacing w:before="240" w:after="120"/>
        <w:ind w:left="714" w:hanging="357"/>
        <w:rPr>
          <w:rFonts w:cs="TimesNewRomanPSMT"/>
        </w:rPr>
      </w:pPr>
      <w:r w:rsidRPr="002E1C54">
        <w:rPr>
          <w:rFonts w:cs="TimesNewRomanPSMT"/>
        </w:rPr>
        <w:t>The proposed models consist of the following components:</w:t>
      </w:r>
    </w:p>
    <w:p w14:paraId="754D95B6" w14:textId="77777777" w:rsidR="009E198C" w:rsidRDefault="009E198C" w:rsidP="00FE583D">
      <w:pPr>
        <w:autoSpaceDE w:val="0"/>
        <w:autoSpaceDN w:val="0"/>
        <w:adjustRightInd w:val="0"/>
        <w:spacing w:after="0" w:line="240" w:lineRule="auto"/>
        <w:rPr>
          <w:rFonts w:asciiTheme="minorHAnsi" w:hAnsiTheme="minorHAnsi" w:cs="CourierNewPSMT"/>
        </w:rPr>
      </w:pPr>
    </w:p>
    <w:p w14:paraId="4F5FBDF0" w14:textId="60746CDF" w:rsidR="00FE583D" w:rsidRPr="000353C7" w:rsidRDefault="00FE583D" w:rsidP="00D42895">
      <w:pPr>
        <w:autoSpaceDE w:val="0"/>
        <w:autoSpaceDN w:val="0"/>
        <w:adjustRightInd w:val="0"/>
        <w:spacing w:after="0" w:line="240" w:lineRule="auto"/>
        <w:ind w:firstLine="720"/>
        <w:rPr>
          <w:rFonts w:cs="TimesNewRomanPSMT"/>
        </w:rPr>
      </w:pPr>
      <w:r w:rsidRPr="000353C7">
        <w:rPr>
          <w:rFonts w:cs="TimesNewRomanPSMT"/>
        </w:rPr>
        <w:t xml:space="preserve">Baseline: Baseline </w:t>
      </w:r>
      <w:proofErr w:type="spellStart"/>
      <w:r w:rsidRPr="000353C7">
        <w:rPr>
          <w:rFonts w:cs="TimesNewRomanPSMT"/>
        </w:rPr>
        <w:t>mFARS</w:t>
      </w:r>
      <w:proofErr w:type="spellEnd"/>
      <w:r w:rsidRPr="000353C7">
        <w:rPr>
          <w:rFonts w:cs="TimesNewRomanPSMT"/>
        </w:rPr>
        <w:t>.</w:t>
      </w:r>
    </w:p>
    <w:p w14:paraId="0682F3F2" w14:textId="707997D5" w:rsidR="009E198C" w:rsidRDefault="009E198C" w:rsidP="009E198C">
      <w:pPr>
        <w:autoSpaceDE w:val="0"/>
        <w:autoSpaceDN w:val="0"/>
        <w:adjustRightInd w:val="0"/>
        <w:spacing w:after="0" w:line="240" w:lineRule="auto"/>
        <w:ind w:firstLine="360"/>
        <w:rPr>
          <w:rFonts w:asciiTheme="minorHAnsi" w:hAnsiTheme="minorHAnsi" w:cs="TimesNewRomanPSMT"/>
          <w:noProof/>
        </w:rPr>
      </w:pPr>
    </w:p>
    <w:p w14:paraId="4C5FBC24" w14:textId="0403010F" w:rsidR="009E198C" w:rsidRDefault="009E198C" w:rsidP="009E198C">
      <w:pPr>
        <w:autoSpaceDE w:val="0"/>
        <w:autoSpaceDN w:val="0"/>
        <w:adjustRightInd w:val="0"/>
        <w:spacing w:after="0" w:line="240" w:lineRule="auto"/>
        <w:ind w:firstLine="360"/>
        <w:rPr>
          <w:rFonts w:asciiTheme="minorHAnsi" w:hAnsiTheme="minorHAnsi" w:cs="TimesNewRomanPSMT"/>
        </w:rPr>
      </w:pPr>
      <w:r>
        <w:rPr>
          <w:rFonts w:asciiTheme="minorHAnsi" w:hAnsiTheme="minorHAnsi" w:cs="TimesNewRomanPSMT"/>
          <w:noProof/>
        </w:rPr>
        <w:tab/>
      </w:r>
      <w:r>
        <w:rPr>
          <w:rFonts w:asciiTheme="minorHAnsi" w:hAnsiTheme="minorHAnsi" w:cs="TimesNewRomanPSMT"/>
          <w:noProof/>
        </w:rPr>
        <w:drawing>
          <wp:inline distT="0" distB="0" distL="0" distR="0" wp14:anchorId="024C4BE2" wp14:editId="4407CFC1">
            <wp:extent cx="3895725" cy="536575"/>
            <wp:effectExtent l="0" t="0" r="9525" b="0"/>
            <wp:docPr id="946175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5725" cy="536575"/>
                    </a:xfrm>
                    <a:prstGeom prst="rect">
                      <a:avLst/>
                    </a:prstGeom>
                    <a:noFill/>
                  </pic:spPr>
                </pic:pic>
              </a:graphicData>
            </a:graphic>
          </wp:inline>
        </w:drawing>
      </w:r>
    </w:p>
    <w:p w14:paraId="27067515" w14:textId="412B8983" w:rsidR="00FE583D" w:rsidRDefault="00FE583D" w:rsidP="00FE583D">
      <w:pPr>
        <w:autoSpaceDE w:val="0"/>
        <w:autoSpaceDN w:val="0"/>
        <w:adjustRightInd w:val="0"/>
        <w:spacing w:after="0" w:line="240" w:lineRule="auto"/>
        <w:rPr>
          <w:rFonts w:asciiTheme="minorHAnsi" w:hAnsiTheme="minorHAnsi" w:cs="TimesNewRomanPSMT"/>
        </w:rPr>
      </w:pPr>
    </w:p>
    <w:p w14:paraId="1B80AF5E" w14:textId="422F26E5" w:rsidR="00FE583D" w:rsidRPr="009E198C" w:rsidRDefault="00FE583D" w:rsidP="009E198C">
      <w:pPr>
        <w:pStyle w:val="ListBullet2"/>
      </w:pPr>
      <w:r w:rsidRPr="009E198C">
        <w:t xml:space="preserve">Covariate modelling suggested that time to 50% maximum </w:t>
      </w:r>
      <w:proofErr w:type="spellStart"/>
      <w:r w:rsidRPr="009E198C">
        <w:t>mFARS</w:t>
      </w:r>
      <w:proofErr w:type="spellEnd"/>
      <w:r w:rsidRPr="009E198C">
        <w:t xml:space="preserve"> was</w:t>
      </w:r>
      <w:r w:rsidR="009E198C" w:rsidRPr="009E198C">
        <w:t xml:space="preserve"> </w:t>
      </w:r>
      <w:r w:rsidRPr="009E198C">
        <w:t xml:space="preserve">dependent on baseline </w:t>
      </w:r>
      <w:proofErr w:type="spellStart"/>
      <w:r w:rsidRPr="009E198C">
        <w:t>mFARS</w:t>
      </w:r>
      <w:proofErr w:type="spellEnd"/>
      <w:r w:rsidRPr="009E198C">
        <w:t xml:space="preserve"> and treatment effect was dependent on pes</w:t>
      </w:r>
      <w:r w:rsidR="009E198C" w:rsidRPr="009E198C">
        <w:t xml:space="preserve"> </w:t>
      </w:r>
      <w:proofErr w:type="spellStart"/>
      <w:r w:rsidRPr="009E198C">
        <w:t>cavus</w:t>
      </w:r>
      <w:proofErr w:type="spellEnd"/>
      <w:r w:rsidRPr="009E198C">
        <w:t xml:space="preserve"> status. Specifically, the results suggest that higher baseline </w:t>
      </w:r>
      <w:proofErr w:type="spellStart"/>
      <w:r w:rsidRPr="009E198C">
        <w:t>mFARS</w:t>
      </w:r>
      <w:proofErr w:type="spellEnd"/>
      <w:r w:rsidR="009E198C" w:rsidRPr="009E198C">
        <w:t xml:space="preserve"> </w:t>
      </w:r>
      <w:r w:rsidRPr="009E198C">
        <w:t>(corresponding to more advanced disease) is associated with shorter time until</w:t>
      </w:r>
      <w:r w:rsidR="009E198C" w:rsidRPr="009E198C">
        <w:t xml:space="preserve"> </w:t>
      </w:r>
      <w:proofErr w:type="spellStart"/>
      <w:r w:rsidRPr="009E198C">
        <w:t>mFARS</w:t>
      </w:r>
      <w:proofErr w:type="spellEnd"/>
      <w:r w:rsidRPr="009E198C">
        <w:t xml:space="preserve"> begins to increase (corresponding to worsening of neurological</w:t>
      </w:r>
      <w:r w:rsidR="009E198C" w:rsidRPr="009E198C">
        <w:t xml:space="preserve"> </w:t>
      </w:r>
      <w:r w:rsidRPr="009E198C">
        <w:t xml:space="preserve">function). Although results showed that having pes </w:t>
      </w:r>
      <w:proofErr w:type="spellStart"/>
      <w:r w:rsidRPr="009E198C">
        <w:t>cavus</w:t>
      </w:r>
      <w:proofErr w:type="spellEnd"/>
      <w:r w:rsidRPr="009E198C">
        <w:t xml:space="preserve"> is associated with a</w:t>
      </w:r>
      <w:r w:rsidR="009E198C" w:rsidRPr="009E198C">
        <w:t xml:space="preserve"> </w:t>
      </w:r>
      <w:r w:rsidRPr="009E198C">
        <w:t>1.1% decrease in treatment effect, these results should be interpreted with</w:t>
      </w:r>
      <w:r w:rsidR="009E198C" w:rsidRPr="009E198C">
        <w:t xml:space="preserve"> </w:t>
      </w:r>
      <w:r w:rsidRPr="009E198C">
        <w:t xml:space="preserve">caution, as patients with pes </w:t>
      </w:r>
      <w:proofErr w:type="spellStart"/>
      <w:r w:rsidRPr="009E198C">
        <w:t>cavus</w:t>
      </w:r>
      <w:proofErr w:type="spellEnd"/>
      <w:r w:rsidRPr="009E198C">
        <w:t xml:space="preserve"> only represented 30% of all patients</w:t>
      </w:r>
      <w:r w:rsidR="009E198C" w:rsidRPr="009E198C">
        <w:t xml:space="preserve"> </w:t>
      </w:r>
      <w:r w:rsidRPr="009E198C">
        <w:t xml:space="preserve">enrolled in Study 408-C-1402 </w:t>
      </w:r>
      <w:r w:rsidR="00635DAD">
        <w:t>p</w:t>
      </w:r>
      <w:r w:rsidRPr="009E198C">
        <w:t xml:space="preserve">art 1 and 408-C-1402 </w:t>
      </w:r>
      <w:r w:rsidR="00635DAD">
        <w:t>p</w:t>
      </w:r>
      <w:r w:rsidRPr="009E198C">
        <w:t>art 2.</w:t>
      </w:r>
    </w:p>
    <w:p w14:paraId="4DCFDF15" w14:textId="77777777" w:rsidR="00B44357" w:rsidRDefault="00B44357">
      <w:pPr>
        <w:rPr>
          <w:rFonts w:eastAsia="Cambria" w:cs="Times New Roman"/>
          <w:color w:val="000000" w:themeColor="text1"/>
        </w:rPr>
      </w:pPr>
      <w:r>
        <w:br w:type="page"/>
      </w:r>
    </w:p>
    <w:p w14:paraId="2812F94F" w14:textId="288D3FA8" w:rsidR="00FE583D" w:rsidRDefault="00FE583D" w:rsidP="00EA5842">
      <w:pPr>
        <w:pStyle w:val="ListBullet"/>
      </w:pPr>
      <w:r w:rsidRPr="00567AD9">
        <w:lastRenderedPageBreak/>
        <w:t>Median-predicted AUC in adults &gt;65 years and children 6 to &lt;12 years were 23%</w:t>
      </w:r>
      <w:r w:rsidR="009E198C">
        <w:t xml:space="preserve"> </w:t>
      </w:r>
      <w:r w:rsidRPr="00567AD9">
        <w:t xml:space="preserve">higher and 31% lower than the reference group, respectively. Median predicted </w:t>
      </w:r>
      <w:proofErr w:type="spellStart"/>
      <w:r w:rsidRPr="00567AD9">
        <w:t>Cmax</w:t>
      </w:r>
      <w:proofErr w:type="spellEnd"/>
      <w:r w:rsidR="009E198C">
        <w:t xml:space="preserve"> </w:t>
      </w:r>
      <w:r w:rsidRPr="00567AD9">
        <w:t>in adults &gt;65 years and children 6 to &lt;12 years were 27% higher and 19% lower than</w:t>
      </w:r>
      <w:r w:rsidR="009E198C">
        <w:t xml:space="preserve"> </w:t>
      </w:r>
      <w:r w:rsidRPr="00567AD9">
        <w:t>the reference group, respectively.</w:t>
      </w:r>
    </w:p>
    <w:p w14:paraId="215080FE" w14:textId="77777777" w:rsidR="00FE583D" w:rsidRPr="00BB4632" w:rsidRDefault="00FE583D" w:rsidP="00FE583D">
      <w:pPr>
        <w:pStyle w:val="Heading5"/>
        <w:rPr>
          <w:i w:val="0"/>
          <w:iCs/>
        </w:rPr>
      </w:pPr>
      <w:bookmarkStart w:id="63" w:name="_Ref184112251"/>
      <w:r w:rsidRPr="00BB4632">
        <w:rPr>
          <w:i w:val="0"/>
          <w:iCs/>
        </w:rPr>
        <w:t>Pharmacodynamics (PD)</w:t>
      </w:r>
      <w:bookmarkEnd w:id="63"/>
      <w:r w:rsidRPr="00BB4632">
        <w:rPr>
          <w:i w:val="0"/>
          <w:iCs/>
        </w:rPr>
        <w:t xml:space="preserve"> </w:t>
      </w:r>
    </w:p>
    <w:p w14:paraId="2871586F" w14:textId="77777777" w:rsidR="00FE583D" w:rsidRDefault="00FE583D" w:rsidP="00FE583D">
      <w:pPr>
        <w:pStyle w:val="Heading6"/>
        <w:rPr>
          <w:b w:val="0"/>
          <w:bCs w:val="0"/>
        </w:rPr>
      </w:pPr>
      <w:bookmarkStart w:id="64" w:name="_Ref188270278"/>
      <w:r w:rsidRPr="00BB0C6A">
        <w:rPr>
          <w:bCs w:val="0"/>
        </w:rPr>
        <w:t>Study 1402 Part 1</w:t>
      </w:r>
      <w:bookmarkEnd w:id="64"/>
    </w:p>
    <w:p w14:paraId="7DA6B624" w14:textId="2A987904" w:rsidR="0025126D" w:rsidRDefault="00FE583D" w:rsidP="00FE583D">
      <w:r>
        <w:t xml:space="preserve">The </w:t>
      </w:r>
      <w:r w:rsidR="007B6B69">
        <w:t>sponsor</w:t>
      </w:r>
      <w:r>
        <w:t xml:space="preserve"> states in their study report</w:t>
      </w:r>
      <w:r w:rsidR="0025126D">
        <w:t>:</w:t>
      </w:r>
    </w:p>
    <w:p w14:paraId="1F5A61BC" w14:textId="63379119" w:rsidR="00FE583D" w:rsidRDefault="0025126D" w:rsidP="00C6491C">
      <w:pPr>
        <w:ind w:left="720"/>
        <w:rPr>
          <w:i/>
          <w:iCs/>
        </w:rPr>
      </w:pPr>
      <w:r>
        <w:t>‘</w:t>
      </w:r>
      <w:r w:rsidR="00FE583D" w:rsidRPr="0065001C">
        <w:rPr>
          <w:i/>
          <w:iCs/>
        </w:rPr>
        <w:t xml:space="preserve">PD outcome of evidence of </w:t>
      </w:r>
      <w:proofErr w:type="spellStart"/>
      <w:r w:rsidR="00FE583D" w:rsidRPr="0065001C">
        <w:rPr>
          <w:i/>
          <w:iCs/>
        </w:rPr>
        <w:t>omaveloxolone</w:t>
      </w:r>
      <w:proofErr w:type="spellEnd"/>
      <w:r w:rsidR="00FE583D" w:rsidRPr="0065001C">
        <w:rPr>
          <w:i/>
          <w:iCs/>
        </w:rPr>
        <w:t xml:space="preserve"> PD activity (Nrf2 target gene induction) </w:t>
      </w:r>
      <w:r w:rsidR="00FE583D" w:rsidRPr="00854329">
        <w:rPr>
          <w:i/>
          <w:iCs/>
        </w:rPr>
        <w:t xml:space="preserve">was assessed by analysing serum levels of ferritin, AST, ALT, GGT, and creatinine kinase (CK), which are regulated by Nrf2 (data included in the clinical chemistry analysis). AST and CK are also markers of mitochondrial function, as AST delivers substrate to the mitochondria for energy production as part of the malate shuttle and CK is involved in the utilization of ATP throughout cells. At Week 4, induction of ferritin (increase in the mean [SD] change from baseline) was noticeable in most </w:t>
      </w:r>
      <w:proofErr w:type="spellStart"/>
      <w:r w:rsidR="00FE583D" w:rsidRPr="00854329">
        <w:rPr>
          <w:i/>
          <w:iCs/>
        </w:rPr>
        <w:t>omaveloxolone</w:t>
      </w:r>
      <w:proofErr w:type="spellEnd"/>
      <w:r w:rsidR="00FE583D" w:rsidRPr="00854329">
        <w:rPr>
          <w:i/>
          <w:iCs/>
        </w:rPr>
        <w:t xml:space="preserve"> treatment groups. Additionally, there was a dose-related induction of GGT, ALT, and AST at Week 4 in </w:t>
      </w:r>
      <w:proofErr w:type="spellStart"/>
      <w:r w:rsidR="00FE583D" w:rsidRPr="00854329">
        <w:rPr>
          <w:i/>
          <w:iCs/>
        </w:rPr>
        <w:t>omaveloxolone</w:t>
      </w:r>
      <w:proofErr w:type="spellEnd"/>
      <w:r w:rsidR="00FE583D" w:rsidRPr="00854329">
        <w:rPr>
          <w:i/>
          <w:iCs/>
        </w:rPr>
        <w:t xml:space="preserve">-treated patients, with patients in the 160 mg group showing a large positive change from baseline in these parameters (greater than all other dose groups for ALT and AST). Optimal median changes in CK were observed at </w:t>
      </w:r>
      <w:proofErr w:type="spellStart"/>
      <w:r w:rsidR="00FE583D" w:rsidRPr="00854329">
        <w:rPr>
          <w:i/>
          <w:iCs/>
        </w:rPr>
        <w:t>omaveloxolone</w:t>
      </w:r>
      <w:proofErr w:type="spellEnd"/>
      <w:r w:rsidR="00FE583D" w:rsidRPr="00854329">
        <w:rPr>
          <w:i/>
          <w:iCs/>
        </w:rPr>
        <w:t xml:space="preserve"> doses of 80-160 mg, with a high variability at the 300 mg dose. Typically, induction of these Nrf2 target genes was transient and not as apparent at Week 12</w:t>
      </w:r>
      <w:r w:rsidR="00FE583D">
        <w:rPr>
          <w:i/>
          <w:iCs/>
        </w:rPr>
        <w:t xml:space="preserve">. </w:t>
      </w:r>
      <w:r w:rsidR="00FE583D" w:rsidRPr="006202B2">
        <w:rPr>
          <w:i/>
          <w:iCs/>
        </w:rPr>
        <w:t xml:space="preserve">Importantly, despite these pharmacodynamic increases in ALT and AST, only 5 patients treated with </w:t>
      </w:r>
      <w:proofErr w:type="spellStart"/>
      <w:r w:rsidR="00FE583D" w:rsidRPr="006202B2">
        <w:rPr>
          <w:i/>
          <w:iCs/>
        </w:rPr>
        <w:t>omaveloxolone</w:t>
      </w:r>
      <w:proofErr w:type="spellEnd"/>
      <w:r w:rsidR="00FE583D" w:rsidRPr="006202B2">
        <w:rPr>
          <w:i/>
          <w:iCs/>
        </w:rPr>
        <w:t xml:space="preserve"> (3 in the 160 mg group and 2 in the 300 mg group) exceeded the threshold criterion of ALT or AST &gt; 5x the upper limit of normal during the study (Listing 16.4.21). In all 5 patients, the increases occurred early in the study (on or before Week 4), and ALT and AST values decreased below this threshold limit by Week 8.</w:t>
      </w:r>
      <w:r>
        <w:rPr>
          <w:i/>
          <w:iCs/>
        </w:rPr>
        <w:t>’</w:t>
      </w:r>
      <w:r w:rsidR="00FE583D">
        <w:rPr>
          <w:i/>
          <w:iCs/>
        </w:rPr>
        <w:t xml:space="preserve"> </w:t>
      </w:r>
    </w:p>
    <w:p w14:paraId="696420BE" w14:textId="31E85242" w:rsidR="00FE583D" w:rsidRDefault="00FE583D" w:rsidP="00FE583D">
      <w:r>
        <w:t xml:space="preserve">The </w:t>
      </w:r>
      <w:r w:rsidR="007B6B69">
        <w:t>sponsor</w:t>
      </w:r>
      <w:r>
        <w:t xml:space="preserve"> </w:t>
      </w:r>
      <w:r w:rsidR="0025126D">
        <w:t xml:space="preserve">also </w:t>
      </w:r>
      <w:r>
        <w:t>states that the changes in these measured laboratory markers are PD markers of Nrf2 gene induction and increased mitochondrial function</w:t>
      </w:r>
      <w:r w:rsidR="006E1B66">
        <w:t>.</w:t>
      </w:r>
      <w:r>
        <w:t xml:space="preserve"> </w:t>
      </w:r>
      <w:r w:rsidR="006E1B66">
        <w:t>T</w:t>
      </w:r>
      <w:r>
        <w:t xml:space="preserve">he mean change from baseline in these PD markers are presented in </w:t>
      </w:r>
      <w:r w:rsidR="00253ADC" w:rsidRPr="001E2D94">
        <w:fldChar w:fldCharType="begin"/>
      </w:r>
      <w:r w:rsidR="00253ADC" w:rsidRPr="001E2D94">
        <w:instrText xml:space="preserve"> REF _Ref184029035 \h  \* MERGEFORMAT </w:instrText>
      </w:r>
      <w:r w:rsidR="00253ADC" w:rsidRPr="001E2D94">
        <w:fldChar w:fldCharType="separate"/>
      </w:r>
      <w:r w:rsidR="00253ADC" w:rsidRPr="001E2D94">
        <w:t xml:space="preserve">Table </w:t>
      </w:r>
      <w:r w:rsidR="00253ADC" w:rsidRPr="001E2D94">
        <w:rPr>
          <w:noProof/>
        </w:rPr>
        <w:t>1</w:t>
      </w:r>
      <w:r w:rsidR="006E1B66">
        <w:rPr>
          <w:noProof/>
        </w:rPr>
        <w:t>7</w:t>
      </w:r>
      <w:r w:rsidR="00253ADC" w:rsidRPr="001E2D94">
        <w:fldChar w:fldCharType="end"/>
      </w:r>
      <w:r w:rsidRPr="001E2D94">
        <w:t>.</w:t>
      </w:r>
    </w:p>
    <w:p w14:paraId="414902BF" w14:textId="0385255E" w:rsidR="00FE583D" w:rsidRPr="00AB2132" w:rsidRDefault="00FE583D" w:rsidP="00DF67CF">
      <w:pPr>
        <w:pStyle w:val="TableTitle"/>
        <w:spacing w:before="240"/>
      </w:pPr>
      <w:bookmarkStart w:id="65" w:name="_Ref184029035"/>
      <w:r w:rsidRPr="00AB2132">
        <w:lastRenderedPageBreak/>
        <w:t xml:space="preserve">Table </w:t>
      </w:r>
      <w:fldSimple w:instr=" SEQ Table \* ARABIC ">
        <w:r>
          <w:rPr>
            <w:noProof/>
          </w:rPr>
          <w:t>1</w:t>
        </w:r>
        <w:r w:rsidR="0028269D">
          <w:rPr>
            <w:noProof/>
          </w:rPr>
          <w:t>7</w:t>
        </w:r>
      </w:fldSimple>
      <w:bookmarkEnd w:id="65"/>
      <w:r w:rsidRPr="00AB2132">
        <w:t xml:space="preserve">: Mean (SD) Change from </w:t>
      </w:r>
      <w:r w:rsidR="0028269D">
        <w:t>b</w:t>
      </w:r>
      <w:r w:rsidRPr="00AB2132">
        <w:t xml:space="preserve">aseline in </w:t>
      </w:r>
      <w:r w:rsidR="0028269D">
        <w:t>p</w:t>
      </w:r>
      <w:r w:rsidRPr="00AB2132">
        <w:t xml:space="preserve">lasma </w:t>
      </w:r>
      <w:r w:rsidR="0028269D">
        <w:t>b</w:t>
      </w:r>
      <w:r w:rsidRPr="00AB2132">
        <w:t xml:space="preserve">iomarkers of Nrf2 </w:t>
      </w:r>
      <w:r w:rsidR="0028269D">
        <w:t>i</w:t>
      </w:r>
      <w:r w:rsidRPr="00AB2132">
        <w:t xml:space="preserve">nduction </w:t>
      </w:r>
      <w:r w:rsidR="0028269D">
        <w:t>o</w:t>
      </w:r>
      <w:r w:rsidRPr="00AB2132">
        <w:t>verall (</w:t>
      </w:r>
      <w:r w:rsidR="0028269D">
        <w:t>r</w:t>
      </w:r>
      <w:r w:rsidRPr="00AB2132">
        <w:t xml:space="preserve">egardless of </w:t>
      </w:r>
      <w:r w:rsidR="0028269D">
        <w:t>p</w:t>
      </w:r>
      <w:r w:rsidRPr="00AB2132">
        <w:t xml:space="preserve">es </w:t>
      </w:r>
      <w:proofErr w:type="spellStart"/>
      <w:r w:rsidR="0028269D">
        <w:t>c</w:t>
      </w:r>
      <w:r w:rsidRPr="00AB2132">
        <w:t>avus</w:t>
      </w:r>
      <w:proofErr w:type="spellEnd"/>
      <w:r w:rsidRPr="00AB2132">
        <w:t xml:space="preserve"> </w:t>
      </w:r>
      <w:r w:rsidR="0028269D">
        <w:t>s</w:t>
      </w:r>
      <w:r w:rsidRPr="00AB2132">
        <w:t>tatus) – Safety Analysis Set</w:t>
      </w:r>
    </w:p>
    <w:p w14:paraId="28FB3E8B" w14:textId="17405752" w:rsidR="00FE583D" w:rsidRPr="006202B2" w:rsidRDefault="00FE583D" w:rsidP="00FE583D">
      <w:r w:rsidRPr="009B79CC">
        <w:rPr>
          <w:noProof/>
        </w:rPr>
        <w:drawing>
          <wp:inline distT="0" distB="0" distL="0" distR="0" wp14:anchorId="6959EB45" wp14:editId="6725C109">
            <wp:extent cx="5731510" cy="3215005"/>
            <wp:effectExtent l="0" t="0" r="2540" b="4445"/>
            <wp:docPr id="29" name="Picture 29" descr="Table 17: Mean (SD) Change from baseline in plasma biomarkers of Nrf2 induction overall (regardless of pes cavus status) – Safet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 17: Mean (SD) Change from baseline in plasma biomarkers of Nrf2 induction overall (regardless of pes cavus status) – Safety Analysis Set"/>
                    <pic:cNvPicPr/>
                  </pic:nvPicPr>
                  <pic:blipFill>
                    <a:blip r:embed="rId63"/>
                    <a:stretch>
                      <a:fillRect/>
                    </a:stretch>
                  </pic:blipFill>
                  <pic:spPr>
                    <a:xfrm>
                      <a:off x="0" y="0"/>
                      <a:ext cx="5731510" cy="3215005"/>
                    </a:xfrm>
                    <a:prstGeom prst="rect">
                      <a:avLst/>
                    </a:prstGeom>
                  </pic:spPr>
                </pic:pic>
              </a:graphicData>
            </a:graphic>
          </wp:inline>
        </w:drawing>
      </w:r>
    </w:p>
    <w:p w14:paraId="499B1637" w14:textId="372D1EF4" w:rsidR="00FE583D" w:rsidRDefault="00FE583D" w:rsidP="006301A1">
      <w:pPr>
        <w:pStyle w:val="Heading4"/>
        <w:spacing w:before="480"/>
      </w:pPr>
      <w:bookmarkStart w:id="66" w:name="_Toc233964975"/>
      <w:r w:rsidRPr="00AA53F4">
        <w:t>Efficacy</w:t>
      </w:r>
      <w:bookmarkEnd w:id="66"/>
    </w:p>
    <w:p w14:paraId="5DB00CE7" w14:textId="7A2970D5" w:rsidR="00FE583D" w:rsidRPr="006301A1" w:rsidRDefault="00FE583D" w:rsidP="006301A1">
      <w:pPr>
        <w:pStyle w:val="Heading5"/>
        <w:rPr>
          <w:i w:val="0"/>
          <w:iCs/>
        </w:rPr>
      </w:pPr>
      <w:bookmarkStart w:id="67" w:name="_Ref188270191"/>
      <w:r w:rsidRPr="006301A1">
        <w:rPr>
          <w:i w:val="0"/>
          <w:iCs/>
        </w:rPr>
        <w:t>Study 1402 Part 1</w:t>
      </w:r>
      <w:bookmarkEnd w:id="67"/>
    </w:p>
    <w:p w14:paraId="45EBDA5A" w14:textId="5B50673F" w:rsidR="00FE583D" w:rsidRDefault="00FE583D" w:rsidP="00FE583D">
      <w:r>
        <w:t>This was a phase 2 study of the safety, efficacy, and pharmacodynamics of RTA 408 (</w:t>
      </w:r>
      <w:proofErr w:type="spellStart"/>
      <w:r>
        <w:t>Omaveloxolone</w:t>
      </w:r>
      <w:proofErr w:type="spellEnd"/>
      <w:r>
        <w:t>) in the treatment of Friedreich’s ataxia. Th</w:t>
      </w:r>
      <w:r w:rsidR="009E6962">
        <w:t>e</w:t>
      </w:r>
      <w:r>
        <w:t xml:space="preserve"> study was conducted between</w:t>
      </w:r>
      <w:r w:rsidR="00A4756C">
        <w:br/>
      </w:r>
      <w:r>
        <w:t>8 January 2015 and 13 June 2017.</w:t>
      </w:r>
    </w:p>
    <w:p w14:paraId="33B41A05" w14:textId="613203F1" w:rsidR="009E6962" w:rsidRDefault="00FE583D" w:rsidP="00FE583D">
      <w:r>
        <w:t xml:space="preserve">Part 1 of this study was a randomized, placebo-controlled, </w:t>
      </w:r>
      <w:r w:rsidRPr="00A66A48">
        <w:t xml:space="preserve">double-blind, dose-ranging study to evaluate the safety, efficacy, PK, and PD activity of </w:t>
      </w:r>
      <w:proofErr w:type="spellStart"/>
      <w:r w:rsidRPr="00A66A48">
        <w:t>omaveloxolone</w:t>
      </w:r>
      <w:proofErr w:type="spellEnd"/>
      <w:r w:rsidRPr="00A66A48">
        <w:t xml:space="preserve"> at 2.5 mg, 5 mg, 10 mg, 20 mg, 40 mg, 80 mg, 160mg and 300 mg in patients with Friedreich’s ataxia.</w:t>
      </w:r>
      <w:r>
        <w:t xml:space="preserve"> </w:t>
      </w:r>
      <w:r w:rsidRPr="003610F9">
        <w:t xml:space="preserve">Intra-patient dose-escalation was only utilized in the first cohort to evaluate </w:t>
      </w:r>
      <w:proofErr w:type="spellStart"/>
      <w:r w:rsidRPr="003610F9">
        <w:t>omaveloxolone</w:t>
      </w:r>
      <w:proofErr w:type="spellEnd"/>
      <w:r w:rsidRPr="003610F9">
        <w:t xml:space="preserve"> at the first two dose levels (2.5 mg and 5 mg)</w:t>
      </w:r>
      <w:r>
        <w:t xml:space="preserve">. 9 cohorts were planned to be enrolled in this study with participants randomized in a 3:1 ratio to receive </w:t>
      </w:r>
      <w:proofErr w:type="spellStart"/>
      <w:r>
        <w:t>omaveloxolone</w:t>
      </w:r>
      <w:proofErr w:type="spellEnd"/>
      <w:r>
        <w:t xml:space="preserve"> at the cohort specific dose (N=6) or placebo (N=2). </w:t>
      </w:r>
    </w:p>
    <w:p w14:paraId="04247FC6" w14:textId="6773B4AB" w:rsidR="00FE583D" w:rsidRDefault="00FE583D" w:rsidP="00FE583D">
      <w:r>
        <w:t xml:space="preserve">Data from part 1 of this study was used to inform the dose of the pivotal trial study 1402 part 2. A total of 52 </w:t>
      </w:r>
      <w:r w:rsidRPr="00617C55">
        <w:t>participants</w:t>
      </w:r>
      <w:r>
        <w:t xml:space="preserve"> were enrolled and randomized to each cohort in the pooled </w:t>
      </w:r>
      <w:proofErr w:type="spellStart"/>
      <w:r>
        <w:t>omaveloxolone</w:t>
      </w:r>
      <w:proofErr w:type="spellEnd"/>
      <w:r>
        <w:t xml:space="preserve"> group with 17 participants randomized to placebo. 1 participant in the pooled </w:t>
      </w:r>
      <w:proofErr w:type="spellStart"/>
      <w:r>
        <w:t>omaveloxolone</w:t>
      </w:r>
      <w:proofErr w:type="spellEnd"/>
      <w:r>
        <w:t xml:space="preserve"> group discontinued the study (withdrawal of consent) and 1 participant in the placebo group also discontinuing the study (due to skin rash).</w:t>
      </w:r>
    </w:p>
    <w:p w14:paraId="07467094" w14:textId="42B4C879" w:rsidR="00FE583D" w:rsidRPr="005B4DA6" w:rsidRDefault="00FE583D" w:rsidP="00224FA2">
      <w:pPr>
        <w:pStyle w:val="FigureTitle"/>
      </w:pPr>
      <w:r w:rsidRPr="005B4DA6">
        <w:lastRenderedPageBreak/>
        <w:t xml:space="preserve">Figure </w:t>
      </w:r>
      <w:fldSimple w:instr=" SEQ Figure \* ARABIC ">
        <w:r>
          <w:rPr>
            <w:noProof/>
          </w:rPr>
          <w:t>10</w:t>
        </w:r>
      </w:fldSimple>
      <w:r w:rsidRPr="005B4DA6">
        <w:t>: Study design schema for Part 1 and Part 2 of study 1402</w:t>
      </w:r>
    </w:p>
    <w:p w14:paraId="3459803C" w14:textId="77777777" w:rsidR="00FE583D" w:rsidRDefault="00FE583D" w:rsidP="00FE583D">
      <w:r w:rsidRPr="00AA6CA4">
        <w:rPr>
          <w:noProof/>
        </w:rPr>
        <w:drawing>
          <wp:inline distT="0" distB="0" distL="0" distR="0" wp14:anchorId="54F99040" wp14:editId="3EAA5059">
            <wp:extent cx="4851413" cy="3063711"/>
            <wp:effectExtent l="0" t="0" r="6350" b="3810"/>
            <wp:docPr id="24" name="Picture 24" descr="Figure 10: Study design schema for Part 1 and Part 2 of study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0: Study design schema for Part 1 and Part 2 of study 1402"/>
                    <pic:cNvPicPr/>
                  </pic:nvPicPr>
                  <pic:blipFill>
                    <a:blip r:embed="rId64"/>
                    <a:stretch>
                      <a:fillRect/>
                    </a:stretch>
                  </pic:blipFill>
                  <pic:spPr>
                    <a:xfrm>
                      <a:off x="0" y="0"/>
                      <a:ext cx="4859335" cy="3068714"/>
                    </a:xfrm>
                    <a:prstGeom prst="rect">
                      <a:avLst/>
                    </a:prstGeom>
                  </pic:spPr>
                </pic:pic>
              </a:graphicData>
            </a:graphic>
          </wp:inline>
        </w:drawing>
      </w:r>
    </w:p>
    <w:p w14:paraId="79D5A9F4" w14:textId="77777777" w:rsidR="00B44357" w:rsidRDefault="00B44357" w:rsidP="00FE583D"/>
    <w:p w14:paraId="6899468D" w14:textId="456E3AFE" w:rsidR="00FE583D" w:rsidRDefault="00FE583D" w:rsidP="00FE583D">
      <w:r>
        <w:t>The primary objectives of part 1 of this study were:</w:t>
      </w:r>
    </w:p>
    <w:p w14:paraId="5B34775F" w14:textId="5CF2EAE1" w:rsidR="00FE583D" w:rsidRDefault="00FE583D" w:rsidP="00224FA2">
      <w:pPr>
        <w:pStyle w:val="ListBullet"/>
      </w:pPr>
      <w:r>
        <w:t>To evaluate the change in peak work during maximal exercise testing</w:t>
      </w:r>
      <w:r w:rsidR="004C1048">
        <w:t xml:space="preserve">. </w:t>
      </w:r>
      <w:r>
        <w:t>This was done using cycle ergometry using a recumbent stationary bicycle with peak work and peak oxygen utilization being efficacy parameters. Efficacy assessment was the</w:t>
      </w:r>
      <w:r w:rsidRPr="00E24C21">
        <w:t xml:space="preserve"> change in peak work and oxygen utilization during maximal exercise testing from </w:t>
      </w:r>
      <w:r>
        <w:t>b</w:t>
      </w:r>
      <w:r w:rsidRPr="00E24C21">
        <w:t>aseline</w:t>
      </w:r>
      <w:r>
        <w:t xml:space="preserve"> </w:t>
      </w:r>
      <w:r w:rsidRPr="00E24C21">
        <w:t xml:space="preserve">to </w:t>
      </w:r>
      <w:r w:rsidR="008235DB">
        <w:t>w</w:t>
      </w:r>
      <w:r w:rsidRPr="00E24C21">
        <w:t>eeks 4 and 12</w:t>
      </w:r>
      <w:r w:rsidR="00224FA2">
        <w:t>.</w:t>
      </w:r>
    </w:p>
    <w:p w14:paraId="06D463C9" w14:textId="45F33168" w:rsidR="00FE583D" w:rsidRDefault="00FE583D" w:rsidP="00224FA2">
      <w:pPr>
        <w:pStyle w:val="ListBullet"/>
      </w:pPr>
      <w:r>
        <w:t xml:space="preserve">To evaluate the safety and tolerability of </w:t>
      </w:r>
      <w:proofErr w:type="spellStart"/>
      <w:r>
        <w:t>omaveloxolone</w:t>
      </w:r>
      <w:proofErr w:type="spellEnd"/>
      <w:r w:rsidR="00224FA2">
        <w:t>.</w:t>
      </w:r>
    </w:p>
    <w:p w14:paraId="1D04DB8E" w14:textId="5F36717D" w:rsidR="00FE583D" w:rsidRPr="004A7291" w:rsidRDefault="00FE583D" w:rsidP="00FE583D">
      <w:r>
        <w:t>The secondary objective of part 1 was to evaluate change in the modified Friedreich’s ataxia rating scale (</w:t>
      </w:r>
      <w:proofErr w:type="spellStart"/>
      <w:r>
        <w:t>mFARS</w:t>
      </w:r>
      <w:proofErr w:type="spellEnd"/>
      <w:r>
        <w:t xml:space="preserve">) score. Efficacy assessment was </w:t>
      </w:r>
      <w:r w:rsidRPr="004A7291">
        <w:t xml:space="preserve">change in both the FARS neurological score and the </w:t>
      </w:r>
      <w:proofErr w:type="spellStart"/>
      <w:r w:rsidRPr="004A7291">
        <w:t>mFARS</w:t>
      </w:r>
      <w:proofErr w:type="spellEnd"/>
      <w:r w:rsidRPr="004A7291">
        <w:t xml:space="preserve"> scores from </w:t>
      </w:r>
      <w:r w:rsidR="00433C82">
        <w:t>b</w:t>
      </w:r>
      <w:r w:rsidRPr="004A7291">
        <w:t xml:space="preserve">aseline to </w:t>
      </w:r>
      <w:r w:rsidR="00433C82">
        <w:t>w</w:t>
      </w:r>
      <w:r w:rsidRPr="004A7291">
        <w:t>eeks</w:t>
      </w:r>
      <w:r>
        <w:t xml:space="preserve"> 4, 8 and 12.</w:t>
      </w:r>
    </w:p>
    <w:p w14:paraId="5E679FA4" w14:textId="3D48D0C8" w:rsidR="00FE583D" w:rsidRDefault="00FE583D" w:rsidP="00FE583D">
      <w:r>
        <w:t xml:space="preserve">There were multiple exploratory objectives including: evaluation of change in peak oxygen utilisation, change in 25-foot timed walk test, change in 9-hole peg test, change in fatigue severity score, change in lower contrast visual acuity, change in cardiac parameters, change in perfusion reserve on cardiac MRI, evaluate change in pharmacodynamic (PD) markers in platelets, cheek swab and muscles samples and to characterize PK parameters of </w:t>
      </w:r>
      <w:proofErr w:type="spellStart"/>
      <w:r>
        <w:t>omaveloxolone</w:t>
      </w:r>
      <w:proofErr w:type="spellEnd"/>
      <w:r>
        <w:t xml:space="preserve"> after oral administration.</w:t>
      </w:r>
    </w:p>
    <w:p w14:paraId="4A2F811A" w14:textId="77777777" w:rsidR="00721E69" w:rsidRDefault="00721E69">
      <w:pPr>
        <w:rPr>
          <w:rFonts w:ascii="Arial" w:eastAsia="Times New Roman" w:hAnsi="Arial" w:cs="Times New Roman"/>
          <w:b/>
          <w:bCs/>
          <w:iCs/>
          <w:color w:val="001871"/>
          <w:sz w:val="24"/>
          <w:szCs w:val="21"/>
        </w:rPr>
      </w:pPr>
      <w:bookmarkStart w:id="68" w:name="_Hlk172555879"/>
      <w:r>
        <w:rPr>
          <w:i/>
          <w:iCs/>
        </w:rPr>
        <w:br w:type="page"/>
      </w:r>
    </w:p>
    <w:p w14:paraId="4864343D" w14:textId="68C434EE" w:rsidR="00FE583D" w:rsidRPr="00433C82" w:rsidRDefault="00FE583D" w:rsidP="00433C82">
      <w:pPr>
        <w:pStyle w:val="Heading6"/>
        <w:rPr>
          <w:i w:val="0"/>
          <w:iCs/>
        </w:rPr>
      </w:pPr>
      <w:r w:rsidRPr="00433C82">
        <w:rPr>
          <w:i w:val="0"/>
          <w:iCs/>
        </w:rPr>
        <w:lastRenderedPageBreak/>
        <w:t>Inclusion criteria for this study</w:t>
      </w:r>
    </w:p>
    <w:bookmarkEnd w:id="68"/>
    <w:p w14:paraId="4734E3F2" w14:textId="4B962CC3" w:rsidR="00FE583D" w:rsidRDefault="00FE583D" w:rsidP="007461C5">
      <w:pPr>
        <w:pStyle w:val="ListBullet"/>
      </w:pPr>
      <w:r>
        <w:t>Have genetically confirmed Friedreich’s ataxia.</w:t>
      </w:r>
    </w:p>
    <w:p w14:paraId="5319A84F" w14:textId="77777777" w:rsidR="00FE583D" w:rsidRDefault="00FE583D" w:rsidP="007461C5">
      <w:pPr>
        <w:pStyle w:val="ListBullet"/>
      </w:pPr>
      <w:r>
        <w:t xml:space="preserve">Have a modified FARS score ≥ 10 and ≤ 80. </w:t>
      </w:r>
    </w:p>
    <w:p w14:paraId="1A5AC009" w14:textId="1574C8AC" w:rsidR="00FE583D" w:rsidRDefault="00FE583D" w:rsidP="007461C5">
      <w:pPr>
        <w:pStyle w:val="ListBullet"/>
      </w:pPr>
      <w:r>
        <w:t>Male or female and ≥ 16 years of age and ≤ 40 years of age</w:t>
      </w:r>
      <w:r w:rsidR="007461C5">
        <w:t>.</w:t>
      </w:r>
    </w:p>
    <w:p w14:paraId="2685CAE0" w14:textId="2F618926" w:rsidR="00FE583D" w:rsidRDefault="00FE583D" w:rsidP="007461C5">
      <w:pPr>
        <w:pStyle w:val="ListBullet"/>
      </w:pPr>
      <w:r>
        <w:t xml:space="preserve">Have no changes to their exercise regimen within 30 days prior to </w:t>
      </w:r>
      <w:r w:rsidR="007F3AB3">
        <w:t>s</w:t>
      </w:r>
      <w:r>
        <w:t xml:space="preserve">tudy </w:t>
      </w:r>
      <w:r w:rsidR="007F3AB3">
        <w:t>d</w:t>
      </w:r>
      <w:r>
        <w:t>ay 1.</w:t>
      </w:r>
    </w:p>
    <w:p w14:paraId="75C4B04A" w14:textId="77777777" w:rsidR="00FE583D" w:rsidRDefault="00FE583D" w:rsidP="007461C5">
      <w:pPr>
        <w:pStyle w:val="ListBullet"/>
      </w:pPr>
      <w:proofErr w:type="gramStart"/>
      <w:r>
        <w:t>Have the ability to</w:t>
      </w:r>
      <w:proofErr w:type="gramEnd"/>
      <w:r>
        <w:t xml:space="preserve"> complete maximal exercise testing.</w:t>
      </w:r>
    </w:p>
    <w:p w14:paraId="01B89E44" w14:textId="6FE0470C" w:rsidR="00FE583D" w:rsidRDefault="00FE583D" w:rsidP="00B65C68">
      <w:pPr>
        <w:pStyle w:val="ListBullet"/>
      </w:pPr>
      <w:r>
        <w:t>Have adequate kidney function defined as an estimated glomerular filtration rate (eGFR) ≥ 60 mL/min/1.73 m2.</w:t>
      </w:r>
    </w:p>
    <w:p w14:paraId="229C4769" w14:textId="77777777" w:rsidR="00FE583D" w:rsidRDefault="00FE583D" w:rsidP="007461C5">
      <w:pPr>
        <w:pStyle w:val="ListBullet"/>
      </w:pPr>
      <w:r>
        <w:t>Have a left ventricular ejection fraction ≥ 40%.</w:t>
      </w:r>
    </w:p>
    <w:p w14:paraId="606C3D2B" w14:textId="77777777" w:rsidR="00FE583D" w:rsidRDefault="00FE583D" w:rsidP="007461C5">
      <w:pPr>
        <w:pStyle w:val="ListBullet"/>
      </w:pPr>
      <w:r>
        <w:t>Able to swallow capsules.</w:t>
      </w:r>
    </w:p>
    <w:p w14:paraId="33738A0A" w14:textId="77777777" w:rsidR="00FE583D" w:rsidRDefault="00FE583D" w:rsidP="007461C5">
      <w:pPr>
        <w:pStyle w:val="ListBullet"/>
      </w:pPr>
      <w:r>
        <w:t>Willing and able to cooperate with all aspects of the protocol.</w:t>
      </w:r>
    </w:p>
    <w:p w14:paraId="72837F4A" w14:textId="77777777" w:rsidR="00FE583D" w:rsidRDefault="00FE583D" w:rsidP="007461C5">
      <w:pPr>
        <w:pStyle w:val="ListBullet"/>
      </w:pPr>
      <w:r>
        <w:t>Willing to practice medically acceptable methods of birth control.</w:t>
      </w:r>
    </w:p>
    <w:p w14:paraId="39B73C09" w14:textId="77777777" w:rsidR="00FE583D" w:rsidRDefault="00FE583D" w:rsidP="007461C5">
      <w:pPr>
        <w:pStyle w:val="ListBullet"/>
      </w:pPr>
      <w:r w:rsidRPr="000C4CB8">
        <w:t>Have provided written informed consent for study participation, approved by the appropriate Institutional Review Board (IRB)</w:t>
      </w:r>
      <w:r>
        <w:t>.</w:t>
      </w:r>
    </w:p>
    <w:p w14:paraId="4586EC60" w14:textId="120E99E9" w:rsidR="00FE583D" w:rsidRPr="00433C82" w:rsidRDefault="00FE583D" w:rsidP="00433C82">
      <w:pPr>
        <w:pStyle w:val="Heading6"/>
        <w:rPr>
          <w:i w:val="0"/>
          <w:iCs/>
        </w:rPr>
      </w:pPr>
      <w:r w:rsidRPr="00433C82">
        <w:rPr>
          <w:i w:val="0"/>
          <w:iCs/>
        </w:rPr>
        <w:t xml:space="preserve">Exclusion criteria for this study </w:t>
      </w:r>
    </w:p>
    <w:p w14:paraId="6427072C" w14:textId="2A00C9ED" w:rsidR="00FE583D" w:rsidRDefault="00FE583D" w:rsidP="00710CD9">
      <w:pPr>
        <w:pStyle w:val="ListBullet"/>
      </w:pPr>
      <w:r>
        <w:t>Have uncontrolled diabetes (HbA1c &gt; 11.0%)</w:t>
      </w:r>
      <w:r w:rsidR="00710CD9">
        <w:t>.</w:t>
      </w:r>
    </w:p>
    <w:p w14:paraId="484B1D31" w14:textId="36F42F04" w:rsidR="00FE583D" w:rsidRDefault="00FE583D" w:rsidP="00710CD9">
      <w:pPr>
        <w:pStyle w:val="ListBullet"/>
      </w:pPr>
      <w:r>
        <w:t xml:space="preserve">Have B-type natriuretic peptide (BNP) level &gt; 200 </w:t>
      </w:r>
      <w:proofErr w:type="spellStart"/>
      <w:r>
        <w:t>pg</w:t>
      </w:r>
      <w:proofErr w:type="spellEnd"/>
      <w:r>
        <w:t>/</w:t>
      </w:r>
      <w:proofErr w:type="spellStart"/>
      <w:r>
        <w:t>mL</w:t>
      </w:r>
      <w:r w:rsidR="00710CD9">
        <w:t>.</w:t>
      </w:r>
      <w:proofErr w:type="spellEnd"/>
    </w:p>
    <w:p w14:paraId="2BD95B51" w14:textId="3922DA24" w:rsidR="00FE583D" w:rsidRDefault="00FE583D" w:rsidP="0037047C">
      <w:pPr>
        <w:pStyle w:val="ListBullet"/>
      </w:pPr>
      <w:r>
        <w:t xml:space="preserve">Have a history of clinically significant left-sided heart disease and/or clinically significant cardiac disease, </w:t>
      </w:r>
      <w:proofErr w:type="gramStart"/>
      <w:r>
        <w:t>with the exception of</w:t>
      </w:r>
      <w:proofErr w:type="gramEnd"/>
      <w:r>
        <w:t xml:space="preserve"> mild to moderate cardiomyopathy associated with Friedreich’s ataxia.</w:t>
      </w:r>
    </w:p>
    <w:p w14:paraId="736DDFED" w14:textId="75A1EB59" w:rsidR="00FE583D" w:rsidRDefault="00FE583D" w:rsidP="008C4110">
      <w:pPr>
        <w:pStyle w:val="ListBullet"/>
      </w:pPr>
      <w:r>
        <w:t>Have known active fungal, bacterial, and/or viral infection, including human immunodeficiency virus (HIV) or hepatitis virus (B or C)</w:t>
      </w:r>
      <w:r w:rsidR="000E5FE7">
        <w:t>.</w:t>
      </w:r>
      <w:r>
        <w:t xml:space="preserve"> </w:t>
      </w:r>
    </w:p>
    <w:p w14:paraId="59346B93" w14:textId="1442E6B2" w:rsidR="00FE583D" w:rsidRDefault="00FE583D" w:rsidP="00710CD9">
      <w:pPr>
        <w:pStyle w:val="ListBullet"/>
      </w:pPr>
      <w:r>
        <w:t>Have known or suspected active drug or alcohol abuse, as per investigator judgment</w:t>
      </w:r>
      <w:r w:rsidR="000E5FE7">
        <w:t>.</w:t>
      </w:r>
    </w:p>
    <w:p w14:paraId="39A775A8" w14:textId="12DF1ABB" w:rsidR="00FE583D" w:rsidRDefault="00FE583D" w:rsidP="00EA21E9">
      <w:pPr>
        <w:pStyle w:val="ListBullet"/>
      </w:pPr>
      <w:r>
        <w:t>Have clinically significant abnormalities of clinical hematology or biochemistry, including but not limited to elevations greater than 1.5 times the upper limit of normal of AST or ALT.</w:t>
      </w:r>
    </w:p>
    <w:p w14:paraId="6C83E746" w14:textId="427389FD" w:rsidR="00FE583D" w:rsidRDefault="00FE583D" w:rsidP="00BC4EA8">
      <w:pPr>
        <w:pStyle w:val="ListBullet"/>
      </w:pPr>
      <w:r>
        <w:t>Have any abnormal laboratory test value or clinically significant pre-existing medical condition that, in the opinion of the investigator, would put the patient at risk by study enrolment</w:t>
      </w:r>
      <w:r w:rsidR="000E5FE7">
        <w:t>.</w:t>
      </w:r>
    </w:p>
    <w:p w14:paraId="5AECDC54" w14:textId="1018238E" w:rsidR="00FE583D" w:rsidRDefault="00FE583D" w:rsidP="007A6CB7">
      <w:pPr>
        <w:pStyle w:val="ListBullet"/>
      </w:pPr>
      <w:r>
        <w:t>Have taken any of the following drugs within 7 days prior to Study Day 1 or plan to take any of these drugs during the time of study participation:</w:t>
      </w:r>
      <w:r w:rsidRPr="002B06B6">
        <w:t xml:space="preserve"> Sensitive substrates for cytochrome P450 2C8 or 3A4</w:t>
      </w:r>
      <w:r>
        <w:t>, m</w:t>
      </w:r>
      <w:r w:rsidRPr="002B06B6">
        <w:t>oderate or strong inhibitors or inducers of cytochrome P450 3A4</w:t>
      </w:r>
      <w:r>
        <w:t xml:space="preserve"> and </w:t>
      </w:r>
      <w:r w:rsidRPr="002B06B6">
        <w:t xml:space="preserve">Substrates for p-glycoprotein transporter (e.g., </w:t>
      </w:r>
      <w:proofErr w:type="spellStart"/>
      <w:r w:rsidRPr="002B06B6">
        <w:t>ambrisentan</w:t>
      </w:r>
      <w:proofErr w:type="spellEnd"/>
      <w:r w:rsidRPr="002B06B6">
        <w:t>, digoxin)</w:t>
      </w:r>
    </w:p>
    <w:p w14:paraId="4BCD5F93" w14:textId="77777777" w:rsidR="00FE583D" w:rsidRDefault="00FE583D" w:rsidP="00710CD9">
      <w:pPr>
        <w:pStyle w:val="ListBullet"/>
      </w:pPr>
      <w:r w:rsidRPr="00C9403E">
        <w:t>Have a history of clinically significant liver disease (e.g., fibrosis, cirrhosis, hepatitis)</w:t>
      </w:r>
      <w:r>
        <w:t xml:space="preserve"> or abnormal liver function tests including:</w:t>
      </w:r>
    </w:p>
    <w:p w14:paraId="20D87B2C" w14:textId="77777777" w:rsidR="00FE583D" w:rsidRDefault="00FE583D" w:rsidP="000E5FE7">
      <w:pPr>
        <w:pStyle w:val="ListBullet2"/>
      </w:pPr>
      <w:r>
        <w:t xml:space="preserve">alanine aminotransferase (ALT) and/or aspartate aminotransferase (AST) &gt; 1.5-fold </w:t>
      </w:r>
    </w:p>
    <w:p w14:paraId="2BFA08A0" w14:textId="77777777" w:rsidR="00FE583D" w:rsidRDefault="00FE583D" w:rsidP="000E5FE7">
      <w:pPr>
        <w:pStyle w:val="ListBullet2"/>
      </w:pPr>
      <w:r>
        <w:t>upper limit of normal (ULN),</w:t>
      </w:r>
    </w:p>
    <w:p w14:paraId="32299A19" w14:textId="77777777" w:rsidR="00FE583D" w:rsidRDefault="00FE583D" w:rsidP="000E5FE7">
      <w:pPr>
        <w:pStyle w:val="ListBullet2"/>
      </w:pPr>
      <w:r>
        <w:t>bilirubin &gt; 1.2-fold ULN,</w:t>
      </w:r>
    </w:p>
    <w:p w14:paraId="01097EDD" w14:textId="77777777" w:rsidR="00FE583D" w:rsidRDefault="00FE583D" w:rsidP="000E5FE7">
      <w:pPr>
        <w:pStyle w:val="ListBullet2"/>
      </w:pPr>
      <w:r>
        <w:t>alkaline phosphatase (ALP) &gt; 2-fold ULN,</w:t>
      </w:r>
    </w:p>
    <w:p w14:paraId="6454863A" w14:textId="63C36E1A" w:rsidR="00FE583D" w:rsidRDefault="00FE583D" w:rsidP="000E5FE7">
      <w:pPr>
        <w:pStyle w:val="ListBullet2"/>
      </w:pPr>
      <w:r>
        <w:lastRenderedPageBreak/>
        <w:t>albumin &lt; lower limit of normal (LLN)</w:t>
      </w:r>
      <w:r w:rsidR="004217D1">
        <w:t>.</w:t>
      </w:r>
    </w:p>
    <w:p w14:paraId="4D6AED07" w14:textId="66A9E79F" w:rsidR="00FE583D" w:rsidRDefault="00FE583D" w:rsidP="006B39E6">
      <w:pPr>
        <w:pStyle w:val="ListBullet"/>
      </w:pPr>
      <w:r>
        <w:t>Have participated in any other interventional clinical study within 30 days prior to Study Day 1</w:t>
      </w:r>
      <w:r w:rsidR="004217D1">
        <w:t>.</w:t>
      </w:r>
      <w:r>
        <w:t xml:space="preserve"> </w:t>
      </w:r>
    </w:p>
    <w:p w14:paraId="1A14072D" w14:textId="77777777" w:rsidR="00FE583D" w:rsidRDefault="00FE583D" w:rsidP="00F45C63">
      <w:pPr>
        <w:pStyle w:val="ListBullet"/>
      </w:pPr>
      <w:r>
        <w:t>Cognitive impairment that may preclude ability to comply with study procedures.</w:t>
      </w:r>
    </w:p>
    <w:p w14:paraId="53CC6F72" w14:textId="4CC246AE" w:rsidR="00FE583D" w:rsidRDefault="00FE583D" w:rsidP="00461AD0">
      <w:pPr>
        <w:pStyle w:val="ListBullet"/>
      </w:pPr>
      <w:r>
        <w:t>Unable to comply with the requirements of the study protocol or be unsuitable for the study for any reason, in the opinion of the investigator</w:t>
      </w:r>
      <w:r w:rsidR="00F45C63">
        <w:t>.</w:t>
      </w:r>
      <w:r>
        <w:t xml:space="preserve"> </w:t>
      </w:r>
    </w:p>
    <w:p w14:paraId="3D9EA908" w14:textId="62F09D1D" w:rsidR="00FE583D" w:rsidRDefault="00FE583D" w:rsidP="00F04617">
      <w:pPr>
        <w:pStyle w:val="ListBullet"/>
      </w:pPr>
      <w:r>
        <w:t xml:space="preserve">Have used antioxidant supplements, including but not limited to </w:t>
      </w:r>
      <w:proofErr w:type="spellStart"/>
      <w:r>
        <w:t>idebenone</w:t>
      </w:r>
      <w:proofErr w:type="spellEnd"/>
      <w:r>
        <w:t>, coenzyme Q10, nicotinamide, and vitamin E above the recommended daily allowance, within 14 days prior to Study Day 1 or plan to take any of these supplements during the time of study participation</w:t>
      </w:r>
      <w:r w:rsidR="00F45C63">
        <w:t>.</w:t>
      </w:r>
    </w:p>
    <w:p w14:paraId="0AC75E31" w14:textId="4ED8EBBF" w:rsidR="00FE583D" w:rsidRDefault="00FE583D" w:rsidP="00F45C63">
      <w:pPr>
        <w:pStyle w:val="ListBullet"/>
      </w:pPr>
      <w:r>
        <w:t>Have previously documented mitochondrial respiratory chain disease</w:t>
      </w:r>
      <w:r w:rsidR="00F45C63">
        <w:t>.</w:t>
      </w:r>
    </w:p>
    <w:p w14:paraId="1D753FD1" w14:textId="659911F0" w:rsidR="00FE583D" w:rsidRDefault="00FE583D" w:rsidP="00F45C63">
      <w:pPr>
        <w:pStyle w:val="ListBullet"/>
      </w:pPr>
      <w:r>
        <w:t>Have a history of thromboembolic events within the past 5 years</w:t>
      </w:r>
      <w:r w:rsidR="00F45C63">
        <w:t>.</w:t>
      </w:r>
    </w:p>
    <w:p w14:paraId="361DE960" w14:textId="7081A0DB" w:rsidR="00FE583D" w:rsidRDefault="00FE583D" w:rsidP="00F45C63">
      <w:pPr>
        <w:pStyle w:val="ListBullet"/>
      </w:pPr>
      <w:r>
        <w:t>Have taken anticoagulant therapy within 30 days prior to Study Day 1</w:t>
      </w:r>
      <w:r w:rsidR="00F45C63">
        <w:t>.</w:t>
      </w:r>
      <w:r>
        <w:t xml:space="preserve"> </w:t>
      </w:r>
    </w:p>
    <w:p w14:paraId="348EE769" w14:textId="0FE79C3B" w:rsidR="00FE583D" w:rsidRDefault="00FE583D" w:rsidP="00F45C63">
      <w:pPr>
        <w:pStyle w:val="ListBullet"/>
      </w:pPr>
      <w:r>
        <w:t>Have scheduled surgical treatment for scoliosis or foot deformity during the study</w:t>
      </w:r>
      <w:r w:rsidR="00F45C63">
        <w:t>.</w:t>
      </w:r>
    </w:p>
    <w:p w14:paraId="4E18503F" w14:textId="35899E41" w:rsidR="00FE583D" w:rsidRDefault="00FE583D" w:rsidP="00FA706C">
      <w:pPr>
        <w:pStyle w:val="ListBullet"/>
      </w:pPr>
      <w:r>
        <w:t>Have had significant current suicidal ideation within 1 month prior to Screening Visit as per investigator judgment or any history of suicide attempts</w:t>
      </w:r>
      <w:r w:rsidR="00F45C63">
        <w:t>.</w:t>
      </w:r>
    </w:p>
    <w:p w14:paraId="15CB6B96" w14:textId="342E7C9F" w:rsidR="00FE583D" w:rsidRDefault="00FE583D" w:rsidP="00F45C63">
      <w:pPr>
        <w:pStyle w:val="ListBullet"/>
      </w:pPr>
      <w:r>
        <w:t>Pregnant or breastfeeding</w:t>
      </w:r>
      <w:r w:rsidR="00F45C63">
        <w:t>.</w:t>
      </w:r>
      <w:r>
        <w:t xml:space="preserve"> </w:t>
      </w:r>
    </w:p>
    <w:p w14:paraId="37EB2625" w14:textId="63A2E9CE" w:rsidR="00FE583D" w:rsidRDefault="00FE583D" w:rsidP="00F45C63">
      <w:pPr>
        <w:pStyle w:val="ListBullet"/>
      </w:pPr>
      <w:r>
        <w:t xml:space="preserve">Prior participation in a trial with </w:t>
      </w:r>
      <w:proofErr w:type="spellStart"/>
      <w:r>
        <w:t>omaveloxolone</w:t>
      </w:r>
      <w:proofErr w:type="spellEnd"/>
      <w:r w:rsidR="00F45C63">
        <w:t>.</w:t>
      </w:r>
    </w:p>
    <w:p w14:paraId="193161A3" w14:textId="77777777" w:rsidR="00C45536" w:rsidRDefault="00FE583D" w:rsidP="002226A7">
      <w:r>
        <w:t xml:space="preserve">The mean age of the pooled </w:t>
      </w:r>
      <w:proofErr w:type="spellStart"/>
      <w:r>
        <w:t>omaveloxolone</w:t>
      </w:r>
      <w:proofErr w:type="spellEnd"/>
      <w:r>
        <w:t xml:space="preserve"> treatment cohort (N=52) was 25.9 years and was </w:t>
      </w:r>
      <w:proofErr w:type="gramStart"/>
      <w:r>
        <w:t>similar to</w:t>
      </w:r>
      <w:proofErr w:type="gramEnd"/>
      <w:r>
        <w:t xml:space="preserve"> the placebo cohort (N=17) with a mean age of 24.4 years.</w:t>
      </w:r>
    </w:p>
    <w:p w14:paraId="5CA1A1A9" w14:textId="77777777" w:rsidR="00C45536" w:rsidRDefault="00FE583D" w:rsidP="002226A7">
      <w:r>
        <w:t xml:space="preserve">Sex was adequately matched between the pooled </w:t>
      </w:r>
      <w:proofErr w:type="spellStart"/>
      <w:r>
        <w:t>omaveloxolone</w:t>
      </w:r>
      <w:proofErr w:type="spellEnd"/>
      <w:r>
        <w:t xml:space="preserve"> and placebo cohorts. </w:t>
      </w:r>
    </w:p>
    <w:p w14:paraId="23ACEC78" w14:textId="77777777" w:rsidR="00C45536" w:rsidRDefault="00FE583D" w:rsidP="002226A7">
      <w:r>
        <w:t xml:space="preserve">Almost all participants in both the pooled </w:t>
      </w:r>
      <w:proofErr w:type="spellStart"/>
      <w:r>
        <w:t>omaveloxolone</w:t>
      </w:r>
      <w:proofErr w:type="spellEnd"/>
      <w:r>
        <w:t xml:space="preserve"> cohort (98.1%) and the placebo cohort (94.1%) had a race description of white (Caucasian). </w:t>
      </w:r>
    </w:p>
    <w:p w14:paraId="6E32B6B6" w14:textId="77777777" w:rsidR="00C45536" w:rsidRDefault="00FE583D" w:rsidP="002226A7">
      <w:r>
        <w:t xml:space="preserve">Baseline mean peak work was 1.08 watts/kg in the pooled </w:t>
      </w:r>
      <w:proofErr w:type="spellStart"/>
      <w:r>
        <w:t>omaveloxolone</w:t>
      </w:r>
      <w:proofErr w:type="spellEnd"/>
      <w:r>
        <w:t xml:space="preserve"> group and 0,99watts/kg in the placebo cohort, baseline mean peak work varied significantly across each cohort ranging from 0.72 watts/kg to1.60watts/kg. </w:t>
      </w:r>
    </w:p>
    <w:p w14:paraId="253A0A12" w14:textId="77777777" w:rsidR="00C45536" w:rsidRDefault="00FE583D" w:rsidP="002226A7">
      <w:r>
        <w:t xml:space="preserve">Age of Friedreich’s ataxia onset was well matched across cohorts. </w:t>
      </w:r>
    </w:p>
    <w:p w14:paraId="0D731CE0" w14:textId="77777777" w:rsidR="00C45536" w:rsidRDefault="00FE583D" w:rsidP="002226A7">
      <w:r>
        <w:t xml:space="preserve">Duration of FA diagnosis was variable between cohorts ranging from a mean of 4.8 years to 8.5 years. </w:t>
      </w:r>
    </w:p>
    <w:p w14:paraId="53232C50" w14:textId="6D8897AF" w:rsidR="00FE583D" w:rsidRDefault="00FE583D" w:rsidP="002226A7">
      <w:r>
        <w:t xml:space="preserve">In the pooled </w:t>
      </w:r>
      <w:proofErr w:type="spellStart"/>
      <w:r>
        <w:t>omaveloxolone</w:t>
      </w:r>
      <w:proofErr w:type="spellEnd"/>
      <w:r>
        <w:t xml:space="preserve"> group 22 (42.3%) of participants had pes </w:t>
      </w:r>
      <w:proofErr w:type="spellStart"/>
      <w:r>
        <w:t>cavus</w:t>
      </w:r>
      <w:proofErr w:type="spellEnd"/>
      <w:r>
        <w:t xml:space="preserve"> compared to 10 (58.8%) participants </w:t>
      </w:r>
      <w:r w:rsidR="00956D8F">
        <w:t xml:space="preserve">in </w:t>
      </w:r>
      <w:r>
        <w:t>the placebo group.</w:t>
      </w:r>
    </w:p>
    <w:p w14:paraId="13580CF1" w14:textId="1FCFAF37" w:rsidR="00721E69" w:rsidRPr="00721E69" w:rsidRDefault="00721E69" w:rsidP="00721E69">
      <w:pPr>
        <w:pStyle w:val="Heading6"/>
        <w:rPr>
          <w:i w:val="0"/>
          <w:iCs/>
        </w:rPr>
      </w:pPr>
      <w:r w:rsidRPr="00721E69">
        <w:rPr>
          <w:i w:val="0"/>
          <w:iCs/>
        </w:rPr>
        <w:t>Efficacy endpoints</w:t>
      </w:r>
    </w:p>
    <w:p w14:paraId="0767CEDC" w14:textId="36025A89" w:rsidR="00FE583D" w:rsidRDefault="00FE583D" w:rsidP="002226A7">
      <w:r>
        <w:t xml:space="preserve">The statistical plan for the primary analysis of efficacy data was based on the intention to treat (ITT) population, which included all enrolled participants. Analysis was performed for each </w:t>
      </w:r>
      <w:proofErr w:type="spellStart"/>
      <w:r>
        <w:t>omaveloxolone</w:t>
      </w:r>
      <w:proofErr w:type="spellEnd"/>
      <w:r>
        <w:t xml:space="preserve"> dos</w:t>
      </w:r>
      <w:r w:rsidR="00157C86">
        <w:t>e</w:t>
      </w:r>
      <w:r>
        <w:t xml:space="preserve"> group. Summary statistics for observed values, change from baseline and percent change from baseline (</w:t>
      </w:r>
      <w:r w:rsidR="00AE4F51">
        <w:t>i</w:t>
      </w:r>
      <w:r>
        <w:t>ncluding 95% CI) was presented by randomized treatment group. Nominal significance level was defined as p&lt;0.05.</w:t>
      </w:r>
    </w:p>
    <w:p w14:paraId="709D95C2" w14:textId="77777777" w:rsidR="00157C86" w:rsidRDefault="00FE583D" w:rsidP="002226A7">
      <w:r>
        <w:t xml:space="preserve">The primary efficacy endpoint was mean change from baseline in peak work (watts/kg) at week 12 in the ITT population. Change from baseline in peak work for each post first dose time point at weeks 4 and week 12 were analysed using a mixed model for repeated measures (MMRM). </w:t>
      </w:r>
    </w:p>
    <w:p w14:paraId="34778093" w14:textId="40EA1E6A" w:rsidR="00FE583D" w:rsidRDefault="00FE583D" w:rsidP="002226A7">
      <w:r>
        <w:lastRenderedPageBreak/>
        <w:t xml:space="preserve">The secondary efficacy outcome of mean change in </w:t>
      </w:r>
      <w:proofErr w:type="spellStart"/>
      <w:r>
        <w:t>mFARS</w:t>
      </w:r>
      <w:proofErr w:type="spellEnd"/>
      <w:r>
        <w:t xml:space="preserve"> score from baseline to week 12 was analysed using repeated measures analysis of variance with the same model used for the primary efficacy endpoint. Missing values for the </w:t>
      </w:r>
      <w:proofErr w:type="spellStart"/>
      <w:r>
        <w:t>mFARS</w:t>
      </w:r>
      <w:proofErr w:type="spellEnd"/>
      <w:r>
        <w:t xml:space="preserve"> were imputed using the last observation carried forward method.</w:t>
      </w:r>
    </w:p>
    <w:p w14:paraId="7FC947D6" w14:textId="12B7C52E" w:rsidR="00BB17F8" w:rsidRDefault="00FE583D" w:rsidP="00BB17F8">
      <w:r>
        <w:t xml:space="preserve">The primary efficacy endpoint of mean change in peak work from baseline to week 12 is shown in table </w:t>
      </w:r>
      <w:r w:rsidR="00621FA2">
        <w:t>18</w:t>
      </w:r>
      <w:r>
        <w:t>.</w:t>
      </w:r>
      <w:r w:rsidR="00BB17F8">
        <w:t xml:space="preserve"> </w:t>
      </w:r>
      <w:r w:rsidR="00BB17F8" w:rsidRPr="00DC1063">
        <w:t xml:space="preserve">Regardless of pes </w:t>
      </w:r>
      <w:proofErr w:type="spellStart"/>
      <w:r w:rsidR="00BB17F8" w:rsidRPr="00DC1063">
        <w:t>cavus</w:t>
      </w:r>
      <w:proofErr w:type="spellEnd"/>
      <w:r w:rsidR="00BB17F8" w:rsidRPr="00DC1063">
        <w:t xml:space="preserve"> status, for each </w:t>
      </w:r>
      <w:proofErr w:type="spellStart"/>
      <w:r w:rsidR="00BB17F8" w:rsidRPr="00DC1063">
        <w:t>omaveloxolone</w:t>
      </w:r>
      <w:proofErr w:type="spellEnd"/>
      <w:r w:rsidR="00BB17F8" w:rsidRPr="00DC1063">
        <w:t xml:space="preserve"> dose group at Week 12, the difference in change in peak work from baseline compared with placebo was not statistically significant</w:t>
      </w:r>
      <w:r w:rsidR="00BB17F8">
        <w:t>.</w:t>
      </w:r>
    </w:p>
    <w:p w14:paraId="0E44E72A" w14:textId="1EF3F853" w:rsidR="00FE583D" w:rsidRPr="003F01DE" w:rsidRDefault="00FE583D" w:rsidP="00721E69">
      <w:pPr>
        <w:pStyle w:val="FigureTitle"/>
        <w:spacing w:before="240"/>
      </w:pPr>
      <w:r w:rsidRPr="003F01DE">
        <w:t xml:space="preserve">Table </w:t>
      </w:r>
      <w:fldSimple w:instr=" SEQ Table \* ARABIC ">
        <w:r w:rsidR="002226A7">
          <w:rPr>
            <w:noProof/>
          </w:rPr>
          <w:t>1</w:t>
        </w:r>
        <w:r w:rsidR="00836C52">
          <w:rPr>
            <w:noProof/>
          </w:rPr>
          <w:t>8</w:t>
        </w:r>
      </w:fldSimple>
      <w:r w:rsidRPr="003F01DE">
        <w:t xml:space="preserve">: Change from </w:t>
      </w:r>
      <w:r w:rsidR="00836C52">
        <w:t>b</w:t>
      </w:r>
      <w:r w:rsidR="00836C52" w:rsidRPr="003F01DE">
        <w:t xml:space="preserve">aseline </w:t>
      </w:r>
      <w:r w:rsidRPr="003F01DE">
        <w:t>at Week 12 in Peak Work (W/kg), All Patients Regardless of Pes Cavus Status (ITT Population)</w:t>
      </w:r>
    </w:p>
    <w:p w14:paraId="0465005E" w14:textId="77777777" w:rsidR="00FE583D" w:rsidRDefault="00FE583D" w:rsidP="00FE583D">
      <w:r>
        <w:rPr>
          <w:noProof/>
        </w:rPr>
        <w:drawing>
          <wp:inline distT="0" distB="0" distL="0" distR="0" wp14:anchorId="30F421DC" wp14:editId="1281E531">
            <wp:extent cx="5769204" cy="1998332"/>
            <wp:effectExtent l="0" t="0" r="3175" b="2540"/>
            <wp:docPr id="26" name="Picture 26" descr="Table 18: Change from baseline at Week 12 in Peak Work (W/kg), All Patients Regardless of Pes Cavus Statu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 18: Change from baseline at Week 12 in Peak Work (W/kg), All Patients Regardless of Pes Cavus Status (ITT Popul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4811" cy="2017593"/>
                    </a:xfrm>
                    <a:prstGeom prst="rect">
                      <a:avLst/>
                    </a:prstGeom>
                    <a:noFill/>
                  </pic:spPr>
                </pic:pic>
              </a:graphicData>
            </a:graphic>
          </wp:inline>
        </w:drawing>
      </w:r>
    </w:p>
    <w:p w14:paraId="3D5AA484" w14:textId="77777777" w:rsidR="00BB17F8" w:rsidRDefault="00BB17F8" w:rsidP="00FE583D"/>
    <w:p w14:paraId="1908889B" w14:textId="77777777" w:rsidR="00863595" w:rsidRDefault="00FE583D" w:rsidP="00863595">
      <w:r>
        <w:t xml:space="preserve">The secondary efficacy endpoint of change in </w:t>
      </w:r>
      <w:proofErr w:type="spellStart"/>
      <w:r>
        <w:t>mFARS</w:t>
      </w:r>
      <w:proofErr w:type="spellEnd"/>
      <w:r>
        <w:t xml:space="preserve"> score from baseline to week 12 is shown in table </w:t>
      </w:r>
      <w:r w:rsidR="00621FA2">
        <w:t>1</w:t>
      </w:r>
      <w:r>
        <w:t>9.</w:t>
      </w:r>
      <w:r w:rsidR="00863595">
        <w:t xml:space="preserve"> No group reach statistical significance for reduction in </w:t>
      </w:r>
      <w:proofErr w:type="spellStart"/>
      <w:r w:rsidR="00863595">
        <w:t>mFARS</w:t>
      </w:r>
      <w:proofErr w:type="spellEnd"/>
      <w:r w:rsidR="00863595">
        <w:t xml:space="preserve"> compared to placebo, the 160mg dose had a mean change of -3.75 in </w:t>
      </w:r>
      <w:proofErr w:type="spellStart"/>
      <w:r w:rsidR="00863595">
        <w:t>mFARS</w:t>
      </w:r>
      <w:proofErr w:type="spellEnd"/>
      <w:r w:rsidR="00863595">
        <w:t xml:space="preserve"> score that did not reach statistical significance.</w:t>
      </w:r>
    </w:p>
    <w:p w14:paraId="1CBB4983" w14:textId="19395456" w:rsidR="00FE583D" w:rsidRPr="00836B0E" w:rsidRDefault="00FE583D" w:rsidP="00BB17F8">
      <w:pPr>
        <w:pStyle w:val="TableTitle"/>
        <w:spacing w:before="240"/>
      </w:pPr>
      <w:r w:rsidRPr="00836B0E">
        <w:t xml:space="preserve">Table </w:t>
      </w:r>
      <w:r w:rsidR="00AE03F3">
        <w:t>19</w:t>
      </w:r>
      <w:r w:rsidRPr="00836B0E">
        <w:t xml:space="preserve">: Change from </w:t>
      </w:r>
      <w:r w:rsidR="00621FA2">
        <w:t>b</w:t>
      </w:r>
      <w:r w:rsidRPr="00836B0E">
        <w:t xml:space="preserve">aseline at Week 12 in </w:t>
      </w:r>
      <w:r w:rsidR="00975418">
        <w:t>m</w:t>
      </w:r>
      <w:r w:rsidRPr="00836B0E">
        <w:t>odified Friedreich’s Ataxia Rating Scale (</w:t>
      </w:r>
      <w:proofErr w:type="spellStart"/>
      <w:r w:rsidRPr="00836B0E">
        <w:t>mFARS</w:t>
      </w:r>
      <w:proofErr w:type="spellEnd"/>
      <w:r w:rsidRPr="00836B0E">
        <w:t xml:space="preserve">) Score, </w:t>
      </w:r>
      <w:r w:rsidR="00975418">
        <w:t>a</w:t>
      </w:r>
      <w:r w:rsidRPr="00836B0E">
        <w:t xml:space="preserve">ll </w:t>
      </w:r>
      <w:r w:rsidR="00975418">
        <w:t>p</w:t>
      </w:r>
      <w:r w:rsidRPr="00836B0E">
        <w:t xml:space="preserve">atients </w:t>
      </w:r>
      <w:r w:rsidR="00975418">
        <w:t>r</w:t>
      </w:r>
      <w:r w:rsidRPr="00836B0E">
        <w:t xml:space="preserve">egardless of </w:t>
      </w:r>
      <w:r w:rsidR="00B55F6F">
        <w:t>p</w:t>
      </w:r>
      <w:r w:rsidRPr="00836B0E">
        <w:t xml:space="preserve">es </w:t>
      </w:r>
      <w:proofErr w:type="spellStart"/>
      <w:r w:rsidR="00B55F6F">
        <w:t>c</w:t>
      </w:r>
      <w:r w:rsidRPr="00836B0E">
        <w:t>avus</w:t>
      </w:r>
      <w:proofErr w:type="spellEnd"/>
      <w:r w:rsidRPr="00836B0E">
        <w:t xml:space="preserve"> </w:t>
      </w:r>
      <w:r w:rsidR="00B55F6F">
        <w:t>s</w:t>
      </w:r>
      <w:r w:rsidRPr="00836B0E">
        <w:t>tatus (ITT Population)</w:t>
      </w:r>
    </w:p>
    <w:p w14:paraId="57FFD6C5" w14:textId="77777777" w:rsidR="00FE583D" w:rsidRDefault="00FE583D" w:rsidP="00FE583D">
      <w:r w:rsidRPr="000B1C2E">
        <w:rPr>
          <w:noProof/>
        </w:rPr>
        <w:drawing>
          <wp:inline distT="0" distB="0" distL="0" distR="0" wp14:anchorId="137279EB" wp14:editId="6D1E550F">
            <wp:extent cx="5796915" cy="1772239"/>
            <wp:effectExtent l="0" t="0" r="0" b="0"/>
            <wp:docPr id="27" name="Picture 27" descr="Table 19: Change from baseline at Week 12 in Modified Friedreich’s Ataxia Rating Scale (mFARS) Score, All Patients Regardless of Pes Cavus Statu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 19: Change from baseline at Week 12 in Modified Friedreich’s Ataxia Rating Scale (mFARS) Score, All Patients Regardless of Pes Cavus Status (ITT Population)"/>
                    <pic:cNvPicPr/>
                  </pic:nvPicPr>
                  <pic:blipFill>
                    <a:blip r:embed="rId66"/>
                    <a:stretch>
                      <a:fillRect/>
                    </a:stretch>
                  </pic:blipFill>
                  <pic:spPr>
                    <a:xfrm>
                      <a:off x="0" y="0"/>
                      <a:ext cx="5822316" cy="1780005"/>
                    </a:xfrm>
                    <a:prstGeom prst="rect">
                      <a:avLst/>
                    </a:prstGeom>
                  </pic:spPr>
                </pic:pic>
              </a:graphicData>
            </a:graphic>
          </wp:inline>
        </w:drawing>
      </w:r>
    </w:p>
    <w:p w14:paraId="3E6C168E" w14:textId="77777777" w:rsidR="00221CFC" w:rsidRDefault="00221CFC" w:rsidP="00FE0AB3"/>
    <w:p w14:paraId="6A2A71C7" w14:textId="77777777" w:rsidR="00221CFC" w:rsidRDefault="00221CFC">
      <w:r>
        <w:br w:type="page"/>
      </w:r>
    </w:p>
    <w:p w14:paraId="2BBF9E50" w14:textId="30954951" w:rsidR="00FE0AB3" w:rsidRDefault="00FE0AB3" w:rsidP="00FE0AB3">
      <w:r>
        <w:lastRenderedPageBreak/>
        <w:t xml:space="preserve">In the subgroup of patients without pes </w:t>
      </w:r>
      <w:proofErr w:type="spellStart"/>
      <w:r>
        <w:t>cavus</w:t>
      </w:r>
      <w:proofErr w:type="spellEnd"/>
      <w:r>
        <w:t xml:space="preserve"> there a statistically significant reduction from baseline compared to week 12 in the </w:t>
      </w:r>
      <w:proofErr w:type="spellStart"/>
      <w:r>
        <w:t>mFARS</w:t>
      </w:r>
      <w:proofErr w:type="spellEnd"/>
      <w:r>
        <w:t xml:space="preserve"> score of -5.96 (p=0.0112) in the 5mg treatment group and the same -5.96 (p=0.0112) was noted in the 160mg treatment group. No statistically significant reduction in </w:t>
      </w:r>
      <w:proofErr w:type="spellStart"/>
      <w:r>
        <w:t>mFARS</w:t>
      </w:r>
      <w:proofErr w:type="spellEnd"/>
      <w:r>
        <w:t xml:space="preserve"> scores in participants with pes </w:t>
      </w:r>
      <w:proofErr w:type="spellStart"/>
      <w:r>
        <w:t>cavus</w:t>
      </w:r>
      <w:proofErr w:type="spellEnd"/>
      <w:r>
        <w:t xml:space="preserve"> were noted</w:t>
      </w:r>
      <w:r w:rsidR="007E018D">
        <w:t xml:space="preserve"> (table 20)</w:t>
      </w:r>
      <w:r>
        <w:t>.</w:t>
      </w:r>
    </w:p>
    <w:p w14:paraId="4743AF9B" w14:textId="77777777" w:rsidR="00FE0AB3" w:rsidRDefault="00FE0AB3" w:rsidP="001A7FDC">
      <w:pPr>
        <w:pStyle w:val="TableTitle"/>
      </w:pPr>
    </w:p>
    <w:p w14:paraId="654A1E08" w14:textId="335EE8F4" w:rsidR="00FE583D" w:rsidRPr="00173DBE" w:rsidRDefault="00FE583D" w:rsidP="001A7FDC">
      <w:pPr>
        <w:pStyle w:val="TableTitle"/>
      </w:pPr>
      <w:r w:rsidRPr="00173DBE">
        <w:t xml:space="preserve">Table </w:t>
      </w:r>
      <w:r w:rsidR="00621FA2">
        <w:t>20</w:t>
      </w:r>
      <w:r w:rsidRPr="00173DBE">
        <w:t xml:space="preserve">: Change from </w:t>
      </w:r>
      <w:r w:rsidR="001537EF">
        <w:t>b</w:t>
      </w:r>
      <w:r w:rsidRPr="00173DBE">
        <w:t xml:space="preserve">aseline at </w:t>
      </w:r>
      <w:r w:rsidR="001537EF">
        <w:t>w</w:t>
      </w:r>
      <w:r w:rsidRPr="00173DBE">
        <w:t>eek 12 in Modified Friedreich’s Ataxia Rating Scale (</w:t>
      </w:r>
      <w:proofErr w:type="spellStart"/>
      <w:r w:rsidRPr="00173DBE">
        <w:t>mFARS</w:t>
      </w:r>
      <w:proofErr w:type="spellEnd"/>
      <w:r w:rsidRPr="00173DBE">
        <w:t xml:space="preserve">) </w:t>
      </w:r>
      <w:r w:rsidR="0061140D">
        <w:t>s</w:t>
      </w:r>
      <w:r w:rsidRPr="00173DBE">
        <w:t xml:space="preserve">core, </w:t>
      </w:r>
      <w:r w:rsidR="001537EF">
        <w:t>p</w:t>
      </w:r>
      <w:r w:rsidRPr="00173DBE">
        <w:t xml:space="preserve">atients </w:t>
      </w:r>
      <w:r w:rsidR="001537EF">
        <w:t>w</w:t>
      </w:r>
      <w:r w:rsidRPr="00173DBE">
        <w:t xml:space="preserve">ithout </w:t>
      </w:r>
      <w:r w:rsidR="001537EF">
        <w:t>p</w:t>
      </w:r>
      <w:r w:rsidRPr="00173DBE">
        <w:t xml:space="preserve">es </w:t>
      </w:r>
      <w:proofErr w:type="spellStart"/>
      <w:r w:rsidR="001537EF">
        <w:t>c</w:t>
      </w:r>
      <w:r w:rsidRPr="00173DBE">
        <w:t>avus</w:t>
      </w:r>
      <w:proofErr w:type="spellEnd"/>
      <w:r w:rsidRPr="00173DBE">
        <w:t xml:space="preserve"> (ITT Population)</w:t>
      </w:r>
    </w:p>
    <w:p w14:paraId="676EFD02" w14:textId="77777777" w:rsidR="00FE583D" w:rsidRDefault="00FE583D" w:rsidP="00FE583D">
      <w:r w:rsidRPr="008F660C">
        <w:rPr>
          <w:noProof/>
        </w:rPr>
        <w:drawing>
          <wp:inline distT="0" distB="0" distL="0" distR="0" wp14:anchorId="2A7597C0" wp14:editId="4ADEFD85">
            <wp:extent cx="5825490" cy="1659118"/>
            <wp:effectExtent l="0" t="0" r="3810" b="0"/>
            <wp:docPr id="28" name="Picture 28" descr="Table 20: Change from Baseline at Week 12 in Modified Friedreich’s Ataxia Rating Scale (mFARS) Score, Patients Without Pes Cavu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 20: Change from Baseline at Week 12 in Modified Friedreich’s Ataxia Rating Scale (mFARS) Score, Patients Without Pes Cavus (ITT Population)"/>
                    <pic:cNvPicPr/>
                  </pic:nvPicPr>
                  <pic:blipFill>
                    <a:blip r:embed="rId67"/>
                    <a:stretch>
                      <a:fillRect/>
                    </a:stretch>
                  </pic:blipFill>
                  <pic:spPr>
                    <a:xfrm>
                      <a:off x="0" y="0"/>
                      <a:ext cx="5833340" cy="1661354"/>
                    </a:xfrm>
                    <a:prstGeom prst="rect">
                      <a:avLst/>
                    </a:prstGeom>
                  </pic:spPr>
                </pic:pic>
              </a:graphicData>
            </a:graphic>
          </wp:inline>
        </w:drawing>
      </w:r>
    </w:p>
    <w:p w14:paraId="5057D2DC" w14:textId="77777777" w:rsidR="00FE583D" w:rsidRDefault="00FE583D" w:rsidP="007D46AE">
      <w:pPr>
        <w:spacing w:before="240"/>
      </w:pPr>
      <w:r>
        <w:t xml:space="preserve">For </w:t>
      </w:r>
      <w:r w:rsidRPr="00776C54">
        <w:t>all exploratory endpoints, changes from baseline were highly variable, and no clear dose-dependent or time-dependent trends were observed. None of the</w:t>
      </w:r>
      <w:r>
        <w:t xml:space="preserve"> </w:t>
      </w:r>
      <w:proofErr w:type="spellStart"/>
      <w:r w:rsidRPr="00776C54">
        <w:t>omaveloxolone</w:t>
      </w:r>
      <w:proofErr w:type="spellEnd"/>
      <w:r w:rsidRPr="00776C54">
        <w:t xml:space="preserve"> treatment groups showed a statistically significant improvement compared with placebo at Week 12.</w:t>
      </w:r>
    </w:p>
    <w:p w14:paraId="54411D1C" w14:textId="77777777" w:rsidR="00FE583D" w:rsidRPr="007D46AE" w:rsidRDefault="00FE583D" w:rsidP="007D46AE">
      <w:pPr>
        <w:pStyle w:val="Heading6"/>
        <w:spacing w:before="360"/>
        <w:rPr>
          <w:b w:val="0"/>
          <w:bCs w:val="0"/>
          <w:i w:val="0"/>
          <w:iCs/>
        </w:rPr>
      </w:pPr>
      <w:bookmarkStart w:id="69" w:name="_Ref183600802"/>
      <w:r w:rsidRPr="007D46AE">
        <w:rPr>
          <w:bCs w:val="0"/>
          <w:i w:val="0"/>
          <w:iCs/>
        </w:rPr>
        <w:t>Study 1402 Part 2</w:t>
      </w:r>
      <w:bookmarkEnd w:id="69"/>
    </w:p>
    <w:p w14:paraId="6106972F" w14:textId="67654CA0" w:rsidR="00FE583D" w:rsidRDefault="00FE583D" w:rsidP="00FE583D">
      <w:r>
        <w:t xml:space="preserve">This was the </w:t>
      </w:r>
      <w:r w:rsidR="007B6B69">
        <w:t>sponsor</w:t>
      </w:r>
      <w:r w:rsidR="004C338D">
        <w:t>’</w:t>
      </w:r>
      <w:r>
        <w:t xml:space="preserve">s pivotal study in establishing safety and efficacy for use of </w:t>
      </w:r>
      <w:proofErr w:type="spellStart"/>
      <w:r>
        <w:t>omaveloxolone</w:t>
      </w:r>
      <w:proofErr w:type="spellEnd"/>
      <w:r>
        <w:t xml:space="preserve"> 150mg daily for the proposed indication in patients with FA.</w:t>
      </w:r>
    </w:p>
    <w:p w14:paraId="54E2C203" w14:textId="578D08AA" w:rsidR="00FE583D" w:rsidRDefault="00FE583D" w:rsidP="00FE583D">
      <w:r w:rsidRPr="004A6B85">
        <w:t xml:space="preserve">Part 2 of this study was a randomized, placebo-controlled, double-blind, parallel-group study to evaluate the safety and efficacy of </w:t>
      </w:r>
      <w:proofErr w:type="spellStart"/>
      <w:r w:rsidRPr="004A6B85">
        <w:t>omaveloxolone</w:t>
      </w:r>
      <w:proofErr w:type="spellEnd"/>
      <w:r w:rsidRPr="004A6B85">
        <w:t xml:space="preserve"> 150 mg in patients with FA. The </w:t>
      </w:r>
      <w:proofErr w:type="spellStart"/>
      <w:r w:rsidRPr="004A6B85">
        <w:t>omaveloxolone</w:t>
      </w:r>
      <w:proofErr w:type="spellEnd"/>
      <w:r w:rsidRPr="004A6B85">
        <w:t xml:space="preserve"> dose of 150 mg was selected for Part 2 based on review by the Data Safety Monitoring Board (DSMB) and the </w:t>
      </w:r>
      <w:r w:rsidR="004C338D">
        <w:t>s</w:t>
      </w:r>
      <w:r w:rsidR="007B6B69">
        <w:t>ponsor</w:t>
      </w:r>
      <w:r w:rsidRPr="004A6B85">
        <w:t xml:space="preserve"> of available data from </w:t>
      </w:r>
      <w:r w:rsidR="00390DF8">
        <w:t>p</w:t>
      </w:r>
      <w:r w:rsidRPr="004A6B85">
        <w:t>art 1, including safety,</w:t>
      </w:r>
      <w:r>
        <w:t xml:space="preserve"> </w:t>
      </w:r>
      <w:r w:rsidRPr="009C4CE9">
        <w:t>efficacy, PK, and PD data.</w:t>
      </w:r>
      <w:r>
        <w:t xml:space="preserve"> </w:t>
      </w:r>
      <w:r w:rsidRPr="00114F9F">
        <w:t>A total of 11 investigative sites (7 sites in the United States, 1 site in Australia, 1 site in Austria, 1 site in Italy, and 1 site in the United Kingdom) enrolled at least 1 patient.</w:t>
      </w:r>
      <w:r>
        <w:t xml:space="preserve"> This study ran from 20 October 2017 to 31 October 2019.</w:t>
      </w:r>
    </w:p>
    <w:p w14:paraId="34D6928A" w14:textId="77777777" w:rsidR="00FE583D" w:rsidRDefault="00FE583D" w:rsidP="00FE583D"/>
    <w:p w14:paraId="26C090DA" w14:textId="0BA0288B" w:rsidR="00FE583D" w:rsidRPr="00B13B91" w:rsidRDefault="00FE583D" w:rsidP="00621FA2">
      <w:pPr>
        <w:pStyle w:val="FigureTitle"/>
      </w:pPr>
      <w:r w:rsidRPr="00B13B91">
        <w:t xml:space="preserve">Figure </w:t>
      </w:r>
      <w:fldSimple w:instr=" SEQ Figure \* ARABIC ">
        <w:r>
          <w:rPr>
            <w:noProof/>
          </w:rPr>
          <w:t>11</w:t>
        </w:r>
      </w:fldSimple>
      <w:r w:rsidRPr="00B13B91">
        <w:t xml:space="preserve">: Study 1402 Part 2 </w:t>
      </w:r>
      <w:r w:rsidR="009157D4">
        <w:t>s</w:t>
      </w:r>
      <w:r w:rsidRPr="00B13B91">
        <w:t xml:space="preserve">tudy </w:t>
      </w:r>
      <w:r w:rsidR="009157D4">
        <w:t>d</w:t>
      </w:r>
      <w:r w:rsidRPr="00B13B91">
        <w:t>esign</w:t>
      </w:r>
    </w:p>
    <w:p w14:paraId="4481B112" w14:textId="77777777" w:rsidR="00FE583D" w:rsidRDefault="00FE583D" w:rsidP="00FE583D">
      <w:r w:rsidRPr="00D16C79">
        <w:rPr>
          <w:noProof/>
        </w:rPr>
        <w:drawing>
          <wp:inline distT="0" distB="0" distL="0" distR="0" wp14:anchorId="7662E7C2" wp14:editId="0C400365">
            <wp:extent cx="5731510" cy="1997710"/>
            <wp:effectExtent l="0" t="0" r="2540" b="2540"/>
            <wp:docPr id="30" name="Picture 30" descr="Figure 11: Study 1402 Part 2 Study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11: Study 1402 Part 2 Study Design"/>
                    <pic:cNvPicPr/>
                  </pic:nvPicPr>
                  <pic:blipFill>
                    <a:blip r:embed="rId68"/>
                    <a:stretch>
                      <a:fillRect/>
                    </a:stretch>
                  </pic:blipFill>
                  <pic:spPr>
                    <a:xfrm>
                      <a:off x="0" y="0"/>
                      <a:ext cx="5731510" cy="1997710"/>
                    </a:xfrm>
                    <a:prstGeom prst="rect">
                      <a:avLst/>
                    </a:prstGeom>
                  </pic:spPr>
                </pic:pic>
              </a:graphicData>
            </a:graphic>
          </wp:inline>
        </w:drawing>
      </w:r>
    </w:p>
    <w:p w14:paraId="05DDD639" w14:textId="77777777" w:rsidR="00390DF8" w:rsidRDefault="00390DF8">
      <w:r>
        <w:br w:type="page"/>
      </w:r>
    </w:p>
    <w:p w14:paraId="3E72CA05" w14:textId="1AEC36BF" w:rsidR="00FE583D" w:rsidRDefault="00FE583D" w:rsidP="00FE583D">
      <w:r>
        <w:lastRenderedPageBreak/>
        <w:t xml:space="preserve">The </w:t>
      </w:r>
      <w:r w:rsidR="007B6B69">
        <w:t>sponsor</w:t>
      </w:r>
      <w:r>
        <w:t xml:space="preserve"> has postulated that FA patients with pes </w:t>
      </w:r>
      <w:proofErr w:type="spellStart"/>
      <w:r>
        <w:t>cavus</w:t>
      </w:r>
      <w:proofErr w:type="spellEnd"/>
      <w:r>
        <w:t xml:space="preserve"> may have a different pathophysiology and clinical phenotype based on the results of part 1 of this study</w:t>
      </w:r>
      <w:r w:rsidR="00E858EE">
        <w:t xml:space="preserve">. </w:t>
      </w:r>
      <w:r w:rsidR="00B55F6F">
        <w:t>This difference</w:t>
      </w:r>
      <w:r>
        <w:t xml:space="preserve"> may result in difficulties using measures such as the </w:t>
      </w:r>
      <w:proofErr w:type="spellStart"/>
      <w:r>
        <w:t>mFARS</w:t>
      </w:r>
      <w:proofErr w:type="spellEnd"/>
      <w:r>
        <w:t xml:space="preserve"> (possibly due to increased difficulty with balancing and standing due to altered foot structure) score to detect improvements in the </w:t>
      </w:r>
      <w:proofErr w:type="spellStart"/>
      <w:r>
        <w:t>mFARS</w:t>
      </w:r>
      <w:proofErr w:type="spellEnd"/>
      <w:r>
        <w:t xml:space="preserve"> score in this FA population with pes </w:t>
      </w:r>
      <w:proofErr w:type="spellStart"/>
      <w:r>
        <w:t>cavus</w:t>
      </w:r>
      <w:proofErr w:type="spellEnd"/>
      <w:r>
        <w:t xml:space="preserve">. </w:t>
      </w:r>
      <w:r w:rsidR="004C338D">
        <w:t>The s</w:t>
      </w:r>
      <w:r w:rsidR="007B6B69">
        <w:t>ponsor</w:t>
      </w:r>
      <w:r>
        <w:t xml:space="preserve"> states due to this possibility no more </w:t>
      </w:r>
      <w:r w:rsidR="005257FD">
        <w:t>than</w:t>
      </w:r>
      <w:r>
        <w:t xml:space="preserve"> 20% of FA participants enrolled in part 2 had pes </w:t>
      </w:r>
      <w:proofErr w:type="spellStart"/>
      <w:r>
        <w:t>cavus</w:t>
      </w:r>
      <w:proofErr w:type="spellEnd"/>
      <w:r>
        <w:t xml:space="preserve"> and randomization was stratified by pes </w:t>
      </w:r>
      <w:proofErr w:type="spellStart"/>
      <w:r>
        <w:t>cavus</w:t>
      </w:r>
      <w:proofErr w:type="spellEnd"/>
      <w:r>
        <w:t xml:space="preserve"> status.</w:t>
      </w:r>
    </w:p>
    <w:p w14:paraId="044A171E" w14:textId="77777777" w:rsidR="00693938" w:rsidRDefault="00FE583D" w:rsidP="00FE583D">
      <w:r w:rsidRPr="0068500B">
        <w:t xml:space="preserve">The patients were randomized 1:1 to receive 48 weeks of </w:t>
      </w:r>
      <w:proofErr w:type="spellStart"/>
      <w:r w:rsidRPr="0068500B">
        <w:t>omaveloxolone</w:t>
      </w:r>
      <w:proofErr w:type="spellEnd"/>
      <w:r w:rsidRPr="0068500B">
        <w:t xml:space="preserve"> 150 mg or placebo.</w:t>
      </w:r>
      <w:r>
        <w:t xml:space="preserve"> A total of 103 participants were randomized in this study.</w:t>
      </w:r>
      <w:r w:rsidRPr="008A7D92">
        <w:t xml:space="preserve"> 51 </w:t>
      </w:r>
      <w:r>
        <w:t>participants</w:t>
      </w:r>
      <w:r w:rsidRPr="008A7D92">
        <w:t xml:space="preserve"> were randomized to </w:t>
      </w:r>
      <w:r w:rsidR="00693938">
        <w:t xml:space="preserve">the </w:t>
      </w:r>
      <w:proofErr w:type="spellStart"/>
      <w:r w:rsidRPr="008A7D92">
        <w:t>omaveloxolone</w:t>
      </w:r>
      <w:proofErr w:type="spellEnd"/>
      <w:r w:rsidRPr="008A7D92">
        <w:t xml:space="preserve"> (150 mg) </w:t>
      </w:r>
      <w:r w:rsidR="00693938" w:rsidRPr="008A7D92">
        <w:t>group,</w:t>
      </w:r>
      <w:r w:rsidRPr="008A7D92">
        <w:t xml:space="preserve"> and 52 </w:t>
      </w:r>
      <w:r>
        <w:t>participants</w:t>
      </w:r>
      <w:r w:rsidRPr="008A7D92">
        <w:t xml:space="preserve"> were randomized to </w:t>
      </w:r>
      <w:r w:rsidR="00693938">
        <w:t xml:space="preserve">the </w:t>
      </w:r>
      <w:r w:rsidRPr="008A7D92">
        <w:t>placebo group.</w:t>
      </w:r>
    </w:p>
    <w:p w14:paraId="3BF97F35" w14:textId="77777777" w:rsidR="007523F0" w:rsidRDefault="00FE583D" w:rsidP="00FE583D">
      <w:r w:rsidRPr="008A7D92">
        <w:t xml:space="preserve">A total of 94 (91%) </w:t>
      </w:r>
      <w:r>
        <w:t xml:space="preserve">participants </w:t>
      </w:r>
      <w:r w:rsidRPr="008A7D92">
        <w:t xml:space="preserve">completed treatment through Week 48 of the study, including 44/51 (86.3%) randomized to the </w:t>
      </w:r>
      <w:proofErr w:type="spellStart"/>
      <w:r w:rsidRPr="008A7D92">
        <w:t>omaveloxolone</w:t>
      </w:r>
      <w:proofErr w:type="spellEnd"/>
      <w:r w:rsidRPr="008A7D92">
        <w:t xml:space="preserve"> group and 50/52 (96.2%) randomized to the placebo group.</w:t>
      </w:r>
      <w:r w:rsidRPr="0068500B">
        <w:t xml:space="preserve"> </w:t>
      </w:r>
      <w:r>
        <w:t xml:space="preserve">4 (7.8%) in the </w:t>
      </w:r>
      <w:proofErr w:type="spellStart"/>
      <w:r>
        <w:t>omaveloxolone</w:t>
      </w:r>
      <w:proofErr w:type="spellEnd"/>
      <w:r>
        <w:t xml:space="preserve"> group and 2 (3.8%) in the placebo group discontinued treatment prior to week 48 due to occurrence of an adverse event (AE). </w:t>
      </w:r>
    </w:p>
    <w:p w14:paraId="54BCEA6C" w14:textId="19C56834" w:rsidR="00FE583D" w:rsidRDefault="00FE583D" w:rsidP="00FE583D">
      <w:r>
        <w:t xml:space="preserve">From study day 1 to end of week 48 participants were to </w:t>
      </w:r>
      <w:r w:rsidRPr="0004198B">
        <w:t>self-administer</w:t>
      </w:r>
      <w:r>
        <w:t xml:space="preserve"> 3 capsules (50mg) of </w:t>
      </w:r>
      <w:proofErr w:type="spellStart"/>
      <w:r>
        <w:t>omaveloxolone</w:t>
      </w:r>
      <w:proofErr w:type="spellEnd"/>
      <w:r>
        <w:t xml:space="preserve"> (or placebo) once daily, on an empty stomach (1 hour before meals or 2 hours after eating). </w:t>
      </w:r>
      <w:r w:rsidRPr="00D105C0">
        <w:t xml:space="preserve">A follow-up </w:t>
      </w:r>
      <w:r w:rsidR="007523F0" w:rsidRPr="00D105C0">
        <w:t>visits</w:t>
      </w:r>
      <w:r w:rsidRPr="00D105C0">
        <w:t xml:space="preserve"> for safety occurred at Week 52 (4 weeks after the last dose)</w:t>
      </w:r>
      <w:r>
        <w:t>.</w:t>
      </w:r>
      <w:r w:rsidRPr="00D105C0">
        <w:t xml:space="preserve"> </w:t>
      </w:r>
      <w:r>
        <w:t>All study drug kits were packaged with blinded labels to maintain the study double-blind.</w:t>
      </w:r>
    </w:p>
    <w:p w14:paraId="6E7A0B72" w14:textId="59D9015D" w:rsidR="00FE583D" w:rsidRDefault="00FE583D" w:rsidP="00FE583D">
      <w:r>
        <w:t xml:space="preserve">The primary objectives of </w:t>
      </w:r>
      <w:r w:rsidR="000F4C87">
        <w:t>p</w:t>
      </w:r>
      <w:r>
        <w:t>art 2 of the study were</w:t>
      </w:r>
      <w:r w:rsidR="006734E5">
        <w:t xml:space="preserve"> to</w:t>
      </w:r>
      <w:r w:rsidR="00227C5B">
        <w:t xml:space="preserve"> evaluate</w:t>
      </w:r>
      <w:r>
        <w:t>:</w:t>
      </w:r>
    </w:p>
    <w:p w14:paraId="5B1608ED" w14:textId="2449F2E7" w:rsidR="00FE583D" w:rsidRPr="00B55F6F" w:rsidRDefault="00FE583D" w:rsidP="00B55F6F">
      <w:pPr>
        <w:pStyle w:val="ListBullet"/>
      </w:pPr>
      <w:r w:rsidRPr="00B55F6F">
        <w:t>change in the modified FA rating scale (</w:t>
      </w:r>
      <w:proofErr w:type="spellStart"/>
      <w:r w:rsidRPr="00B55F6F">
        <w:t>mFARS</w:t>
      </w:r>
      <w:proofErr w:type="spellEnd"/>
      <w:r w:rsidRPr="00B55F6F">
        <w:t>) score at Week 48</w:t>
      </w:r>
    </w:p>
    <w:p w14:paraId="77615751" w14:textId="145BEDDD" w:rsidR="00FE583D" w:rsidRPr="00B55F6F" w:rsidRDefault="00FE583D" w:rsidP="00B55F6F">
      <w:pPr>
        <w:pStyle w:val="ListBullet"/>
      </w:pPr>
      <w:r w:rsidRPr="00B55F6F">
        <w:t xml:space="preserve">safety and tolerability of </w:t>
      </w:r>
      <w:proofErr w:type="spellStart"/>
      <w:r w:rsidRPr="00B55F6F">
        <w:t>omaveloxolone</w:t>
      </w:r>
      <w:proofErr w:type="spellEnd"/>
      <w:r w:rsidR="006734E5" w:rsidRPr="00B55F6F">
        <w:t>.</w:t>
      </w:r>
    </w:p>
    <w:p w14:paraId="6C5FBBDA" w14:textId="62697992" w:rsidR="00FE583D" w:rsidRDefault="00FE583D" w:rsidP="00FE583D">
      <w:r>
        <w:t xml:space="preserve">The secondary objectives of </w:t>
      </w:r>
      <w:r w:rsidR="000F4C87">
        <w:t>p</w:t>
      </w:r>
      <w:r>
        <w:t>art 2 were</w:t>
      </w:r>
      <w:r w:rsidR="006734E5">
        <w:t xml:space="preserve"> to</w:t>
      </w:r>
      <w:r w:rsidR="00227C5B">
        <w:t xml:space="preserve"> evaluate</w:t>
      </w:r>
      <w:r>
        <w:t>:</w:t>
      </w:r>
    </w:p>
    <w:p w14:paraId="2FB69D19" w14:textId="6D6B61E7" w:rsidR="00FE583D" w:rsidRPr="005257FD" w:rsidRDefault="00FE583D" w:rsidP="00C16E2C">
      <w:pPr>
        <w:pStyle w:val="ListBullet"/>
      </w:pPr>
      <w:r w:rsidRPr="005257FD">
        <w:t>change in peak work during maximal exercise testing at Week 48</w:t>
      </w:r>
    </w:p>
    <w:p w14:paraId="0BB58826" w14:textId="7FD574C5" w:rsidR="00FE583D" w:rsidRPr="005257FD" w:rsidRDefault="00FE583D" w:rsidP="00C16E2C">
      <w:pPr>
        <w:pStyle w:val="ListBullet"/>
      </w:pPr>
      <w:r w:rsidRPr="005257FD">
        <w:t>Patient Global Impression of Change (PGIC) at Week 48</w:t>
      </w:r>
    </w:p>
    <w:p w14:paraId="4E34D8E5" w14:textId="6B3DD5DC" w:rsidR="00FE583D" w:rsidRPr="005257FD" w:rsidRDefault="00FE583D" w:rsidP="00C16E2C">
      <w:pPr>
        <w:pStyle w:val="ListBullet"/>
      </w:pPr>
      <w:r w:rsidRPr="005257FD">
        <w:t>Clinical Global Impression of Change (CGIC) at Week 48</w:t>
      </w:r>
      <w:r w:rsidR="00F74EB3">
        <w:t>.</w:t>
      </w:r>
    </w:p>
    <w:p w14:paraId="5C71A0C8" w14:textId="7D467C93" w:rsidR="00FE583D" w:rsidRDefault="00FE583D" w:rsidP="00FE583D">
      <w:r>
        <w:t xml:space="preserve">The exploratory objectives of </w:t>
      </w:r>
      <w:r w:rsidR="000F4C87">
        <w:t>p</w:t>
      </w:r>
      <w:r>
        <w:t>art 2 were</w:t>
      </w:r>
      <w:r w:rsidR="00F74EB3">
        <w:t xml:space="preserve"> to</w:t>
      </w:r>
      <w:r>
        <w:t>:</w:t>
      </w:r>
    </w:p>
    <w:p w14:paraId="0E31FF76" w14:textId="0CFBF2B7" w:rsidR="00FE583D" w:rsidRPr="005257FD" w:rsidRDefault="00FE583D" w:rsidP="00C16E2C">
      <w:pPr>
        <w:pStyle w:val="ListBullet"/>
      </w:pPr>
      <w:r w:rsidRPr="005257FD">
        <w:t xml:space="preserve">evaluate the distribution of change in </w:t>
      </w:r>
      <w:proofErr w:type="spellStart"/>
      <w:r w:rsidRPr="005257FD">
        <w:t>mFARS</w:t>
      </w:r>
      <w:proofErr w:type="spellEnd"/>
      <w:r w:rsidRPr="005257FD">
        <w:t xml:space="preserve"> scores at Week 48</w:t>
      </w:r>
    </w:p>
    <w:p w14:paraId="2F220D70" w14:textId="361917AE" w:rsidR="00FE583D" w:rsidRPr="005257FD" w:rsidRDefault="00FE583D" w:rsidP="00C16E2C">
      <w:pPr>
        <w:pStyle w:val="ListBullet"/>
      </w:pPr>
      <w:r w:rsidRPr="005257FD">
        <w:t>evaluate the change in the 36-Item Short-Form Health Survey (SF-36®) score</w:t>
      </w:r>
    </w:p>
    <w:p w14:paraId="486A44AC" w14:textId="6BB8CE8E" w:rsidR="00FE583D" w:rsidRPr="005257FD" w:rsidRDefault="00FE583D" w:rsidP="00C16E2C">
      <w:pPr>
        <w:pStyle w:val="ListBullet"/>
      </w:pPr>
      <w:r w:rsidRPr="005257FD">
        <w:t xml:space="preserve">evaluate the change in performance on a 9-hole peg test (9-HPT) </w:t>
      </w:r>
    </w:p>
    <w:p w14:paraId="2FD96329" w14:textId="1BEB922D" w:rsidR="00FE583D" w:rsidRPr="005257FD" w:rsidRDefault="00FE583D" w:rsidP="00C16E2C">
      <w:pPr>
        <w:pStyle w:val="ListBullet"/>
      </w:pPr>
      <w:r w:rsidRPr="005257FD">
        <w:t xml:space="preserve">evaluate the change in performance on a 25-foot timed walk test </w:t>
      </w:r>
    </w:p>
    <w:p w14:paraId="2E1BEF65" w14:textId="52A7EC9D" w:rsidR="00FE583D" w:rsidRPr="005257FD" w:rsidRDefault="00FE583D" w:rsidP="003F6348">
      <w:pPr>
        <w:pStyle w:val="ListBullet"/>
      </w:pPr>
      <w:r w:rsidRPr="005257FD">
        <w:t xml:space="preserve">evaluate the change in the Friedreich’s Ataxia-Activities of Daily Living (ADL; FA-ADL) score </w:t>
      </w:r>
    </w:p>
    <w:p w14:paraId="00BBC160" w14:textId="53882D40" w:rsidR="00FE583D" w:rsidRPr="005257FD" w:rsidRDefault="00FE583D" w:rsidP="00C16E2C">
      <w:pPr>
        <w:pStyle w:val="ListBullet"/>
      </w:pPr>
      <w:r w:rsidRPr="005257FD">
        <w:t xml:space="preserve">evaluate the frequency of falls </w:t>
      </w:r>
    </w:p>
    <w:p w14:paraId="25FDB953" w14:textId="08995C07" w:rsidR="00FE583D" w:rsidRPr="005257FD" w:rsidRDefault="00FE583D" w:rsidP="00B41247">
      <w:pPr>
        <w:pStyle w:val="ListBullet"/>
      </w:pPr>
      <w:r w:rsidRPr="005257FD">
        <w:t xml:space="preserve">characterize the PK of </w:t>
      </w:r>
      <w:proofErr w:type="spellStart"/>
      <w:r w:rsidRPr="005257FD">
        <w:t>omaveloxolone</w:t>
      </w:r>
      <w:proofErr w:type="spellEnd"/>
      <w:r w:rsidRPr="005257FD">
        <w:t xml:space="preserve"> and potential metabolites after oral administration of </w:t>
      </w:r>
      <w:proofErr w:type="spellStart"/>
      <w:r w:rsidRPr="005257FD">
        <w:t>omaveloxolone</w:t>
      </w:r>
      <w:proofErr w:type="spellEnd"/>
      <w:r w:rsidRPr="005257FD">
        <w:t xml:space="preserve"> capsules</w:t>
      </w:r>
      <w:r w:rsidR="00F74EB3">
        <w:t>.</w:t>
      </w:r>
    </w:p>
    <w:p w14:paraId="338F72FF" w14:textId="19957328" w:rsidR="002E4ACB" w:rsidRDefault="00F91AF9" w:rsidP="00FE583D">
      <w:r>
        <w:br w:type="page"/>
      </w:r>
      <w:r w:rsidR="00FE583D">
        <w:lastRenderedPageBreak/>
        <w:t xml:space="preserve">In choosing the change in </w:t>
      </w:r>
      <w:proofErr w:type="spellStart"/>
      <w:r w:rsidR="00FE583D">
        <w:t>mFARS</w:t>
      </w:r>
      <w:proofErr w:type="spellEnd"/>
      <w:r w:rsidR="00FE583D">
        <w:t xml:space="preserve"> score as the primary efficacy endpoint</w:t>
      </w:r>
      <w:r w:rsidR="00F74EB3">
        <w:t>,</w:t>
      </w:r>
      <w:r w:rsidR="00FE583D">
        <w:t xml:space="preserve"> the </w:t>
      </w:r>
      <w:r w:rsidR="007B6B69">
        <w:t>sponsor</w:t>
      </w:r>
      <w:r w:rsidR="00FE583D">
        <w:t xml:space="preserve"> states that the </w:t>
      </w:r>
      <w:r w:rsidR="00FE583D" w:rsidRPr="00C537DD">
        <w:t>Friedreich's ataxia rating scale (FARS) is a validated 0- to 125-point scale consisting of assessment in 5 neurological domains that are each assigned a sub</w:t>
      </w:r>
      <w:r w:rsidR="00FE583D">
        <w:t>-</w:t>
      </w:r>
      <w:r w:rsidR="00FE583D" w:rsidRPr="00C537DD">
        <w:t>score where a higher score indicates worse function</w:t>
      </w:r>
      <w:r w:rsidR="00FE583D">
        <w:t xml:space="preserve">. </w:t>
      </w:r>
      <w:r w:rsidR="00FE583D" w:rsidRPr="00C537DD">
        <w:t xml:space="preserve">The </w:t>
      </w:r>
      <w:proofErr w:type="spellStart"/>
      <w:r w:rsidR="00FE583D" w:rsidRPr="00C537DD">
        <w:t>mFARS</w:t>
      </w:r>
      <w:proofErr w:type="spellEnd"/>
      <w:r w:rsidR="00FE583D">
        <w:t xml:space="preserve"> ranges from 0 to 99 and</w:t>
      </w:r>
      <w:r w:rsidR="00FE583D" w:rsidRPr="00C537DD">
        <w:t xml:space="preserve"> includes 4 domains from the FARS examination (bulbar, upper limb coordination, lower limb coordination, and upright stability</w:t>
      </w:r>
      <w:r w:rsidR="00861294" w:rsidRPr="00C537DD">
        <w:t>)</w:t>
      </w:r>
      <w:r w:rsidR="00861294">
        <w:t xml:space="preserve"> but</w:t>
      </w:r>
      <w:r w:rsidR="00FE583D" w:rsidRPr="00C537DD">
        <w:t xml:space="preserve"> excludes the neurological section that is not considered clinically meaningful (</w:t>
      </w:r>
      <w:proofErr w:type="spellStart"/>
      <w:r w:rsidR="00FE583D" w:rsidRPr="00C537DD">
        <w:t>i</w:t>
      </w:r>
      <w:r w:rsidR="002E4ACB">
        <w:t>.</w:t>
      </w:r>
      <w:r w:rsidR="00FE583D" w:rsidRPr="00C537DD">
        <w:t>e</w:t>
      </w:r>
      <w:proofErr w:type="spellEnd"/>
      <w:r w:rsidR="00FE583D" w:rsidRPr="00C537DD">
        <w:t>, peripheral nervous system assessments).</w:t>
      </w:r>
      <w:r w:rsidR="00FE583D">
        <w:t xml:space="preserve"> The </w:t>
      </w:r>
      <w:r w:rsidR="007B6B69">
        <w:t>sponsor</w:t>
      </w:r>
      <w:r w:rsidR="00FE583D">
        <w:t xml:space="preserve"> provide</w:t>
      </w:r>
      <w:r w:rsidR="002E4ACB">
        <w:t>d</w:t>
      </w:r>
      <w:r w:rsidR="00FE583D">
        <w:t xml:space="preserve"> further justification for use of this tool as a primary efficacy endpoint in section 9.5.2 of the clinical study report. </w:t>
      </w:r>
    </w:p>
    <w:p w14:paraId="11BB5E67" w14:textId="42362DFF" w:rsidR="00FE583D" w:rsidRDefault="00FE583D" w:rsidP="00FE583D">
      <w:r>
        <w:t xml:space="preserve">Each section of the </w:t>
      </w:r>
      <w:proofErr w:type="spellStart"/>
      <w:r>
        <w:t>mFARS</w:t>
      </w:r>
      <w:proofErr w:type="spellEnd"/>
      <w:r>
        <w:t xml:space="preserve"> is outlined below:</w:t>
      </w:r>
    </w:p>
    <w:p w14:paraId="5C214033" w14:textId="41C92A18" w:rsidR="00FE583D" w:rsidRPr="005135F1" w:rsidRDefault="00FE583D" w:rsidP="00C16E2C">
      <w:pPr>
        <w:pStyle w:val="ListBullet"/>
      </w:pPr>
      <w:r w:rsidRPr="005135F1">
        <w:t>Subsection A: Bulbar Function – 4 assessments of speech, cough, and facial strength (maximum score = 11)</w:t>
      </w:r>
      <w:r w:rsidR="00921DD2">
        <w:t>.</w:t>
      </w:r>
    </w:p>
    <w:p w14:paraId="02A8D9DE" w14:textId="7966FE6D" w:rsidR="00FE583D" w:rsidRPr="005135F1" w:rsidRDefault="00FE583D" w:rsidP="00C16E2C">
      <w:pPr>
        <w:pStyle w:val="ListBullet"/>
      </w:pPr>
      <w:r w:rsidRPr="005135F1">
        <w:t>Subsection B: Upper Limb Coordination – 5 assessments of coordination of movement and function in arms and hands with each limb being scored individually (maximum score = 36)</w:t>
      </w:r>
      <w:r w:rsidR="00921DD2">
        <w:t>.</w:t>
      </w:r>
    </w:p>
    <w:p w14:paraId="22BADE5C" w14:textId="27C96E2E" w:rsidR="00FE583D" w:rsidRPr="005135F1" w:rsidRDefault="00FE583D" w:rsidP="00C16E2C">
      <w:pPr>
        <w:pStyle w:val="ListBullet"/>
      </w:pPr>
      <w:r w:rsidRPr="005135F1">
        <w:t>Subsection C: Lower Limb Coordination – 2 assessments of coordination of movement and function of lower limbs with each limb being scored individually (maximum score = 16)</w:t>
      </w:r>
      <w:r w:rsidR="00921DD2">
        <w:t>.</w:t>
      </w:r>
    </w:p>
    <w:p w14:paraId="75F1388D" w14:textId="1D172E7A" w:rsidR="00FE583D" w:rsidRPr="005135F1" w:rsidRDefault="00FE583D" w:rsidP="00C16E2C">
      <w:pPr>
        <w:pStyle w:val="ListBullet"/>
      </w:pPr>
      <w:r w:rsidRPr="005135F1">
        <w:t>Subsection E: Upright Stability – 9 assessments of sitting, standing, and walking; standing assessments are timed and performed up to 3 times (maximum score = 36)</w:t>
      </w:r>
      <w:r w:rsidR="00921DD2">
        <w:t>.</w:t>
      </w:r>
    </w:p>
    <w:p w14:paraId="421374DB" w14:textId="463B71C3" w:rsidR="00FE583D" w:rsidRDefault="00FE583D" w:rsidP="00FE583D">
      <w:r>
        <w:t xml:space="preserve">The inclusion and exclusion criteria were identical to study 1402 part 1 </w:t>
      </w:r>
      <w:r w:rsidRPr="00D640F2">
        <w:rPr>
          <w:i/>
          <w:iCs/>
        </w:rPr>
        <w:t>(</w:t>
      </w:r>
      <w:r>
        <w:rPr>
          <w:i/>
          <w:iCs/>
        </w:rPr>
        <w:t xml:space="preserve">see </w:t>
      </w:r>
      <w:r w:rsidRPr="00D640F2">
        <w:rPr>
          <w:i/>
          <w:iCs/>
        </w:rPr>
        <w:t xml:space="preserve">study 1402 part 1 under efficacy heading for full criteria) </w:t>
      </w:r>
      <w:r>
        <w:t xml:space="preserve">except for a change in the second inclusion criteria of baseline </w:t>
      </w:r>
      <w:proofErr w:type="spellStart"/>
      <w:r>
        <w:t>mFARS</w:t>
      </w:r>
      <w:proofErr w:type="spellEnd"/>
      <w:r>
        <w:t xml:space="preserve"> score</w:t>
      </w:r>
      <w:r w:rsidR="00921DD2">
        <w:t xml:space="preserve">. For </w:t>
      </w:r>
      <w:r>
        <w:t>study 1402 part 2</w:t>
      </w:r>
      <w:r w:rsidR="00F95399">
        <w:t>,</w:t>
      </w:r>
      <w:r>
        <w:t xml:space="preserve"> this</w:t>
      </w:r>
      <w:r w:rsidR="00265EB4">
        <w:t xml:space="preserve"> baseline </w:t>
      </w:r>
      <w:proofErr w:type="spellStart"/>
      <w:r w:rsidR="00265EB4">
        <w:t>mFARS</w:t>
      </w:r>
      <w:proofErr w:type="spellEnd"/>
      <w:r w:rsidR="00265EB4">
        <w:t xml:space="preserve"> score</w:t>
      </w:r>
      <w:r>
        <w:t xml:space="preserve"> inclusion criteria </w:t>
      </w:r>
      <w:r w:rsidR="00BB27D8">
        <w:t>were</w:t>
      </w:r>
      <w:r>
        <w:t>:</w:t>
      </w:r>
    </w:p>
    <w:p w14:paraId="64626F26" w14:textId="77777777" w:rsidR="003E5CD5" w:rsidRDefault="00FE583D" w:rsidP="00C16E2C">
      <w:pPr>
        <w:pStyle w:val="ListBullet"/>
      </w:pPr>
      <w:r w:rsidRPr="00C16E2C">
        <w:t xml:space="preserve">Had an </w:t>
      </w:r>
      <w:proofErr w:type="spellStart"/>
      <w:r w:rsidRPr="00C16E2C">
        <w:t>mFARS</w:t>
      </w:r>
      <w:proofErr w:type="spellEnd"/>
      <w:r w:rsidRPr="00C16E2C">
        <w:t xml:space="preserve"> score ≥20 and ≤80. </w:t>
      </w:r>
    </w:p>
    <w:p w14:paraId="7F76C44E" w14:textId="2A38E97F" w:rsidR="00FE583D" w:rsidRPr="00C16E2C" w:rsidRDefault="00FE583D" w:rsidP="00C16E2C">
      <w:pPr>
        <w:pStyle w:val="ListBullet"/>
      </w:pPr>
      <w:r w:rsidRPr="00C16E2C">
        <w:t xml:space="preserve">The average of the 2 </w:t>
      </w:r>
      <w:proofErr w:type="spellStart"/>
      <w:r w:rsidRPr="00C16E2C">
        <w:t>mFARS</w:t>
      </w:r>
      <w:proofErr w:type="spellEnd"/>
      <w:r w:rsidRPr="00C16E2C">
        <w:t xml:space="preserve"> values collected at Screening and Day 1 visits had to fall within the allowable range, and they must have been within 4.5 points of each other.</w:t>
      </w:r>
    </w:p>
    <w:p w14:paraId="1E1104E3" w14:textId="77777777" w:rsidR="00501114" w:rsidRDefault="00FE583D" w:rsidP="00FE583D">
      <w:r>
        <w:t xml:space="preserve">In all randomized population (n=103, this included participants with pes </w:t>
      </w:r>
      <w:proofErr w:type="spellStart"/>
      <w:r>
        <w:t>cavus</w:t>
      </w:r>
      <w:proofErr w:type="spellEnd"/>
      <w:r>
        <w:t xml:space="preserve">) the baseline demographics showed a mean age of 24.1 years (minimum 16, maximum 40) in the placebo group and 23.4 years in the </w:t>
      </w:r>
      <w:proofErr w:type="spellStart"/>
      <w:r>
        <w:t>omaveloxolone</w:t>
      </w:r>
      <w:proofErr w:type="spellEnd"/>
      <w:r>
        <w:t xml:space="preserve"> group (minimum 16, maximum 39). 15 (28.8%) of participants were &lt;18 years in the placebo group compared to 9 (17.6%) in </w:t>
      </w:r>
      <w:proofErr w:type="spellStart"/>
      <w:r>
        <w:t>omaveloxolone</w:t>
      </w:r>
      <w:proofErr w:type="spellEnd"/>
      <w:r>
        <w:t xml:space="preserve"> group. </w:t>
      </w:r>
    </w:p>
    <w:p w14:paraId="13F7B41C" w14:textId="77777777" w:rsidR="00501114" w:rsidRDefault="00FE583D" w:rsidP="00FE583D">
      <w:r>
        <w:t xml:space="preserve">There were 17 (32.7%) participants in the placebo group and 31 (60.8%) in the </w:t>
      </w:r>
      <w:proofErr w:type="spellStart"/>
      <w:r>
        <w:t>omaveloxolone</w:t>
      </w:r>
      <w:proofErr w:type="spellEnd"/>
      <w:r>
        <w:t xml:space="preserve"> group who were female. </w:t>
      </w:r>
    </w:p>
    <w:p w14:paraId="17585745" w14:textId="77777777" w:rsidR="00501114" w:rsidRDefault="00FE583D" w:rsidP="00FE583D">
      <w:r>
        <w:t xml:space="preserve">Ethnicity was highly skewed with &gt;95% in both the placebo and </w:t>
      </w:r>
      <w:proofErr w:type="spellStart"/>
      <w:r>
        <w:t>omaveloxolone</w:t>
      </w:r>
      <w:proofErr w:type="spellEnd"/>
      <w:r>
        <w:t xml:space="preserve"> treatment groups have a race label of white. </w:t>
      </w:r>
    </w:p>
    <w:p w14:paraId="03E23E55" w14:textId="77777777" w:rsidR="00501114" w:rsidRDefault="00FE583D" w:rsidP="00FE583D">
      <w:r>
        <w:t xml:space="preserve">Weight and BMI were similar across treatment groups. Baseline mean (SD) </w:t>
      </w:r>
      <w:proofErr w:type="spellStart"/>
      <w:r>
        <w:t>mFARS</w:t>
      </w:r>
      <w:proofErr w:type="spellEnd"/>
      <w:r>
        <w:t xml:space="preserve"> score was 38.77 (11.03) in the placebo group and 40.94(10.39) in the </w:t>
      </w:r>
      <w:proofErr w:type="spellStart"/>
      <w:r>
        <w:t>omaveloxolone</w:t>
      </w:r>
      <w:proofErr w:type="spellEnd"/>
      <w:r>
        <w:t xml:space="preserve"> group. </w:t>
      </w:r>
    </w:p>
    <w:p w14:paraId="3EFA8158" w14:textId="7E4CC58A" w:rsidR="00501114" w:rsidRDefault="00FE583D" w:rsidP="00FE583D">
      <w:r>
        <w:t xml:space="preserve">Age of onset was similar between both treatment groups with a mean (SD) age at FA onset of 15.1 (5.34) years in the placebo group and 15.9 (5.74) years in the </w:t>
      </w:r>
      <w:proofErr w:type="spellStart"/>
      <w:r>
        <w:t>omaveloxolone</w:t>
      </w:r>
      <w:proofErr w:type="spellEnd"/>
      <w:r>
        <w:t xml:space="preserve"> group. Years since onset were also similar between treatment groups</w:t>
      </w:r>
      <w:r w:rsidR="00A535D7">
        <w:t>,</w:t>
      </w:r>
      <w:r>
        <w:t xml:space="preserve"> with a </w:t>
      </w:r>
      <w:r w:rsidR="006034B6">
        <w:t>mean (SD) year</w:t>
      </w:r>
      <w:r>
        <w:t xml:space="preserve"> since onset of 4.7 (4.7) in the placebo group and 4.8 years in the </w:t>
      </w:r>
      <w:proofErr w:type="spellStart"/>
      <w:r>
        <w:t>omaveloxolone</w:t>
      </w:r>
      <w:proofErr w:type="spellEnd"/>
      <w:r>
        <w:t xml:space="preserve"> group. </w:t>
      </w:r>
      <w:r w:rsidRPr="005A7792">
        <w:t>&gt;90% of subjects in both treatment</w:t>
      </w:r>
      <w:r>
        <w:t xml:space="preserve"> groups were ambulatory at baseline. </w:t>
      </w:r>
    </w:p>
    <w:p w14:paraId="1BA07A4B" w14:textId="712F4F1A" w:rsidR="00FE583D" w:rsidRDefault="00FE583D" w:rsidP="00FE583D">
      <w:r>
        <w:t xml:space="preserve">Overall, both treatment groups were well matched in terms of age, weight, baseline </w:t>
      </w:r>
      <w:proofErr w:type="spellStart"/>
      <w:r>
        <w:t>mFARS</w:t>
      </w:r>
      <w:proofErr w:type="spellEnd"/>
      <w:r>
        <w:t xml:space="preserve"> score, ambulatory status, age at FA onset and years since FA onset. There was a significant difference between treatment groups in gender with higher proportion of females in the </w:t>
      </w:r>
      <w:proofErr w:type="spellStart"/>
      <w:r>
        <w:t>omaveloxolone</w:t>
      </w:r>
      <w:proofErr w:type="spellEnd"/>
      <w:r>
        <w:t xml:space="preserve"> group compared to placebo.</w:t>
      </w:r>
    </w:p>
    <w:p w14:paraId="76805A52" w14:textId="586BB9C3" w:rsidR="00FE583D" w:rsidRDefault="00FE583D" w:rsidP="00FE583D">
      <w:r>
        <w:lastRenderedPageBreak/>
        <w:t xml:space="preserve">Of note there was a significant difference in rates of known cardiomyopathy between treatment groups with 25 participants (49%) in the </w:t>
      </w:r>
      <w:proofErr w:type="spellStart"/>
      <w:r>
        <w:t>omaveloxolone</w:t>
      </w:r>
      <w:proofErr w:type="spellEnd"/>
      <w:r>
        <w:t xml:space="preserve"> group and 15 (28.8%) of in the placebo group having a history of cardiomyopathy</w:t>
      </w:r>
      <w:r w:rsidR="00B75ED5">
        <w:t>.</w:t>
      </w:r>
    </w:p>
    <w:p w14:paraId="3515FC24" w14:textId="7DA36341" w:rsidR="00FE583D" w:rsidRDefault="00FE583D" w:rsidP="00FE583D">
      <w:r>
        <w:t>The summary of analysis populations is shown in table 2</w:t>
      </w:r>
      <w:r w:rsidR="002B3129">
        <w:t>1</w:t>
      </w:r>
      <w:r>
        <w:t>. The statistical analysis techniques for the full analysis set (FAS) for the primary, secondary and other endpoints were:</w:t>
      </w:r>
    </w:p>
    <w:p w14:paraId="2776D0C3" w14:textId="77777777" w:rsidR="00FE583D" w:rsidRDefault="00FE583D" w:rsidP="009B05D8">
      <w:pPr>
        <w:pStyle w:val="ListBullet"/>
      </w:pPr>
      <w:r w:rsidRPr="008E0840">
        <w:rPr>
          <w:b/>
          <w:bCs/>
        </w:rPr>
        <w:t>Primary endpoint:</w:t>
      </w:r>
      <w:r>
        <w:t xml:space="preserve"> change from baseline of </w:t>
      </w:r>
      <w:proofErr w:type="spellStart"/>
      <w:r>
        <w:t>mFARS</w:t>
      </w:r>
      <w:proofErr w:type="spellEnd"/>
      <w:r>
        <w:t xml:space="preserve"> score at week 48. Difference between treatment groups in LS means were calculated MMRM model with no imputation.</w:t>
      </w:r>
    </w:p>
    <w:p w14:paraId="1433A0F5" w14:textId="77777777" w:rsidR="00FE583D" w:rsidRDefault="00FE583D" w:rsidP="009B05D8">
      <w:pPr>
        <w:pStyle w:val="ListBullet"/>
      </w:pPr>
      <w:r w:rsidRPr="008E0840">
        <w:rPr>
          <w:b/>
          <w:bCs/>
        </w:rPr>
        <w:t>Key secondary endpoints:</w:t>
      </w:r>
      <w:r>
        <w:t xml:space="preserve"> PGIC and CGIC at week 48 were analysed using an </w:t>
      </w:r>
      <w:proofErr w:type="spellStart"/>
      <w:r>
        <w:t>ancova</w:t>
      </w:r>
      <w:proofErr w:type="spellEnd"/>
      <w:r>
        <w:t xml:space="preserve"> model with imputation of missing values. Treatment based multiple imputation was used. </w:t>
      </w:r>
    </w:p>
    <w:p w14:paraId="1BB2A1DC" w14:textId="77777777" w:rsidR="00FE583D" w:rsidRDefault="00FE583D" w:rsidP="009B05D8">
      <w:pPr>
        <w:pStyle w:val="ListBullet"/>
      </w:pPr>
      <w:r w:rsidRPr="008E0840">
        <w:rPr>
          <w:b/>
          <w:bCs/>
        </w:rPr>
        <w:t>Other secondary endpoints:</w:t>
      </w:r>
      <w:r>
        <w:t xml:space="preserve"> nine-hole peg test (9-HPT) at Week 48, change in timed 25-foot timed walk test (T25-FWT) at Week 48, frequency of falls over 48 weeks, peak work during maximal exercise testing at Week 48, change in Activities of Daily Living (ADL) at Week 48. Difference between treatment groups were estimated using an MMRM model except for frequency of falls where a Poisson model was used. </w:t>
      </w:r>
    </w:p>
    <w:p w14:paraId="2EF83A02" w14:textId="77777777" w:rsidR="00FE583D" w:rsidRDefault="00FE583D" w:rsidP="009B05D8">
      <w:pPr>
        <w:pStyle w:val="ListBullet"/>
      </w:pPr>
      <w:r w:rsidRPr="008E0840">
        <w:rPr>
          <w:b/>
          <w:bCs/>
        </w:rPr>
        <w:t>Intercurrent events</w:t>
      </w:r>
      <w:r>
        <w:t xml:space="preserve"> were handled using “treatment policy strategy”, ICH E9(R1). </w:t>
      </w:r>
      <w:proofErr w:type="spellStart"/>
      <w:r>
        <w:t>I.e</w:t>
      </w:r>
      <w:proofErr w:type="spellEnd"/>
      <w:r>
        <w:t xml:space="preserve"> patients who discontinued either study treatment or the study itself were still followed up for </w:t>
      </w:r>
      <w:proofErr w:type="spellStart"/>
      <w:r>
        <w:t>mFARS</w:t>
      </w:r>
      <w:proofErr w:type="spellEnd"/>
      <w:r>
        <w:t xml:space="preserve"> assessments. </w:t>
      </w:r>
    </w:p>
    <w:p w14:paraId="03D62457" w14:textId="77777777" w:rsidR="00FE583D" w:rsidRDefault="00FE583D" w:rsidP="00FE583D">
      <w:r>
        <w:t>Two-sided p-values at a significance level of 5% were used. Test method was non-parametric rank sum test (</w:t>
      </w:r>
      <w:proofErr w:type="spellStart"/>
      <w:r>
        <w:t>Kruskall</w:t>
      </w:r>
      <w:proofErr w:type="spellEnd"/>
      <w:r>
        <w:t xml:space="preserve"> Wallis). </w:t>
      </w:r>
      <w:r w:rsidRPr="002E7015">
        <w:t xml:space="preserve">A test hierarchy dealing with multiplicity was prespecified in the </w:t>
      </w:r>
      <w:r>
        <w:t>s</w:t>
      </w:r>
      <w:r w:rsidRPr="002E7015">
        <w:t>tatistical analysis plan and is concordant with an overall test probability not to exceed 5%.</w:t>
      </w:r>
    </w:p>
    <w:p w14:paraId="493CC744" w14:textId="56DD02A4" w:rsidR="00FE583D" w:rsidRPr="00EA6D8E" w:rsidRDefault="00FE583D" w:rsidP="00C81B8D">
      <w:pPr>
        <w:pStyle w:val="TableTitle"/>
        <w:spacing w:before="240"/>
      </w:pPr>
      <w:r w:rsidRPr="00EA6D8E">
        <w:t xml:space="preserve">Table </w:t>
      </w:r>
      <w:r w:rsidR="00585FDB">
        <w:t>21</w:t>
      </w:r>
      <w:r w:rsidRPr="00EA6D8E">
        <w:t>: Study 1402 Part 2: Summary of Analysis Populations for Efficacy Analyses</w:t>
      </w:r>
    </w:p>
    <w:p w14:paraId="3BB5553E" w14:textId="77777777" w:rsidR="00FE583D" w:rsidRDefault="00FE583D" w:rsidP="00FE583D">
      <w:r w:rsidRPr="00EA6D8E">
        <w:rPr>
          <w:noProof/>
        </w:rPr>
        <w:drawing>
          <wp:inline distT="0" distB="0" distL="0" distR="0" wp14:anchorId="0770A36E" wp14:editId="3F4D2E20">
            <wp:extent cx="5269584" cy="3018364"/>
            <wp:effectExtent l="0" t="0" r="7620" b="0"/>
            <wp:docPr id="25" name="Picture 25" descr="Table 20: Study 1402 Part 2: Summary of Analysis Populations for Efficacy Analy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 20: Study 1402 Part 2: Summary of Analysis Populations for Efficacy Analyses"/>
                    <pic:cNvPicPr/>
                  </pic:nvPicPr>
                  <pic:blipFill>
                    <a:blip r:embed="rId69"/>
                    <a:stretch>
                      <a:fillRect/>
                    </a:stretch>
                  </pic:blipFill>
                  <pic:spPr>
                    <a:xfrm>
                      <a:off x="0" y="0"/>
                      <a:ext cx="5275882" cy="3021971"/>
                    </a:xfrm>
                    <a:prstGeom prst="rect">
                      <a:avLst/>
                    </a:prstGeom>
                  </pic:spPr>
                </pic:pic>
              </a:graphicData>
            </a:graphic>
          </wp:inline>
        </w:drawing>
      </w:r>
    </w:p>
    <w:p w14:paraId="369407B0" w14:textId="77A2442F" w:rsidR="00FE583D" w:rsidRDefault="00FE583D" w:rsidP="00C81B8D">
      <w:pPr>
        <w:spacing w:before="240"/>
      </w:pPr>
      <w:r w:rsidRPr="00B43D20">
        <w:t xml:space="preserve">Sensitivity analyses were done throughout using alternative populations from the </w:t>
      </w:r>
      <w:r w:rsidR="0070587F">
        <w:t xml:space="preserve">table </w:t>
      </w:r>
      <w:r w:rsidR="00045489">
        <w:t>2</w:t>
      </w:r>
      <w:r w:rsidR="00DC7645">
        <w:t>1</w:t>
      </w:r>
      <w:r w:rsidRPr="00B43D20">
        <w:t xml:space="preserve">. Additionally, multiple imputation with a control-based imputation strategy was done in the primary </w:t>
      </w:r>
      <w:proofErr w:type="spellStart"/>
      <w:r w:rsidRPr="00B43D20">
        <w:t>mFARS</w:t>
      </w:r>
      <w:proofErr w:type="spellEnd"/>
      <w:r w:rsidRPr="00B43D20">
        <w:t xml:space="preserve"> (MMRM) analysis to challenge the implicit MAR (missing at random) assumption. Tipping point analysis was also performed to investigate at which level the imputation would cancel the significant findings in the primary </w:t>
      </w:r>
      <w:proofErr w:type="spellStart"/>
      <w:r w:rsidRPr="00B43D20">
        <w:t>mFARS</w:t>
      </w:r>
      <w:proofErr w:type="spellEnd"/>
      <w:r w:rsidRPr="00B43D20">
        <w:t xml:space="preserve"> analysis.</w:t>
      </w:r>
    </w:p>
    <w:p w14:paraId="1A17F25C" w14:textId="77777777" w:rsidR="00C81B8D" w:rsidRDefault="00C81B8D">
      <w:r>
        <w:br w:type="page"/>
      </w:r>
    </w:p>
    <w:p w14:paraId="23EC3E82" w14:textId="11C1CEA4" w:rsidR="00FE583D" w:rsidRDefault="00FE583D" w:rsidP="00FE583D">
      <w:r>
        <w:lastRenderedPageBreak/>
        <w:t xml:space="preserve">There was a statistically significant reduction from baseline compared to week 48 in the least square (LS) mean </w:t>
      </w:r>
      <w:proofErr w:type="spellStart"/>
      <w:r>
        <w:t>mFARS</w:t>
      </w:r>
      <w:proofErr w:type="spellEnd"/>
      <w:r>
        <w:t xml:space="preserve"> score for the Full analysis population (without pes </w:t>
      </w:r>
      <w:proofErr w:type="spellStart"/>
      <w:r>
        <w:t>cavus</w:t>
      </w:r>
      <w:proofErr w:type="spellEnd"/>
      <w:r>
        <w:t xml:space="preserve">) in the </w:t>
      </w:r>
      <w:proofErr w:type="spellStart"/>
      <w:r>
        <w:t>Omaveloxolone</w:t>
      </w:r>
      <w:proofErr w:type="spellEnd"/>
      <w:r>
        <w:t xml:space="preserve"> group compared to placebo with a LS mean difference of -2.40 (95% CI=-4.31, -0.50 and SE=0.956) with p-value=0.0141. Baseline scores for each treatment group are shown in table 13. </w:t>
      </w:r>
      <w:bookmarkStart w:id="70" w:name="_Hlk183610142"/>
      <w:r w:rsidRPr="00432BB7">
        <w:t xml:space="preserve">Patients randomized to </w:t>
      </w:r>
      <w:proofErr w:type="spellStart"/>
      <w:r w:rsidRPr="00432BB7">
        <w:t>omaveloxolone</w:t>
      </w:r>
      <w:proofErr w:type="spellEnd"/>
      <w:r w:rsidRPr="00432BB7">
        <w:t xml:space="preserve"> experienced a mean improvement from baseline in </w:t>
      </w:r>
      <w:proofErr w:type="spellStart"/>
      <w:r w:rsidRPr="00432BB7">
        <w:t>mFARS</w:t>
      </w:r>
      <w:proofErr w:type="spellEnd"/>
      <w:r w:rsidRPr="00432BB7">
        <w:t xml:space="preserve"> of - 1.55 points, while patients randomized to placebo experienced a mean worsening from baseline of </w:t>
      </w:r>
      <w:proofErr w:type="spellStart"/>
      <w:r w:rsidRPr="00432BB7">
        <w:t>mFARS</w:t>
      </w:r>
      <w:proofErr w:type="spellEnd"/>
      <w:r w:rsidRPr="00432BB7">
        <w:t xml:space="preserve"> of 0.85 points at Week 48</w:t>
      </w:r>
      <w:bookmarkEnd w:id="70"/>
      <w:r w:rsidR="00F7696E">
        <w:t xml:space="preserve"> </w:t>
      </w:r>
      <w:proofErr w:type="spellStart"/>
      <w:r>
        <w:t>mFARS</w:t>
      </w:r>
      <w:proofErr w:type="spellEnd"/>
      <w:r>
        <w:t xml:space="preserve"> scores were conducted at regular intervals during the study period and the </w:t>
      </w:r>
      <w:proofErr w:type="spellStart"/>
      <w:r>
        <w:t>mFARS</w:t>
      </w:r>
      <w:proofErr w:type="spellEnd"/>
      <w:r>
        <w:t xml:space="preserve"> score results by visit are shown in figure </w:t>
      </w:r>
      <w:r w:rsidR="00F747E7">
        <w:t>12</w:t>
      </w:r>
      <w:r>
        <w:t>.</w:t>
      </w:r>
      <w:r w:rsidRPr="00816A4D">
        <w:t xml:space="preserve"> </w:t>
      </w:r>
      <w:proofErr w:type="spellStart"/>
      <w:r w:rsidRPr="00816A4D">
        <w:t>Omaveloxolone</w:t>
      </w:r>
      <w:proofErr w:type="spellEnd"/>
      <w:r w:rsidRPr="00816A4D">
        <w:t xml:space="preserve">-treated patients experienced significant improvements from baseline in </w:t>
      </w:r>
      <w:proofErr w:type="spellStart"/>
      <w:r w:rsidRPr="00816A4D">
        <w:t>mFARS</w:t>
      </w:r>
      <w:proofErr w:type="spellEnd"/>
      <w:r w:rsidRPr="00816A4D">
        <w:t xml:space="preserve"> by Week 24 (mean ± SE: -1.66 ± 0.692 points; p = 0.0191) that persisted through Week 48.</w:t>
      </w:r>
    </w:p>
    <w:p w14:paraId="3926B4B4" w14:textId="30AE9DEF" w:rsidR="00FE583D" w:rsidRPr="00EB404D" w:rsidRDefault="00FE583D" w:rsidP="00F7696E">
      <w:pPr>
        <w:pStyle w:val="TableTitle"/>
        <w:spacing w:before="240"/>
      </w:pPr>
      <w:r w:rsidRPr="00EB404D">
        <w:t xml:space="preserve">Table </w:t>
      </w:r>
      <w:r w:rsidR="00DB3271">
        <w:t>22</w:t>
      </w:r>
      <w:r w:rsidRPr="00EB404D">
        <w:t>: Modified Friedreich's Ataxia Rating Scale</w:t>
      </w:r>
      <w:r w:rsidR="006750AF">
        <w:t xml:space="preserve"> </w:t>
      </w:r>
      <w:r w:rsidR="009769F4">
        <w:t>r</w:t>
      </w:r>
      <w:r w:rsidRPr="00EB404D">
        <w:t xml:space="preserve">esults and Least Squares </w:t>
      </w:r>
      <w:r w:rsidR="009769F4">
        <w:t>(LS) m</w:t>
      </w:r>
      <w:r w:rsidRPr="00EB404D">
        <w:t xml:space="preserve">ean </w:t>
      </w:r>
      <w:r w:rsidR="009769F4">
        <w:t>c</w:t>
      </w:r>
      <w:r w:rsidRPr="00EB404D">
        <w:t xml:space="preserve">hange from </w:t>
      </w:r>
      <w:r w:rsidR="009769F4">
        <w:t>b</w:t>
      </w:r>
      <w:r w:rsidRPr="00EB404D">
        <w:t xml:space="preserve">aseline at </w:t>
      </w:r>
      <w:r w:rsidR="009769F4">
        <w:t>w</w:t>
      </w:r>
      <w:r w:rsidRPr="00EB404D">
        <w:t>eek 48 (Full Analysis Population)</w:t>
      </w:r>
    </w:p>
    <w:p w14:paraId="1CEF2F11" w14:textId="77777777" w:rsidR="00FE583D" w:rsidRDefault="00FE583D" w:rsidP="00FE583D">
      <w:r w:rsidRPr="00C8585A">
        <w:rPr>
          <w:noProof/>
        </w:rPr>
        <w:drawing>
          <wp:inline distT="0" distB="0" distL="0" distR="0" wp14:anchorId="667B883A" wp14:editId="455FF049">
            <wp:extent cx="4213781" cy="2832841"/>
            <wp:effectExtent l="0" t="0" r="0" b="5715"/>
            <wp:docPr id="31" name="Picture 31" descr="Table 21: Modified Friedreich's Ataxia Rating Scale Results and Least Squares Mean Change from Baseline at Week 48 (Full Analysi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 21: Modified Friedreich's Ataxia Rating Scale Results and Least Squares Mean Change from Baseline at Week 48 (Full Analysis Population)"/>
                    <pic:cNvPicPr/>
                  </pic:nvPicPr>
                  <pic:blipFill>
                    <a:blip r:embed="rId70"/>
                    <a:stretch>
                      <a:fillRect/>
                    </a:stretch>
                  </pic:blipFill>
                  <pic:spPr>
                    <a:xfrm>
                      <a:off x="0" y="0"/>
                      <a:ext cx="4217453" cy="2835310"/>
                    </a:xfrm>
                    <a:prstGeom prst="rect">
                      <a:avLst/>
                    </a:prstGeom>
                  </pic:spPr>
                </pic:pic>
              </a:graphicData>
            </a:graphic>
          </wp:inline>
        </w:drawing>
      </w:r>
    </w:p>
    <w:p w14:paraId="1EED5234" w14:textId="10C393D6" w:rsidR="00FE583D" w:rsidRPr="007876F8" w:rsidRDefault="00FE583D" w:rsidP="00F7696E">
      <w:pPr>
        <w:pStyle w:val="TableTitle"/>
        <w:spacing w:before="240"/>
      </w:pPr>
      <w:r w:rsidRPr="007876F8">
        <w:t xml:space="preserve">Figure </w:t>
      </w:r>
      <w:fldSimple w:instr=" SEQ Figure \* ARABIC ">
        <w:r>
          <w:rPr>
            <w:noProof/>
          </w:rPr>
          <w:t>12</w:t>
        </w:r>
      </w:fldSimple>
      <w:r w:rsidRPr="007876F8">
        <w:t xml:space="preserve">: Modified Friedreich's Ataxia Rating Scale </w:t>
      </w:r>
      <w:r w:rsidR="00E14845">
        <w:t>r</w:t>
      </w:r>
      <w:r w:rsidRPr="007876F8">
        <w:t xml:space="preserve">esults by </w:t>
      </w:r>
      <w:r w:rsidR="00E14845">
        <w:t>v</w:t>
      </w:r>
      <w:r w:rsidRPr="007876F8">
        <w:t>isit (Full Analysis Set)</w:t>
      </w:r>
    </w:p>
    <w:p w14:paraId="1177631E" w14:textId="77777777" w:rsidR="00FE583D" w:rsidRDefault="00FE583D" w:rsidP="00FE583D">
      <w:r w:rsidRPr="00C32D97">
        <w:rPr>
          <w:noProof/>
        </w:rPr>
        <w:drawing>
          <wp:inline distT="0" distB="0" distL="0" distR="0" wp14:anchorId="4BF50BFD" wp14:editId="12D9D782">
            <wp:extent cx="5137608" cy="3186387"/>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45165" cy="3191074"/>
                    </a:xfrm>
                    <a:prstGeom prst="rect">
                      <a:avLst/>
                    </a:prstGeom>
                  </pic:spPr>
                </pic:pic>
              </a:graphicData>
            </a:graphic>
          </wp:inline>
        </w:drawing>
      </w:r>
    </w:p>
    <w:p w14:paraId="2C2241A7" w14:textId="6F973F75" w:rsidR="00FE583D" w:rsidRDefault="00FE583D" w:rsidP="00FE583D">
      <w:r w:rsidRPr="005A12D4">
        <w:lastRenderedPageBreak/>
        <w:t xml:space="preserve">Prespecified analysis of the individual subsections of the </w:t>
      </w:r>
      <w:proofErr w:type="spellStart"/>
      <w:r w:rsidRPr="005A12D4">
        <w:t>mFARS</w:t>
      </w:r>
      <w:proofErr w:type="spellEnd"/>
      <w:r w:rsidRPr="005A12D4">
        <w:t xml:space="preserve"> showed that changes from baseline in each subsection of the </w:t>
      </w:r>
      <w:proofErr w:type="spellStart"/>
      <w:r w:rsidRPr="005A12D4">
        <w:t>mFARS</w:t>
      </w:r>
      <w:proofErr w:type="spellEnd"/>
      <w:r w:rsidRPr="005A12D4">
        <w:t xml:space="preserve"> (i</w:t>
      </w:r>
      <w:r w:rsidR="0000348C">
        <w:t>.</w:t>
      </w:r>
      <w:r w:rsidRPr="005A12D4">
        <w:t>e</w:t>
      </w:r>
      <w:r w:rsidR="0000348C">
        <w:t>.</w:t>
      </w:r>
      <w:r w:rsidRPr="005A12D4">
        <w:t xml:space="preserve">, patients’ ability to speak/swallow [bulbar function], upper limb coordination, lower limb coordination, and upright stability) favoured </w:t>
      </w:r>
      <w:proofErr w:type="spellStart"/>
      <w:r w:rsidRPr="005A12D4">
        <w:t>omaveloxolone</w:t>
      </w:r>
      <w:proofErr w:type="spellEnd"/>
      <w:r w:rsidRPr="005A12D4">
        <w:t xml:space="preserve"> compared to placebo</w:t>
      </w:r>
      <w:r>
        <w:t xml:space="preserve"> as shown in figure </w:t>
      </w:r>
      <w:r w:rsidR="00F747E7">
        <w:t>13</w:t>
      </w:r>
      <w:r>
        <w:t>.</w:t>
      </w:r>
    </w:p>
    <w:p w14:paraId="393D6FA5" w14:textId="77777777" w:rsidR="00FE583D" w:rsidRDefault="00FE583D" w:rsidP="00FE583D">
      <w:r w:rsidRPr="00450EE7">
        <w:t xml:space="preserve">The key secondary endpoints, PGIC and CGIC scores at Week 48, were not statistically different for </w:t>
      </w:r>
      <w:proofErr w:type="spellStart"/>
      <w:r w:rsidRPr="00450EE7">
        <w:t>omaveloxolone</w:t>
      </w:r>
      <w:proofErr w:type="spellEnd"/>
      <w:r w:rsidRPr="00450EE7">
        <w:t xml:space="preserve"> compared with placebo in the FAS</w:t>
      </w:r>
      <w:r>
        <w:t xml:space="preserve">. </w:t>
      </w:r>
      <w:r w:rsidRPr="008506D6">
        <w:t xml:space="preserve">PGIC and CGIC scores were numerically improved in </w:t>
      </w:r>
      <w:proofErr w:type="spellStart"/>
      <w:r w:rsidRPr="008506D6">
        <w:t>omaveloxolone</w:t>
      </w:r>
      <w:proofErr w:type="spellEnd"/>
      <w:r w:rsidRPr="008506D6">
        <w:t>-treated patients (mean difference of -0.43, p = 0.1251; and - 0.13, p = 0.5199; respectively)</w:t>
      </w:r>
      <w:r>
        <w:t>.</w:t>
      </w:r>
    </w:p>
    <w:p w14:paraId="04F0EDD4" w14:textId="6033B811" w:rsidR="00FE583D" w:rsidRPr="00A32763" w:rsidRDefault="00FE583D" w:rsidP="006B6AE1">
      <w:pPr>
        <w:pStyle w:val="FigureTitle"/>
        <w:spacing w:before="240"/>
      </w:pPr>
      <w:r w:rsidRPr="00A32763">
        <w:t xml:space="preserve">Figure </w:t>
      </w:r>
      <w:fldSimple w:instr=" SEQ Figure \* ARABIC ">
        <w:r>
          <w:rPr>
            <w:noProof/>
          </w:rPr>
          <w:t>13</w:t>
        </w:r>
      </w:fldSimple>
      <w:r w:rsidRPr="00A32763">
        <w:t xml:space="preserve">: Study 1402 Part 2: Analysis of </w:t>
      </w:r>
      <w:r w:rsidR="0000348C">
        <w:t>c</w:t>
      </w:r>
      <w:r w:rsidRPr="00A32763">
        <w:t xml:space="preserve">hanges in </w:t>
      </w:r>
      <w:proofErr w:type="spellStart"/>
      <w:r w:rsidRPr="00A32763">
        <w:t>mFARS</w:t>
      </w:r>
      <w:proofErr w:type="spellEnd"/>
      <w:r w:rsidRPr="00A32763">
        <w:t xml:space="preserve"> </w:t>
      </w:r>
      <w:r w:rsidR="007958C5">
        <w:t>s</w:t>
      </w:r>
      <w:r w:rsidRPr="00A32763">
        <w:t xml:space="preserve">ubsections at </w:t>
      </w:r>
      <w:r w:rsidR="007958C5">
        <w:t>w</w:t>
      </w:r>
      <w:r w:rsidRPr="00A32763">
        <w:t>eek 48 (Full Analysis Set)</w:t>
      </w:r>
    </w:p>
    <w:p w14:paraId="256C5F6F" w14:textId="77777777" w:rsidR="00D333A8" w:rsidRDefault="00FE583D" w:rsidP="006B6AE1">
      <w:pPr>
        <w:spacing w:before="360"/>
      </w:pPr>
      <w:r w:rsidRPr="00A32763">
        <w:rPr>
          <w:noProof/>
        </w:rPr>
        <w:drawing>
          <wp:anchor distT="0" distB="0" distL="114300" distR="114300" simplePos="0" relativeHeight="251658240" behindDoc="0" locked="0" layoutInCell="1" allowOverlap="1" wp14:anchorId="4A2D4D99" wp14:editId="07A82CFC">
            <wp:simplePos x="914400" y="895546"/>
            <wp:positionH relativeFrom="column">
              <wp:align>left</wp:align>
            </wp:positionH>
            <wp:positionV relativeFrom="paragraph">
              <wp:align>top</wp:align>
            </wp:positionV>
            <wp:extent cx="5335571" cy="2852810"/>
            <wp:effectExtent l="0" t="0" r="0" b="5080"/>
            <wp:wrapSquare wrapText="bothSides"/>
            <wp:docPr id="33" name="Picture 33" descr="Figure 13: Study 1402 Part 2: Analysis of Changes in mFARS Subsections at Week 48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13: Study 1402 Part 2: Analysis of Changes in mFARS Subsections at Week 48 (Full Analysis Set)"/>
                    <pic:cNvPicPr/>
                  </pic:nvPicPr>
                  <pic:blipFill>
                    <a:blip r:embed="rId72">
                      <a:extLst>
                        <a:ext uri="{28A0092B-C50C-407E-A947-70E740481C1C}">
                          <a14:useLocalDpi xmlns:a14="http://schemas.microsoft.com/office/drawing/2010/main" val="0"/>
                        </a:ext>
                      </a:extLst>
                    </a:blip>
                    <a:stretch>
                      <a:fillRect/>
                    </a:stretch>
                  </pic:blipFill>
                  <pic:spPr>
                    <a:xfrm>
                      <a:off x="0" y="0"/>
                      <a:ext cx="5335571" cy="2852810"/>
                    </a:xfrm>
                    <a:prstGeom prst="rect">
                      <a:avLst/>
                    </a:prstGeom>
                  </pic:spPr>
                </pic:pic>
              </a:graphicData>
            </a:graphic>
          </wp:anchor>
        </w:drawing>
      </w:r>
      <w:r>
        <w:br w:type="textWrapping" w:clear="all"/>
      </w:r>
    </w:p>
    <w:p w14:paraId="48F6D49E" w14:textId="77777777" w:rsidR="00B26584" w:rsidRDefault="00FE583D" w:rsidP="00D333A8">
      <w:pPr>
        <w:spacing w:before="120"/>
      </w:pPr>
      <w:r>
        <w:t>For the other key secondary outcome of change from baseline to week 48 in peak work</w:t>
      </w:r>
      <w:r w:rsidR="00D333A8">
        <w:t>,</w:t>
      </w:r>
      <w:r>
        <w:t xml:space="preserve"> and exploratory outcomes of change from baseline to week 48 in: 9-hole peg test, 25-foot timed walk test, frequency of falls</w:t>
      </w:r>
      <w:r w:rsidR="00D333A8">
        <w:t>,</w:t>
      </w:r>
      <w:r>
        <w:t xml:space="preserve"> there was no statistically significant difference between placebo and the </w:t>
      </w:r>
      <w:proofErr w:type="spellStart"/>
      <w:r>
        <w:t>omaveloxolone</w:t>
      </w:r>
      <w:proofErr w:type="spellEnd"/>
      <w:r>
        <w:t xml:space="preserve"> treatment group. </w:t>
      </w:r>
    </w:p>
    <w:p w14:paraId="54258F7E" w14:textId="64B5474A" w:rsidR="003D2B5B" w:rsidRDefault="00FE583D" w:rsidP="00D333A8">
      <w:pPr>
        <w:spacing w:before="120"/>
      </w:pPr>
      <w:r>
        <w:t xml:space="preserve">The only exploratory outcome that found a statistically significant difference between treatment groups was the mean total FA activities of daily living (FA-ADL) score over the study period. The LS mean change from baseline to week 48 was 1.14 ± 0.421 in placebo and -0.17 ± 0.45 for the </w:t>
      </w:r>
      <w:proofErr w:type="spellStart"/>
      <w:r>
        <w:t>omaveloxolone</w:t>
      </w:r>
      <w:proofErr w:type="spellEnd"/>
      <w:r>
        <w:t xml:space="preserve"> group. The between treatment group LS mean difference ± SE was -1.30 ± 0.629 with a p-value=0.04. </w:t>
      </w:r>
    </w:p>
    <w:p w14:paraId="29E08C2C" w14:textId="186A583B" w:rsidR="00FE583D" w:rsidRDefault="00FE583D" w:rsidP="00D333A8">
      <w:pPr>
        <w:spacing w:before="120"/>
      </w:pPr>
      <w:r>
        <w:t xml:space="preserve">These other secondary and exploratory efficacy outcomes are shown in table </w:t>
      </w:r>
      <w:r w:rsidR="00F35645">
        <w:t>2</w:t>
      </w:r>
      <w:r w:rsidR="00DB3271">
        <w:t>3</w:t>
      </w:r>
      <w:r>
        <w:t>.</w:t>
      </w:r>
    </w:p>
    <w:p w14:paraId="266E49A1" w14:textId="027F8B81" w:rsidR="00FE583D" w:rsidRPr="00A143F7" w:rsidRDefault="00FE583D" w:rsidP="003138AC">
      <w:pPr>
        <w:pStyle w:val="TableTitle"/>
      </w:pPr>
      <w:r w:rsidRPr="00A143F7">
        <w:lastRenderedPageBreak/>
        <w:t xml:space="preserve">Table </w:t>
      </w:r>
      <w:fldSimple w:instr=" SEQ Table \* ARABIC ">
        <w:r>
          <w:rPr>
            <w:noProof/>
          </w:rPr>
          <w:t>2</w:t>
        </w:r>
        <w:r w:rsidR="00DB3271">
          <w:rPr>
            <w:noProof/>
          </w:rPr>
          <w:t>3</w:t>
        </w:r>
      </w:fldSimple>
      <w:r w:rsidRPr="00A143F7">
        <w:t xml:space="preserve">: Other </w:t>
      </w:r>
      <w:r w:rsidR="00F35645">
        <w:t>s</w:t>
      </w:r>
      <w:r w:rsidRPr="00A143F7">
        <w:t>econdary and exploratory efficacy endpoints (Full Analysis Set)</w:t>
      </w:r>
    </w:p>
    <w:p w14:paraId="700B7090" w14:textId="77777777" w:rsidR="00FE583D" w:rsidRDefault="00FE583D" w:rsidP="00FE583D">
      <w:r w:rsidRPr="00A143F7">
        <w:rPr>
          <w:noProof/>
        </w:rPr>
        <w:drawing>
          <wp:inline distT="0" distB="0" distL="0" distR="0" wp14:anchorId="6A66D184" wp14:editId="3B339791">
            <wp:extent cx="5382705" cy="3825621"/>
            <wp:effectExtent l="0" t="0" r="8890" b="3810"/>
            <wp:docPr id="34" name="Picture 34" descr="Table 22: Other Secondary and exploratory efficacy endpoints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 22: Other Secondary and exploratory efficacy endpoints (Full Analysis Set)"/>
                    <pic:cNvPicPr/>
                  </pic:nvPicPr>
                  <pic:blipFill>
                    <a:blip r:embed="rId73"/>
                    <a:stretch>
                      <a:fillRect/>
                    </a:stretch>
                  </pic:blipFill>
                  <pic:spPr>
                    <a:xfrm>
                      <a:off x="0" y="0"/>
                      <a:ext cx="5389449" cy="3830414"/>
                    </a:xfrm>
                    <a:prstGeom prst="rect">
                      <a:avLst/>
                    </a:prstGeom>
                  </pic:spPr>
                </pic:pic>
              </a:graphicData>
            </a:graphic>
          </wp:inline>
        </w:drawing>
      </w:r>
    </w:p>
    <w:p w14:paraId="38DDD4B7" w14:textId="77777777" w:rsidR="008F7B39" w:rsidRDefault="00FE583D" w:rsidP="005872B2">
      <w:pPr>
        <w:spacing w:before="240"/>
      </w:pPr>
      <w:r>
        <w:t>W</w:t>
      </w:r>
      <w:r w:rsidRPr="00D64F47">
        <w:t xml:space="preserve">ith inclusion of pes </w:t>
      </w:r>
      <w:proofErr w:type="spellStart"/>
      <w:r w:rsidRPr="00D64F47">
        <w:t>cavus</w:t>
      </w:r>
      <w:proofErr w:type="spellEnd"/>
      <w:r w:rsidRPr="00D64F47">
        <w:t xml:space="preserve"> patients </w:t>
      </w:r>
      <w:r>
        <w:t xml:space="preserve">in </w:t>
      </w:r>
      <w:proofErr w:type="gramStart"/>
      <w:r>
        <w:t>the all</w:t>
      </w:r>
      <w:proofErr w:type="gramEnd"/>
      <w:r>
        <w:t xml:space="preserve"> randomized population (ARP)</w:t>
      </w:r>
      <w:r w:rsidR="00C2085B">
        <w:t>,</w:t>
      </w:r>
      <w:r w:rsidRPr="00D64F47">
        <w:t xml:space="preserve"> </w:t>
      </w:r>
      <w:proofErr w:type="spellStart"/>
      <w:r w:rsidRPr="00D64F47">
        <w:t>omaveloxolone</w:t>
      </w:r>
      <w:proofErr w:type="spellEnd"/>
      <w:r w:rsidRPr="00D64F47">
        <w:t xml:space="preserve"> treatment improved </w:t>
      </w:r>
      <w:proofErr w:type="spellStart"/>
      <w:r w:rsidRPr="00D64F47">
        <w:t>mFARS</w:t>
      </w:r>
      <w:proofErr w:type="spellEnd"/>
      <w:r w:rsidRPr="00D64F47">
        <w:t xml:space="preserve"> by -1.93 points relative to placebo (n = 103; p = 0.0342)</w:t>
      </w:r>
      <w:r>
        <w:t xml:space="preserve">. In the subset of participants with pes </w:t>
      </w:r>
      <w:proofErr w:type="spellStart"/>
      <w:r>
        <w:t>cavus</w:t>
      </w:r>
      <w:proofErr w:type="spellEnd"/>
      <w:r>
        <w:t xml:space="preserve"> </w:t>
      </w:r>
      <w:proofErr w:type="spellStart"/>
      <w:r>
        <w:t>o</w:t>
      </w:r>
      <w:r w:rsidRPr="00713E65">
        <w:t>maveloxolone</w:t>
      </w:r>
      <w:proofErr w:type="spellEnd"/>
      <w:r w:rsidRPr="00713E65">
        <w:t xml:space="preserve"> numerically improved </w:t>
      </w:r>
      <w:proofErr w:type="spellStart"/>
      <w:r w:rsidRPr="00713E65">
        <w:t>mFARS</w:t>
      </w:r>
      <w:proofErr w:type="spellEnd"/>
      <w:r w:rsidRPr="00713E65">
        <w:t xml:space="preserve"> relative to placebo by -1.19 points</w:t>
      </w:r>
      <w:r>
        <w:t xml:space="preserve">, but this was not statistically significant </w:t>
      </w:r>
      <w:r w:rsidRPr="00713E65">
        <w:t>(n = 20; p = 0.5379</w:t>
      </w:r>
      <w:r>
        <w:t xml:space="preserve">). </w:t>
      </w:r>
      <w:r w:rsidRPr="00917BA6">
        <w:t xml:space="preserve">The reported worsening of PGIC by placebo-treated patients was more when the results from the pes </w:t>
      </w:r>
      <w:proofErr w:type="spellStart"/>
      <w:r w:rsidRPr="00917BA6">
        <w:t>cavus</w:t>
      </w:r>
      <w:proofErr w:type="spellEnd"/>
      <w:r w:rsidRPr="00917BA6">
        <w:t xml:space="preserve"> patients in the ARP were included</w:t>
      </w:r>
      <w:r>
        <w:t xml:space="preserve">. </w:t>
      </w:r>
      <w:r w:rsidRPr="00917BA6">
        <w:t xml:space="preserve">This resulted in a statistically significant improvement in PGIC at Week 48 for </w:t>
      </w:r>
      <w:proofErr w:type="spellStart"/>
      <w:r w:rsidRPr="00917BA6">
        <w:t>omaveloxolone</w:t>
      </w:r>
      <w:proofErr w:type="spellEnd"/>
      <w:r w:rsidRPr="00917BA6">
        <w:t>-treated compared with placebo-treated patients (mean difference of -0.56, p = 0.0282).</w:t>
      </w:r>
      <w:r>
        <w:t xml:space="preserve"> </w:t>
      </w:r>
    </w:p>
    <w:p w14:paraId="01EA44AB" w14:textId="1B180158" w:rsidR="00FE583D" w:rsidRDefault="00FE583D" w:rsidP="005872B2">
      <w:pPr>
        <w:spacing w:before="240"/>
      </w:pPr>
      <w:r>
        <w:t xml:space="preserve">Results comparing the key secondary outcomes between the full analysis set and </w:t>
      </w:r>
      <w:proofErr w:type="gramStart"/>
      <w:r>
        <w:t>the all</w:t>
      </w:r>
      <w:proofErr w:type="gramEnd"/>
      <w:r>
        <w:t xml:space="preserve"> ARP (which included participants with pes </w:t>
      </w:r>
      <w:proofErr w:type="spellStart"/>
      <w:r>
        <w:t>cavus</w:t>
      </w:r>
      <w:proofErr w:type="spellEnd"/>
      <w:r>
        <w:t xml:space="preserve">) </w:t>
      </w:r>
      <w:r w:rsidR="008F7B39">
        <w:t>are</w:t>
      </w:r>
      <w:r>
        <w:t xml:space="preserve"> shown in table </w:t>
      </w:r>
      <w:r w:rsidR="00EE0038">
        <w:t>2</w:t>
      </w:r>
      <w:r w:rsidR="00DB3271">
        <w:t>4</w:t>
      </w:r>
      <w:r>
        <w:t>.</w:t>
      </w:r>
    </w:p>
    <w:p w14:paraId="26DACC63" w14:textId="77777777" w:rsidR="00E47DEF" w:rsidRDefault="00E47DEF" w:rsidP="005872B2">
      <w:pPr>
        <w:spacing w:before="240"/>
      </w:pPr>
    </w:p>
    <w:p w14:paraId="13590D72" w14:textId="7AF0F51B" w:rsidR="00FE583D" w:rsidRPr="00E579A8" w:rsidRDefault="00FE583D" w:rsidP="00B03B0E">
      <w:pPr>
        <w:pStyle w:val="TableTitle"/>
      </w:pPr>
      <w:r w:rsidRPr="00E579A8">
        <w:lastRenderedPageBreak/>
        <w:t xml:space="preserve">Table </w:t>
      </w:r>
      <w:fldSimple w:instr=" SEQ Table \* ARABIC ">
        <w:r>
          <w:rPr>
            <w:noProof/>
          </w:rPr>
          <w:t>2</w:t>
        </w:r>
        <w:r w:rsidR="00DB3271">
          <w:rPr>
            <w:noProof/>
          </w:rPr>
          <w:t>4</w:t>
        </w:r>
      </w:fldSimple>
      <w:r w:rsidRPr="00E579A8">
        <w:t xml:space="preserve">: Study 1402 Part 2: Patient Global Impression of Change and Clinical Global Impression of Change </w:t>
      </w:r>
      <w:r w:rsidR="00271718">
        <w:t>r</w:t>
      </w:r>
      <w:r w:rsidRPr="00E579A8">
        <w:t xml:space="preserve">esponses at </w:t>
      </w:r>
      <w:r w:rsidR="00271718">
        <w:t>w</w:t>
      </w:r>
      <w:r w:rsidRPr="00E579A8">
        <w:t>eek 48</w:t>
      </w:r>
    </w:p>
    <w:p w14:paraId="5A65802B" w14:textId="77777777" w:rsidR="00FE583D" w:rsidRDefault="00FE583D" w:rsidP="00FE583D">
      <w:r w:rsidRPr="00E579A8">
        <w:rPr>
          <w:noProof/>
        </w:rPr>
        <w:drawing>
          <wp:inline distT="0" distB="0" distL="0" distR="0" wp14:anchorId="3120A5D7" wp14:editId="4C86F7C8">
            <wp:extent cx="4835951" cy="3016978"/>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840611" cy="3019885"/>
                    </a:xfrm>
                    <a:prstGeom prst="rect">
                      <a:avLst/>
                    </a:prstGeom>
                  </pic:spPr>
                </pic:pic>
              </a:graphicData>
            </a:graphic>
          </wp:inline>
        </w:drawing>
      </w:r>
    </w:p>
    <w:p w14:paraId="02F2D37B" w14:textId="66A046E6" w:rsidR="00FE583D" w:rsidRDefault="00FE583D" w:rsidP="008F7B39">
      <w:pPr>
        <w:spacing w:before="240"/>
      </w:pPr>
      <w:r>
        <w:t xml:space="preserve">A </w:t>
      </w:r>
      <w:r w:rsidR="00EE0038">
        <w:t>s</w:t>
      </w:r>
      <w:r>
        <w:t>ensitivity analysis was performed on the primary efficacy endpoint by performing a control based multiple imputation to assess the robustness in conclusion of the primary efficacy endpoint</w:t>
      </w:r>
      <w:r w:rsidR="00511F08">
        <w:t>. The</w:t>
      </w:r>
      <w:r>
        <w:t xml:space="preserve"> outcome of this sensitivity analysis supported the statistical significance of the primary endpoint. </w:t>
      </w:r>
      <w:r w:rsidRPr="000F39F1">
        <w:t xml:space="preserve">Additional post hoc analyses were performed to evaluate the effect of attrition and whether the timing of </w:t>
      </w:r>
      <w:proofErr w:type="spellStart"/>
      <w:r w:rsidRPr="000F39F1">
        <w:t>omaveloxolone</w:t>
      </w:r>
      <w:proofErr w:type="spellEnd"/>
      <w:r w:rsidRPr="000F39F1">
        <w:t xml:space="preserve"> missing data may have contributed to the separation in </w:t>
      </w:r>
      <w:proofErr w:type="spellStart"/>
      <w:r w:rsidRPr="000F39F1">
        <w:t>mFARS</w:t>
      </w:r>
      <w:proofErr w:type="spellEnd"/>
      <w:r w:rsidRPr="000F39F1">
        <w:t xml:space="preserve"> scores between the </w:t>
      </w:r>
      <w:proofErr w:type="spellStart"/>
      <w:r w:rsidRPr="000F39F1">
        <w:t>omaveloxolone</w:t>
      </w:r>
      <w:proofErr w:type="spellEnd"/>
      <w:r w:rsidRPr="000F39F1">
        <w:t xml:space="preserve"> and placebo groups</w:t>
      </w:r>
      <w:r w:rsidR="00FA5C5B">
        <w:t>. T</w:t>
      </w:r>
      <w:r>
        <w:t xml:space="preserve">he results of this post-hoc analysis supported that the separation in </w:t>
      </w:r>
      <w:proofErr w:type="spellStart"/>
      <w:r>
        <w:t>mFARS</w:t>
      </w:r>
      <w:proofErr w:type="spellEnd"/>
      <w:r>
        <w:t xml:space="preserve"> scores over time in each treatment group was due to worsening in the placebo group, not dur to missing data.</w:t>
      </w:r>
    </w:p>
    <w:p w14:paraId="3277D1FF" w14:textId="77777777" w:rsidR="00574E97" w:rsidRDefault="00FE583D" w:rsidP="00FE583D">
      <w:r w:rsidRPr="00AF2AD4">
        <w:t>A</w:t>
      </w:r>
      <w:r>
        <w:t>d</w:t>
      </w:r>
      <w:r w:rsidRPr="00AF2AD4">
        <w:t xml:space="preserve">ditional post hoc sensitivity analyses were performed to assess the impact of controlling for imbalances in baseline disease characteristics between the randomized cohorts. Accounting for a history of cardiomyopathy as a covariate in the model resulted in an improvement in </w:t>
      </w:r>
      <w:proofErr w:type="spellStart"/>
      <w:r w:rsidRPr="00AF2AD4">
        <w:t>mFARS</w:t>
      </w:r>
      <w:proofErr w:type="spellEnd"/>
      <w:r w:rsidRPr="00AF2AD4">
        <w:t xml:space="preserve"> of -2.65 points at Week 48 for </w:t>
      </w:r>
      <w:proofErr w:type="spellStart"/>
      <w:r w:rsidRPr="00AF2AD4">
        <w:t>omaveloxolone</w:t>
      </w:r>
      <w:proofErr w:type="spellEnd"/>
      <w:r w:rsidRPr="00AF2AD4">
        <w:t xml:space="preserve"> relative to placebo (p = 0.0064). </w:t>
      </w:r>
      <w:r>
        <w:t>N</w:t>
      </w:r>
      <w:r w:rsidRPr="00AF2AD4">
        <w:t xml:space="preserve">ot all randomized patients had baseline GAA1 repeat length data, the inclusion of GAA1 repeat length as a covariate in the longitudinal model for the patients with available data (n = 31 for </w:t>
      </w:r>
      <w:proofErr w:type="spellStart"/>
      <w:r w:rsidRPr="00AF2AD4">
        <w:t>omaveloxolone</w:t>
      </w:r>
      <w:proofErr w:type="spellEnd"/>
      <w:r w:rsidRPr="00AF2AD4">
        <w:t xml:space="preserve"> and n = 36 for placebo) improved the treatment effect on </w:t>
      </w:r>
      <w:proofErr w:type="spellStart"/>
      <w:r w:rsidRPr="00AF2AD4">
        <w:t>mFARS</w:t>
      </w:r>
      <w:proofErr w:type="spellEnd"/>
      <w:r w:rsidRPr="00AF2AD4">
        <w:t xml:space="preserve"> with </w:t>
      </w:r>
      <w:proofErr w:type="spellStart"/>
      <w:r w:rsidRPr="00AF2AD4">
        <w:t>omaveloxolone</w:t>
      </w:r>
      <w:proofErr w:type="spellEnd"/>
      <w:r w:rsidRPr="00AF2AD4">
        <w:t xml:space="preserve">, resulting in a difference between treatment groups of -3.36 points (p = 0.0017). </w:t>
      </w:r>
    </w:p>
    <w:p w14:paraId="38A7D1B4" w14:textId="25EEE811" w:rsidR="00FE583D" w:rsidRDefault="00FE583D" w:rsidP="00FE583D">
      <w:r w:rsidRPr="00AF2AD4">
        <w:t>Inclusion of both covariates (i</w:t>
      </w:r>
      <w:r w:rsidR="00D46B25">
        <w:t>.</w:t>
      </w:r>
      <w:r w:rsidRPr="00AF2AD4">
        <w:t>e</w:t>
      </w:r>
      <w:r w:rsidR="00574E97">
        <w:t>.</w:t>
      </w:r>
      <w:r w:rsidRPr="00AF2AD4">
        <w:t xml:space="preserve">, history of cardiomyopathy and GAA1 repeat length) into the longitudinal model further improved the treatment effect with </w:t>
      </w:r>
      <w:proofErr w:type="spellStart"/>
      <w:r w:rsidRPr="00AF2AD4">
        <w:t>omaveloxolone</w:t>
      </w:r>
      <w:proofErr w:type="spellEnd"/>
      <w:r w:rsidRPr="00AF2AD4">
        <w:t>, with a difference of - 3.48 points between treatment groups (p = 0.0012).</w:t>
      </w:r>
      <w:r>
        <w:t xml:space="preserve"> Results from this sensitivity analysis are shown in figure 1</w:t>
      </w:r>
      <w:r w:rsidR="008C2542">
        <w:t>4</w:t>
      </w:r>
      <w:r>
        <w:t>.</w:t>
      </w:r>
    </w:p>
    <w:p w14:paraId="1924ACD4" w14:textId="38494272" w:rsidR="00FE583D" w:rsidRPr="00D631FE" w:rsidRDefault="00FE583D" w:rsidP="008C2542">
      <w:pPr>
        <w:pStyle w:val="FigureTitle"/>
      </w:pPr>
      <w:r w:rsidRPr="00D631FE">
        <w:lastRenderedPageBreak/>
        <w:t xml:space="preserve">Figure </w:t>
      </w:r>
      <w:fldSimple w:instr=" SEQ Figure \* ARABIC ">
        <w:r>
          <w:rPr>
            <w:noProof/>
          </w:rPr>
          <w:t>14</w:t>
        </w:r>
      </w:fldSimple>
      <w:r w:rsidRPr="00D631FE">
        <w:t xml:space="preserve">: Study 1402 Part 2: Analyses of </w:t>
      </w:r>
      <w:r w:rsidR="00F71E4A">
        <w:t>c</w:t>
      </w:r>
      <w:r w:rsidRPr="00D631FE">
        <w:t xml:space="preserve">hange in </w:t>
      </w:r>
      <w:proofErr w:type="spellStart"/>
      <w:r w:rsidRPr="00D631FE">
        <w:t>mFARS</w:t>
      </w:r>
      <w:proofErr w:type="spellEnd"/>
      <w:r w:rsidRPr="00D631FE">
        <w:t xml:space="preserve"> from </w:t>
      </w:r>
      <w:r w:rsidR="00F71E4A">
        <w:t>b</w:t>
      </w:r>
      <w:r w:rsidRPr="00D631FE">
        <w:t xml:space="preserve">aseline at </w:t>
      </w:r>
      <w:r w:rsidR="004C037E">
        <w:t>w</w:t>
      </w:r>
      <w:r w:rsidRPr="00D631FE">
        <w:t xml:space="preserve">eek 48 </w:t>
      </w:r>
      <w:r w:rsidR="00F71E4A">
        <w:t>u</w:t>
      </w:r>
      <w:r w:rsidRPr="00D631FE">
        <w:t xml:space="preserve">sing the </w:t>
      </w:r>
      <w:r w:rsidR="004C037E">
        <w:t>p</w:t>
      </w:r>
      <w:r w:rsidRPr="00D631FE">
        <w:t xml:space="preserve">rimary </w:t>
      </w:r>
      <w:r w:rsidR="004C037E">
        <w:t>a</w:t>
      </w:r>
      <w:r w:rsidRPr="00D631FE">
        <w:t xml:space="preserve">nalysis MMRM </w:t>
      </w:r>
      <w:r w:rsidR="004C037E">
        <w:t>m</w:t>
      </w:r>
      <w:r w:rsidRPr="00D631FE">
        <w:t xml:space="preserve">ethodology with </w:t>
      </w:r>
      <w:r w:rsidR="00C16A9F">
        <w:t>a</w:t>
      </w:r>
      <w:r w:rsidRPr="00D631FE">
        <w:t xml:space="preserve">dditional </w:t>
      </w:r>
      <w:r w:rsidR="00C16A9F">
        <w:t>b</w:t>
      </w:r>
      <w:r w:rsidRPr="00D631FE">
        <w:t xml:space="preserve">aseline </w:t>
      </w:r>
      <w:r w:rsidR="00C16A9F">
        <w:t>c</w:t>
      </w:r>
      <w:r w:rsidRPr="00D631FE">
        <w:t>ovariates (Full Analysis Set)</w:t>
      </w:r>
    </w:p>
    <w:p w14:paraId="2F07019B" w14:textId="77777777" w:rsidR="00FE583D" w:rsidRDefault="00FE583D" w:rsidP="00FE583D">
      <w:r w:rsidRPr="00751FFF">
        <w:rPr>
          <w:noProof/>
        </w:rPr>
        <w:drawing>
          <wp:inline distT="0" distB="0" distL="0" distR="0" wp14:anchorId="70DC82DA" wp14:editId="7B9832FD">
            <wp:extent cx="5731510" cy="3209925"/>
            <wp:effectExtent l="0" t="0" r="2540" b="9525"/>
            <wp:docPr id="35" name="Picture 35" descr="Figure 14: Study 1402 Part 2: Analyses of change in mFARS from baseline at Week 48 using the Primary Analysis MMRM Methodology with Additional Baseline Covariates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14: Study 1402 Part 2: Analyses of change in mFARS from baseline at Week 48 using the Primary Analysis MMRM Methodology with Additional Baseline Covariates (Full Analysis Set)"/>
                    <pic:cNvPicPr/>
                  </pic:nvPicPr>
                  <pic:blipFill>
                    <a:blip r:embed="rId75"/>
                    <a:stretch>
                      <a:fillRect/>
                    </a:stretch>
                  </pic:blipFill>
                  <pic:spPr>
                    <a:xfrm>
                      <a:off x="0" y="0"/>
                      <a:ext cx="5731510" cy="3209925"/>
                    </a:xfrm>
                    <a:prstGeom prst="rect">
                      <a:avLst/>
                    </a:prstGeom>
                  </pic:spPr>
                </pic:pic>
              </a:graphicData>
            </a:graphic>
          </wp:inline>
        </w:drawing>
      </w:r>
    </w:p>
    <w:p w14:paraId="3AD560D0" w14:textId="5591AC6B" w:rsidR="00FE583D" w:rsidRDefault="00FE583D" w:rsidP="00C16A9F">
      <w:pPr>
        <w:spacing w:before="360"/>
      </w:pPr>
      <w:r>
        <w:t xml:space="preserve">Improvements in </w:t>
      </w:r>
      <w:proofErr w:type="spellStart"/>
      <w:r>
        <w:t>mFARS</w:t>
      </w:r>
      <w:proofErr w:type="spellEnd"/>
      <w:r>
        <w:t xml:space="preserve"> favoured </w:t>
      </w:r>
      <w:proofErr w:type="spellStart"/>
      <w:r>
        <w:t>omaveloxolone</w:t>
      </w:r>
      <w:proofErr w:type="spellEnd"/>
      <w:r>
        <w:t xml:space="preserve"> across subgroups based on age, sex, ambulatory status, and GAA1 repeat length as shown in figure </w:t>
      </w:r>
      <w:r w:rsidR="008F5186">
        <w:t>15</w:t>
      </w:r>
      <w:r>
        <w:t>.</w:t>
      </w:r>
    </w:p>
    <w:p w14:paraId="26EFECAC" w14:textId="38CCD522" w:rsidR="00FE583D" w:rsidRPr="00D25057" w:rsidRDefault="00FE583D" w:rsidP="00C16A9F">
      <w:pPr>
        <w:pStyle w:val="FigureTitle"/>
        <w:spacing w:before="240"/>
      </w:pPr>
      <w:r w:rsidRPr="00D25057">
        <w:t xml:space="preserve">Figure </w:t>
      </w:r>
      <w:fldSimple w:instr=" SEQ Figure \* ARABIC ">
        <w:r>
          <w:rPr>
            <w:noProof/>
          </w:rPr>
          <w:t>15</w:t>
        </w:r>
      </w:fldSimple>
      <w:r w:rsidRPr="00D25057">
        <w:t xml:space="preserve">: Study 1402 Part 2: Change in </w:t>
      </w:r>
      <w:proofErr w:type="spellStart"/>
      <w:r w:rsidRPr="00D25057">
        <w:t>mFARS</w:t>
      </w:r>
      <w:proofErr w:type="spellEnd"/>
      <w:r w:rsidRPr="00D25057">
        <w:t xml:space="preserve"> at </w:t>
      </w:r>
      <w:r w:rsidR="00271718">
        <w:t>w</w:t>
      </w:r>
      <w:r w:rsidRPr="00D25057">
        <w:t>eek 48 in Pre-specified Subgroups</w:t>
      </w:r>
    </w:p>
    <w:p w14:paraId="5D57458B" w14:textId="77777777" w:rsidR="00FE583D" w:rsidRDefault="00FE583D" w:rsidP="00FE583D">
      <w:r w:rsidRPr="008F2686">
        <w:rPr>
          <w:noProof/>
        </w:rPr>
        <w:drawing>
          <wp:inline distT="0" distB="0" distL="0" distR="0" wp14:anchorId="2928AC1E" wp14:editId="672F7CBF">
            <wp:extent cx="5731510" cy="3760470"/>
            <wp:effectExtent l="0" t="0" r="2540" b="0"/>
            <wp:docPr id="36" name="Picture 36" descr="Figure 15: Study 1402 Part 2: Change in mFARS at Week 48 in Pre-specified Sub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15: Study 1402 Part 2: Change in mFARS at Week 48 in Pre-specified Subgroups"/>
                    <pic:cNvPicPr/>
                  </pic:nvPicPr>
                  <pic:blipFill>
                    <a:blip r:embed="rId76"/>
                    <a:stretch>
                      <a:fillRect/>
                    </a:stretch>
                  </pic:blipFill>
                  <pic:spPr>
                    <a:xfrm>
                      <a:off x="0" y="0"/>
                      <a:ext cx="5731510" cy="3760470"/>
                    </a:xfrm>
                    <a:prstGeom prst="rect">
                      <a:avLst/>
                    </a:prstGeom>
                  </pic:spPr>
                </pic:pic>
              </a:graphicData>
            </a:graphic>
          </wp:inline>
        </w:drawing>
      </w:r>
    </w:p>
    <w:p w14:paraId="4DF10211" w14:textId="77777777" w:rsidR="00941EBD" w:rsidRDefault="00941EBD">
      <w:r>
        <w:br w:type="page"/>
      </w:r>
    </w:p>
    <w:p w14:paraId="7813D523" w14:textId="621154D9" w:rsidR="00FE583D" w:rsidRDefault="00FE583D" w:rsidP="00FE583D">
      <w:r>
        <w:lastRenderedPageBreak/>
        <w:t>Responder analysis was performed with participants being categorized as: improved, stable or worsened in the primary and key secondary efficacy outcomes based on previously published rates of annual change in this population for these outcomes.</w:t>
      </w:r>
    </w:p>
    <w:p w14:paraId="2BE49248" w14:textId="5E6592D0" w:rsidR="00FE583D" w:rsidRDefault="00FE583D" w:rsidP="00941EBD">
      <w:pPr>
        <w:pStyle w:val="ListBullet"/>
      </w:pPr>
      <w:r>
        <w:t xml:space="preserve">Improvements were defined as changes from baseline ≤ −1.9 points for </w:t>
      </w:r>
      <w:proofErr w:type="spellStart"/>
      <w:r>
        <w:t>mFARS</w:t>
      </w:r>
      <w:proofErr w:type="spellEnd"/>
      <w:r>
        <w:t xml:space="preserve"> scores and</w:t>
      </w:r>
      <w:r w:rsidR="00941EBD">
        <w:br/>
      </w:r>
      <w:r>
        <w:t>≤ 0.4 points for FA-ADL scores, and PGIC scores &lt; 4.</w:t>
      </w:r>
    </w:p>
    <w:p w14:paraId="7ACCA3A7" w14:textId="77777777" w:rsidR="00FE583D" w:rsidRDefault="00FE583D" w:rsidP="00941EBD">
      <w:pPr>
        <w:pStyle w:val="ListBullet"/>
      </w:pPr>
      <w:r>
        <w:t>Stable scores were defined as changes from baseline between &gt;−1.9 and −0.4 and 4.</w:t>
      </w:r>
    </w:p>
    <w:p w14:paraId="17AF3329" w14:textId="7F964A06" w:rsidR="00FE583D" w:rsidRDefault="006C23B5" w:rsidP="00941EBD">
      <w:pPr>
        <w:pStyle w:val="ListBullet"/>
      </w:pPr>
      <w:r>
        <w:t>W</w:t>
      </w:r>
      <w:r w:rsidR="00FE583D">
        <w:t xml:space="preserve">orsening was defined as changes from baseline ≥ 1.9 points for </w:t>
      </w:r>
      <w:proofErr w:type="spellStart"/>
      <w:r w:rsidR="00FE583D">
        <w:t>mFARS</w:t>
      </w:r>
      <w:proofErr w:type="spellEnd"/>
      <w:r w:rsidR="00FE583D">
        <w:t xml:space="preserve"> scores and ≥ 0.4 points for FA-ADL scores, and PGIC scores &gt; 4.</w:t>
      </w:r>
    </w:p>
    <w:p w14:paraId="374A582E" w14:textId="3D127263" w:rsidR="00FE583D" w:rsidRDefault="00FE583D" w:rsidP="00FE583D">
      <w:r>
        <w:t xml:space="preserve">These results show that for the primary and key secondary outcomes of change from baseline </w:t>
      </w:r>
      <w:proofErr w:type="spellStart"/>
      <w:r>
        <w:t>mFARS</w:t>
      </w:r>
      <w:proofErr w:type="spellEnd"/>
      <w:r>
        <w:t xml:space="preserve"> score, FA-ADL score and PGIC score that there were an increased percentage of patient’s rated as ‘improved’ in the </w:t>
      </w:r>
      <w:proofErr w:type="spellStart"/>
      <w:r>
        <w:t>omaveloxolone</w:t>
      </w:r>
      <w:proofErr w:type="spellEnd"/>
      <w:r>
        <w:t xml:space="preserve"> treatment group compared to placebo (FAS) with a lesser percentage of patients being rated is ‘worsened’ in the </w:t>
      </w:r>
      <w:proofErr w:type="spellStart"/>
      <w:r>
        <w:t>omaveloxolone</w:t>
      </w:r>
      <w:proofErr w:type="spellEnd"/>
      <w:r>
        <w:t xml:space="preserve"> group compared to placebo. This is shown in table </w:t>
      </w:r>
      <w:r w:rsidR="00647238">
        <w:t>2</w:t>
      </w:r>
      <w:r w:rsidR="004E3C55">
        <w:t>5</w:t>
      </w:r>
      <w:r>
        <w:t>.</w:t>
      </w:r>
    </w:p>
    <w:p w14:paraId="3A259D99" w14:textId="67C2BF43" w:rsidR="00FE583D" w:rsidRPr="00022208" w:rsidRDefault="00FE583D" w:rsidP="006C23B5">
      <w:pPr>
        <w:pStyle w:val="TableTitle"/>
        <w:spacing w:before="240"/>
      </w:pPr>
      <w:r w:rsidRPr="00022208">
        <w:t xml:space="preserve">Table </w:t>
      </w:r>
      <w:fldSimple w:instr=" SEQ Table \* ARABIC ">
        <w:r>
          <w:rPr>
            <w:noProof/>
          </w:rPr>
          <w:t>2</w:t>
        </w:r>
        <w:r w:rsidR="004E3C55">
          <w:rPr>
            <w:noProof/>
          </w:rPr>
          <w:t>5</w:t>
        </w:r>
      </w:fldSimple>
      <w:r w:rsidRPr="00022208">
        <w:t xml:space="preserve">: Study 1402 </w:t>
      </w:r>
      <w:r w:rsidR="00B43661">
        <w:t>p</w:t>
      </w:r>
      <w:r w:rsidRPr="00022208">
        <w:t xml:space="preserve">art 2: Analyses of the </w:t>
      </w:r>
      <w:r w:rsidR="00B43661">
        <w:t>p</w:t>
      </w:r>
      <w:r w:rsidRPr="00022208">
        <w:t xml:space="preserve">roportion of </w:t>
      </w:r>
      <w:r w:rsidR="00B43661">
        <w:t>p</w:t>
      </w:r>
      <w:r w:rsidRPr="00022208">
        <w:t xml:space="preserve">atients </w:t>
      </w:r>
      <w:r w:rsidR="00B43661">
        <w:t>w</w:t>
      </w:r>
      <w:r w:rsidRPr="00022208">
        <w:t xml:space="preserve">ho </w:t>
      </w:r>
      <w:r w:rsidR="00B43661">
        <w:t>i</w:t>
      </w:r>
      <w:r w:rsidRPr="00022208">
        <w:t xml:space="preserve">mproved or </w:t>
      </w:r>
      <w:r w:rsidR="00B43661">
        <w:t>w</w:t>
      </w:r>
      <w:r w:rsidRPr="00022208">
        <w:t xml:space="preserve">orsened in </w:t>
      </w:r>
      <w:r w:rsidR="00B43661">
        <w:t>p</w:t>
      </w:r>
      <w:r w:rsidRPr="00022208">
        <w:t xml:space="preserve">rimary and </w:t>
      </w:r>
      <w:r w:rsidR="00B43661">
        <w:t>s</w:t>
      </w:r>
      <w:r w:rsidRPr="00022208">
        <w:t xml:space="preserve">econdary </w:t>
      </w:r>
      <w:r w:rsidR="00B43661">
        <w:t>m</w:t>
      </w:r>
      <w:r w:rsidRPr="00022208">
        <w:t xml:space="preserve">easures at </w:t>
      </w:r>
      <w:r w:rsidR="006C23B5">
        <w:t>w</w:t>
      </w:r>
      <w:r w:rsidRPr="00022208">
        <w:t>eek 48 (Full Analysis Set)</w:t>
      </w:r>
    </w:p>
    <w:p w14:paraId="501BDBF6" w14:textId="77777777" w:rsidR="00FE583D" w:rsidRDefault="00FE583D" w:rsidP="00FE583D">
      <w:r w:rsidRPr="006C72B2">
        <w:rPr>
          <w:noProof/>
        </w:rPr>
        <w:drawing>
          <wp:inline distT="0" distB="0" distL="0" distR="0" wp14:anchorId="2B7A75FC" wp14:editId="20863CC5">
            <wp:extent cx="4626973" cy="5062194"/>
            <wp:effectExtent l="0" t="0" r="2540" b="5715"/>
            <wp:docPr id="38" name="Picture 38" descr="Table 24: Study 1402 part 2: Analyses of the proportion of patients who improved or worsened in primary and secondary measures at Week 48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 24: Study 1402 part 2: Analyses of the proportion of patients who improved or worsened in primary and secondary measures at Week 48 (Full Analysis Set)"/>
                    <pic:cNvPicPr/>
                  </pic:nvPicPr>
                  <pic:blipFill>
                    <a:blip r:embed="rId77"/>
                    <a:stretch>
                      <a:fillRect/>
                    </a:stretch>
                  </pic:blipFill>
                  <pic:spPr>
                    <a:xfrm>
                      <a:off x="0" y="0"/>
                      <a:ext cx="4631847" cy="5067527"/>
                    </a:xfrm>
                    <a:prstGeom prst="rect">
                      <a:avLst/>
                    </a:prstGeom>
                  </pic:spPr>
                </pic:pic>
              </a:graphicData>
            </a:graphic>
          </wp:inline>
        </w:drawing>
      </w:r>
    </w:p>
    <w:p w14:paraId="0D0BABC9" w14:textId="77777777" w:rsidR="00FB170C" w:rsidRDefault="00FB170C">
      <w:pPr>
        <w:rPr>
          <w:rFonts w:ascii="Arial" w:eastAsia="Times New Roman" w:hAnsi="Arial" w:cs="Times New Roman"/>
          <w:b/>
          <w:bCs/>
          <w:iCs/>
          <w:color w:val="001871"/>
          <w:sz w:val="26"/>
          <w:szCs w:val="26"/>
        </w:rPr>
      </w:pPr>
      <w:r>
        <w:rPr>
          <w:i/>
          <w:iCs/>
        </w:rPr>
        <w:br w:type="page"/>
      </w:r>
    </w:p>
    <w:p w14:paraId="57D23CFD" w14:textId="61CCE8CB" w:rsidR="00FE583D" w:rsidRPr="006C23B5" w:rsidRDefault="00FE583D" w:rsidP="006C23B5">
      <w:pPr>
        <w:pStyle w:val="Heading5"/>
        <w:rPr>
          <w:i w:val="0"/>
          <w:iCs/>
        </w:rPr>
      </w:pPr>
      <w:r w:rsidRPr="006C23B5">
        <w:rPr>
          <w:i w:val="0"/>
          <w:iCs/>
        </w:rPr>
        <w:lastRenderedPageBreak/>
        <w:t>Study 1402 open label extension</w:t>
      </w:r>
    </w:p>
    <w:p w14:paraId="377AA0D5" w14:textId="38520088" w:rsidR="00FE583D" w:rsidRDefault="00FE583D" w:rsidP="00FE583D">
      <w:r w:rsidRPr="00E4121D">
        <w:t>Study 1402</w:t>
      </w:r>
      <w:r>
        <w:t xml:space="preserve"> is an open label</w:t>
      </w:r>
      <w:r w:rsidRPr="00E4121D">
        <w:t xml:space="preserve"> </w:t>
      </w:r>
      <w:r>
        <w:t>e</w:t>
      </w:r>
      <w:r w:rsidRPr="00E4121D">
        <w:t>xtension</w:t>
      </w:r>
      <w:r>
        <w:t xml:space="preserve"> (OLE) study is designed</w:t>
      </w:r>
      <w:r w:rsidRPr="00E4121D">
        <w:t xml:space="preserve"> to assess long-term safety and tolerability of </w:t>
      </w:r>
      <w:proofErr w:type="spellStart"/>
      <w:r w:rsidRPr="00E4121D">
        <w:t>omaveloxolone</w:t>
      </w:r>
      <w:proofErr w:type="spellEnd"/>
      <w:r w:rsidRPr="00E4121D">
        <w:t xml:space="preserve"> in qualified patients with FA following completion of Study 1402 </w:t>
      </w:r>
      <w:r w:rsidR="00F86F7F">
        <w:t>p</w:t>
      </w:r>
      <w:r w:rsidRPr="00E4121D">
        <w:t xml:space="preserve">art 1 or Study 1402 </w:t>
      </w:r>
      <w:r w:rsidR="00FE6242">
        <w:t>p</w:t>
      </w:r>
      <w:r w:rsidRPr="00E4121D">
        <w:t>art 2</w:t>
      </w:r>
      <w:r>
        <w:t>. P</w:t>
      </w:r>
      <w:r w:rsidRPr="00AD1CFF">
        <w:t>atients receive</w:t>
      </w:r>
      <w:r>
        <w:t>d</w:t>
      </w:r>
      <w:r w:rsidRPr="00AD1CFF">
        <w:t xml:space="preserve"> open label </w:t>
      </w:r>
      <w:proofErr w:type="spellStart"/>
      <w:r w:rsidRPr="00AD1CFF">
        <w:t>omaveloxolone</w:t>
      </w:r>
      <w:proofErr w:type="spellEnd"/>
      <w:r w:rsidRPr="00AD1CFF">
        <w:t xml:space="preserve"> (150 mg) once daily until the drug </w:t>
      </w:r>
      <w:r>
        <w:t>was</w:t>
      </w:r>
      <w:r w:rsidRPr="00AD1CFF">
        <w:t xml:space="preserve"> available through commercial channels or until patient withdrawal, whichever occur</w:t>
      </w:r>
      <w:r>
        <w:t>red</w:t>
      </w:r>
      <w:r w:rsidRPr="00AD1CFF">
        <w:t xml:space="preserve"> first</w:t>
      </w:r>
      <w:r>
        <w:t>. First patient visit occurred on 10 October 2018 with database lock date of 24 March 2022.</w:t>
      </w:r>
    </w:p>
    <w:p w14:paraId="194DDECB" w14:textId="77777777" w:rsidR="006B24E6" w:rsidRDefault="00FE583D" w:rsidP="00FE583D">
      <w:r>
        <w:t>Participants were assessed on day 1 of study 1402 extension, then week 4, week 24 and every 24 weeks thereafter. 149 participants were enrolled in study 1042 extension, 57 from 1042 part 1 and 92 from 1402 part 2. As of the interim database lock date of 24 March 2022</w:t>
      </w:r>
      <w:r w:rsidR="00FC6817">
        <w:t>,</w:t>
      </w:r>
      <w:r>
        <w:t xml:space="preserve"> there were 123 (82.6%) continuing the study with 26 (17.4%) of participants who terminated early. The most common reason for study discontinuation was withdrawal by patient in 15 (10.1%) of cases followed by adverse events in 10 (6.7% of cases.). </w:t>
      </w:r>
    </w:p>
    <w:p w14:paraId="7678ECEF" w14:textId="6E535EEF" w:rsidR="00FE583D" w:rsidRDefault="00FE583D" w:rsidP="00FE583D">
      <w:r>
        <w:t xml:space="preserve">Study participants disposition is shown in figure </w:t>
      </w:r>
      <w:r w:rsidR="007E0C8E">
        <w:t xml:space="preserve">16 </w:t>
      </w:r>
      <w:r>
        <w:t xml:space="preserve">with 106 participants designated as treatment naïve prior to study 1042 open label extension and 43 participants designated as continuing </w:t>
      </w:r>
      <w:proofErr w:type="spellStart"/>
      <w:r>
        <w:t>omaveloxolone</w:t>
      </w:r>
      <w:proofErr w:type="spellEnd"/>
      <w:r>
        <w:t>.</w:t>
      </w:r>
    </w:p>
    <w:p w14:paraId="182679B3" w14:textId="77777777" w:rsidR="00FE583D" w:rsidRPr="0019629C" w:rsidRDefault="00FE583D" w:rsidP="00215A84">
      <w:pPr>
        <w:pStyle w:val="FigureTitle"/>
        <w:spacing w:before="240"/>
      </w:pPr>
      <w:r w:rsidRPr="0019629C">
        <w:t xml:space="preserve">Figure </w:t>
      </w:r>
      <w:fldSimple w:instr=" SEQ Figure \* ARABIC ">
        <w:r>
          <w:rPr>
            <w:noProof/>
          </w:rPr>
          <w:t>16</w:t>
        </w:r>
      </w:fldSimple>
      <w:r w:rsidRPr="0019629C">
        <w:t>: Study 1402 patient disposition</w:t>
      </w:r>
    </w:p>
    <w:p w14:paraId="171778A9" w14:textId="77777777" w:rsidR="00FE583D" w:rsidRDefault="00FE583D" w:rsidP="00FE583D">
      <w:r w:rsidRPr="0019629C">
        <w:rPr>
          <w:noProof/>
        </w:rPr>
        <w:drawing>
          <wp:inline distT="0" distB="0" distL="0" distR="0" wp14:anchorId="55CC73B7" wp14:editId="09901C03">
            <wp:extent cx="4097027" cy="5156462"/>
            <wp:effectExtent l="0" t="0" r="0" b="6350"/>
            <wp:docPr id="39" name="Picture 39" descr="Figure 16: Study 1402 patient dis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16: Study 1402 patient disposition"/>
                    <pic:cNvPicPr/>
                  </pic:nvPicPr>
                  <pic:blipFill>
                    <a:blip r:embed="rId78"/>
                    <a:stretch>
                      <a:fillRect/>
                    </a:stretch>
                  </pic:blipFill>
                  <pic:spPr>
                    <a:xfrm>
                      <a:off x="0" y="0"/>
                      <a:ext cx="4103510" cy="5164621"/>
                    </a:xfrm>
                    <a:prstGeom prst="rect">
                      <a:avLst/>
                    </a:prstGeom>
                  </pic:spPr>
                </pic:pic>
              </a:graphicData>
            </a:graphic>
          </wp:inline>
        </w:drawing>
      </w:r>
    </w:p>
    <w:p w14:paraId="3AC2BDAC" w14:textId="77777777" w:rsidR="001F08E2" w:rsidRDefault="001F08E2">
      <w:r>
        <w:br w:type="page"/>
      </w:r>
    </w:p>
    <w:p w14:paraId="7A7C9A72" w14:textId="015AD8C7" w:rsidR="00FE583D" w:rsidRDefault="00FE583D" w:rsidP="00FE583D">
      <w:r>
        <w:lastRenderedPageBreak/>
        <w:t>Regarding baseline demographics</w:t>
      </w:r>
      <w:r w:rsidR="003169B1">
        <w:t>,</w:t>
      </w:r>
      <w:r>
        <w:t xml:space="preserve"> p</w:t>
      </w:r>
      <w:r w:rsidRPr="003675FE">
        <w:t xml:space="preserve">atients were evenly distributed by sex in the Overall Omav group: 74 (49.7%) patients were female, and 75 (50.3%) patients were male. The mean age (±SD) at baseline was 26.2 (±7.15) years. </w:t>
      </w:r>
      <w:proofErr w:type="gramStart"/>
      <w:r w:rsidRPr="003675FE">
        <w:t>The majority of</w:t>
      </w:r>
      <w:proofErr w:type="gramEnd"/>
      <w:r w:rsidRPr="003675FE">
        <w:t xml:space="preserve"> patients (92.6%, 138/149 patients) were ≥18 years of age; 11 (7.4%) patients were younger than 18 years</w:t>
      </w:r>
      <w:r>
        <w:t>.</w:t>
      </w:r>
      <w:r w:rsidRPr="00CC7783">
        <w:t xml:space="preserve"> </w:t>
      </w:r>
      <w:r>
        <w:t xml:space="preserve">Regarding other baseline characteristics </w:t>
      </w:r>
      <w:r w:rsidRPr="00CC7783">
        <w:t xml:space="preserve">In the Overall Omav group, the mean (±SD) </w:t>
      </w:r>
      <w:proofErr w:type="spellStart"/>
      <w:r w:rsidRPr="00CC7783">
        <w:t>mFARS</w:t>
      </w:r>
      <w:proofErr w:type="spellEnd"/>
      <w:r w:rsidRPr="00CC7783">
        <w:t xml:space="preserve"> was 42.66 (±12.512) points, and the mean (±SD) ADL score was 12.50 (±4.980) points. The mean (±SD) age at onset of FA was 15.2 (±5.30) years and the mean (±SD) length of time since onset of FA was 11.0 (±5.35) years. </w:t>
      </w:r>
      <w:r>
        <w:t>M</w:t>
      </w:r>
      <w:r w:rsidRPr="00CC7783">
        <w:t xml:space="preserve">ajority of patients were without pes </w:t>
      </w:r>
      <w:proofErr w:type="spellStart"/>
      <w:r w:rsidRPr="00CC7783">
        <w:t>cavus</w:t>
      </w:r>
      <w:proofErr w:type="spellEnd"/>
      <w:r w:rsidRPr="00CC7783">
        <w:t xml:space="preserve"> (104 [69.8%]), and 73 (49.0%) patients had a GAA1 repeat length ≥675.</w:t>
      </w:r>
    </w:p>
    <w:p w14:paraId="193E0A51" w14:textId="20D85512" w:rsidR="00FE583D" w:rsidRDefault="00FE583D" w:rsidP="00FE583D">
      <w:r w:rsidRPr="00CC7783">
        <w:t>Efficacy data within study 1402 extension was summarised descriptively with key efficacy endpoint data presented through to week 144</w:t>
      </w:r>
      <w:r w:rsidR="001004AA">
        <w:t xml:space="preserve"> (table </w:t>
      </w:r>
      <w:r w:rsidR="00240770">
        <w:t>2</w:t>
      </w:r>
      <w:r w:rsidR="00DA186F">
        <w:t>6</w:t>
      </w:r>
      <w:r w:rsidR="00240770">
        <w:t>)</w:t>
      </w:r>
      <w:r>
        <w:t>.</w:t>
      </w:r>
    </w:p>
    <w:p w14:paraId="7C1E857C" w14:textId="2F6D8A57" w:rsidR="00FE583D" w:rsidRPr="00D80BFB" w:rsidRDefault="00FE583D" w:rsidP="00221D0F">
      <w:pPr>
        <w:pStyle w:val="TableTitle"/>
        <w:spacing w:before="240"/>
      </w:pPr>
      <w:r w:rsidRPr="00D80BFB">
        <w:t xml:space="preserve">Table </w:t>
      </w:r>
      <w:fldSimple w:instr=" SEQ Table \* ARABIC ">
        <w:r>
          <w:rPr>
            <w:noProof/>
          </w:rPr>
          <w:t>2</w:t>
        </w:r>
        <w:r w:rsidR="00DA186F">
          <w:rPr>
            <w:noProof/>
          </w:rPr>
          <w:t>6</w:t>
        </w:r>
      </w:fldSimple>
      <w:r w:rsidRPr="00D80BFB">
        <w:t xml:space="preserve">: Modified Friedreich’s Ataxia Rating Scale </w:t>
      </w:r>
      <w:r w:rsidR="00221D0F">
        <w:t>r</w:t>
      </w:r>
      <w:r w:rsidRPr="00D80BFB">
        <w:t xml:space="preserve">esults and </w:t>
      </w:r>
      <w:r w:rsidR="00C3366B">
        <w:t>m</w:t>
      </w:r>
      <w:r w:rsidRPr="00D80BFB">
        <w:t xml:space="preserve">ean </w:t>
      </w:r>
      <w:r w:rsidR="00C3366B">
        <w:t>c</w:t>
      </w:r>
      <w:r w:rsidRPr="00D80BFB">
        <w:t xml:space="preserve">hange from </w:t>
      </w:r>
      <w:r w:rsidR="00C3366B">
        <w:t>b</w:t>
      </w:r>
      <w:r w:rsidRPr="00D80BFB">
        <w:t xml:space="preserve">aseline by </w:t>
      </w:r>
      <w:r w:rsidR="00C3366B">
        <w:t>s</w:t>
      </w:r>
      <w:r w:rsidRPr="00D80BFB">
        <w:t xml:space="preserve">tudy </w:t>
      </w:r>
      <w:r w:rsidR="00C3366B">
        <w:t>v</w:t>
      </w:r>
      <w:r w:rsidRPr="00D80BFB">
        <w:t>isit (Safety Population)</w:t>
      </w:r>
    </w:p>
    <w:p w14:paraId="39F3F1DD" w14:textId="77777777" w:rsidR="00FE583D" w:rsidRDefault="00FE583D" w:rsidP="00FE583D">
      <w:r>
        <w:rPr>
          <w:noProof/>
        </w:rPr>
        <w:drawing>
          <wp:inline distT="0" distB="0" distL="0" distR="0" wp14:anchorId="0EC27202" wp14:editId="748687DF">
            <wp:extent cx="5606559" cy="3073138"/>
            <wp:effectExtent l="0" t="0" r="0" b="0"/>
            <wp:docPr id="40" name="Picture 40" descr="Table 25: Modified Friedreich’s Ataxia Rating Scale Results and Mean Change from Baseline by Study Visit (Safe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 25: Modified Friedreich’s Ataxia Rating Scale Results and Mean Change from Baseline by Study Visit (Safety Populatio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75082" cy="3110698"/>
                    </a:xfrm>
                    <a:prstGeom prst="rect">
                      <a:avLst/>
                    </a:prstGeom>
                    <a:noFill/>
                  </pic:spPr>
                </pic:pic>
              </a:graphicData>
            </a:graphic>
          </wp:inline>
        </w:drawing>
      </w:r>
    </w:p>
    <w:p w14:paraId="5E928306" w14:textId="77777777" w:rsidR="00FE583D" w:rsidRDefault="00FE583D" w:rsidP="00FE583D">
      <w:r>
        <w:rPr>
          <w:noProof/>
        </w:rPr>
        <w:lastRenderedPageBreak/>
        <w:drawing>
          <wp:inline distT="0" distB="0" distL="0" distR="0" wp14:anchorId="0F55820F" wp14:editId="5E6B28A7">
            <wp:extent cx="5627370" cy="3139126"/>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53838" cy="3153891"/>
                    </a:xfrm>
                    <a:prstGeom prst="rect">
                      <a:avLst/>
                    </a:prstGeom>
                    <a:noFill/>
                  </pic:spPr>
                </pic:pic>
              </a:graphicData>
            </a:graphic>
          </wp:inline>
        </w:drawing>
      </w:r>
      <w:r>
        <w:rPr>
          <w:noProof/>
        </w:rPr>
        <w:drawing>
          <wp:inline distT="0" distB="0" distL="0" distR="0" wp14:anchorId="50037924" wp14:editId="304B3830">
            <wp:extent cx="5627802" cy="21018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59741" cy="2113779"/>
                    </a:xfrm>
                    <a:prstGeom prst="rect">
                      <a:avLst/>
                    </a:prstGeom>
                    <a:noFill/>
                  </pic:spPr>
                </pic:pic>
              </a:graphicData>
            </a:graphic>
          </wp:inline>
        </w:drawing>
      </w:r>
    </w:p>
    <w:p w14:paraId="35B971EB" w14:textId="77777777" w:rsidR="00FE583D" w:rsidRDefault="00FE583D" w:rsidP="00FE583D"/>
    <w:p w14:paraId="26541E10" w14:textId="7AF8D7BA" w:rsidR="00FE583D" w:rsidRDefault="00FE583D" w:rsidP="00FE583D">
      <w:r>
        <w:t xml:space="preserve">The key secondary efficacy endpoint in the pivotal trial </w:t>
      </w:r>
      <w:r w:rsidR="00657B33">
        <w:t xml:space="preserve">was </w:t>
      </w:r>
      <w:r>
        <w:t>change in baseline of the PGIC and CGIC scores (</w:t>
      </w:r>
      <w:r w:rsidRPr="001E6ABE">
        <w:t>PGIC and CGIC are 7-point scales that</w:t>
      </w:r>
      <w:r>
        <w:t xml:space="preserve"> </w:t>
      </w:r>
      <w:r w:rsidRPr="001E6ABE">
        <w:t>assess how much the patient’s illness has improved or worsened relative to baseline</w:t>
      </w:r>
      <w:r w:rsidR="00657B33">
        <w:t>)</w:t>
      </w:r>
      <w:r w:rsidRPr="001E6ABE">
        <w:t>. PGIC and CGIC scores less than 4 represent some measure of improvement, scores greater than 4 represent some measure of worsening, and a score of 4 represents no change</w:t>
      </w:r>
      <w:r>
        <w:t>)</w:t>
      </w:r>
      <w:r w:rsidR="008E74EE">
        <w:t>. W</w:t>
      </w:r>
      <w:r w:rsidRPr="00435B34">
        <w:t xml:space="preserve">ithin all patient groups (regardless of pes </w:t>
      </w:r>
      <w:proofErr w:type="spellStart"/>
      <w:r w:rsidRPr="00435B34">
        <w:t>cavus</w:t>
      </w:r>
      <w:proofErr w:type="spellEnd"/>
      <w:r w:rsidRPr="00435B34">
        <w:t xml:space="preserve"> status), the Placebo-Omav group’s mean PGIC score was 3.5 at </w:t>
      </w:r>
      <w:r w:rsidR="008E74EE">
        <w:t>w</w:t>
      </w:r>
      <w:r w:rsidRPr="00435B34">
        <w:t xml:space="preserve">eek 48, 3.9 at </w:t>
      </w:r>
      <w:r w:rsidR="008E74EE">
        <w:t>w</w:t>
      </w:r>
      <w:r w:rsidRPr="00435B34">
        <w:t xml:space="preserve">eek 96, and 4.2 at </w:t>
      </w:r>
      <w:r w:rsidR="008E74EE">
        <w:t>w</w:t>
      </w:r>
      <w:r w:rsidRPr="00435B34">
        <w:t xml:space="preserve">eek 144. For the Omav-Omav group, mean PGIC scores were </w:t>
      </w:r>
      <w:r w:rsidR="008E74EE">
        <w:t>w</w:t>
      </w:r>
      <w:r w:rsidRPr="00435B34">
        <w:t xml:space="preserve">eek 24 (3.7), </w:t>
      </w:r>
      <w:r w:rsidR="008E74EE">
        <w:t>w</w:t>
      </w:r>
      <w:r w:rsidRPr="00435B34">
        <w:t xml:space="preserve">eek 48 (3.5), </w:t>
      </w:r>
      <w:r w:rsidR="008E74EE">
        <w:t>w</w:t>
      </w:r>
      <w:r w:rsidRPr="00435B34">
        <w:t xml:space="preserve">eek 96 (3.6), and </w:t>
      </w:r>
      <w:r w:rsidR="008E74EE">
        <w:t>w</w:t>
      </w:r>
      <w:r w:rsidRPr="00435B34">
        <w:t>eek 144 (4.0)</w:t>
      </w:r>
      <w:r>
        <w:t xml:space="preserve">. </w:t>
      </w:r>
      <w:r w:rsidRPr="00062785">
        <w:t xml:space="preserve">For the overall group of patients (regardless of pes </w:t>
      </w:r>
      <w:proofErr w:type="spellStart"/>
      <w:r w:rsidRPr="00062785">
        <w:t>cavus</w:t>
      </w:r>
      <w:proofErr w:type="spellEnd"/>
      <w:r w:rsidRPr="00062785">
        <w:t xml:space="preserve"> status), mean CGIC scores at </w:t>
      </w:r>
      <w:r w:rsidR="008E74EE">
        <w:t>w</w:t>
      </w:r>
      <w:r w:rsidRPr="00062785">
        <w:t xml:space="preserve">eek 48, </w:t>
      </w:r>
      <w:r w:rsidR="008E74EE">
        <w:t>w</w:t>
      </w:r>
      <w:r w:rsidRPr="00062785">
        <w:t xml:space="preserve">eek 96, and </w:t>
      </w:r>
      <w:r w:rsidR="008E74EE">
        <w:t>w</w:t>
      </w:r>
      <w:r w:rsidRPr="00062785">
        <w:t xml:space="preserve">eek 144 for the Placebo-Omav group were 3.5, 4.2, and 4.4, respectively. For the Omav-Omav group, mean CGIC scores at </w:t>
      </w:r>
      <w:r w:rsidR="00C10880">
        <w:t>w</w:t>
      </w:r>
      <w:r w:rsidRPr="00062785">
        <w:t xml:space="preserve">eek 48, </w:t>
      </w:r>
      <w:r w:rsidR="00C10880">
        <w:t>w</w:t>
      </w:r>
      <w:r w:rsidRPr="00062785">
        <w:t xml:space="preserve">eek 96, and </w:t>
      </w:r>
      <w:r w:rsidR="00C10880">
        <w:t>w</w:t>
      </w:r>
      <w:r w:rsidRPr="00062785">
        <w:t>eek 144 were 3.6, 3.7, and 4.1, respectively</w:t>
      </w:r>
      <w:r>
        <w:t>.</w:t>
      </w:r>
    </w:p>
    <w:p w14:paraId="04120F8D" w14:textId="48279DB4" w:rsidR="00FE583D" w:rsidRDefault="00FE583D" w:rsidP="00FE583D">
      <w:r>
        <w:t>Regarding the 9-hole peg test (9-HPT)</w:t>
      </w:r>
      <w:r w:rsidR="00C10880">
        <w:t>,</w:t>
      </w:r>
      <w:r>
        <w:t xml:space="preserve"> t</w:t>
      </w:r>
      <w:r w:rsidRPr="00355EA8">
        <w:t>he mean baseline values for average reciprocal time in units of 1/second to complete the 9-HPT using the nondominant hand</w:t>
      </w:r>
      <w:r w:rsidR="00C10880">
        <w:t>,</w:t>
      </w:r>
      <w:r w:rsidRPr="00355EA8">
        <w:t xml:space="preserve"> was 0.0188 seconds in the Placebo-Omav group and 0.0194 seconds in the Omav-Omav group. At </w:t>
      </w:r>
      <w:r w:rsidR="00C10880">
        <w:t>w</w:t>
      </w:r>
      <w:r w:rsidRPr="00355EA8">
        <w:t xml:space="preserve">eek 48, the mean change was -0.0003 and -0.0007 seconds for Placebo-Omav group and the Omav-Omav group, respectively. At </w:t>
      </w:r>
      <w:r w:rsidR="00C10880">
        <w:t>w</w:t>
      </w:r>
      <w:r w:rsidRPr="00355EA8">
        <w:t xml:space="preserve">eek 96, the mean change was -0.0010 and -0.0016 seconds in the Placebo-Omav group and the Omav-Omav group, respectively, while at </w:t>
      </w:r>
      <w:r w:rsidR="006624CC">
        <w:t>w</w:t>
      </w:r>
      <w:r w:rsidRPr="00355EA8">
        <w:t>eek 144, the mean change was -0.0020 and -0.0024 seconds for the Placebo-Omav group and the Omav-Omav group, respectively.</w:t>
      </w:r>
    </w:p>
    <w:p w14:paraId="43EB4F7E" w14:textId="26952434" w:rsidR="00FE583D" w:rsidRDefault="00FE583D" w:rsidP="00FE583D">
      <w:r>
        <w:lastRenderedPageBreak/>
        <w:t>Regarding results for activities of daily living (ADL) (</w:t>
      </w:r>
      <w:r w:rsidR="006A4B16">
        <w:t>l</w:t>
      </w:r>
      <w:r w:rsidRPr="006123C3">
        <w:t>ower scores in the ADL survey suggest improved function</w:t>
      </w:r>
      <w:r>
        <w:t>)</w:t>
      </w:r>
      <w:r w:rsidR="00AD1FC9">
        <w:t>, b</w:t>
      </w:r>
      <w:r w:rsidRPr="006123C3">
        <w:t>aseline values for the mean total ADL score were similar in both prior treatment groups (12.698 in the Placebo-Omav group and 12.000 in the Omav-Omav group). Changes from baseline in total ADL score for the Placebo-Omav group at Week 48, Week 96, and Week 144 were 0.390, 1.405, and 1.873, respectively. Changes from baseline in total ADL score for the Omav-Omav group at Week 24, Week 48, Week 96, and Week 144 were -0.068, 0.212, 1.692, and 1.286, respectively.</w:t>
      </w:r>
    </w:p>
    <w:p w14:paraId="35556240" w14:textId="4B37B2D8" w:rsidR="00FE583D" w:rsidRDefault="00FE583D" w:rsidP="00FE583D">
      <w:r>
        <w:t xml:space="preserve">Regarding </w:t>
      </w:r>
      <w:r w:rsidR="00560D85">
        <w:t xml:space="preserve">the </w:t>
      </w:r>
      <w:r>
        <w:t>25-foot timed walk test</w:t>
      </w:r>
      <w:r w:rsidR="00560D85">
        <w:t>, a</w:t>
      </w:r>
      <w:r w:rsidRPr="00712CAD">
        <w:t xml:space="preserve">t baseline, the mean value for average reciprocal time (units in 1/second) to complete the 25-foot walk test was 0.1102/second in the Placebo-Omav group and 0.1164/second in the Omav-Omav group. At </w:t>
      </w:r>
      <w:r w:rsidR="00560D85">
        <w:t>w</w:t>
      </w:r>
      <w:r w:rsidRPr="00712CAD">
        <w:t xml:space="preserve">eek 48, the mean change from baseline was - 0.0143/second in the Placebo-Omav group and -0.0199/second in the Omav-Omav group. At </w:t>
      </w:r>
      <w:r w:rsidR="00560D85">
        <w:t>w</w:t>
      </w:r>
      <w:r w:rsidRPr="00712CAD">
        <w:t xml:space="preserve">eek 96, the mean change from baseline was -0.0212/second in the Placebo-Omav group and - 0.0329/second in the Omav-Omav group. At </w:t>
      </w:r>
      <w:r w:rsidR="001F20AE">
        <w:t>w</w:t>
      </w:r>
      <w:r w:rsidRPr="00712CAD">
        <w:t>eek 144, the mean change from baseline was - 0.0294/second in the Placebo-Omav group and -0.0412/second in the Omav-Omav group.</w:t>
      </w:r>
    </w:p>
    <w:p w14:paraId="27A7040C" w14:textId="77777777" w:rsidR="00FE583D" w:rsidRPr="001F20AE" w:rsidRDefault="00FE583D" w:rsidP="001F20AE">
      <w:pPr>
        <w:pStyle w:val="Heading5"/>
        <w:rPr>
          <w:i w:val="0"/>
          <w:iCs/>
        </w:rPr>
      </w:pPr>
      <w:r w:rsidRPr="001F20AE">
        <w:rPr>
          <w:i w:val="0"/>
          <w:iCs/>
        </w:rPr>
        <w:t>Study 1403</w:t>
      </w:r>
    </w:p>
    <w:p w14:paraId="4D530F2F" w14:textId="77777777" w:rsidR="00FE583D" w:rsidRPr="00983F51" w:rsidRDefault="00FE583D" w:rsidP="00FE583D">
      <w:r>
        <w:t xml:space="preserve">This was a phase II, </w:t>
      </w:r>
      <w:r w:rsidRPr="00983F51">
        <w:t>Randomized, placebo</w:t>
      </w:r>
      <w:r>
        <w:t>-</w:t>
      </w:r>
      <w:r w:rsidRPr="00983F51">
        <w:t>controlled,</w:t>
      </w:r>
      <w:r>
        <w:t xml:space="preserve"> </w:t>
      </w:r>
      <w:r w:rsidRPr="00983F51">
        <w:t>double-blind,</w:t>
      </w:r>
      <w:r>
        <w:t xml:space="preserve"> dose-ranging study conducted in patients with mitochondrial myopathy.</w:t>
      </w:r>
    </w:p>
    <w:p w14:paraId="067A5B37" w14:textId="0EC06AD4" w:rsidR="00FE583D" w:rsidRPr="00AB338B" w:rsidRDefault="00FE583D" w:rsidP="00FE583D">
      <w:r>
        <w:t>Efficacy outcomes in this study were related to patients diagnosed with mitochondrial myopathy. It is acknowledged that mitochondrial myopathy may share some overlapping features given the clinical features of Friedrich</w:t>
      </w:r>
      <w:r w:rsidR="006648CC">
        <w:t>’</w:t>
      </w:r>
      <w:r>
        <w:t xml:space="preserve">s </w:t>
      </w:r>
      <w:r w:rsidR="006648CC">
        <w:t>A</w:t>
      </w:r>
      <w:r>
        <w:t>taxia are thought to result from mitochondrial dysfunction</w:t>
      </w:r>
      <w:r w:rsidR="006648CC">
        <w:t>. H</w:t>
      </w:r>
      <w:r>
        <w:t>owever</w:t>
      </w:r>
      <w:r w:rsidR="006648CC">
        <w:t>,</w:t>
      </w:r>
      <w:r>
        <w:t xml:space="preserve"> the </w:t>
      </w:r>
      <w:r w:rsidR="00185508">
        <w:t>Delegate</w:t>
      </w:r>
      <w:r>
        <w:t xml:space="preserve"> considers Friedrich</w:t>
      </w:r>
      <w:r w:rsidR="00E853EE">
        <w:t>’</w:t>
      </w:r>
      <w:r>
        <w:t xml:space="preserve">s </w:t>
      </w:r>
      <w:r w:rsidR="00E853EE">
        <w:t>A</w:t>
      </w:r>
      <w:r>
        <w:t xml:space="preserve">taxia and mitochondrial myopathies distinct disease entities, therefore the efficacy outcomes of this trial have not been evaluated in this </w:t>
      </w:r>
      <w:r w:rsidR="00E853EE">
        <w:t>assessment</w:t>
      </w:r>
      <w:r>
        <w:t>.</w:t>
      </w:r>
    </w:p>
    <w:p w14:paraId="1F09F7FE" w14:textId="77777777" w:rsidR="00FE583D" w:rsidRDefault="00FE583D" w:rsidP="00FE583D">
      <w:pPr>
        <w:pStyle w:val="Heading4"/>
      </w:pPr>
      <w:bookmarkStart w:id="71" w:name="_Toc233964976"/>
      <w:r w:rsidRPr="00AA53F4">
        <w:t>Safety</w:t>
      </w:r>
      <w:bookmarkEnd w:id="71"/>
    </w:p>
    <w:p w14:paraId="63B7C546" w14:textId="77777777" w:rsidR="001E2CD2" w:rsidRDefault="00FE583D" w:rsidP="00FE583D">
      <w:r w:rsidRPr="001C41BD">
        <w:t xml:space="preserve">The pivotal submission package to support approval of </w:t>
      </w:r>
      <w:proofErr w:type="spellStart"/>
      <w:r w:rsidRPr="001C41BD">
        <w:t>omaveloxolone</w:t>
      </w:r>
      <w:proofErr w:type="spellEnd"/>
      <w:r w:rsidRPr="001C41BD">
        <w:t xml:space="preserve"> includes the 2 randomized, placebo-controlled, double-blind portions of Study 1402 in patients with F</w:t>
      </w:r>
      <w:r w:rsidR="004D07FC">
        <w:t xml:space="preserve">riedrich’s </w:t>
      </w:r>
      <w:r w:rsidRPr="001C41BD">
        <w:t>A</w:t>
      </w:r>
      <w:r w:rsidR="004D07FC">
        <w:t>taxia</w:t>
      </w:r>
      <w:r w:rsidRPr="001C41BD">
        <w:t xml:space="preserve"> (Study 1402 Part 1 and Study 1402 Part 2), and data from Study 1402 Extension, which is open-label and informs long-term safety. </w:t>
      </w:r>
    </w:p>
    <w:p w14:paraId="5C7B88CA" w14:textId="1D5E30E7" w:rsidR="00FE583D" w:rsidRDefault="00FE583D" w:rsidP="00FE583D">
      <w:r w:rsidRPr="001C41BD">
        <w:t xml:space="preserve">The pivotal and supportive clinical studies for the proposed indication of </w:t>
      </w:r>
      <w:proofErr w:type="spellStart"/>
      <w:r w:rsidRPr="001C41BD">
        <w:t>omaveloxolone</w:t>
      </w:r>
      <w:proofErr w:type="spellEnd"/>
      <w:r w:rsidRPr="001C41BD">
        <w:t xml:space="preserve"> for the treatment of F</w:t>
      </w:r>
      <w:r w:rsidR="001E2CD2">
        <w:t>riedrich’s Ataxia</w:t>
      </w:r>
      <w:r w:rsidRPr="001C41BD">
        <w:t xml:space="preserve"> in this </w:t>
      </w:r>
      <w:r>
        <w:t>integrated safety summary (</w:t>
      </w:r>
      <w:r w:rsidRPr="001C41BD">
        <w:t>ISS</w:t>
      </w:r>
      <w:r>
        <w:t>)</w:t>
      </w:r>
      <w:r w:rsidRPr="001C41BD">
        <w:t xml:space="preserve"> include</w:t>
      </w:r>
      <w:r>
        <w:t xml:space="preserve"> the studies 1042 part 1 and part 2 as well as study 1042 extension.</w:t>
      </w:r>
    </w:p>
    <w:p w14:paraId="0A3B8C19" w14:textId="77777777" w:rsidR="00FE583D" w:rsidRDefault="00FE583D" w:rsidP="00FE583D">
      <w:r>
        <w:t>Definitions of the safety analysis set A, analysis set B and set C are shown below:</w:t>
      </w:r>
    </w:p>
    <w:p w14:paraId="297A3EF9" w14:textId="7F862F84" w:rsidR="00FE583D" w:rsidRDefault="00FE583D" w:rsidP="00907370">
      <w:pPr>
        <w:pStyle w:val="ListBullet"/>
      </w:pPr>
      <w:r w:rsidRPr="00942D83">
        <w:rPr>
          <w:b/>
          <w:bCs/>
        </w:rPr>
        <w:t>Primary Placebo-Controlled Analysis Set A</w:t>
      </w:r>
      <w:r w:rsidRPr="00036259">
        <w:t xml:space="preserve"> (hereafter referred to as </w:t>
      </w:r>
      <w:r w:rsidR="00AF2785">
        <w:t>’</w:t>
      </w:r>
      <w:r w:rsidRPr="00036259">
        <w:t>Analysis Set A</w:t>
      </w:r>
      <w:r w:rsidR="00AF2785">
        <w:t>’</w:t>
      </w:r>
      <w:r w:rsidRPr="00036259">
        <w:t xml:space="preserve">) (103 patients: 51 </w:t>
      </w:r>
      <w:proofErr w:type="spellStart"/>
      <w:r w:rsidRPr="00036259">
        <w:t>omaveloxolone</w:t>
      </w:r>
      <w:proofErr w:type="spellEnd"/>
      <w:r w:rsidRPr="00036259">
        <w:t xml:space="preserve"> and 52 placebo): Includes data from Study 1402 </w:t>
      </w:r>
      <w:r w:rsidR="008956D6">
        <w:t>p</w:t>
      </w:r>
      <w:r w:rsidRPr="00036259">
        <w:t xml:space="preserve">art 2 in patients with FA. This analysis set is considered the primary analysis set for the proposed labelling, as it provides a placebo comparison and the proposed marketed dose and formulation of </w:t>
      </w:r>
      <w:proofErr w:type="spellStart"/>
      <w:r w:rsidRPr="00036259">
        <w:t>omaveloxolone</w:t>
      </w:r>
      <w:proofErr w:type="spellEnd"/>
      <w:r w:rsidRPr="00036259">
        <w:t xml:space="preserve">. Summaries include placebo and </w:t>
      </w:r>
      <w:proofErr w:type="spellStart"/>
      <w:r w:rsidRPr="00036259">
        <w:t>omaveloxolone</w:t>
      </w:r>
      <w:proofErr w:type="spellEnd"/>
      <w:r w:rsidRPr="00036259">
        <w:t xml:space="preserve"> 150 mg.</w:t>
      </w:r>
    </w:p>
    <w:p w14:paraId="51CEB085" w14:textId="6D3477DA" w:rsidR="00FE583D" w:rsidRDefault="00FE583D" w:rsidP="00907370">
      <w:pPr>
        <w:pStyle w:val="ListBullet"/>
      </w:pPr>
      <w:r w:rsidRPr="00942D83">
        <w:rPr>
          <w:b/>
          <w:bCs/>
        </w:rPr>
        <w:t>F</w:t>
      </w:r>
      <w:r w:rsidR="00AF2785" w:rsidRPr="00942D83">
        <w:rPr>
          <w:b/>
          <w:bCs/>
        </w:rPr>
        <w:t>r</w:t>
      </w:r>
      <w:r w:rsidR="00F937F0" w:rsidRPr="00942D83">
        <w:rPr>
          <w:b/>
          <w:bCs/>
        </w:rPr>
        <w:t xml:space="preserve">iedrich’s </w:t>
      </w:r>
      <w:r w:rsidRPr="00942D83">
        <w:rPr>
          <w:b/>
          <w:bCs/>
        </w:rPr>
        <w:t>A</w:t>
      </w:r>
      <w:r w:rsidR="00F937F0" w:rsidRPr="00942D83">
        <w:rPr>
          <w:b/>
          <w:bCs/>
        </w:rPr>
        <w:t>taxia</w:t>
      </w:r>
      <w:r w:rsidRPr="00942D83">
        <w:rPr>
          <w:b/>
          <w:bCs/>
        </w:rPr>
        <w:t xml:space="preserve"> Overall </w:t>
      </w:r>
      <w:proofErr w:type="spellStart"/>
      <w:r w:rsidRPr="00942D83">
        <w:rPr>
          <w:b/>
          <w:bCs/>
        </w:rPr>
        <w:t>Omaveloxolone</w:t>
      </w:r>
      <w:proofErr w:type="spellEnd"/>
      <w:r w:rsidRPr="00942D83">
        <w:rPr>
          <w:b/>
          <w:bCs/>
        </w:rPr>
        <w:t xml:space="preserve"> Exposure Integrated Analysis Set C</w:t>
      </w:r>
      <w:r w:rsidRPr="003D3746">
        <w:t xml:space="preserve"> (hereafter referred to as </w:t>
      </w:r>
      <w:r w:rsidR="00F937F0">
        <w:t>’</w:t>
      </w:r>
      <w:r w:rsidRPr="003D3746">
        <w:t>Analysis Set C</w:t>
      </w:r>
      <w:r w:rsidR="00F937F0">
        <w:t>’</w:t>
      </w:r>
      <w:r w:rsidRPr="003D3746">
        <w:t xml:space="preserve">) (165 patients: all </w:t>
      </w:r>
      <w:proofErr w:type="spellStart"/>
      <w:r w:rsidRPr="003D3746">
        <w:t>omaveloxolone</w:t>
      </w:r>
      <w:proofErr w:type="spellEnd"/>
      <w:r w:rsidRPr="003D3746">
        <w:t xml:space="preserve">): Includes data from all </w:t>
      </w:r>
      <w:proofErr w:type="spellStart"/>
      <w:r w:rsidRPr="003D3746">
        <w:t>omaveloxolone</w:t>
      </w:r>
      <w:proofErr w:type="spellEnd"/>
      <w:r w:rsidRPr="003D3746">
        <w:t>-treated patients (no placebo-treated patients) regardless of dose from all studies in patients with FA (i</w:t>
      </w:r>
      <w:r w:rsidR="00F937F0">
        <w:t>.</w:t>
      </w:r>
      <w:r w:rsidRPr="003D3746">
        <w:t>e</w:t>
      </w:r>
      <w:r w:rsidR="00F937F0">
        <w:t>.</w:t>
      </w:r>
      <w:r w:rsidRPr="003D3746">
        <w:t xml:space="preserve">, Study 1402 </w:t>
      </w:r>
      <w:r w:rsidR="008956D6">
        <w:t>p</w:t>
      </w:r>
      <w:r w:rsidRPr="003D3746">
        <w:t xml:space="preserve">art 1, Study 1402 </w:t>
      </w:r>
      <w:r w:rsidR="008956D6">
        <w:t>p</w:t>
      </w:r>
      <w:r w:rsidRPr="003D3746">
        <w:t>art 2, and Study 1402 Extension). All phases of treatment are included (i</w:t>
      </w:r>
      <w:r w:rsidR="00F937F0">
        <w:t>.</w:t>
      </w:r>
      <w:r w:rsidRPr="003D3746">
        <w:t>e</w:t>
      </w:r>
      <w:r w:rsidR="00F937F0">
        <w:t>.</w:t>
      </w:r>
      <w:r w:rsidRPr="003D3746">
        <w:t xml:space="preserve">, on or after treatment). In these analyses, doses are assessed categorically, as 5 to 20 mg, 40 to 80 mg, 150/160 mg, and 300 mg, and were combined to characterize patients treated with any </w:t>
      </w:r>
      <w:proofErr w:type="spellStart"/>
      <w:r w:rsidRPr="003D3746">
        <w:t>omaveloxolone</w:t>
      </w:r>
      <w:proofErr w:type="spellEnd"/>
      <w:r w:rsidRPr="003D3746">
        <w:t xml:space="preserve"> dose for any duration. This analysis set was assessed to confirm the safety profile of Analysis Set A.</w:t>
      </w:r>
    </w:p>
    <w:p w14:paraId="0156C4E6" w14:textId="68CFBD1C" w:rsidR="00FE583D" w:rsidRDefault="00FE583D" w:rsidP="00907370">
      <w:pPr>
        <w:pStyle w:val="ListBullet"/>
      </w:pPr>
      <w:r w:rsidRPr="001B2D2F">
        <w:rPr>
          <w:b/>
          <w:bCs/>
        </w:rPr>
        <w:lastRenderedPageBreak/>
        <w:t xml:space="preserve">Long-Term Safety Study 1402 Subgroup Set D (Analysis Set D) (51 patients: 51 </w:t>
      </w:r>
      <w:proofErr w:type="spellStart"/>
      <w:r w:rsidRPr="001B2D2F">
        <w:rPr>
          <w:b/>
          <w:bCs/>
        </w:rPr>
        <w:t>omaveloxolone</w:t>
      </w:r>
      <w:proofErr w:type="spellEnd"/>
      <w:r w:rsidRPr="001B2D2F">
        <w:rPr>
          <w:b/>
          <w:bCs/>
        </w:rPr>
        <w:t>):</w:t>
      </w:r>
      <w:r w:rsidRPr="001B2D2F">
        <w:t xml:space="preserve"> Includes all </w:t>
      </w:r>
      <w:proofErr w:type="spellStart"/>
      <w:r w:rsidRPr="001B2D2F">
        <w:t>omaveloxolone</w:t>
      </w:r>
      <w:proofErr w:type="spellEnd"/>
      <w:r w:rsidRPr="001B2D2F">
        <w:t xml:space="preserve">-treated patients (no placebo-treated patients) who enrolled in Study 1402 </w:t>
      </w:r>
      <w:r w:rsidR="008956D6">
        <w:t>p</w:t>
      </w:r>
      <w:r w:rsidRPr="001B2D2F">
        <w:t xml:space="preserve">art 2 and were randomized to </w:t>
      </w:r>
      <w:proofErr w:type="spellStart"/>
      <w:r w:rsidRPr="001B2D2F">
        <w:t>omaveloxolone</w:t>
      </w:r>
      <w:proofErr w:type="spellEnd"/>
      <w:r w:rsidRPr="001B2D2F">
        <w:t xml:space="preserve">. Patients who completed Study 1402 </w:t>
      </w:r>
      <w:r w:rsidR="008956D6">
        <w:t>p</w:t>
      </w:r>
      <w:r w:rsidRPr="001B2D2F">
        <w:t xml:space="preserve">art 1 and patients who were randomized to placebo in Study 1402 </w:t>
      </w:r>
      <w:r w:rsidR="008956D6">
        <w:t>p</w:t>
      </w:r>
      <w:r w:rsidRPr="001B2D2F">
        <w:t xml:space="preserve">art 2 are not included in this subgroup. The results summarize the entire patient exposure on </w:t>
      </w:r>
      <w:proofErr w:type="spellStart"/>
      <w:r w:rsidRPr="001B2D2F">
        <w:t>omaveloxolone</w:t>
      </w:r>
      <w:proofErr w:type="spellEnd"/>
      <w:r w:rsidRPr="001B2D2F">
        <w:t xml:space="preserve"> in Study 1402 </w:t>
      </w:r>
      <w:r w:rsidR="00F861DF">
        <w:t>p</w:t>
      </w:r>
      <w:r w:rsidRPr="001B2D2F">
        <w:t xml:space="preserve">art 2 and Study 1402 Extension. This analysis set was assessed to confirm the long-term safety of </w:t>
      </w:r>
      <w:proofErr w:type="spellStart"/>
      <w:r w:rsidRPr="001B2D2F">
        <w:t>omaveloxolone</w:t>
      </w:r>
      <w:proofErr w:type="spellEnd"/>
      <w:r w:rsidRPr="001B2D2F">
        <w:t xml:space="preserve"> 150 mg QD.</w:t>
      </w:r>
    </w:p>
    <w:p w14:paraId="78CC5237" w14:textId="51E954E4" w:rsidR="00FE583D" w:rsidRDefault="00FE583D" w:rsidP="00FE583D">
      <w:r>
        <w:t>Table</w:t>
      </w:r>
      <w:r w:rsidR="00907370">
        <w:t xml:space="preserve"> 2</w:t>
      </w:r>
      <w:r w:rsidR="00DA186F">
        <w:t>7</w:t>
      </w:r>
      <w:r w:rsidR="00907370">
        <w:t xml:space="preserve"> </w:t>
      </w:r>
      <w:r>
        <w:t xml:space="preserve">shows the number of people exposed to the capsule formulation of </w:t>
      </w:r>
      <w:proofErr w:type="spellStart"/>
      <w:r>
        <w:t>omaveloxolone</w:t>
      </w:r>
      <w:proofErr w:type="spellEnd"/>
      <w:r>
        <w:t xml:space="preserve"> during the clinical development program, this includes 2 open label oncology studies.</w:t>
      </w:r>
    </w:p>
    <w:p w14:paraId="517AFDB1" w14:textId="473E38DD" w:rsidR="00FE583D" w:rsidRPr="00C31B61" w:rsidRDefault="00FE583D" w:rsidP="00F861DF">
      <w:pPr>
        <w:pStyle w:val="TableTitle"/>
        <w:spacing w:before="240"/>
      </w:pPr>
      <w:r w:rsidRPr="00C31B61">
        <w:t xml:space="preserve">Table </w:t>
      </w:r>
      <w:fldSimple w:instr=" SEQ Table \* ARABIC ">
        <w:r>
          <w:rPr>
            <w:noProof/>
          </w:rPr>
          <w:t>2</w:t>
        </w:r>
        <w:r w:rsidR="00DA186F">
          <w:rPr>
            <w:noProof/>
          </w:rPr>
          <w:t>7</w:t>
        </w:r>
      </w:fldSimple>
      <w:r w:rsidRPr="00C31B61">
        <w:t xml:space="preserve">: </w:t>
      </w:r>
      <w:r w:rsidR="00CF0B94">
        <w:t>T</w:t>
      </w:r>
      <w:r w:rsidRPr="00C31B61">
        <w:t xml:space="preserve">otal number of individuals exposed to capsule formulation of </w:t>
      </w:r>
      <w:proofErr w:type="spellStart"/>
      <w:r w:rsidRPr="00C31B61">
        <w:t>omaveloxolone</w:t>
      </w:r>
      <w:proofErr w:type="spellEnd"/>
    </w:p>
    <w:p w14:paraId="76636276" w14:textId="77777777" w:rsidR="00FE583D" w:rsidRDefault="00FE583D" w:rsidP="00FE583D">
      <w:r w:rsidRPr="00C31B61">
        <w:rPr>
          <w:noProof/>
        </w:rPr>
        <w:drawing>
          <wp:inline distT="0" distB="0" distL="0" distR="0" wp14:anchorId="50B768AC" wp14:editId="27376328">
            <wp:extent cx="5288437" cy="3411763"/>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90252" cy="3412934"/>
                    </a:xfrm>
                    <a:prstGeom prst="rect">
                      <a:avLst/>
                    </a:prstGeom>
                  </pic:spPr>
                </pic:pic>
              </a:graphicData>
            </a:graphic>
          </wp:inline>
        </w:drawing>
      </w:r>
    </w:p>
    <w:p w14:paraId="3024656C" w14:textId="77777777" w:rsidR="00F861DF" w:rsidRDefault="00F861DF">
      <w:r>
        <w:br w:type="page"/>
      </w:r>
    </w:p>
    <w:p w14:paraId="78F9F648" w14:textId="154C9DE8" w:rsidR="00C870AF" w:rsidRDefault="00FE583D" w:rsidP="00FE583D">
      <w:r>
        <w:lastRenderedPageBreak/>
        <w:t>Table</w:t>
      </w:r>
      <w:r w:rsidR="00157700">
        <w:t xml:space="preserve"> 2</w:t>
      </w:r>
      <w:r w:rsidR="000079A3">
        <w:t>8</w:t>
      </w:r>
      <w:r w:rsidR="00157700">
        <w:t xml:space="preserve"> </w:t>
      </w:r>
      <w:r>
        <w:t xml:space="preserve">shows the total exposure to </w:t>
      </w:r>
      <w:proofErr w:type="spellStart"/>
      <w:r>
        <w:t>omaveloxolone</w:t>
      </w:r>
      <w:proofErr w:type="spellEnd"/>
      <w:r>
        <w:t xml:space="preserve"> in patients who were enrolled in the placebo-controlled study 1402 part 2 (analysis set A) and patients in the overall </w:t>
      </w:r>
      <w:proofErr w:type="spellStart"/>
      <w:r>
        <w:t>omaveloxolone</w:t>
      </w:r>
      <w:proofErr w:type="spellEnd"/>
      <w:r>
        <w:t xml:space="preserve"> exposure integrated analysis set C (analysis set C), which includes data from all </w:t>
      </w:r>
      <w:proofErr w:type="spellStart"/>
      <w:r>
        <w:t>omaveloxolone</w:t>
      </w:r>
      <w:proofErr w:type="spellEnd"/>
      <w:r>
        <w:t xml:space="preserve"> treated patients regardless of dose from all studies in patients with FA. </w:t>
      </w:r>
    </w:p>
    <w:p w14:paraId="5DC55009" w14:textId="147E3EAD" w:rsidR="00FE583D" w:rsidRDefault="00FE583D" w:rsidP="00FE583D">
      <w:r>
        <w:t xml:space="preserve">Table </w:t>
      </w:r>
      <w:r w:rsidR="00157700">
        <w:t>2</w:t>
      </w:r>
      <w:r w:rsidR="000079A3">
        <w:t>9</w:t>
      </w:r>
      <w:r w:rsidR="00157700">
        <w:t xml:space="preserve"> </w:t>
      </w:r>
      <w:r>
        <w:t xml:space="preserve">shows the extent of exposure to </w:t>
      </w:r>
      <w:proofErr w:type="spellStart"/>
      <w:r>
        <w:t>omaveloxolone</w:t>
      </w:r>
      <w:proofErr w:type="spellEnd"/>
      <w:r>
        <w:t xml:space="preserve"> in the adolescent age group for analysis sets A and C.</w:t>
      </w:r>
    </w:p>
    <w:p w14:paraId="759C5D2E" w14:textId="7F1CD18F" w:rsidR="00FE583D" w:rsidRPr="000A5C65" w:rsidRDefault="00FE583D" w:rsidP="00F861DF">
      <w:pPr>
        <w:pStyle w:val="TableTitle"/>
        <w:spacing w:before="240"/>
      </w:pPr>
      <w:r w:rsidRPr="000A5C65">
        <w:t xml:space="preserve">Table </w:t>
      </w:r>
      <w:fldSimple w:instr=" SEQ Table \* ARABIC ">
        <w:r>
          <w:rPr>
            <w:noProof/>
          </w:rPr>
          <w:t>2</w:t>
        </w:r>
        <w:r w:rsidR="000079A3">
          <w:rPr>
            <w:noProof/>
          </w:rPr>
          <w:t>8</w:t>
        </w:r>
      </w:fldSimple>
      <w:r w:rsidRPr="000A5C65">
        <w:t>: Exposure in Analysis Sets A and C (All Patients)</w:t>
      </w:r>
    </w:p>
    <w:p w14:paraId="0AAFADD8" w14:textId="77777777" w:rsidR="00FE583D" w:rsidRDefault="00FE583D" w:rsidP="00FE583D">
      <w:r w:rsidRPr="00F70F68">
        <w:rPr>
          <w:noProof/>
        </w:rPr>
        <w:drawing>
          <wp:inline distT="0" distB="0" distL="0" distR="0" wp14:anchorId="12E3B2C0" wp14:editId="0C1B959C">
            <wp:extent cx="5914335" cy="3063711"/>
            <wp:effectExtent l="0" t="0" r="0" b="3810"/>
            <wp:docPr id="43" name="Picture 43" descr="Table 27: Exposure in Analysis Sets A and C (All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 27: Exposure in Analysis Sets A and C (All Patients)"/>
                    <pic:cNvPicPr/>
                  </pic:nvPicPr>
                  <pic:blipFill>
                    <a:blip r:embed="rId83"/>
                    <a:stretch>
                      <a:fillRect/>
                    </a:stretch>
                  </pic:blipFill>
                  <pic:spPr>
                    <a:xfrm>
                      <a:off x="0" y="0"/>
                      <a:ext cx="5934478" cy="3074146"/>
                    </a:xfrm>
                    <a:prstGeom prst="rect">
                      <a:avLst/>
                    </a:prstGeom>
                  </pic:spPr>
                </pic:pic>
              </a:graphicData>
            </a:graphic>
          </wp:inline>
        </w:drawing>
      </w:r>
    </w:p>
    <w:p w14:paraId="10ACDBF6" w14:textId="41C12D06" w:rsidR="00FE583D" w:rsidRPr="00D00443" w:rsidRDefault="00FE583D" w:rsidP="00C870AF">
      <w:pPr>
        <w:pStyle w:val="TableTitle"/>
        <w:spacing w:before="240"/>
      </w:pPr>
      <w:r w:rsidRPr="00D00443">
        <w:t xml:space="preserve">Table </w:t>
      </w:r>
      <w:fldSimple w:instr=" SEQ Table \* ARABIC ">
        <w:r w:rsidR="00C94E61">
          <w:rPr>
            <w:noProof/>
          </w:rPr>
          <w:t>2</w:t>
        </w:r>
        <w:r w:rsidR="00B51953">
          <w:rPr>
            <w:noProof/>
          </w:rPr>
          <w:t>9</w:t>
        </w:r>
      </w:fldSimple>
      <w:r w:rsidRPr="00D00443">
        <w:t xml:space="preserve">: Adolescent </w:t>
      </w:r>
      <w:r w:rsidR="002A67BF">
        <w:t>e</w:t>
      </w:r>
      <w:r w:rsidRPr="00D00443">
        <w:t>xposure in Analysis Sets A and C (All Patients)</w:t>
      </w:r>
    </w:p>
    <w:p w14:paraId="527F3173" w14:textId="77777777" w:rsidR="00FE583D" w:rsidRDefault="00FE583D" w:rsidP="00FE583D">
      <w:r w:rsidRPr="001E2615">
        <w:rPr>
          <w:noProof/>
        </w:rPr>
        <w:drawing>
          <wp:inline distT="0" distB="0" distL="0" distR="0" wp14:anchorId="609A7F3B" wp14:editId="5CE608D1">
            <wp:extent cx="5913755" cy="2620645"/>
            <wp:effectExtent l="0" t="0" r="0" b="8255"/>
            <wp:docPr id="44" name="Picture 44" descr="Table 28: Adolescent Exposure in Analysis Sets A and C (All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 28: Adolescent Exposure in Analysis Sets A and C (All Patients)"/>
                    <pic:cNvPicPr/>
                  </pic:nvPicPr>
                  <pic:blipFill>
                    <a:blip r:embed="rId84"/>
                    <a:stretch>
                      <a:fillRect/>
                    </a:stretch>
                  </pic:blipFill>
                  <pic:spPr>
                    <a:xfrm>
                      <a:off x="0" y="0"/>
                      <a:ext cx="5919843" cy="2623343"/>
                    </a:xfrm>
                    <a:prstGeom prst="rect">
                      <a:avLst/>
                    </a:prstGeom>
                  </pic:spPr>
                </pic:pic>
              </a:graphicData>
            </a:graphic>
          </wp:inline>
        </w:drawing>
      </w:r>
    </w:p>
    <w:p w14:paraId="5738DBD9" w14:textId="77777777" w:rsidR="00C94E61" w:rsidRDefault="00C94E61">
      <w:pPr>
        <w:rPr>
          <w:rFonts w:ascii="Arial" w:eastAsia="Times New Roman" w:hAnsi="Arial" w:cs="Times New Roman"/>
          <w:b/>
          <w:i/>
          <w:color w:val="001871"/>
          <w:sz w:val="24"/>
          <w:szCs w:val="21"/>
        </w:rPr>
      </w:pPr>
      <w:r>
        <w:rPr>
          <w:bCs/>
        </w:rPr>
        <w:br w:type="page"/>
      </w:r>
    </w:p>
    <w:p w14:paraId="7498F4BF" w14:textId="7A883A7E" w:rsidR="00FE583D" w:rsidRPr="00C870AF" w:rsidRDefault="00FE583D" w:rsidP="00FE583D">
      <w:pPr>
        <w:pStyle w:val="Heading6"/>
        <w:rPr>
          <w:b w:val="0"/>
          <w:bCs w:val="0"/>
          <w:i w:val="0"/>
          <w:iCs/>
        </w:rPr>
      </w:pPr>
      <w:r w:rsidRPr="00C870AF">
        <w:rPr>
          <w:bCs w:val="0"/>
          <w:i w:val="0"/>
          <w:iCs/>
        </w:rPr>
        <w:lastRenderedPageBreak/>
        <w:t>Safety analysis study 1402 part 1</w:t>
      </w:r>
    </w:p>
    <w:p w14:paraId="2AF239C6" w14:textId="77777777" w:rsidR="00FE583D" w:rsidRDefault="00FE583D" w:rsidP="00FE583D">
      <w:r>
        <w:t xml:space="preserve">Study design and methodology are further discussed in section ‘study 1402 part 1’ under efficacy heading. </w:t>
      </w:r>
    </w:p>
    <w:p w14:paraId="299F3A78" w14:textId="4FB6B38C" w:rsidR="00FE583D" w:rsidRDefault="00FE583D" w:rsidP="00FE583D">
      <w:r>
        <w:t>In terms of overall investigational medicinal product (IMP) exposure for all dose groups</w:t>
      </w:r>
      <w:r w:rsidR="00640655">
        <w:t>,</w:t>
      </w:r>
      <w:r>
        <w:t xml:space="preserve"> the duration of drug exposure was between 65.5 and 84.5 days</w:t>
      </w:r>
      <w:r w:rsidR="00640655">
        <w:t>. T</w:t>
      </w:r>
      <w:r>
        <w:t xml:space="preserve">he summary of drug exposure by treatment group is shown in table </w:t>
      </w:r>
      <w:r w:rsidR="00D4771E">
        <w:t>30</w:t>
      </w:r>
      <w:r>
        <w:t>.</w:t>
      </w:r>
    </w:p>
    <w:p w14:paraId="0B1E7AFE" w14:textId="439BE7D3" w:rsidR="00FE583D" w:rsidRPr="00180E3D" w:rsidRDefault="00FE583D" w:rsidP="008F6D6A">
      <w:pPr>
        <w:pStyle w:val="TableTitle"/>
      </w:pPr>
      <w:r w:rsidRPr="00180E3D">
        <w:t xml:space="preserve">Table </w:t>
      </w:r>
      <w:r w:rsidR="004D1855">
        <w:t>30</w:t>
      </w:r>
      <w:r w:rsidRPr="00180E3D">
        <w:t xml:space="preserve">: Summary of </w:t>
      </w:r>
      <w:r w:rsidR="00505F13">
        <w:t>d</w:t>
      </w:r>
      <w:r w:rsidRPr="00180E3D">
        <w:t xml:space="preserve">rug </w:t>
      </w:r>
      <w:r w:rsidR="00505F13">
        <w:t>e</w:t>
      </w:r>
      <w:r w:rsidRPr="00180E3D">
        <w:t xml:space="preserve">xposure by </w:t>
      </w:r>
      <w:r w:rsidR="00505F13">
        <w:t>t</w:t>
      </w:r>
      <w:r w:rsidRPr="00180E3D">
        <w:t xml:space="preserve">reatment </w:t>
      </w:r>
      <w:r w:rsidR="00505F13">
        <w:t>g</w:t>
      </w:r>
      <w:r w:rsidRPr="00180E3D">
        <w:t>roup</w:t>
      </w:r>
    </w:p>
    <w:p w14:paraId="2B6108A3" w14:textId="77777777" w:rsidR="00FE583D" w:rsidRDefault="00FE583D" w:rsidP="00FE583D">
      <w:r w:rsidRPr="00180E3D">
        <w:rPr>
          <w:noProof/>
        </w:rPr>
        <w:drawing>
          <wp:inline distT="0" distB="0" distL="0" distR="0" wp14:anchorId="541E754D" wp14:editId="0731968D">
            <wp:extent cx="5476973" cy="2695404"/>
            <wp:effectExtent l="0" t="0" r="0" b="0"/>
            <wp:docPr id="45" name="Picture 45" descr="Table 29: Summary of Drug Exposure by 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able 29: Summary of Drug Exposure by Treatment Group"/>
                    <pic:cNvPicPr/>
                  </pic:nvPicPr>
                  <pic:blipFill>
                    <a:blip r:embed="rId85"/>
                    <a:stretch>
                      <a:fillRect/>
                    </a:stretch>
                  </pic:blipFill>
                  <pic:spPr>
                    <a:xfrm>
                      <a:off x="0" y="0"/>
                      <a:ext cx="5481574" cy="2697668"/>
                    </a:xfrm>
                    <a:prstGeom prst="rect">
                      <a:avLst/>
                    </a:prstGeom>
                  </pic:spPr>
                </pic:pic>
              </a:graphicData>
            </a:graphic>
          </wp:inline>
        </w:drawing>
      </w:r>
    </w:p>
    <w:p w14:paraId="6338DE23" w14:textId="77777777" w:rsidR="00BF0608" w:rsidRDefault="00BF0608" w:rsidP="00FE583D"/>
    <w:p w14:paraId="2B72DF02" w14:textId="3DE9A4DB" w:rsidR="00BF0608" w:rsidRDefault="00BF0608" w:rsidP="00BF0608">
      <w:r w:rsidRPr="000B4A00">
        <w:t xml:space="preserve">Treatment-emergent </w:t>
      </w:r>
      <w:r>
        <w:t>adverse events (TEAE)</w:t>
      </w:r>
      <w:r w:rsidRPr="000B4A00">
        <w:t xml:space="preserve"> occurring in ≥ 2 patients in any dose group overall (i.e., regardless of pes </w:t>
      </w:r>
      <w:proofErr w:type="spellStart"/>
      <w:r w:rsidRPr="000B4A00">
        <w:t>cavus</w:t>
      </w:r>
      <w:proofErr w:type="spellEnd"/>
      <w:r w:rsidRPr="000B4A00">
        <w:t xml:space="preserve"> status) are summarized in Table </w:t>
      </w:r>
      <w:r>
        <w:t>3</w:t>
      </w:r>
      <w:r w:rsidR="004D1855">
        <w:t>1</w:t>
      </w:r>
      <w:r>
        <w:t>.</w:t>
      </w:r>
      <w:r w:rsidRPr="00AA1159">
        <w:t xml:space="preserve"> The most common TEAE was upper respiratory tract infection (22/52 patients, 42.3% in the pooled </w:t>
      </w:r>
      <w:proofErr w:type="spellStart"/>
      <w:r w:rsidRPr="00AA1159">
        <w:t>omaveloxolone</w:t>
      </w:r>
      <w:proofErr w:type="spellEnd"/>
      <w:r w:rsidRPr="00AA1159">
        <w:t xml:space="preserve"> group and 1/17 patients, 5.9% in the placebo group). No reported TEAEs of upper respiratory tract infection were considered related to </w:t>
      </w:r>
      <w:proofErr w:type="spellStart"/>
      <w:r w:rsidRPr="00AA1159">
        <w:t>omaveloxolone</w:t>
      </w:r>
      <w:proofErr w:type="spellEnd"/>
      <w:r w:rsidRPr="00AA1159">
        <w:t xml:space="preserve"> treatment by the investigator</w:t>
      </w:r>
      <w:r>
        <w:t xml:space="preserve">. </w:t>
      </w:r>
      <w:r w:rsidRPr="00AA1159">
        <w:t xml:space="preserve">The most frequent TEAEs considered related to </w:t>
      </w:r>
      <w:proofErr w:type="spellStart"/>
      <w:r w:rsidRPr="00AA1159">
        <w:t>omaveloxolone</w:t>
      </w:r>
      <w:proofErr w:type="spellEnd"/>
      <w:r w:rsidRPr="00AA1159">
        <w:t xml:space="preserve"> by the investigator (pooled </w:t>
      </w:r>
      <w:proofErr w:type="spellStart"/>
      <w:r w:rsidRPr="00AA1159">
        <w:t>omaveloxolone</w:t>
      </w:r>
      <w:proofErr w:type="spellEnd"/>
      <w:r w:rsidRPr="00AA1159">
        <w:t xml:space="preserve"> group) were diarrhea, increased ALT, and increased AST (6 patients, 11.5% each) and increased GGT and fatigue (4 patients, 7.7% each).</w:t>
      </w:r>
    </w:p>
    <w:p w14:paraId="1241567A" w14:textId="77777777" w:rsidR="00BF0608" w:rsidRDefault="00BF0608" w:rsidP="00FE583D"/>
    <w:p w14:paraId="44952F0E" w14:textId="2452FFD8" w:rsidR="00FE583D" w:rsidRPr="00600E84" w:rsidRDefault="00FE583D" w:rsidP="00EE2DB1">
      <w:pPr>
        <w:pStyle w:val="TableTitle"/>
      </w:pPr>
      <w:r w:rsidRPr="00600E84">
        <w:lastRenderedPageBreak/>
        <w:t xml:space="preserve">Table </w:t>
      </w:r>
      <w:r w:rsidR="00EE2DB1">
        <w:t>3</w:t>
      </w:r>
      <w:r w:rsidR="004D1855">
        <w:t>1</w:t>
      </w:r>
      <w:r w:rsidRPr="00600E84">
        <w:t xml:space="preserve">: Treatment-emergent Adverse Events </w:t>
      </w:r>
      <w:r w:rsidR="002A67BF">
        <w:t>(T</w:t>
      </w:r>
      <w:r w:rsidR="00F120C2">
        <w:t xml:space="preserve">EAEs) </w:t>
      </w:r>
      <w:r w:rsidR="002A67BF">
        <w:t>o</w:t>
      </w:r>
      <w:r w:rsidRPr="00600E84">
        <w:t>ccurring in ≥ 2 Patients in Any Dose Group Overall (Regardless of Pes Cavus Status)</w:t>
      </w:r>
    </w:p>
    <w:p w14:paraId="2A3AFDC2" w14:textId="77777777" w:rsidR="00FE583D" w:rsidRDefault="00FE583D" w:rsidP="00FE583D">
      <w:r w:rsidRPr="00CB1E94">
        <w:rPr>
          <w:noProof/>
        </w:rPr>
        <w:drawing>
          <wp:inline distT="0" distB="0" distL="0" distR="0" wp14:anchorId="63F3BD85" wp14:editId="310E0F70">
            <wp:extent cx="5835192" cy="3883660"/>
            <wp:effectExtent l="0" t="0" r="0" b="2540"/>
            <wp:docPr id="46" name="Picture 46" descr="Table 30: Treatment-emergent Adverse Events Occurring in ≥ 2 Patients in Any Dose Group Overall (Regardless of Pes Cavu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 30: Treatment-emergent Adverse Events Occurring in ≥ 2 Patients in Any Dose Group Overall (Regardless of Pes Cavus Status)"/>
                    <pic:cNvPicPr/>
                  </pic:nvPicPr>
                  <pic:blipFill>
                    <a:blip r:embed="rId86"/>
                    <a:stretch>
                      <a:fillRect/>
                    </a:stretch>
                  </pic:blipFill>
                  <pic:spPr>
                    <a:xfrm>
                      <a:off x="0" y="0"/>
                      <a:ext cx="5842216" cy="3888335"/>
                    </a:xfrm>
                    <a:prstGeom prst="rect">
                      <a:avLst/>
                    </a:prstGeom>
                  </pic:spPr>
                </pic:pic>
              </a:graphicData>
            </a:graphic>
          </wp:inline>
        </w:drawing>
      </w:r>
    </w:p>
    <w:p w14:paraId="3425D4DE" w14:textId="7E338134" w:rsidR="00FE583D" w:rsidRDefault="00FE583D" w:rsidP="00D42876">
      <w:pPr>
        <w:spacing w:before="240"/>
      </w:pPr>
      <w:r w:rsidRPr="008F1DC1">
        <w:t xml:space="preserve">Two patients, both in the placebo group, reported </w:t>
      </w:r>
      <w:r>
        <w:t>serious adverse events (</w:t>
      </w:r>
      <w:r w:rsidRPr="008F1DC1">
        <w:t>SAE</w:t>
      </w:r>
      <w:r>
        <w:t>)</w:t>
      </w:r>
      <w:r w:rsidRPr="008F1DC1">
        <w:t>: one patient was hospitalized for moderately severe drug withdrawal syndrome (benzodiazepine) and one patient suffered 3rd degree burns and was hospitalized to undergo skin graft surgery</w:t>
      </w:r>
      <w:r>
        <w:t xml:space="preserve">. </w:t>
      </w:r>
      <w:r w:rsidRPr="00CC134B">
        <w:t xml:space="preserve">Neither event was considered by the investigator or </w:t>
      </w:r>
      <w:r w:rsidR="004C338D">
        <w:t>s</w:t>
      </w:r>
      <w:r w:rsidR="007B6B69">
        <w:t>ponsor</w:t>
      </w:r>
      <w:r w:rsidRPr="00CC134B">
        <w:t xml:space="preserve"> to be related to the study drug</w:t>
      </w:r>
      <w:r>
        <w:t>.</w:t>
      </w:r>
    </w:p>
    <w:p w14:paraId="2A6416E0" w14:textId="4925A6C0" w:rsidR="00FE583D" w:rsidRDefault="00FE583D" w:rsidP="00FE583D">
      <w:r w:rsidRPr="00F975B4">
        <w:t>One</w:t>
      </w:r>
      <w:r>
        <w:t xml:space="preserve"> male</w:t>
      </w:r>
      <w:r w:rsidRPr="00F975B4">
        <w:t xml:space="preserve"> patient</w:t>
      </w:r>
      <w:r>
        <w:t xml:space="preserve"> </w:t>
      </w:r>
      <w:r w:rsidRPr="00F975B4">
        <w:t xml:space="preserve">in the </w:t>
      </w:r>
      <w:proofErr w:type="spellStart"/>
      <w:r w:rsidRPr="00F975B4">
        <w:t>omaveloxolone</w:t>
      </w:r>
      <w:proofErr w:type="spellEnd"/>
      <w:r w:rsidRPr="00F975B4">
        <w:t xml:space="preserve"> 40 mg group permanently discontinued</w:t>
      </w:r>
      <w:r>
        <w:t xml:space="preserve"> the</w:t>
      </w:r>
      <w:r w:rsidRPr="00F975B4">
        <w:t xml:space="preserve"> study drug because of a TEAE of generalized rash, with onset approximately 20 days after starting the study drug</w:t>
      </w:r>
      <w:r w:rsidR="006271B5">
        <w:t>.</w:t>
      </w:r>
      <w:r w:rsidRPr="00F975B4">
        <w:t xml:space="preserve"> The rash was considered moderate in severity and probably related to the study drug by the investigator. The patient was treated with diphenhydramine hydrochloride and </w:t>
      </w:r>
      <w:r w:rsidR="00EE2DB1" w:rsidRPr="00F975B4">
        <w:t>methylprednisolone,</w:t>
      </w:r>
      <w:r w:rsidRPr="00F975B4">
        <w:t xml:space="preserve"> and the event resolved approximately 25 days after onset</w:t>
      </w:r>
      <w:r>
        <w:t>.</w:t>
      </w:r>
    </w:p>
    <w:p w14:paraId="5CCE5B20" w14:textId="77777777" w:rsidR="00FE583D" w:rsidRDefault="00FE583D" w:rsidP="00FE583D">
      <w:r w:rsidRPr="005B3FE3">
        <w:t xml:space="preserve">Two TEAEs in the cardiac disorders system organ class, palpitations, and tachycardia, were reported in one patient receiving </w:t>
      </w:r>
      <w:proofErr w:type="spellStart"/>
      <w:r w:rsidRPr="005B3FE3">
        <w:t>omaveloxolone</w:t>
      </w:r>
      <w:proofErr w:type="spellEnd"/>
      <w:r w:rsidRPr="005B3FE3">
        <w:t xml:space="preserve"> 160 mg </w:t>
      </w:r>
      <w:r>
        <w:t>(0 TEAE of palpitations or tachycardia occurred in placebo group).</w:t>
      </w:r>
      <w:r w:rsidRPr="005B3FE3">
        <w:t xml:space="preserve"> Neither of these events was considered related to study treatment by the investigator, and both events resolved without treatment.</w:t>
      </w:r>
    </w:p>
    <w:p w14:paraId="1FB9F3EB" w14:textId="77777777" w:rsidR="00D54789" w:rsidRDefault="00D54789">
      <w:r>
        <w:br w:type="page"/>
      </w:r>
    </w:p>
    <w:p w14:paraId="38F20AE9" w14:textId="40045900" w:rsidR="005924CC" w:rsidRDefault="00FE583D" w:rsidP="00FE583D">
      <w:r>
        <w:lastRenderedPageBreak/>
        <w:t xml:space="preserve">Table </w:t>
      </w:r>
      <w:r w:rsidR="00FF4310">
        <w:t>3</w:t>
      </w:r>
      <w:r w:rsidR="004D1855">
        <w:t>2</w:t>
      </w:r>
      <w:r w:rsidR="00FF4310">
        <w:t xml:space="preserve"> </w:t>
      </w:r>
      <w:r>
        <w:t xml:space="preserve">shows TEAE laboratory abnormalities. It is noted that in the pooled </w:t>
      </w:r>
      <w:proofErr w:type="spellStart"/>
      <w:r>
        <w:t>Omaveloxolone</w:t>
      </w:r>
      <w:proofErr w:type="spellEnd"/>
      <w:r>
        <w:t xml:space="preserve"> group there </w:t>
      </w:r>
      <w:r w:rsidR="005003E6">
        <w:t>was</w:t>
      </w:r>
      <w:r w:rsidR="00FF4310">
        <w:t xml:space="preserve"> </w:t>
      </w:r>
      <w:r>
        <w:t xml:space="preserve">alanine </w:t>
      </w:r>
      <w:r w:rsidR="00D949E5">
        <w:t>aminotransferase</w:t>
      </w:r>
      <w:r>
        <w:t xml:space="preserve"> (ALT) in 6 (11.5%) compared to 0 in the placebo group. Aspartate </w:t>
      </w:r>
      <w:r w:rsidR="00D949E5">
        <w:t>aminotransferase</w:t>
      </w:r>
      <w:r>
        <w:t xml:space="preserve"> was also increased in 6 (11.5%) in the pooled </w:t>
      </w:r>
      <w:proofErr w:type="spellStart"/>
      <w:r>
        <w:t>omaveloxolone</w:t>
      </w:r>
      <w:proofErr w:type="spellEnd"/>
      <w:r>
        <w:t xml:space="preserve"> group compared to placebo. For both groups</w:t>
      </w:r>
      <w:r w:rsidR="005924CC">
        <w:t>,</w:t>
      </w:r>
      <w:r>
        <w:t xml:space="preserve"> 4/6 events of raised AST and ALT occurred in the 160mg and 300mg groups (2 in each group). Gamma-glutamyl transferase was increased in 4 (7.7%) in the pooled </w:t>
      </w:r>
      <w:proofErr w:type="spellStart"/>
      <w:r>
        <w:t>omaveloxolone</w:t>
      </w:r>
      <w:proofErr w:type="spellEnd"/>
      <w:r>
        <w:t xml:space="preserve"> group compared to 0 in placebo, 3/4 events of increased GGT were in the 150mg and 300mg groups (1 in 160mg group, 2 in 300mg group). Increased blood creatinine kinase (CK) levels were reported in 1 patient in the 300mg group compared to 0 in placebo. </w:t>
      </w:r>
    </w:p>
    <w:p w14:paraId="738ACCF6" w14:textId="0A8C06EB" w:rsidR="00FE583D" w:rsidRDefault="00FE583D" w:rsidP="00FE583D">
      <w:r>
        <w:t>A</w:t>
      </w:r>
      <w:r w:rsidRPr="005B664D">
        <w:t>ll of those related to serum chemistry values were considered related to study drug by the investigator</w:t>
      </w:r>
      <w:r>
        <w:t xml:space="preserve">. </w:t>
      </w:r>
      <w:proofErr w:type="gramStart"/>
      <w:r w:rsidRPr="00F430BB">
        <w:t>All of</w:t>
      </w:r>
      <w:proofErr w:type="gramEnd"/>
      <w:r w:rsidRPr="00F430BB">
        <w:t xml:space="preserve"> the TEAEs related to laboratory values were mild in severity</w:t>
      </w:r>
      <w:r w:rsidR="00E63465">
        <w:t>,</w:t>
      </w:r>
      <w:r w:rsidRPr="00F430BB">
        <w:t xml:space="preserve"> except for increased blood creatinine phosphokinase, which was considered moderate in severity</w:t>
      </w:r>
      <w:r>
        <w:t>.</w:t>
      </w:r>
    </w:p>
    <w:p w14:paraId="2EE6009D" w14:textId="739F60F7" w:rsidR="00FE583D" w:rsidRPr="009147F3" w:rsidRDefault="00FE583D" w:rsidP="00AC6E8A">
      <w:pPr>
        <w:pStyle w:val="TableTitle"/>
        <w:spacing w:before="240"/>
      </w:pPr>
      <w:r w:rsidRPr="009147F3">
        <w:t xml:space="preserve">Table </w:t>
      </w:r>
      <w:fldSimple w:instr=" SEQ Table \* ARABIC ">
        <w:r w:rsidR="00D54789">
          <w:rPr>
            <w:noProof/>
          </w:rPr>
          <w:t>3</w:t>
        </w:r>
        <w:r w:rsidR="001F1151">
          <w:rPr>
            <w:noProof/>
          </w:rPr>
          <w:t>2</w:t>
        </w:r>
      </w:fldSimple>
      <w:r w:rsidRPr="009147F3">
        <w:t xml:space="preserve">: Treatment-emergent Adverse Events </w:t>
      </w:r>
      <w:r w:rsidR="00E63465">
        <w:t>r</w:t>
      </w:r>
      <w:r w:rsidRPr="009147F3">
        <w:t xml:space="preserve">elated to </w:t>
      </w:r>
      <w:r w:rsidR="00E63465">
        <w:t>l</w:t>
      </w:r>
      <w:r w:rsidRPr="009147F3">
        <w:t xml:space="preserve">aboratory </w:t>
      </w:r>
      <w:r w:rsidR="00E63465">
        <w:t>a</w:t>
      </w:r>
      <w:r w:rsidRPr="009147F3">
        <w:t>bnormalities</w:t>
      </w:r>
    </w:p>
    <w:p w14:paraId="48B25BA1" w14:textId="77777777" w:rsidR="00FE583D" w:rsidRDefault="00FE583D" w:rsidP="00FE583D">
      <w:r w:rsidRPr="001E0E43">
        <w:rPr>
          <w:noProof/>
        </w:rPr>
        <w:drawing>
          <wp:inline distT="0" distB="0" distL="0" distR="0" wp14:anchorId="44B07066" wp14:editId="33D6614E">
            <wp:extent cx="5731510" cy="4427220"/>
            <wp:effectExtent l="0" t="0" r="2540" b="0"/>
            <wp:docPr id="47" name="Picture 47" descr="Table 31: Treatment-emergent Adverse Events Related to Laboratory Abnorm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 31: Treatment-emergent Adverse Events Related to Laboratory Abnormalities"/>
                    <pic:cNvPicPr/>
                  </pic:nvPicPr>
                  <pic:blipFill>
                    <a:blip r:embed="rId87"/>
                    <a:stretch>
                      <a:fillRect/>
                    </a:stretch>
                  </pic:blipFill>
                  <pic:spPr>
                    <a:xfrm>
                      <a:off x="0" y="0"/>
                      <a:ext cx="5731510" cy="4427220"/>
                    </a:xfrm>
                    <a:prstGeom prst="rect">
                      <a:avLst/>
                    </a:prstGeom>
                  </pic:spPr>
                </pic:pic>
              </a:graphicData>
            </a:graphic>
          </wp:inline>
        </w:drawing>
      </w:r>
    </w:p>
    <w:p w14:paraId="7D720C19" w14:textId="77777777" w:rsidR="00FE583D" w:rsidRDefault="00FE583D" w:rsidP="00FE583D">
      <w:r>
        <w:rPr>
          <w:noProof/>
        </w:rPr>
        <w:drawing>
          <wp:inline distT="0" distB="0" distL="0" distR="0" wp14:anchorId="64B3B574" wp14:editId="5D4511E2">
            <wp:extent cx="5693790" cy="104775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97196" cy="1048377"/>
                    </a:xfrm>
                    <a:prstGeom prst="rect">
                      <a:avLst/>
                    </a:prstGeom>
                    <a:noFill/>
                  </pic:spPr>
                </pic:pic>
              </a:graphicData>
            </a:graphic>
          </wp:inline>
        </w:drawing>
      </w:r>
    </w:p>
    <w:p w14:paraId="4DC91968" w14:textId="77777777" w:rsidR="00D54789" w:rsidRDefault="00D54789">
      <w:r>
        <w:br w:type="page"/>
      </w:r>
    </w:p>
    <w:p w14:paraId="1B470868" w14:textId="57A0C597" w:rsidR="00FE583D" w:rsidRDefault="00FE583D" w:rsidP="00FE583D">
      <w:r w:rsidRPr="00167E93">
        <w:lastRenderedPageBreak/>
        <w:t xml:space="preserve">Five patients treated with </w:t>
      </w:r>
      <w:proofErr w:type="spellStart"/>
      <w:r w:rsidRPr="00167E93">
        <w:t>omaveloxolone</w:t>
      </w:r>
      <w:proofErr w:type="spellEnd"/>
      <w:r w:rsidRPr="00167E93">
        <w:t xml:space="preserve"> (3 in the 160 mg group and 2 in the 300 mg group) exceeded the threshold criterion of ALT or AST &gt; 5x the upper limit of normal during the study. In all 5 patients, the increases occurred early in the study (on or before Week 4), and ALT and AST values were below this threshold limit by Week 8. In 3 of these patients (1 in the 160 mg group and 2 in the 300 mg group), the increases in ALT and AST (as well as increased GGT) were reported as TEAEs, all of which were mild in severity, considered possibly related to the study drug by the investigator, and recorded as DLTs. </w:t>
      </w:r>
      <w:r>
        <w:t>T</w:t>
      </w:r>
      <w:r w:rsidRPr="00167E93">
        <w:t xml:space="preserve">otal bilirubin levels did not increase in these patients. Hy’s Law criteria </w:t>
      </w:r>
      <w:proofErr w:type="gramStart"/>
      <w:r w:rsidRPr="00167E93">
        <w:t>was</w:t>
      </w:r>
      <w:proofErr w:type="gramEnd"/>
      <w:r w:rsidRPr="00167E93">
        <w:t xml:space="preserve"> not met by any patient in the study</w:t>
      </w:r>
      <w:r>
        <w:t>.</w:t>
      </w:r>
    </w:p>
    <w:p w14:paraId="0F1A31DC" w14:textId="200B1D44" w:rsidR="00FE583D" w:rsidRPr="009E33D9" w:rsidRDefault="00FE583D" w:rsidP="00FE583D">
      <w:pPr>
        <w:pStyle w:val="Heading6"/>
        <w:rPr>
          <w:b w:val="0"/>
          <w:bCs w:val="0"/>
          <w:i w:val="0"/>
          <w:iCs/>
        </w:rPr>
      </w:pPr>
      <w:r w:rsidRPr="009E33D9">
        <w:rPr>
          <w:bCs w:val="0"/>
          <w:i w:val="0"/>
          <w:iCs/>
        </w:rPr>
        <w:t xml:space="preserve">Safety analysis study 1402 part 2 (Analysis </w:t>
      </w:r>
      <w:r w:rsidR="008B5E4F">
        <w:rPr>
          <w:bCs w:val="0"/>
          <w:i w:val="0"/>
          <w:iCs/>
        </w:rPr>
        <w:t>S</w:t>
      </w:r>
      <w:r w:rsidRPr="009E33D9">
        <w:rPr>
          <w:bCs w:val="0"/>
          <w:i w:val="0"/>
          <w:iCs/>
        </w:rPr>
        <w:t>et A)</w:t>
      </w:r>
    </w:p>
    <w:p w14:paraId="7AF7819C" w14:textId="77777777" w:rsidR="00FE583D" w:rsidRDefault="00FE583D" w:rsidP="00FE583D">
      <w:r>
        <w:t xml:space="preserve">Study design and methodology are further discussed in section ‘study 1402 part 2’ under efficacy heading. </w:t>
      </w:r>
    </w:p>
    <w:p w14:paraId="3B7DAFFA" w14:textId="77777777" w:rsidR="007E1737" w:rsidRDefault="00FE583D" w:rsidP="00FE583D">
      <w:r>
        <w:t xml:space="preserve">Baseline characteristics of patients in analysis set A (primary placebo-controlled analysis) from the randomized placebo-controlled study 1042 part 2 included a total of 103 patients with 51 in </w:t>
      </w:r>
      <w:proofErr w:type="spellStart"/>
      <w:r>
        <w:t>omaveloxolone</w:t>
      </w:r>
      <w:proofErr w:type="spellEnd"/>
      <w:r>
        <w:t xml:space="preserve"> group and 52 in placebo group who received a daily </w:t>
      </w:r>
      <w:proofErr w:type="spellStart"/>
      <w:r>
        <w:t>omaveloxolone</w:t>
      </w:r>
      <w:proofErr w:type="spellEnd"/>
      <w:r>
        <w:t xml:space="preserve"> dose of 150mg. </w:t>
      </w:r>
    </w:p>
    <w:p w14:paraId="118FA6AE" w14:textId="7B12CC53" w:rsidR="00B73309" w:rsidRDefault="00FE583D" w:rsidP="00FE583D">
      <w:r>
        <w:t xml:space="preserve">Mean age in the </w:t>
      </w:r>
      <w:proofErr w:type="spellStart"/>
      <w:r>
        <w:t>omaveloxolone</w:t>
      </w:r>
      <w:proofErr w:type="spellEnd"/>
      <w:r>
        <w:t xml:space="preserve"> group was 23.4 years, which was </w:t>
      </w:r>
      <w:proofErr w:type="gramStart"/>
      <w:r>
        <w:t>similar to</w:t>
      </w:r>
      <w:proofErr w:type="gramEnd"/>
      <w:r>
        <w:t xml:space="preserve"> the placebo group mean age of 24.1 years. 9(17.6%) patients were &lt;18 years old in </w:t>
      </w:r>
      <w:proofErr w:type="spellStart"/>
      <w:r>
        <w:t>omaveloxolone</w:t>
      </w:r>
      <w:proofErr w:type="spellEnd"/>
      <w:r>
        <w:t xml:space="preserve"> group compared to 15 (18.8%) &lt;18 years old in placebo group</w:t>
      </w:r>
      <w:r w:rsidR="00B31875">
        <w:t xml:space="preserve"> (table 3</w:t>
      </w:r>
      <w:r w:rsidR="001F1151">
        <w:t>3</w:t>
      </w:r>
      <w:r w:rsidR="00B31875">
        <w:t>)</w:t>
      </w:r>
      <w:r>
        <w:t xml:space="preserve">. </w:t>
      </w:r>
    </w:p>
    <w:p w14:paraId="1F98E209" w14:textId="77777777" w:rsidR="00B35FF7" w:rsidRDefault="00B35FF7" w:rsidP="00FE583D">
      <w:pPr>
        <w:pStyle w:val="Caption"/>
        <w:keepNext/>
        <w:rPr>
          <w:b/>
          <w:bCs/>
        </w:rPr>
      </w:pPr>
    </w:p>
    <w:p w14:paraId="63F44396" w14:textId="7137C247" w:rsidR="00FE583D" w:rsidRPr="00BE7D5C" w:rsidRDefault="00FE583D" w:rsidP="00B35FF7">
      <w:pPr>
        <w:pStyle w:val="TableTitle"/>
      </w:pPr>
      <w:r w:rsidRPr="00BE7D5C">
        <w:t xml:space="preserve">Table </w:t>
      </w:r>
      <w:r w:rsidR="00B35FF7">
        <w:t>3</w:t>
      </w:r>
      <w:r w:rsidR="00CD48BC">
        <w:t>3</w:t>
      </w:r>
      <w:r w:rsidR="00B35FF7">
        <w:t>:</w:t>
      </w:r>
      <w:r w:rsidRPr="00BE7D5C">
        <w:t xml:space="preserve"> Age of patients in </w:t>
      </w:r>
      <w:r w:rsidR="00C51769">
        <w:t>S</w:t>
      </w:r>
      <w:r w:rsidRPr="00BE7D5C">
        <w:t xml:space="preserve">afety </w:t>
      </w:r>
      <w:r w:rsidR="00C51769">
        <w:t>A</w:t>
      </w:r>
      <w:r w:rsidRPr="00BE7D5C">
        <w:t xml:space="preserve">nalysis </w:t>
      </w:r>
      <w:r w:rsidR="0005342F">
        <w:t>S</w:t>
      </w:r>
      <w:r w:rsidRPr="00BE7D5C">
        <w:t>et A</w:t>
      </w:r>
    </w:p>
    <w:p w14:paraId="2CD1AE68" w14:textId="77777777" w:rsidR="00FE583D" w:rsidRDefault="00FE583D" w:rsidP="00FE583D">
      <w:r>
        <w:rPr>
          <w:noProof/>
        </w:rPr>
        <w:drawing>
          <wp:inline distT="0" distB="0" distL="0" distR="0" wp14:anchorId="3DCBF6C6" wp14:editId="500A1B4F">
            <wp:extent cx="5740924" cy="1140460"/>
            <wp:effectExtent l="0" t="0" r="0" b="2540"/>
            <wp:docPr id="50" name="Picture 50" descr="Table 32: Age of patients in safety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 32: Age of patients in safety analysis set 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8590" cy="1143969"/>
                    </a:xfrm>
                    <a:prstGeom prst="rect">
                      <a:avLst/>
                    </a:prstGeom>
                    <a:noFill/>
                  </pic:spPr>
                </pic:pic>
              </a:graphicData>
            </a:graphic>
          </wp:inline>
        </w:drawing>
      </w:r>
    </w:p>
    <w:p w14:paraId="79123F33" w14:textId="77777777" w:rsidR="001D51FD" w:rsidRDefault="001D51FD" w:rsidP="00FE583D"/>
    <w:p w14:paraId="5B01434B" w14:textId="77777777" w:rsidR="00C6282A" w:rsidRDefault="00C6282A">
      <w:r>
        <w:br w:type="page"/>
      </w:r>
    </w:p>
    <w:p w14:paraId="50BC6C9F" w14:textId="156EC19F" w:rsidR="001D51FD" w:rsidRDefault="00C51769" w:rsidP="001D51FD">
      <w:r>
        <w:lastRenderedPageBreak/>
        <w:t xml:space="preserve">Other baseline demographics </w:t>
      </w:r>
      <w:r w:rsidR="004E1E51">
        <w:t>of patients in Analysis Set A are presented in table 3</w:t>
      </w:r>
      <w:r w:rsidR="00CD48BC">
        <w:t>4</w:t>
      </w:r>
      <w:r w:rsidR="004E1E51">
        <w:t xml:space="preserve">. </w:t>
      </w:r>
      <w:r w:rsidR="001D51FD">
        <w:t xml:space="preserve">20 (39.2%) were male in the </w:t>
      </w:r>
      <w:proofErr w:type="spellStart"/>
      <w:r w:rsidR="001D51FD">
        <w:t>omaveloxolone</w:t>
      </w:r>
      <w:proofErr w:type="spellEnd"/>
      <w:r w:rsidR="001D51FD">
        <w:t xml:space="preserve"> group compared to 35 (67.2%) of patients being male in placebo group. A history of cardiomyopathy was noted in 25 (49%) of patients in </w:t>
      </w:r>
      <w:proofErr w:type="spellStart"/>
      <w:r w:rsidR="001D51FD">
        <w:t>omaveloxolone</w:t>
      </w:r>
      <w:proofErr w:type="spellEnd"/>
      <w:r w:rsidR="001D51FD">
        <w:t xml:space="preserve"> group compared to 25 (28.8%) in the placebo group.</w:t>
      </w:r>
    </w:p>
    <w:p w14:paraId="0AD625D0" w14:textId="77777777" w:rsidR="001D51FD" w:rsidRDefault="001D51FD" w:rsidP="00FE583D"/>
    <w:p w14:paraId="031C8841" w14:textId="162B1D90" w:rsidR="00FE583D" w:rsidRPr="00BE7D5C" w:rsidRDefault="00FE583D" w:rsidP="00355AC9">
      <w:pPr>
        <w:pStyle w:val="TableTitle"/>
      </w:pPr>
      <w:r w:rsidRPr="00BE7D5C">
        <w:t xml:space="preserve">Table </w:t>
      </w:r>
      <w:fldSimple w:instr=" SEQ Table \* ARABIC ">
        <w:r>
          <w:rPr>
            <w:noProof/>
          </w:rPr>
          <w:t>3</w:t>
        </w:r>
        <w:r w:rsidR="00CD48BC">
          <w:rPr>
            <w:noProof/>
          </w:rPr>
          <w:t>4</w:t>
        </w:r>
      </w:fldSimple>
      <w:r w:rsidRPr="00BE7D5C">
        <w:t xml:space="preserve">: Baseline demographics of patients in </w:t>
      </w:r>
      <w:r w:rsidR="007D6B53">
        <w:t>A</w:t>
      </w:r>
      <w:r w:rsidRPr="00BE7D5C">
        <w:t xml:space="preserve">nalysis </w:t>
      </w:r>
      <w:r w:rsidR="007D6B53">
        <w:t>S</w:t>
      </w:r>
      <w:r w:rsidRPr="00BE7D5C">
        <w:t>et A</w:t>
      </w:r>
    </w:p>
    <w:p w14:paraId="78A3C920" w14:textId="77777777" w:rsidR="00FE583D" w:rsidRDefault="00FE583D" w:rsidP="00FE583D">
      <w:r>
        <w:rPr>
          <w:noProof/>
        </w:rPr>
        <w:drawing>
          <wp:inline distT="0" distB="0" distL="0" distR="0" wp14:anchorId="6D36AD12" wp14:editId="42FAE047">
            <wp:extent cx="5722070" cy="6522720"/>
            <wp:effectExtent l="0" t="0" r="0" b="0"/>
            <wp:docPr id="51" name="Picture 51" descr="Table 33: Baseline demographics of patients in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 33: Baseline demographics of patients in analysis set 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9405" cy="6531081"/>
                    </a:xfrm>
                    <a:prstGeom prst="rect">
                      <a:avLst/>
                    </a:prstGeom>
                    <a:noFill/>
                  </pic:spPr>
                </pic:pic>
              </a:graphicData>
            </a:graphic>
          </wp:inline>
        </w:drawing>
      </w:r>
    </w:p>
    <w:p w14:paraId="371769F5" w14:textId="77777777" w:rsidR="00355AC9" w:rsidRDefault="00355AC9" w:rsidP="00FE583D"/>
    <w:p w14:paraId="2E5CD85B" w14:textId="77777777" w:rsidR="004468FE" w:rsidRDefault="004468FE">
      <w:r>
        <w:br w:type="page"/>
      </w:r>
    </w:p>
    <w:p w14:paraId="3E67D494" w14:textId="063AEEFD" w:rsidR="00FE583D" w:rsidRDefault="00FE583D" w:rsidP="00FE583D">
      <w:r>
        <w:lastRenderedPageBreak/>
        <w:t>Regarding patient disposition</w:t>
      </w:r>
      <w:r w:rsidR="004468FE">
        <w:t>,</w:t>
      </w:r>
      <w:r>
        <w:t xml:space="preserve"> 7 (13.7%) discontinued from the </w:t>
      </w:r>
      <w:proofErr w:type="spellStart"/>
      <w:r>
        <w:t>omaveloxolone</w:t>
      </w:r>
      <w:proofErr w:type="spellEnd"/>
      <w:r>
        <w:t xml:space="preserve"> group compared to 2 (3.8%) in placebo group</w:t>
      </w:r>
      <w:r w:rsidR="004468FE">
        <w:t>.</w:t>
      </w:r>
      <w:r w:rsidR="000738D5">
        <w:t xml:space="preserve"> </w:t>
      </w:r>
      <w:r w:rsidR="004468FE">
        <w:t>I</w:t>
      </w:r>
      <w:r>
        <w:t>n the placebo group</w:t>
      </w:r>
      <w:r w:rsidR="004468FE">
        <w:t>,</w:t>
      </w:r>
      <w:r>
        <w:t xml:space="preserve"> both patients withdrew due to AE. In </w:t>
      </w:r>
      <w:r w:rsidR="000738D5">
        <w:t xml:space="preserve">the </w:t>
      </w:r>
      <w:proofErr w:type="spellStart"/>
      <w:r>
        <w:t>omaveloxolone</w:t>
      </w:r>
      <w:proofErr w:type="spellEnd"/>
      <w:r>
        <w:t xml:space="preserve"> group</w:t>
      </w:r>
      <w:r w:rsidR="000738D5">
        <w:t>,</w:t>
      </w:r>
      <w:r>
        <w:t xml:space="preserve"> 4 patients withdrew due to AE and 3 due to ‘withdrawal by patient’.</w:t>
      </w:r>
    </w:p>
    <w:p w14:paraId="1671ED1D" w14:textId="30AE694B" w:rsidR="00A35E49" w:rsidRDefault="00A35E49" w:rsidP="00A35E49">
      <w:r>
        <w:t>As outlined in table 3</w:t>
      </w:r>
      <w:r w:rsidR="00CD48BC">
        <w:t>5</w:t>
      </w:r>
      <w:r>
        <w:t xml:space="preserve">, 37 (72.5%) of patients in the </w:t>
      </w:r>
      <w:proofErr w:type="spellStart"/>
      <w:r>
        <w:t>omaveloxolone</w:t>
      </w:r>
      <w:proofErr w:type="spellEnd"/>
      <w:r>
        <w:t xml:space="preserve"> group experienced a TEAE deemed related to study drug, compared to 19 (36.5%) in the placebo group. Serious TEAE’s were experienced by 5 (9.8%) in the </w:t>
      </w:r>
      <w:proofErr w:type="spellStart"/>
      <w:r>
        <w:t>omaveloxolone</w:t>
      </w:r>
      <w:proofErr w:type="spellEnd"/>
      <w:r>
        <w:t xml:space="preserve"> group compared to 3 (5.8%) in the placebo group. Severe TEAE were reported in 5 (9.8%) in the </w:t>
      </w:r>
      <w:proofErr w:type="spellStart"/>
      <w:r>
        <w:t>omaveloxolone</w:t>
      </w:r>
      <w:proofErr w:type="spellEnd"/>
      <w:r>
        <w:t xml:space="preserve"> group compared to 0 in the placebo group. No death occurred during study 1402 part 2.</w:t>
      </w:r>
    </w:p>
    <w:p w14:paraId="10A00015" w14:textId="77777777" w:rsidR="00A35E49" w:rsidRDefault="00A35E49" w:rsidP="00FE583D"/>
    <w:p w14:paraId="3052F73A" w14:textId="522A33E6" w:rsidR="00FE583D" w:rsidRPr="006234AC" w:rsidRDefault="00FE583D" w:rsidP="004468FE">
      <w:pPr>
        <w:pStyle w:val="TableTitle"/>
        <w:spacing w:before="240"/>
      </w:pPr>
      <w:r w:rsidRPr="006234AC">
        <w:t xml:space="preserve">Table </w:t>
      </w:r>
      <w:fldSimple w:instr=" SEQ Table \* ARABIC ">
        <w:r w:rsidR="00355AC9">
          <w:rPr>
            <w:noProof/>
          </w:rPr>
          <w:t>3</w:t>
        </w:r>
        <w:r w:rsidR="00401752">
          <w:rPr>
            <w:noProof/>
          </w:rPr>
          <w:t>5</w:t>
        </w:r>
      </w:fldSimple>
      <w:r w:rsidRPr="006234AC">
        <w:t xml:space="preserve">: Overall summary of TEAE’s (Analysis </w:t>
      </w:r>
      <w:r w:rsidR="00D64624">
        <w:t>S</w:t>
      </w:r>
      <w:r w:rsidRPr="006234AC">
        <w:t>et A)</w:t>
      </w:r>
    </w:p>
    <w:p w14:paraId="79E32E27" w14:textId="77777777" w:rsidR="00FE583D" w:rsidRDefault="00FE583D" w:rsidP="00FE583D">
      <w:r w:rsidRPr="001C75E1">
        <w:rPr>
          <w:noProof/>
        </w:rPr>
        <w:drawing>
          <wp:inline distT="0" distB="0" distL="0" distR="0" wp14:anchorId="750F686B" wp14:editId="693869EC">
            <wp:extent cx="5731510" cy="4713605"/>
            <wp:effectExtent l="0" t="0" r="2540" b="0"/>
            <wp:docPr id="52" name="Picture 52" descr="Table 34: Overall summary of TEAE’s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ble 34: Overall summary of TEAE’s (Analysis set A)"/>
                    <pic:cNvPicPr/>
                  </pic:nvPicPr>
                  <pic:blipFill>
                    <a:blip r:embed="rId91"/>
                    <a:stretch>
                      <a:fillRect/>
                    </a:stretch>
                  </pic:blipFill>
                  <pic:spPr>
                    <a:xfrm>
                      <a:off x="0" y="0"/>
                      <a:ext cx="5731510" cy="4713605"/>
                    </a:xfrm>
                    <a:prstGeom prst="rect">
                      <a:avLst/>
                    </a:prstGeom>
                  </pic:spPr>
                </pic:pic>
              </a:graphicData>
            </a:graphic>
          </wp:inline>
        </w:drawing>
      </w:r>
    </w:p>
    <w:p w14:paraId="74559927" w14:textId="77777777" w:rsidR="0048133D" w:rsidRDefault="0048133D" w:rsidP="00FE583D"/>
    <w:p w14:paraId="6C3FAF54" w14:textId="6FF33BE3" w:rsidR="00D14B98" w:rsidRPr="00DC7098" w:rsidRDefault="00D14B98" w:rsidP="00D14B98">
      <w:r>
        <w:t>As shown in table 3</w:t>
      </w:r>
      <w:r w:rsidR="00401752">
        <w:t>6</w:t>
      </w:r>
      <w:r>
        <w:t xml:space="preserve"> t</w:t>
      </w:r>
      <w:r w:rsidRPr="00DC7098">
        <w:t xml:space="preserve">he most frequent TEAEs were reported in the system organ class (SOC) of gastrointestinal disorders (60.8% in the </w:t>
      </w:r>
      <w:proofErr w:type="spellStart"/>
      <w:r w:rsidRPr="00DC7098">
        <w:t>omaveloxolone</w:t>
      </w:r>
      <w:proofErr w:type="spellEnd"/>
      <w:r w:rsidRPr="00DC7098">
        <w:t xml:space="preserve"> treatment group and 36.5% in the placebo group). Nausea was the most frequent preferred term (PT) within the SOC (33.3% and 13.5%, respectively) followed by Diarrhoea (19.6% and 9.6%, respectively) and vomiting (15.7% and 11.5%, respectively). Abdominal pain upper (9.8% vs. 1.9%) and abdominal pain (7.8% vs. 1.9%) were also reported more frequently in the </w:t>
      </w:r>
      <w:proofErr w:type="spellStart"/>
      <w:r w:rsidRPr="00DC7098">
        <w:t>omaveloxolone</w:t>
      </w:r>
      <w:proofErr w:type="spellEnd"/>
      <w:r w:rsidRPr="00DC7098">
        <w:t xml:space="preserve"> treatment group.</w:t>
      </w:r>
    </w:p>
    <w:p w14:paraId="623614E3" w14:textId="77777777" w:rsidR="00D14B98" w:rsidRPr="00DC7098" w:rsidRDefault="00D14B98" w:rsidP="00D14B98">
      <w:r w:rsidRPr="00DC7098">
        <w:t xml:space="preserve">Within the SOC of nervous system disorders (39.2% and 19.2%, respectively), headache was the most common PT and reported more frequently in the </w:t>
      </w:r>
      <w:proofErr w:type="spellStart"/>
      <w:r w:rsidRPr="00DC7098">
        <w:t>omaveloxolone</w:t>
      </w:r>
      <w:proofErr w:type="spellEnd"/>
      <w:r w:rsidRPr="00DC7098">
        <w:t xml:space="preserve"> treatment group (37.3% vs. 25.0%). Headache is included in the ADR table in the SmPC. Dyskinesia and somnolence were reported in 2 (3.9%) patients in the </w:t>
      </w:r>
      <w:proofErr w:type="spellStart"/>
      <w:r w:rsidRPr="00DC7098">
        <w:t>omaveloxolone</w:t>
      </w:r>
      <w:proofErr w:type="spellEnd"/>
      <w:r w:rsidRPr="00DC7098">
        <w:t xml:space="preserve"> treatment group and 0 in the placebo group.</w:t>
      </w:r>
    </w:p>
    <w:p w14:paraId="7C89568C" w14:textId="0189BF42" w:rsidR="00FE583D" w:rsidRPr="00E3382D" w:rsidRDefault="00FE583D" w:rsidP="00602351">
      <w:pPr>
        <w:pStyle w:val="TableTitle"/>
      </w:pPr>
      <w:r w:rsidRPr="00E3382D">
        <w:lastRenderedPageBreak/>
        <w:t xml:space="preserve">Table </w:t>
      </w:r>
      <w:r w:rsidR="00602351">
        <w:t>3</w:t>
      </w:r>
      <w:r w:rsidR="00401752">
        <w:t>6</w:t>
      </w:r>
      <w:r w:rsidRPr="00E3382D">
        <w:t xml:space="preserve">: Summary of TEAE with incidence of </w:t>
      </w:r>
      <w:bookmarkStart w:id="72" w:name="_Hlk184041074"/>
      <w:r w:rsidRPr="00E3382D">
        <w:t xml:space="preserve">≥2% and excess in the </w:t>
      </w:r>
      <w:proofErr w:type="spellStart"/>
      <w:r w:rsidRPr="00E3382D">
        <w:t>omaveloxolone</w:t>
      </w:r>
      <w:proofErr w:type="spellEnd"/>
      <w:r w:rsidRPr="00E3382D">
        <w:t xml:space="preserve"> treatment group over the placebo group (primary placebo-controlled analysis set A)</w:t>
      </w:r>
      <w:bookmarkEnd w:id="72"/>
    </w:p>
    <w:p w14:paraId="3BCA30BF" w14:textId="77777777" w:rsidR="00FE583D" w:rsidRDefault="00FE583D" w:rsidP="00FE583D">
      <w:r>
        <w:rPr>
          <w:noProof/>
        </w:rPr>
        <w:drawing>
          <wp:inline distT="0" distB="0" distL="0" distR="0" wp14:anchorId="25CCAC7A" wp14:editId="3B86C735">
            <wp:extent cx="4637216" cy="4854804"/>
            <wp:effectExtent l="0" t="0" r="0" b="3175"/>
            <wp:docPr id="53" name="Picture 53" descr="Table 35: Summary of TEAE with incidence of ≥2% and excess in the omaveloxolone treatment group over the placebo group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able 35: Summary of TEAE with incidence of ≥2% and excess in the omaveloxolone treatment group over the placebo group (primary placebo-controlled analysis set A)"/>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59241" cy="4877863"/>
                    </a:xfrm>
                    <a:prstGeom prst="rect">
                      <a:avLst/>
                    </a:prstGeom>
                    <a:noFill/>
                  </pic:spPr>
                </pic:pic>
              </a:graphicData>
            </a:graphic>
          </wp:inline>
        </w:drawing>
      </w:r>
    </w:p>
    <w:p w14:paraId="56BCDAD7" w14:textId="77777777" w:rsidR="00FE583D" w:rsidRDefault="00FE583D" w:rsidP="00FE583D">
      <w:r>
        <w:rPr>
          <w:noProof/>
        </w:rPr>
        <w:lastRenderedPageBreak/>
        <w:drawing>
          <wp:inline distT="0" distB="0" distL="0" distR="0" wp14:anchorId="2B691E44" wp14:editId="7ABADF9B">
            <wp:extent cx="4892511" cy="6296660"/>
            <wp:effectExtent l="0" t="0" r="381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927108" cy="6341187"/>
                    </a:xfrm>
                    <a:prstGeom prst="rect">
                      <a:avLst/>
                    </a:prstGeom>
                    <a:noFill/>
                  </pic:spPr>
                </pic:pic>
              </a:graphicData>
            </a:graphic>
          </wp:inline>
        </w:drawing>
      </w:r>
    </w:p>
    <w:p w14:paraId="27EB0E99" w14:textId="77777777" w:rsidR="00247B71" w:rsidRDefault="00247B71" w:rsidP="00FE583D"/>
    <w:p w14:paraId="04A734E1" w14:textId="77777777" w:rsidR="00247B71" w:rsidRDefault="00247B71">
      <w:r>
        <w:br w:type="page"/>
      </w:r>
    </w:p>
    <w:p w14:paraId="17A4F2CE" w14:textId="2E516BF4" w:rsidR="00FE583D" w:rsidRDefault="00FE583D" w:rsidP="00FE583D">
      <w:r w:rsidRPr="00DC7098">
        <w:lastRenderedPageBreak/>
        <w:t xml:space="preserve">In the SOC Injury, poisoning and procedural complications (51.0% in the </w:t>
      </w:r>
      <w:proofErr w:type="spellStart"/>
      <w:r w:rsidRPr="00DC7098">
        <w:t>omaveloxolone</w:t>
      </w:r>
      <w:proofErr w:type="spellEnd"/>
      <w:r w:rsidRPr="00DC7098">
        <w:t xml:space="preserve"> treatment group and 34.6% in the placebo group), PTs were overall balanced between the </w:t>
      </w:r>
      <w:proofErr w:type="spellStart"/>
      <w:r w:rsidRPr="00DC7098">
        <w:t>omaveloxolone</w:t>
      </w:r>
      <w:proofErr w:type="spellEnd"/>
      <w:r w:rsidRPr="00DC7098">
        <w:t xml:space="preserve"> treatment group and placebo treatment group except for limb injury (7.8% vs. 1.9%), muscle strain (5.9% vs. 1.9%) and skin abrasion (25.5% vs. 21.2%). Within the SOC Musculoskeletal and connective tissue disorders (35.3% vs. 19.2%) Back pain w</w:t>
      </w:r>
      <w:r>
        <w:t>as</w:t>
      </w:r>
      <w:r w:rsidRPr="00DC7098">
        <w:t xml:space="preserve"> the most frequent reported PT (13.7% vs. 7.7%) followed by muscle spasms (13.7% vs. 5.8%).</w:t>
      </w:r>
    </w:p>
    <w:p w14:paraId="2E038634" w14:textId="77777777" w:rsidR="00FE583D" w:rsidRDefault="00FE583D" w:rsidP="00FE583D">
      <w:r w:rsidRPr="0033259A">
        <w:t xml:space="preserve">Within the SOC Investigations (43.1% vs. 3.8%) Alanine aminotransferase increased (37.3% vs. 1.9%), Aspartate aminotransferase increased (21.6% vs. 1.9%), Gamma-glutamyl transferase increased (5.9% vs. 0%) and VLDL increased (3.9% vs. 0%) were reported more frequent in the </w:t>
      </w:r>
      <w:proofErr w:type="spellStart"/>
      <w:r w:rsidRPr="0033259A">
        <w:t>omaveloxolone</w:t>
      </w:r>
      <w:proofErr w:type="spellEnd"/>
      <w:r w:rsidRPr="0033259A">
        <w:t xml:space="preserve"> treatment group compared to the placebo group.</w:t>
      </w:r>
    </w:p>
    <w:p w14:paraId="584049AA" w14:textId="08148CAE" w:rsidR="00FE583D" w:rsidRDefault="00FE583D" w:rsidP="00FE583D">
      <w:r w:rsidRPr="002449EC">
        <w:t>In the SOC Respiratory, thoracic and mediastinal disorders (29.4% vs. 17.3%)</w:t>
      </w:r>
      <w:r w:rsidR="00857B7F">
        <w:t>,</w:t>
      </w:r>
      <w:r w:rsidRPr="002449EC">
        <w:t xml:space="preserve"> </w:t>
      </w:r>
      <w:r w:rsidR="00857B7F">
        <w:t>o</w:t>
      </w:r>
      <w:r w:rsidRPr="002449EC">
        <w:t xml:space="preserve">ropharyngeal pain (17.6% vs. 5.8%) and </w:t>
      </w:r>
      <w:r w:rsidR="00857B7F">
        <w:t>r</w:t>
      </w:r>
      <w:r w:rsidRPr="002449EC">
        <w:t>hinorrhoea (3.9% vs. 0%) were reported more frequent</w:t>
      </w:r>
      <w:r w:rsidR="00857B7F">
        <w:t>ly</w:t>
      </w:r>
      <w:r w:rsidRPr="002449EC">
        <w:t xml:space="preserve"> in the </w:t>
      </w:r>
      <w:proofErr w:type="spellStart"/>
      <w:r w:rsidRPr="002449EC">
        <w:t>omaveloxolone</w:t>
      </w:r>
      <w:proofErr w:type="spellEnd"/>
      <w:r w:rsidRPr="002449EC">
        <w:t xml:space="preserve"> treatment group compared to the placebo group</w:t>
      </w:r>
      <w:r>
        <w:t>.</w:t>
      </w:r>
    </w:p>
    <w:p w14:paraId="3556D141" w14:textId="2E9288F8" w:rsidR="00FE583D" w:rsidRDefault="00FE583D" w:rsidP="00FE583D">
      <w:r w:rsidRPr="00750731">
        <w:t xml:space="preserve">In the SOC </w:t>
      </w:r>
      <w:r w:rsidR="00857B7F">
        <w:t>i</w:t>
      </w:r>
      <w:r w:rsidRPr="00750731">
        <w:t xml:space="preserve">nfections and infestations (27.5% vs. 7.7%), influenza was the most frequently reported PT in the </w:t>
      </w:r>
      <w:proofErr w:type="spellStart"/>
      <w:r w:rsidRPr="00750731">
        <w:t>omaveloxolone</w:t>
      </w:r>
      <w:proofErr w:type="spellEnd"/>
      <w:r w:rsidRPr="00750731">
        <w:t xml:space="preserve"> treatment group (13.7% vs. 3.8%) followed by urinary tract infection (7.8% vs. 0%) and </w:t>
      </w:r>
      <w:r w:rsidR="00014A17">
        <w:t>g</w:t>
      </w:r>
      <w:r w:rsidRPr="00750731">
        <w:t>astroenteritis viral (5.9% vs. 1.9%)</w:t>
      </w:r>
      <w:r>
        <w:t>.</w:t>
      </w:r>
      <w:r w:rsidRPr="00160FC6">
        <w:t xml:space="preserve"> </w:t>
      </w:r>
      <w:r>
        <w:t>C</w:t>
      </w:r>
      <w:r w:rsidRPr="00160FC6">
        <w:t xml:space="preserve">onjunctivitis was reported more frequently in the </w:t>
      </w:r>
      <w:proofErr w:type="spellStart"/>
      <w:r w:rsidRPr="00160FC6">
        <w:t>omaveloxolone</w:t>
      </w:r>
      <w:proofErr w:type="spellEnd"/>
      <w:r w:rsidRPr="00160FC6">
        <w:t xml:space="preserve"> treatment group compared to the placebo group (3.9% vs. 0%)</w:t>
      </w:r>
      <w:r>
        <w:t>.</w:t>
      </w:r>
    </w:p>
    <w:p w14:paraId="5EA683ED" w14:textId="0342920D" w:rsidR="00FE583D" w:rsidRDefault="00FE583D" w:rsidP="00FE583D">
      <w:r w:rsidRPr="00DE5BF7">
        <w:t xml:space="preserve">Decreased appetite (11.8% vs. 3.8%) and </w:t>
      </w:r>
      <w:proofErr w:type="spellStart"/>
      <w:r w:rsidR="00014A17">
        <w:t>h</w:t>
      </w:r>
      <w:r w:rsidRPr="00DE5BF7">
        <w:t>ypertriglycerid</w:t>
      </w:r>
      <w:r>
        <w:t>a</w:t>
      </w:r>
      <w:r w:rsidRPr="00DE5BF7">
        <w:t>emia</w:t>
      </w:r>
      <w:proofErr w:type="spellEnd"/>
      <w:r w:rsidRPr="00DE5BF7">
        <w:t xml:space="preserve"> (3.9% vs. 0%) were reported more frequent</w:t>
      </w:r>
      <w:r w:rsidR="00A11C4C">
        <w:t>ly</w:t>
      </w:r>
      <w:r w:rsidRPr="00DE5BF7">
        <w:t xml:space="preserve"> in the </w:t>
      </w:r>
      <w:proofErr w:type="spellStart"/>
      <w:r w:rsidRPr="00DE5BF7">
        <w:t>omaveloxolone</w:t>
      </w:r>
      <w:proofErr w:type="spellEnd"/>
      <w:r w:rsidRPr="00DE5BF7">
        <w:t xml:space="preserve"> treatment group compared to the placebo group within the SOC </w:t>
      </w:r>
      <w:r>
        <w:t>m</w:t>
      </w:r>
      <w:r w:rsidRPr="00DE5BF7">
        <w:t xml:space="preserve">etabolism and nutrition disorders </w:t>
      </w:r>
      <w:r w:rsidR="00A11C4C">
        <w:t xml:space="preserve">categories </w:t>
      </w:r>
      <w:r w:rsidRPr="00DE5BF7">
        <w:t>(13.7% vs. 3.8%)</w:t>
      </w:r>
      <w:r>
        <w:t xml:space="preserve">. </w:t>
      </w:r>
      <w:r w:rsidRPr="00D228D3">
        <w:t xml:space="preserve">Rash macular (3.9% vs. 0%) was reported more frequently in the </w:t>
      </w:r>
      <w:proofErr w:type="spellStart"/>
      <w:r w:rsidRPr="00D228D3">
        <w:t>omaveloxolone</w:t>
      </w:r>
      <w:proofErr w:type="spellEnd"/>
      <w:r w:rsidRPr="00D228D3">
        <w:t xml:space="preserve"> treatment group compared to the placebo group in the SOC Skin and subcutaneous tissue disorders (11.8% vs. 3.8%).</w:t>
      </w:r>
    </w:p>
    <w:p w14:paraId="352008B8" w14:textId="6FB93D89" w:rsidR="00FE583D" w:rsidRDefault="00FE583D" w:rsidP="00FE583D">
      <w:r w:rsidRPr="00924389">
        <w:t xml:space="preserve">The majority of the most common TEAEs in either group were mild to moderate in severity. Five (9.8%) </w:t>
      </w:r>
      <w:proofErr w:type="spellStart"/>
      <w:r w:rsidRPr="00924389">
        <w:t>omaveloxolone</w:t>
      </w:r>
      <w:proofErr w:type="spellEnd"/>
      <w:r w:rsidRPr="00924389">
        <w:t>-treated patients experienced 6 severe TEAEs (</w:t>
      </w:r>
      <w:r w:rsidR="003B5D21">
        <w:t>c</w:t>
      </w:r>
      <w:r w:rsidRPr="00924389">
        <w:t xml:space="preserve">ontusion, </w:t>
      </w:r>
      <w:r w:rsidR="003B5D21">
        <w:t>s</w:t>
      </w:r>
      <w:r w:rsidRPr="00924389">
        <w:t xml:space="preserve">kin laceration, </w:t>
      </w:r>
      <w:r w:rsidR="003B5D21">
        <w:t>m</w:t>
      </w:r>
      <w:r w:rsidRPr="00924389">
        <w:t xml:space="preserve">igraine, </w:t>
      </w:r>
      <w:r w:rsidR="003B5D21">
        <w:t>b</w:t>
      </w:r>
      <w:r w:rsidRPr="00924389">
        <w:t xml:space="preserve">lood creatine phosphokinase increased, </w:t>
      </w:r>
      <w:r w:rsidR="00400419">
        <w:t>s</w:t>
      </w:r>
      <w:r w:rsidRPr="00924389">
        <w:t xml:space="preserve">uicidal ideation and </w:t>
      </w:r>
      <w:r w:rsidR="00400419">
        <w:t>h</w:t>
      </w:r>
      <w:r w:rsidRPr="00924389">
        <w:t>ydrocele). Two severe TEAEs were in adolescent patients (hydrocele in 1 patient and contusion and skin laceration in 1 patient).</w:t>
      </w:r>
    </w:p>
    <w:p w14:paraId="28FB4AB8" w14:textId="23A0707A" w:rsidR="00FE583D" w:rsidRPr="00E64B22" w:rsidRDefault="00FE583D" w:rsidP="00377355">
      <w:pPr>
        <w:pStyle w:val="Heading6"/>
        <w:rPr>
          <w:i w:val="0"/>
          <w:iCs/>
        </w:rPr>
      </w:pPr>
      <w:r w:rsidRPr="00E64B22">
        <w:rPr>
          <w:i w:val="0"/>
          <w:iCs/>
        </w:rPr>
        <w:t>Evaluation of weight</w:t>
      </w:r>
    </w:p>
    <w:p w14:paraId="4B6E4072" w14:textId="46B32BC8" w:rsidR="00FE583D" w:rsidRDefault="00FE583D" w:rsidP="00FE583D">
      <w:r w:rsidRPr="00E969DF">
        <w:t xml:space="preserve">Decrease in weight was gradual and only apparent after 24 weeks of treatment in Study 1402 </w:t>
      </w:r>
      <w:r w:rsidR="00E64B22">
        <w:t>p</w:t>
      </w:r>
      <w:r w:rsidRPr="00E969DF">
        <w:t xml:space="preserve">art 2, and weight decreases with </w:t>
      </w:r>
      <w:proofErr w:type="spellStart"/>
      <w:r w:rsidRPr="00E969DF">
        <w:t>omaveloxolone</w:t>
      </w:r>
      <w:proofErr w:type="spellEnd"/>
      <w:r w:rsidRPr="00E969DF">
        <w:t xml:space="preserve"> treatment were more pronounced in patients with higher baseline BMI (≥25 kg/m2).</w:t>
      </w:r>
      <w:r>
        <w:t xml:space="preserve"> </w:t>
      </w:r>
      <w:r w:rsidRPr="00510EA3">
        <w:t xml:space="preserve">Mean change from baseline to Week 48 was -1.35 ± 3.585 kg for </w:t>
      </w:r>
      <w:proofErr w:type="spellStart"/>
      <w:r w:rsidRPr="00510EA3">
        <w:t>omaveloxolone</w:t>
      </w:r>
      <w:proofErr w:type="spellEnd"/>
      <w:r w:rsidRPr="00510EA3">
        <w:t xml:space="preserve"> treated patients and 1.17 ± 4.108 kg for placebo-treated patients after 48 weeks of treatment. Relative to baseline, 34.0% (n=17) of the </w:t>
      </w:r>
      <w:proofErr w:type="spellStart"/>
      <w:r w:rsidRPr="00510EA3">
        <w:t>omaveloxolone</w:t>
      </w:r>
      <w:proofErr w:type="spellEnd"/>
      <w:r w:rsidRPr="00510EA3">
        <w:t xml:space="preserve">-treated patients showed at least 5% weight loss, and 12.0% (n=6) of </w:t>
      </w:r>
      <w:proofErr w:type="spellStart"/>
      <w:r w:rsidRPr="00510EA3">
        <w:t>omaveloxolone</w:t>
      </w:r>
      <w:proofErr w:type="spellEnd"/>
      <w:r>
        <w:t xml:space="preserve"> </w:t>
      </w:r>
      <w:r w:rsidRPr="00510EA3">
        <w:t xml:space="preserve">treated patients showed at least 7% weight loss. Mean weight change during the first 24 weeks of </w:t>
      </w:r>
      <w:proofErr w:type="spellStart"/>
      <w:r w:rsidRPr="00510EA3">
        <w:t>omaveloxolone</w:t>
      </w:r>
      <w:proofErr w:type="spellEnd"/>
      <w:r w:rsidRPr="00510EA3">
        <w:t xml:space="preserve"> treatment was not meaningfully different from placebo</w:t>
      </w:r>
      <w:r>
        <w:t xml:space="preserve">. The mean changes in weight for adolescent patients treated with </w:t>
      </w:r>
      <w:proofErr w:type="spellStart"/>
      <w:r>
        <w:t>omaveloxolone</w:t>
      </w:r>
      <w:proofErr w:type="spellEnd"/>
      <w:r>
        <w:t xml:space="preserve"> were </w:t>
      </w:r>
      <w:proofErr w:type="gramStart"/>
      <w:r>
        <w:t>similar to</w:t>
      </w:r>
      <w:proofErr w:type="gramEnd"/>
      <w:r>
        <w:t xml:space="preserve"> that of adolescent patients treated with placebo.</w:t>
      </w:r>
    </w:p>
    <w:p w14:paraId="5FAB39D1" w14:textId="0BA1FBC9" w:rsidR="00FE583D" w:rsidRPr="001D5C97" w:rsidRDefault="00FE583D" w:rsidP="005559BC">
      <w:pPr>
        <w:pStyle w:val="TableTitle"/>
      </w:pPr>
      <w:r w:rsidRPr="001D5C97">
        <w:lastRenderedPageBreak/>
        <w:t xml:space="preserve">Figure </w:t>
      </w:r>
      <w:fldSimple w:instr=" SEQ Figure \* ARABIC ">
        <w:r>
          <w:rPr>
            <w:noProof/>
          </w:rPr>
          <w:t>17</w:t>
        </w:r>
      </w:fldSimple>
      <w:r w:rsidR="00490E0F">
        <w:rPr>
          <w:noProof/>
        </w:rPr>
        <w:t>:</w:t>
      </w:r>
      <w:r w:rsidRPr="001D5C97">
        <w:t xml:space="preserve"> Mean change from baseline to week 48 in weight (kg)</w:t>
      </w:r>
      <w:r w:rsidR="00377355">
        <w:t xml:space="preserve"> </w:t>
      </w:r>
      <w:r w:rsidRPr="001D5C97">
        <w:t xml:space="preserve">(primary placebo-controlled </w:t>
      </w:r>
      <w:r w:rsidR="007A6C81">
        <w:t>A</w:t>
      </w:r>
      <w:r w:rsidRPr="001D5C97">
        <w:t xml:space="preserve">nalysis </w:t>
      </w:r>
      <w:r w:rsidR="007A6C81">
        <w:t>S</w:t>
      </w:r>
      <w:r w:rsidRPr="001D5C97">
        <w:t>et A</w:t>
      </w:r>
      <w:r w:rsidR="00477D2E">
        <w:t>)</w:t>
      </w:r>
    </w:p>
    <w:p w14:paraId="46D5F00D" w14:textId="77777777" w:rsidR="00FE583D" w:rsidRDefault="00FE583D" w:rsidP="00FE583D">
      <w:r w:rsidRPr="00970AFE">
        <w:rPr>
          <w:noProof/>
        </w:rPr>
        <w:drawing>
          <wp:inline distT="0" distB="0" distL="0" distR="0" wp14:anchorId="6E213365" wp14:editId="5BCBF947">
            <wp:extent cx="5599522" cy="3223895"/>
            <wp:effectExtent l="0" t="0" r="1270" b="0"/>
            <wp:docPr id="66" name="Picture 66" descr="Figure 17 Mean change from baseline to week 48 in weight (kg)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Figure 17 Mean change from baseline to week 48 in weight (kg) (primary placebo-controlled analysis set A)"/>
                    <pic:cNvPicPr/>
                  </pic:nvPicPr>
                  <pic:blipFill>
                    <a:blip r:embed="rId94"/>
                    <a:stretch>
                      <a:fillRect/>
                    </a:stretch>
                  </pic:blipFill>
                  <pic:spPr>
                    <a:xfrm>
                      <a:off x="0" y="0"/>
                      <a:ext cx="5603824" cy="3226372"/>
                    </a:xfrm>
                    <a:prstGeom prst="rect">
                      <a:avLst/>
                    </a:prstGeom>
                  </pic:spPr>
                </pic:pic>
              </a:graphicData>
            </a:graphic>
          </wp:inline>
        </w:drawing>
      </w:r>
    </w:p>
    <w:p w14:paraId="1866F67F" w14:textId="77777777" w:rsidR="00FE583D" w:rsidRPr="002D2F87" w:rsidRDefault="00FE583D" w:rsidP="00FE583D"/>
    <w:p w14:paraId="410B1C76" w14:textId="18E69DB4" w:rsidR="00FE583D" w:rsidRPr="00EB1A19" w:rsidRDefault="00FE583D" w:rsidP="00477D2E">
      <w:pPr>
        <w:pStyle w:val="TableTitle"/>
      </w:pPr>
      <w:r w:rsidRPr="00EB1A19">
        <w:lastRenderedPageBreak/>
        <w:t xml:space="preserve">Table </w:t>
      </w:r>
      <w:r w:rsidR="00477D2E">
        <w:t>3</w:t>
      </w:r>
      <w:r w:rsidR="00401752">
        <w:t>7</w:t>
      </w:r>
      <w:r w:rsidR="00477D2E">
        <w:t>:</w:t>
      </w:r>
      <w:r w:rsidRPr="00EB1A19">
        <w:t xml:space="preserve"> Summary TEAE occurring in ≥10% of patients in the </w:t>
      </w:r>
      <w:proofErr w:type="spellStart"/>
      <w:r w:rsidRPr="00EB1A19">
        <w:t>omaveloxolone</w:t>
      </w:r>
      <w:proofErr w:type="spellEnd"/>
      <w:r w:rsidRPr="00EB1A19">
        <w:t xml:space="preserve"> group with a difference in incidence of ≥2% in the </w:t>
      </w:r>
      <w:proofErr w:type="spellStart"/>
      <w:r w:rsidRPr="00EB1A19">
        <w:t>omaveloxolone</w:t>
      </w:r>
      <w:proofErr w:type="spellEnd"/>
      <w:r w:rsidRPr="00EB1A19">
        <w:t xml:space="preserve"> treatment group over placebo group (primary placebo-controlled analysis set A)</w:t>
      </w:r>
    </w:p>
    <w:p w14:paraId="624FA8CA" w14:textId="77777777" w:rsidR="00FE583D" w:rsidRDefault="00FE583D" w:rsidP="00FE583D">
      <w:r w:rsidRPr="00821093">
        <w:rPr>
          <w:noProof/>
        </w:rPr>
        <w:drawing>
          <wp:inline distT="0" distB="0" distL="0" distR="0" wp14:anchorId="24F2B891" wp14:editId="46ADDD8B">
            <wp:extent cx="5259705" cy="4590025"/>
            <wp:effectExtent l="0" t="0" r="0" b="1270"/>
            <wp:docPr id="56" name="Picture 56" descr="Table 36: Summary TEAE occurring in ≥10% of patients in the omaveloxolone group with a difference in incidence of ≥2% in the omaveloxolone treatment group over placebo group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able 36: Summary TEAE occurring in ≥10% of patients in the omaveloxolone group with a difference in incidence of ≥2% in the omaveloxolone treatment group over placebo group (primary placebo-controlled analysis set A)"/>
                    <pic:cNvPicPr/>
                  </pic:nvPicPr>
                  <pic:blipFill>
                    <a:blip r:embed="rId95"/>
                    <a:stretch>
                      <a:fillRect/>
                    </a:stretch>
                  </pic:blipFill>
                  <pic:spPr>
                    <a:xfrm>
                      <a:off x="0" y="0"/>
                      <a:ext cx="5275797" cy="4604068"/>
                    </a:xfrm>
                    <a:prstGeom prst="rect">
                      <a:avLst/>
                    </a:prstGeom>
                  </pic:spPr>
                </pic:pic>
              </a:graphicData>
            </a:graphic>
          </wp:inline>
        </w:drawing>
      </w:r>
    </w:p>
    <w:p w14:paraId="250B49FE" w14:textId="07B49C95" w:rsidR="00FE583D" w:rsidRDefault="00FE583D" w:rsidP="00FE583D">
      <w:r>
        <w:t xml:space="preserve">As shown in table </w:t>
      </w:r>
      <w:r w:rsidR="006A7A80">
        <w:t>3</w:t>
      </w:r>
      <w:r w:rsidR="00FD0264">
        <w:t>7</w:t>
      </w:r>
      <w:r w:rsidR="006A7A80">
        <w:t xml:space="preserve"> </w:t>
      </w:r>
      <w:r>
        <w:t xml:space="preserve">the </w:t>
      </w:r>
      <w:r w:rsidRPr="000F7B84">
        <w:t xml:space="preserve">TEAEs occurring in ≥10% of </w:t>
      </w:r>
      <w:proofErr w:type="spellStart"/>
      <w:r w:rsidRPr="000F7B84">
        <w:t>omaveloxolone</w:t>
      </w:r>
      <w:proofErr w:type="spellEnd"/>
      <w:r w:rsidRPr="000F7B84">
        <w:t xml:space="preserve">-treated patients and with a difference in incidence of ≥2% between </w:t>
      </w:r>
      <w:proofErr w:type="spellStart"/>
      <w:r w:rsidRPr="000F7B84">
        <w:t>omaveloxolone</w:t>
      </w:r>
      <w:proofErr w:type="spellEnd"/>
      <w:r w:rsidRPr="000F7B84">
        <w:t>-treated patients and placebo-treated patients in Analysis Set A included nausea, diarrhea, vomiting, headache, skin abrasion, ALT increased, AST increased, back pain, muscle spasms, fatigue, oropharyngeal pain, influenza, and decreased appetite</w:t>
      </w:r>
      <w:r>
        <w:t>.</w:t>
      </w:r>
    </w:p>
    <w:p w14:paraId="3D224B5F" w14:textId="77777777" w:rsidR="00FE583D" w:rsidRDefault="00FE583D" w:rsidP="00FE583D">
      <w:r>
        <w:t>C</w:t>
      </w:r>
      <w:r w:rsidRPr="00647B1B">
        <w:t xml:space="preserve">ommon TEAEs were reported at a similar proportion in </w:t>
      </w:r>
      <w:proofErr w:type="spellStart"/>
      <w:r w:rsidRPr="00647B1B">
        <w:t>omaveloxolone</w:t>
      </w:r>
      <w:proofErr w:type="spellEnd"/>
      <w:r w:rsidRPr="00647B1B">
        <w:t>-treated adolescent and adult patients, with the exception of headache (0% of adolescent patients versus 45.2% of adult patients), ALT increased (0% of adolescent patients versus 45.2% of adult patients), AST increased (0% of adolescent patients versus 26.2% of adult patients), influenza (0% of adolescent patients versus 16.7% of adult patients), and muscle spasms (0% of adolescent patients versus 16.7% of adult patients).</w:t>
      </w:r>
    </w:p>
    <w:p w14:paraId="67B25AE5" w14:textId="77777777" w:rsidR="00FE583D" w:rsidRDefault="00FE583D" w:rsidP="00FE583D">
      <w:r w:rsidRPr="003A0C56">
        <w:t xml:space="preserve">The majority of the most common TEAEs in either group were mild to moderate in severity. Five (9.8%) </w:t>
      </w:r>
      <w:proofErr w:type="spellStart"/>
      <w:r w:rsidRPr="003A0C56">
        <w:t>omaveloxolone</w:t>
      </w:r>
      <w:proofErr w:type="spellEnd"/>
      <w:r w:rsidRPr="003A0C56">
        <w:t>-treated patients experienced 6 severe TEAEs (Contusion, Skin laceration, Migraine, Blood creatine phosphokinase increased, Suicidal ideation and Hydrocele). Two severe TEAEs were in adolescent patients (hydrocele in 1 patient and contusion and skin laceration in 1 patient). No severe event occurred in more than 1 patient and none of the severe events were considered related to study drug.</w:t>
      </w:r>
      <w:r>
        <w:t xml:space="preserve"> 0 patients in the placebo group experienced a severe TEAE.</w:t>
      </w:r>
    </w:p>
    <w:p w14:paraId="4055E5CC" w14:textId="5F2F6E9E" w:rsidR="00FE583D" w:rsidRPr="006B5A6D" w:rsidRDefault="007912CA" w:rsidP="008F70A7">
      <w:pPr>
        <w:pStyle w:val="FigureTitle"/>
      </w:pPr>
      <w:r>
        <w:lastRenderedPageBreak/>
        <w:t>Figure 18:</w:t>
      </w:r>
      <w:r w:rsidR="00FE583D" w:rsidRPr="008F70A7">
        <w:t xml:space="preserve"> Plot duration of AEs with incidence ≥2% and excess in </w:t>
      </w:r>
      <w:proofErr w:type="spellStart"/>
      <w:r w:rsidR="00FE583D" w:rsidRPr="008F70A7">
        <w:t>omaveloxolone</w:t>
      </w:r>
      <w:proofErr w:type="spellEnd"/>
      <w:r w:rsidR="00FE583D" w:rsidRPr="008F70A7">
        <w:t xml:space="preserve"> treatment group (</w:t>
      </w:r>
      <w:r w:rsidR="008C49AB">
        <w:t>A</w:t>
      </w:r>
      <w:r w:rsidR="00FE583D" w:rsidRPr="008F70A7">
        <w:t xml:space="preserve">nalysis </w:t>
      </w:r>
      <w:r w:rsidR="008C49AB">
        <w:t>S</w:t>
      </w:r>
      <w:r w:rsidR="00FE583D" w:rsidRPr="008F70A7">
        <w:t>et A)</w:t>
      </w:r>
    </w:p>
    <w:p w14:paraId="3A5D9E73" w14:textId="77777777" w:rsidR="00FE583D" w:rsidRDefault="00FE583D" w:rsidP="00FE583D">
      <w:r w:rsidRPr="00954D48">
        <w:rPr>
          <w:noProof/>
        </w:rPr>
        <w:drawing>
          <wp:inline distT="0" distB="0" distL="0" distR="0" wp14:anchorId="128C12BA" wp14:editId="7F395035">
            <wp:extent cx="5439266" cy="4692015"/>
            <wp:effectExtent l="0" t="0" r="9525" b="0"/>
            <wp:docPr id="60" name="Picture 60" descr="Figure 18: Plot duration of AE’s with incidence ≥2% and excess in omaveloxolone treatment group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Figure 18: Plot duration of AE’s with incidence ≥2% and excess in omaveloxolone treatment group (analysis set A)"/>
                    <pic:cNvPicPr/>
                  </pic:nvPicPr>
                  <pic:blipFill>
                    <a:blip r:embed="rId96"/>
                    <a:stretch>
                      <a:fillRect/>
                    </a:stretch>
                  </pic:blipFill>
                  <pic:spPr>
                    <a:xfrm>
                      <a:off x="0" y="0"/>
                      <a:ext cx="5443204" cy="4695412"/>
                    </a:xfrm>
                    <a:prstGeom prst="rect">
                      <a:avLst/>
                    </a:prstGeom>
                  </pic:spPr>
                </pic:pic>
              </a:graphicData>
            </a:graphic>
          </wp:inline>
        </w:drawing>
      </w:r>
    </w:p>
    <w:p w14:paraId="53CC6693" w14:textId="77777777" w:rsidR="00735675" w:rsidRDefault="00735675" w:rsidP="00FE583D"/>
    <w:p w14:paraId="3494655D" w14:textId="0209FA1A" w:rsidR="00FE583D" w:rsidRDefault="00FE583D" w:rsidP="00FE583D">
      <w:r>
        <w:t xml:space="preserve">Nausea (75.3 vs. 22.0 days) and diarrhoea (46.7 vs. 4.4 days) had a longer mean duration in the </w:t>
      </w:r>
      <w:proofErr w:type="spellStart"/>
      <w:r>
        <w:t>omaveloxolone</w:t>
      </w:r>
      <w:proofErr w:type="spellEnd"/>
      <w:r>
        <w:t xml:space="preserve"> treatment group compared to placebo. However, most TEAEs resolved within 2 months of the event start date.</w:t>
      </w:r>
    </w:p>
    <w:p w14:paraId="3C01747B" w14:textId="77777777" w:rsidR="00FE583D" w:rsidRDefault="00FE583D" w:rsidP="00FE583D">
      <w:r w:rsidRPr="00CF4B7B">
        <w:t xml:space="preserve">Patients were followed during a treatment withdrawal period to investigate the effects of </w:t>
      </w:r>
      <w:proofErr w:type="spellStart"/>
      <w:r w:rsidRPr="00CF4B7B">
        <w:t>omaveloxolone</w:t>
      </w:r>
      <w:proofErr w:type="spellEnd"/>
      <w:r w:rsidRPr="00CF4B7B">
        <w:t xml:space="preserve"> after treatment cessation</w:t>
      </w:r>
      <w:r>
        <w:t xml:space="preserve">, this was done </w:t>
      </w:r>
      <w:r w:rsidRPr="00666A71">
        <w:t xml:space="preserve">during the 4-week off-treatment period after completion of 48 weeks of dosing in Study 1402 Part 2 </w:t>
      </w:r>
      <w:r>
        <w:t>prior to</w:t>
      </w:r>
      <w:r w:rsidRPr="00666A71">
        <w:t xml:space="preserve"> the patients had </w:t>
      </w:r>
      <w:r>
        <w:t xml:space="preserve">receiving </w:t>
      </w:r>
      <w:r w:rsidRPr="00666A71">
        <w:t>their first dose in Study 1402 Extension</w:t>
      </w:r>
      <w:r w:rsidRPr="00CF4B7B">
        <w:t>.</w:t>
      </w:r>
      <w:r>
        <w:t xml:space="preserve"> </w:t>
      </w:r>
      <w:r w:rsidRPr="00386829">
        <w:t xml:space="preserve">The TEAEs reported during the study drug withdrawal period were balanced between </w:t>
      </w:r>
      <w:proofErr w:type="spellStart"/>
      <w:r w:rsidRPr="00386829">
        <w:t>omaveloxolone</w:t>
      </w:r>
      <w:proofErr w:type="spellEnd"/>
      <w:r w:rsidRPr="00386829">
        <w:t>-treated (29.4%) patients and placebo-treated (28.8%) patients. No new imbalances were observed.</w:t>
      </w:r>
    </w:p>
    <w:p w14:paraId="1EDE6867" w14:textId="77777777" w:rsidR="00FE583D" w:rsidRDefault="00FE583D" w:rsidP="00FE583D">
      <w:r w:rsidRPr="00F31F9F">
        <w:t>No deaths were reported in the FA studies.</w:t>
      </w:r>
      <w:r>
        <w:t xml:space="preserve"> </w:t>
      </w:r>
      <w:r w:rsidRPr="009959E1">
        <w:t xml:space="preserve">Across the entire </w:t>
      </w:r>
      <w:proofErr w:type="spellStart"/>
      <w:r w:rsidRPr="009959E1">
        <w:t>omaveloxolone</w:t>
      </w:r>
      <w:proofErr w:type="spellEnd"/>
      <w:r w:rsidRPr="009959E1">
        <w:t xml:space="preserve"> development program, 7 deaths were reported, all in oncology studies in patients with stage 4 cancer</w:t>
      </w:r>
      <w:r>
        <w:t>.</w:t>
      </w:r>
    </w:p>
    <w:p w14:paraId="55580977" w14:textId="587B26D6" w:rsidR="00FE583D" w:rsidRDefault="00FE583D" w:rsidP="00FE583D">
      <w:r>
        <w:t xml:space="preserve">A total of 5 (9.8%) of patients in the </w:t>
      </w:r>
      <w:proofErr w:type="spellStart"/>
      <w:r>
        <w:t>omaveloxolone</w:t>
      </w:r>
      <w:proofErr w:type="spellEnd"/>
      <w:r>
        <w:t xml:space="preserve"> group and 3 (5.8%) of patients experienced a serious TEAE during the study period. These events are shown in table </w:t>
      </w:r>
      <w:r w:rsidR="00735675">
        <w:t>3</w:t>
      </w:r>
      <w:r w:rsidR="00FD0264">
        <w:t>8</w:t>
      </w:r>
      <w:r>
        <w:t>.</w:t>
      </w:r>
    </w:p>
    <w:p w14:paraId="2D6FF01A" w14:textId="5769C8FD" w:rsidR="00FE583D" w:rsidRPr="00103DE6" w:rsidRDefault="00FE583D" w:rsidP="00735675">
      <w:pPr>
        <w:pStyle w:val="TableTitle"/>
      </w:pPr>
      <w:r w:rsidRPr="00103DE6">
        <w:lastRenderedPageBreak/>
        <w:t xml:space="preserve">Table </w:t>
      </w:r>
      <w:fldSimple w:instr=" SEQ Table \* ARABIC ">
        <w:r>
          <w:rPr>
            <w:noProof/>
          </w:rPr>
          <w:t>3</w:t>
        </w:r>
        <w:r w:rsidR="00FD0264">
          <w:rPr>
            <w:noProof/>
          </w:rPr>
          <w:t>8</w:t>
        </w:r>
      </w:fldSimple>
      <w:r w:rsidRPr="00103DE6">
        <w:t>:</w:t>
      </w:r>
      <w:r w:rsidR="00735675">
        <w:t xml:space="preserve"> </w:t>
      </w:r>
      <w:r w:rsidRPr="00103DE6">
        <w:t>Serious TEAE’s by SOC and PT</w:t>
      </w:r>
    </w:p>
    <w:p w14:paraId="3A5ACF11" w14:textId="77777777" w:rsidR="00FE583D" w:rsidRDefault="00FE583D" w:rsidP="00FE583D">
      <w:r w:rsidRPr="00553D6D">
        <w:rPr>
          <w:noProof/>
        </w:rPr>
        <w:drawing>
          <wp:inline distT="0" distB="0" distL="0" distR="0" wp14:anchorId="66CAFC8E" wp14:editId="6AF8C529">
            <wp:extent cx="5731510" cy="3705860"/>
            <wp:effectExtent l="0" t="0" r="2540" b="8890"/>
            <wp:docPr id="61" name="Picture 61" descr="Table 37: Serious TEAE’s by SOC and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able 37: Serious TEAE’s by SOC and PT"/>
                    <pic:cNvPicPr/>
                  </pic:nvPicPr>
                  <pic:blipFill>
                    <a:blip r:embed="rId97"/>
                    <a:stretch>
                      <a:fillRect/>
                    </a:stretch>
                  </pic:blipFill>
                  <pic:spPr>
                    <a:xfrm>
                      <a:off x="0" y="0"/>
                      <a:ext cx="5731510" cy="3705860"/>
                    </a:xfrm>
                    <a:prstGeom prst="rect">
                      <a:avLst/>
                    </a:prstGeom>
                  </pic:spPr>
                </pic:pic>
              </a:graphicData>
            </a:graphic>
          </wp:inline>
        </w:drawing>
      </w:r>
    </w:p>
    <w:p w14:paraId="47F35408" w14:textId="77777777" w:rsidR="00366897" w:rsidRDefault="00366897">
      <w:pPr>
        <w:rPr>
          <w:rFonts w:ascii="Arial" w:eastAsia="Times New Roman" w:hAnsi="Arial" w:cs="Times New Roman"/>
          <w:b/>
          <w:bCs/>
          <w:i/>
          <w:color w:val="001871"/>
          <w:sz w:val="24"/>
          <w:szCs w:val="21"/>
        </w:rPr>
      </w:pPr>
      <w:r>
        <w:br w:type="page"/>
      </w:r>
    </w:p>
    <w:p w14:paraId="7468E075" w14:textId="77385A76" w:rsidR="00FE583D" w:rsidRPr="004D695A" w:rsidRDefault="00FE583D" w:rsidP="00366897">
      <w:pPr>
        <w:pStyle w:val="Heading6"/>
        <w:rPr>
          <w:i w:val="0"/>
          <w:iCs/>
        </w:rPr>
      </w:pPr>
      <w:r w:rsidRPr="004D695A">
        <w:rPr>
          <w:i w:val="0"/>
          <w:iCs/>
        </w:rPr>
        <w:lastRenderedPageBreak/>
        <w:t>Safety topics of interest</w:t>
      </w:r>
    </w:p>
    <w:p w14:paraId="7677DC44" w14:textId="77777777" w:rsidR="00FE583D" w:rsidRPr="00AE1FC7" w:rsidRDefault="00FE583D" w:rsidP="00FE583D">
      <w:r w:rsidRPr="00AE1FC7">
        <w:t xml:space="preserve">Based on the pharmacological properties of </w:t>
      </w:r>
      <w:proofErr w:type="spellStart"/>
      <w:r w:rsidRPr="00AE1FC7">
        <w:t>omaveloxolone</w:t>
      </w:r>
      <w:proofErr w:type="spellEnd"/>
      <w:r w:rsidRPr="00AE1FC7">
        <w:t>, the following were closely monitored during the development program:</w:t>
      </w:r>
    </w:p>
    <w:p w14:paraId="6F4A1A81" w14:textId="77777777" w:rsidR="00FE583D" w:rsidRDefault="00FE583D" w:rsidP="009A3884">
      <w:pPr>
        <w:pStyle w:val="ListBullet"/>
      </w:pPr>
      <w:r w:rsidRPr="00C17231">
        <w:t xml:space="preserve">Hepatic safety was evaluated because of observed transient aminotransferase elevations in </w:t>
      </w:r>
      <w:proofErr w:type="spellStart"/>
      <w:r w:rsidRPr="00C17231">
        <w:t>omaveloxolone</w:t>
      </w:r>
      <w:proofErr w:type="spellEnd"/>
      <w:r w:rsidRPr="00C17231">
        <w:t xml:space="preserve"> clinical trials. </w:t>
      </w:r>
    </w:p>
    <w:p w14:paraId="08E7C62C" w14:textId="77777777" w:rsidR="00FE583D" w:rsidRDefault="00FE583D" w:rsidP="009A3884">
      <w:pPr>
        <w:pStyle w:val="ListBullet"/>
      </w:pPr>
      <w:r w:rsidRPr="00C17231">
        <w:t xml:space="preserve">Weight changes were evaluated since the target of </w:t>
      </w:r>
      <w:proofErr w:type="spellStart"/>
      <w:r w:rsidRPr="00C17231">
        <w:t>omaveloxolone</w:t>
      </w:r>
      <w:proofErr w:type="spellEnd"/>
      <w:r w:rsidRPr="00C17231">
        <w:t xml:space="preserve">, Nrf2, affects cellular metabolism. </w:t>
      </w:r>
    </w:p>
    <w:p w14:paraId="3EAA2A7A" w14:textId="77777777" w:rsidR="00FE583D" w:rsidRDefault="00FE583D" w:rsidP="009A3884">
      <w:pPr>
        <w:pStyle w:val="ListBullet"/>
      </w:pPr>
      <w:r w:rsidRPr="00C17231">
        <w:t xml:space="preserve">Infections and infestations were evaluated because of the anti-inflammatory effects associated with Nrf2 activation that could possibly lead to a decreased immune response. </w:t>
      </w:r>
    </w:p>
    <w:p w14:paraId="212C4F68" w14:textId="77777777" w:rsidR="00FE583D" w:rsidRDefault="00FE583D" w:rsidP="009A3884">
      <w:pPr>
        <w:pStyle w:val="ListBullet"/>
      </w:pPr>
      <w:r w:rsidRPr="00C17231">
        <w:t>Cardiovascular safety was evaluated because cardiomyopathy is common in patients with FA.</w:t>
      </w:r>
    </w:p>
    <w:p w14:paraId="3BEF0E64" w14:textId="77777777" w:rsidR="00FE583D" w:rsidRPr="000B0148" w:rsidRDefault="00FE583D" w:rsidP="00FE583D">
      <w:pPr>
        <w:rPr>
          <w:b/>
          <w:bCs/>
        </w:rPr>
      </w:pPr>
      <w:r w:rsidRPr="000B0148">
        <w:rPr>
          <w:b/>
          <w:bCs/>
        </w:rPr>
        <w:t>Hepatic Safety</w:t>
      </w:r>
    </w:p>
    <w:p w14:paraId="5D07E25A" w14:textId="006DFAE9" w:rsidR="00FE583D" w:rsidRDefault="00FE583D" w:rsidP="00FE583D">
      <w:r>
        <w:t>I</w:t>
      </w:r>
      <w:r w:rsidRPr="00533C06">
        <w:t xml:space="preserve">n </w:t>
      </w:r>
      <w:proofErr w:type="spellStart"/>
      <w:r w:rsidRPr="00533C06">
        <w:t>omaveloxolone</w:t>
      </w:r>
      <w:proofErr w:type="spellEnd"/>
      <w:r w:rsidRPr="00533C06">
        <w:t>-treated patients, peak elevations in serum ALT were observed at Week 2, with values decreasing toward baseline values through Week 48</w:t>
      </w:r>
      <w:r w:rsidR="00BD327E">
        <w:t xml:space="preserve"> (figure 19)</w:t>
      </w:r>
      <w:r w:rsidRPr="00533C06">
        <w:t xml:space="preserve">. In contrast, serum ALT concentrations in placebo-treated patients remained unchanged throughout the 48-week treatment period, with mean serum ALT concentrations remaining below 25 U/L. Increases in ALT during </w:t>
      </w:r>
      <w:proofErr w:type="spellStart"/>
      <w:r w:rsidRPr="00533C06">
        <w:t>omaveloxolone</w:t>
      </w:r>
      <w:proofErr w:type="spellEnd"/>
      <w:r w:rsidRPr="00533C06">
        <w:t xml:space="preserve"> treatment appeared reversible, with mean serum ALT concentrations declining toward baseline values within 4 weeks following drug withdrawal.</w:t>
      </w:r>
    </w:p>
    <w:p w14:paraId="0CB78BA6" w14:textId="77777777" w:rsidR="00822E61" w:rsidRDefault="00822E61" w:rsidP="009A3884">
      <w:pPr>
        <w:pStyle w:val="FigureTitle"/>
      </w:pPr>
      <w:bookmarkStart w:id="73" w:name="_Ref184116046"/>
      <w:bookmarkStart w:id="74" w:name="_Ref184115916"/>
    </w:p>
    <w:p w14:paraId="1283703D" w14:textId="761CB9B2" w:rsidR="00FE583D" w:rsidRPr="002645F9" w:rsidRDefault="00FE583D" w:rsidP="009A3884">
      <w:pPr>
        <w:pStyle w:val="FigureTitle"/>
      </w:pPr>
      <w:r w:rsidRPr="002645F9">
        <w:t xml:space="preserve">Figure </w:t>
      </w:r>
      <w:bookmarkEnd w:id="73"/>
      <w:r w:rsidR="009A3884">
        <w:t>19</w:t>
      </w:r>
      <w:r w:rsidRPr="002645F9">
        <w:t>: Mean absolute Alanine aminotransferase level (U/L)</w:t>
      </w:r>
      <w:r>
        <w:t xml:space="preserve"> (ALT)</w:t>
      </w:r>
      <w:r w:rsidRPr="002645F9">
        <w:t xml:space="preserve">, baseline to week 48 (primary </w:t>
      </w:r>
      <w:r w:rsidR="00372B0D" w:rsidRPr="002645F9">
        <w:t>placebo-controlled</w:t>
      </w:r>
      <w:r w:rsidRPr="002645F9">
        <w:t xml:space="preserve"> analysis set A)</w:t>
      </w:r>
      <w:bookmarkEnd w:id="74"/>
    </w:p>
    <w:p w14:paraId="577589F5" w14:textId="77777777" w:rsidR="00FE583D" w:rsidRDefault="00FE583D" w:rsidP="00FE583D">
      <w:r w:rsidRPr="00E3346E">
        <w:rPr>
          <w:noProof/>
        </w:rPr>
        <w:drawing>
          <wp:inline distT="0" distB="0" distL="0" distR="0" wp14:anchorId="1E7B8D43" wp14:editId="447C62C3">
            <wp:extent cx="5731510" cy="3580765"/>
            <wp:effectExtent l="0" t="0" r="2540" b="635"/>
            <wp:docPr id="62" name="Picture 62" descr="Figure 1819: Mean absolute Alanine aminotransferase level (U/L) (ALT), baseline to week 48 (primary placebo 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Figure 1819: Mean absolute Alanine aminotransferase level (U/L) (ALT), baseline to week 48 (primary placebo controlled analysis set A)"/>
                    <pic:cNvPicPr/>
                  </pic:nvPicPr>
                  <pic:blipFill>
                    <a:blip r:embed="rId98"/>
                    <a:stretch>
                      <a:fillRect/>
                    </a:stretch>
                  </pic:blipFill>
                  <pic:spPr>
                    <a:xfrm>
                      <a:off x="0" y="0"/>
                      <a:ext cx="5731510" cy="3580765"/>
                    </a:xfrm>
                    <a:prstGeom prst="rect">
                      <a:avLst/>
                    </a:prstGeom>
                  </pic:spPr>
                </pic:pic>
              </a:graphicData>
            </a:graphic>
          </wp:inline>
        </w:drawing>
      </w:r>
    </w:p>
    <w:p w14:paraId="56B26A30" w14:textId="77777777" w:rsidR="002E3327" w:rsidRDefault="002E3327">
      <w:r>
        <w:br w:type="page"/>
      </w:r>
    </w:p>
    <w:p w14:paraId="38869EB3" w14:textId="296CE65C" w:rsidR="002E3327" w:rsidRDefault="002E3327" w:rsidP="002E3327">
      <w:r>
        <w:lastRenderedPageBreak/>
        <w:t xml:space="preserve">One </w:t>
      </w:r>
      <w:proofErr w:type="spellStart"/>
      <w:r>
        <w:t>omaveloxolone</w:t>
      </w:r>
      <w:proofErr w:type="spellEnd"/>
      <w:r>
        <w:t>-treated patient had ALT values ≥10× ULN. The patient discontinued study drug due to protocol-specified criteria. As shown in table 3</w:t>
      </w:r>
      <w:r w:rsidR="00685130">
        <w:t>9</w:t>
      </w:r>
      <w:r>
        <w:t xml:space="preserve"> and figure 19, ALT values tended to be raised earlier in the first 18 weeks of treatment with mean ALT values trending downwards closer to baseline by the end of the study period. Table </w:t>
      </w:r>
      <w:r w:rsidR="00893980">
        <w:t xml:space="preserve">39 </w:t>
      </w:r>
      <w:r>
        <w:t xml:space="preserve">shows that 4-weeks after study drug withdrawal 4 (7.8%) patients with baseline ALT ≤upper limit of normal (ULT) had ALT levels ≥ULN to ≤3xULN. </w:t>
      </w:r>
      <w:r w:rsidRPr="005074CC">
        <w:t>Increases in ALT were asymptomatic and not associated with increases in total bilirubin.</w:t>
      </w:r>
      <w:r>
        <w:t xml:space="preserve"> N</w:t>
      </w:r>
      <w:r w:rsidRPr="007871A2">
        <w:t xml:space="preserve">one of the </w:t>
      </w:r>
      <w:proofErr w:type="spellStart"/>
      <w:r w:rsidRPr="007871A2">
        <w:t>omaveloxolone</w:t>
      </w:r>
      <w:proofErr w:type="spellEnd"/>
      <w:r w:rsidRPr="007871A2">
        <w:t>-treated patients had maximum ALT or total bilirubin values that met potential Hy’s law criteria (i</w:t>
      </w:r>
      <w:r>
        <w:t>.</w:t>
      </w:r>
      <w:r w:rsidRPr="007871A2">
        <w:t>e</w:t>
      </w:r>
      <w:r>
        <w:t>.</w:t>
      </w:r>
      <w:r w:rsidRPr="007871A2">
        <w:t>, ALT ≥3× ULN and total bilirubin &gt;2× ULN)</w:t>
      </w:r>
      <w:r>
        <w:t xml:space="preserve">. </w:t>
      </w:r>
      <w:r w:rsidRPr="007871A2">
        <w:t xml:space="preserve">adolescent patients had similar transient increases in ALT, </w:t>
      </w:r>
      <w:r>
        <w:t>with</w:t>
      </w:r>
      <w:r w:rsidRPr="007871A2">
        <w:t xml:space="preserve"> the magnitude of increases was less than that observed in the adult population.</w:t>
      </w:r>
    </w:p>
    <w:p w14:paraId="0B701FE8" w14:textId="77777777" w:rsidR="002E3327" w:rsidRDefault="002E3327" w:rsidP="00822E61">
      <w:pPr>
        <w:pStyle w:val="TableTitle"/>
      </w:pPr>
    </w:p>
    <w:p w14:paraId="533A65E0" w14:textId="57DF2D08" w:rsidR="00FE583D" w:rsidRPr="0043412D" w:rsidRDefault="00FE583D" w:rsidP="00822E61">
      <w:pPr>
        <w:pStyle w:val="TableTitle"/>
      </w:pPr>
      <w:r w:rsidRPr="0043412D">
        <w:t xml:space="preserve">Table </w:t>
      </w:r>
      <w:fldSimple w:instr=" SEQ Table \* ARABIC ">
        <w:r>
          <w:rPr>
            <w:noProof/>
          </w:rPr>
          <w:t>3</w:t>
        </w:r>
        <w:r w:rsidR="00893980">
          <w:rPr>
            <w:noProof/>
          </w:rPr>
          <w:t>9</w:t>
        </w:r>
      </w:fldSimple>
      <w:r w:rsidRPr="0043412D">
        <w:t xml:space="preserve">: Change from baseline ALT values in </w:t>
      </w:r>
      <w:proofErr w:type="spellStart"/>
      <w:r w:rsidRPr="0043412D">
        <w:t>omaveloxolone</w:t>
      </w:r>
      <w:proofErr w:type="spellEnd"/>
      <w:r w:rsidRPr="0043412D">
        <w:t xml:space="preserve"> treated patients: maximum on treatment values compared to values after 4-week withdrawal</w:t>
      </w:r>
    </w:p>
    <w:p w14:paraId="02633578" w14:textId="77777777" w:rsidR="00FE583D" w:rsidRDefault="00FE583D" w:rsidP="00FE583D">
      <w:r>
        <w:rPr>
          <w:noProof/>
        </w:rPr>
        <w:drawing>
          <wp:inline distT="0" distB="0" distL="0" distR="0" wp14:anchorId="2CB9D48A" wp14:editId="701B6AED">
            <wp:extent cx="5950564" cy="3157534"/>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57784" cy="3161365"/>
                    </a:xfrm>
                    <a:prstGeom prst="rect">
                      <a:avLst/>
                    </a:prstGeom>
                    <a:noFill/>
                  </pic:spPr>
                </pic:pic>
              </a:graphicData>
            </a:graphic>
          </wp:inline>
        </w:drawing>
      </w:r>
    </w:p>
    <w:p w14:paraId="2C34B437" w14:textId="157F5A74" w:rsidR="00FE583D" w:rsidRDefault="00FE583D" w:rsidP="00FE583D">
      <w:r w:rsidRPr="00EF7749">
        <w:t xml:space="preserve">In </w:t>
      </w:r>
      <w:proofErr w:type="spellStart"/>
      <w:r w:rsidRPr="00EF7749">
        <w:t>omaveloxolone</w:t>
      </w:r>
      <w:proofErr w:type="spellEnd"/>
      <w:r w:rsidRPr="00EF7749">
        <w:t>-treated patients</w:t>
      </w:r>
      <w:r>
        <w:t xml:space="preserve"> mean absolute</w:t>
      </w:r>
      <w:r w:rsidRPr="00EF7749">
        <w:t xml:space="preserve"> peak elevations in serum AST were observed at Week 2, with values decreasing toward baseline values through Week 48. </w:t>
      </w:r>
      <w:r>
        <w:t>S</w:t>
      </w:r>
      <w:r w:rsidRPr="00EF7749">
        <w:t>erum AST concentrations in placebo-treated patients remained unchanged throughout the 48-week treatment period, with mean serum AST concentrations remaining below 25 U/L</w:t>
      </w:r>
      <w:r>
        <w:t>. M</w:t>
      </w:r>
      <w:r w:rsidRPr="00EF7749">
        <w:t xml:space="preserve">ean serum AST concentrations </w:t>
      </w:r>
      <w:r>
        <w:t xml:space="preserve">were </w:t>
      </w:r>
      <w:r w:rsidRPr="00EF7749">
        <w:t>near-baseline values within 4 weeks following drug withdrawal.</w:t>
      </w:r>
      <w:r>
        <w:t xml:space="preserve"> This is shown in figure </w:t>
      </w:r>
      <w:r w:rsidR="0068333D">
        <w:t>20</w:t>
      </w:r>
      <w:r>
        <w:t>.</w:t>
      </w:r>
    </w:p>
    <w:p w14:paraId="7CF26C02" w14:textId="0FDF3E00" w:rsidR="00FE583D" w:rsidRPr="00D072A9" w:rsidRDefault="00FE583D" w:rsidP="0068333D">
      <w:pPr>
        <w:pStyle w:val="FigureTitle"/>
      </w:pPr>
      <w:r w:rsidRPr="00D072A9">
        <w:lastRenderedPageBreak/>
        <w:t xml:space="preserve">Figure </w:t>
      </w:r>
      <w:r w:rsidR="0068333D">
        <w:t>20</w:t>
      </w:r>
      <w:r w:rsidRPr="00D072A9">
        <w:t>: Mean absolute AS</w:t>
      </w:r>
      <w:r>
        <w:t>T</w:t>
      </w:r>
      <w:r w:rsidRPr="00D072A9">
        <w:t xml:space="preserve"> (U/L) from baseline to week 48 (primary placebo-controlled analysis set A)</w:t>
      </w:r>
    </w:p>
    <w:p w14:paraId="7B26743F" w14:textId="77777777" w:rsidR="00FE583D" w:rsidRDefault="00FE583D" w:rsidP="00FE583D">
      <w:r w:rsidRPr="00147287">
        <w:rPr>
          <w:noProof/>
        </w:rPr>
        <w:drawing>
          <wp:inline distT="0" distB="0" distL="0" distR="0" wp14:anchorId="66E1FA29" wp14:editId="334BCD3A">
            <wp:extent cx="5731510" cy="3163570"/>
            <wp:effectExtent l="0" t="0" r="2540" b="0"/>
            <wp:docPr id="64" name="Picture 64" descr="Figure 20: Mean absolute AST (U/L) from baseline to week 48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Figure 20: Mean absolute AST (U/L) from baseline to week 48 (primary placebo-controlled analysis set A)"/>
                    <pic:cNvPicPr/>
                  </pic:nvPicPr>
                  <pic:blipFill>
                    <a:blip r:embed="rId100"/>
                    <a:stretch>
                      <a:fillRect/>
                    </a:stretch>
                  </pic:blipFill>
                  <pic:spPr>
                    <a:xfrm>
                      <a:off x="0" y="0"/>
                      <a:ext cx="5731510" cy="3163570"/>
                    </a:xfrm>
                    <a:prstGeom prst="rect">
                      <a:avLst/>
                    </a:prstGeom>
                  </pic:spPr>
                </pic:pic>
              </a:graphicData>
            </a:graphic>
          </wp:inline>
        </w:drawing>
      </w:r>
    </w:p>
    <w:p w14:paraId="7CC12684" w14:textId="77777777" w:rsidR="0068333D" w:rsidRDefault="0068333D" w:rsidP="00FE583D"/>
    <w:p w14:paraId="0D4687E8" w14:textId="3A34201F" w:rsidR="00FE583D" w:rsidRDefault="00FE583D" w:rsidP="00FE583D">
      <w:r w:rsidRPr="00317979">
        <w:t xml:space="preserve">4/51 (7.8%) </w:t>
      </w:r>
      <w:proofErr w:type="spellStart"/>
      <w:r w:rsidRPr="00317979">
        <w:t>omaveloxolone</w:t>
      </w:r>
      <w:proofErr w:type="spellEnd"/>
      <w:r w:rsidRPr="00317979">
        <w:t xml:space="preserve">-treated patients had maximum AST values ≥3× ULN at some time during the treatment period, AST values returned to near-baseline levels in </w:t>
      </w:r>
      <w:proofErr w:type="gramStart"/>
      <w:r w:rsidRPr="00317979">
        <w:t>the majority of</w:t>
      </w:r>
      <w:proofErr w:type="gramEnd"/>
      <w:r w:rsidRPr="00317979">
        <w:t xml:space="preserve"> patients after the 4-week off-treatment follow-up period. The 7 patients with missing values at the end of the 4-week off-treatment period all had AST values that were ≤ULN at their last on-treatment assessment.</w:t>
      </w:r>
      <w:r>
        <w:t xml:space="preserve"> A</w:t>
      </w:r>
      <w:r w:rsidRPr="00FA1B32">
        <w:t>dolescent patients also had transient increases in AST, but the magnitude of increases was smaller than that observed in the adult population.</w:t>
      </w:r>
    </w:p>
    <w:p w14:paraId="356941CF" w14:textId="57987092" w:rsidR="000F74EB" w:rsidRDefault="00FE583D" w:rsidP="00FE583D">
      <w:r w:rsidRPr="00B5046B">
        <w:t xml:space="preserve">In </w:t>
      </w:r>
      <w:proofErr w:type="spellStart"/>
      <w:r w:rsidRPr="00B5046B">
        <w:t>omaveloxolone</w:t>
      </w:r>
      <w:proofErr w:type="spellEnd"/>
      <w:r w:rsidRPr="00B5046B">
        <w:t>-treated patients, mean decreases from baseline in total bilirubin were observed</w:t>
      </w:r>
      <w:r>
        <w:t>.</w:t>
      </w:r>
      <w:r w:rsidRPr="00B5046B">
        <w:t xml:space="preserve"> The decreases in total bilirubin were apparent within the first few weeks after treatment initiation, remained lower than baseline values through Week 48, and returned to baseline after drug withdrawal. In contrast, mean serum total bilirubin in placebo-treated patients remained unchanged throughout the 48-week treatment period.</w:t>
      </w:r>
      <w:r>
        <w:t xml:space="preserve"> This is shown in figure </w:t>
      </w:r>
      <w:r w:rsidR="00807A38">
        <w:t>21</w:t>
      </w:r>
      <w:r>
        <w:t xml:space="preserve">. </w:t>
      </w:r>
    </w:p>
    <w:p w14:paraId="65D87BDD" w14:textId="1DC54EB5" w:rsidR="00FE583D" w:rsidRDefault="00FE583D" w:rsidP="00FE583D">
      <w:r w:rsidRPr="0049485E">
        <w:t>1 (2.0%)</w:t>
      </w:r>
      <w:r>
        <w:t xml:space="preserve"> patient in the</w:t>
      </w:r>
      <w:r w:rsidRPr="0049485E">
        <w:t xml:space="preserve"> </w:t>
      </w:r>
      <w:proofErr w:type="spellStart"/>
      <w:r w:rsidRPr="0049485E">
        <w:t>omaveloxolone</w:t>
      </w:r>
      <w:proofErr w:type="spellEnd"/>
      <w:r w:rsidRPr="0049485E">
        <w:t>-treated patient</w:t>
      </w:r>
      <w:r>
        <w:t xml:space="preserve"> group</w:t>
      </w:r>
      <w:r w:rsidRPr="0049485E">
        <w:t xml:space="preserve"> had maximum bilirubin values &gt; ULN at some point during the treatment period, none exceeded 2× ULN, and total bilirubin concentrations returned to below the ULN within 4 weeks of stopping treatment</w:t>
      </w:r>
      <w:r>
        <w:t>.</w:t>
      </w:r>
    </w:p>
    <w:p w14:paraId="3D14AA0C" w14:textId="77777777" w:rsidR="00FE583D" w:rsidRDefault="00FE583D" w:rsidP="00FE583D">
      <w:r>
        <w:t>A</w:t>
      </w:r>
      <w:r w:rsidRPr="00EC7210">
        <w:t xml:space="preserve">dolescent patients treated with </w:t>
      </w:r>
      <w:proofErr w:type="spellStart"/>
      <w:r w:rsidRPr="00EC7210">
        <w:t>omaveloxolone</w:t>
      </w:r>
      <w:proofErr w:type="spellEnd"/>
      <w:r w:rsidRPr="00EC7210">
        <w:t xml:space="preserve"> also had similar decreases in total bilirubin but to a smaller extent than the adult population and had mean total bilirubin values that were </w:t>
      </w:r>
      <w:proofErr w:type="gramStart"/>
      <w:r w:rsidRPr="00EC7210">
        <w:t>similar to</w:t>
      </w:r>
      <w:proofErr w:type="gramEnd"/>
      <w:r w:rsidRPr="00EC7210">
        <w:t xml:space="preserve"> placebo-treated adolescent patients at Week 48.</w:t>
      </w:r>
    </w:p>
    <w:p w14:paraId="5CCC6340" w14:textId="77777777" w:rsidR="00FE583D" w:rsidRDefault="00FE583D" w:rsidP="00FE583D">
      <w:r>
        <w:t>It is noted that there was a reported event of hepatic steatosis as outlined below:</w:t>
      </w:r>
    </w:p>
    <w:p w14:paraId="280886BD" w14:textId="0E23724D" w:rsidR="00FE583D" w:rsidRDefault="002D56BB" w:rsidP="002D56BB">
      <w:r>
        <w:t xml:space="preserve">A </w:t>
      </w:r>
      <w:r w:rsidR="00FE583D">
        <w:t xml:space="preserve">male </w:t>
      </w:r>
      <w:r>
        <w:t xml:space="preserve">patient </w:t>
      </w:r>
      <w:r w:rsidR="00FE583D">
        <w:t xml:space="preserve">in Study 1402 Extension reported a mild TEAE of hepatic steatosis starting on Study Day 120. The TEAE </w:t>
      </w:r>
      <w:proofErr w:type="gramStart"/>
      <w:r w:rsidR="00FE583D">
        <w:t>was considered to be</w:t>
      </w:r>
      <w:proofErr w:type="gramEnd"/>
      <w:r w:rsidR="00FE583D">
        <w:t xml:space="preserve"> possibly related to study drug by the investigator; no changes to study drug administration were made, and no resolution date of the TEAE was provided.</w:t>
      </w:r>
    </w:p>
    <w:p w14:paraId="6A25B721" w14:textId="725D2DCB" w:rsidR="00FE583D" w:rsidRPr="00E90004" w:rsidRDefault="00FE583D" w:rsidP="00FD6CC5">
      <w:pPr>
        <w:pStyle w:val="FigureTitle"/>
      </w:pPr>
      <w:r w:rsidRPr="00E90004">
        <w:lastRenderedPageBreak/>
        <w:t xml:space="preserve">Figure </w:t>
      </w:r>
      <w:fldSimple w:instr=" SEQ Figure \* ARABIC ">
        <w:r w:rsidR="00FD6CC5">
          <w:rPr>
            <w:noProof/>
          </w:rPr>
          <w:t>21</w:t>
        </w:r>
      </w:fldSimple>
      <w:r w:rsidRPr="00E90004">
        <w:t>: Mean absolute total bilirubin levels (mg/dL) baseline to week 48 (</w:t>
      </w:r>
      <w:r w:rsidR="009D5AC3">
        <w:t>P</w:t>
      </w:r>
      <w:r w:rsidRPr="00E90004">
        <w:t xml:space="preserve">rimary placebo-controlled </w:t>
      </w:r>
      <w:r w:rsidR="009D5AC3">
        <w:t>A</w:t>
      </w:r>
      <w:r w:rsidRPr="00E90004">
        <w:t xml:space="preserve">nalysis </w:t>
      </w:r>
      <w:r w:rsidR="009D5AC3">
        <w:t>S</w:t>
      </w:r>
      <w:r w:rsidRPr="00E90004">
        <w:t>et A)</w:t>
      </w:r>
    </w:p>
    <w:p w14:paraId="43EF6F37" w14:textId="77777777" w:rsidR="00FE583D" w:rsidRDefault="00FE583D" w:rsidP="00FE583D">
      <w:r w:rsidRPr="00F200CC">
        <w:rPr>
          <w:noProof/>
        </w:rPr>
        <w:drawing>
          <wp:inline distT="0" distB="0" distL="0" distR="0" wp14:anchorId="67D935E9" wp14:editId="774778BE">
            <wp:extent cx="5542961" cy="3477707"/>
            <wp:effectExtent l="0" t="0" r="635" b="8890"/>
            <wp:docPr id="65" name="Picture 65" descr="Figure 21: Mean absolute total bilirubin levels (mg/dL) baseline to week 48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Figure 21: Mean absolute total bilirubin levels (mg/dL) baseline to week 48 (primary placebo-controlled analysis set A)"/>
                    <pic:cNvPicPr/>
                  </pic:nvPicPr>
                  <pic:blipFill>
                    <a:blip r:embed="rId101"/>
                    <a:stretch>
                      <a:fillRect/>
                    </a:stretch>
                  </pic:blipFill>
                  <pic:spPr>
                    <a:xfrm>
                      <a:off x="0" y="0"/>
                      <a:ext cx="5552603" cy="3483757"/>
                    </a:xfrm>
                    <a:prstGeom prst="rect">
                      <a:avLst/>
                    </a:prstGeom>
                  </pic:spPr>
                </pic:pic>
              </a:graphicData>
            </a:graphic>
          </wp:inline>
        </w:drawing>
      </w:r>
    </w:p>
    <w:p w14:paraId="538A5EFB" w14:textId="4AECFAA4" w:rsidR="00FE583D" w:rsidRDefault="00FE583D" w:rsidP="000F74EB">
      <w:pPr>
        <w:spacing w:before="240"/>
      </w:pPr>
      <w:r>
        <w:t xml:space="preserve">Figure </w:t>
      </w:r>
      <w:r w:rsidR="00FD6CC5">
        <w:t xml:space="preserve">22 </w:t>
      </w:r>
      <w:r>
        <w:t>shows the</w:t>
      </w:r>
      <w:r w:rsidRPr="00DD19BF">
        <w:t xml:space="preserve"> </w:t>
      </w:r>
      <w:proofErr w:type="spellStart"/>
      <w:r w:rsidRPr="00DD19BF">
        <w:t>eDISH</w:t>
      </w:r>
      <w:proofErr w:type="spellEnd"/>
      <w:r w:rsidRPr="00DD19BF">
        <w:t xml:space="preserve"> plot</w:t>
      </w:r>
      <w:r>
        <w:t xml:space="preserve"> for analysis set A.</w:t>
      </w:r>
      <w:r w:rsidRPr="00DD19BF">
        <w:t xml:space="preserve"> </w:t>
      </w:r>
      <w:r>
        <w:t>N</w:t>
      </w:r>
      <w:r w:rsidRPr="00DD19BF">
        <w:t xml:space="preserve">one of the </w:t>
      </w:r>
      <w:proofErr w:type="spellStart"/>
      <w:r w:rsidRPr="00DD19BF">
        <w:t>omaveloxolone</w:t>
      </w:r>
      <w:proofErr w:type="spellEnd"/>
      <w:r w:rsidRPr="00DD19BF">
        <w:t>-treated patients had maximum ALT or total bilirubin values that met potential Hy’s law criteria (i</w:t>
      </w:r>
      <w:r w:rsidR="00BF76D9">
        <w:t>.</w:t>
      </w:r>
      <w:r w:rsidRPr="00DD19BF">
        <w:t>e</w:t>
      </w:r>
      <w:r w:rsidR="00BF76D9">
        <w:t>.</w:t>
      </w:r>
      <w:r w:rsidRPr="00DD19BF">
        <w:t>, ALT ≥3× ULN and total bilirubin &gt;2× ULN)</w:t>
      </w:r>
      <w:r>
        <w:t>.</w:t>
      </w:r>
    </w:p>
    <w:p w14:paraId="7E6AA064" w14:textId="34886CE6" w:rsidR="00FE583D" w:rsidRPr="00164355" w:rsidRDefault="00FE583D" w:rsidP="00FD6CC5">
      <w:pPr>
        <w:pStyle w:val="FigureTitle"/>
      </w:pPr>
      <w:r w:rsidRPr="00164355">
        <w:t xml:space="preserve">Figure </w:t>
      </w:r>
      <w:fldSimple w:instr=" SEQ Figure \* ARABIC ">
        <w:r w:rsidR="00FD6CC5">
          <w:rPr>
            <w:noProof/>
          </w:rPr>
          <w:t>22</w:t>
        </w:r>
      </w:fldSimple>
      <w:r w:rsidRPr="00164355">
        <w:t xml:space="preserve">: Maximum total bilirubin versus Alanine </w:t>
      </w:r>
      <w:r w:rsidR="00692341">
        <w:t>a</w:t>
      </w:r>
      <w:r w:rsidRPr="00164355">
        <w:t xml:space="preserve">minotransferase </w:t>
      </w:r>
      <w:r w:rsidR="00692341">
        <w:t xml:space="preserve">levels </w:t>
      </w:r>
      <w:r w:rsidRPr="00164355">
        <w:t>(</w:t>
      </w:r>
      <w:r w:rsidR="00692341">
        <w:t>p</w:t>
      </w:r>
      <w:r w:rsidRPr="00164355">
        <w:t xml:space="preserve">rimary </w:t>
      </w:r>
      <w:r w:rsidR="00EB5D27" w:rsidRPr="00164355">
        <w:t>placebo-controlled</w:t>
      </w:r>
      <w:r w:rsidRPr="00164355">
        <w:t xml:space="preserve"> </w:t>
      </w:r>
      <w:r w:rsidR="00796FF9">
        <w:t>A</w:t>
      </w:r>
      <w:r w:rsidRPr="00164355">
        <w:t xml:space="preserve">nalysis </w:t>
      </w:r>
      <w:r w:rsidR="00796FF9">
        <w:t>S</w:t>
      </w:r>
      <w:r w:rsidRPr="00164355">
        <w:t>et A)</w:t>
      </w:r>
    </w:p>
    <w:p w14:paraId="5B981B08" w14:textId="77777777" w:rsidR="00FE583D" w:rsidRDefault="00FE583D" w:rsidP="00FE583D">
      <w:r w:rsidRPr="00164355">
        <w:rPr>
          <w:noProof/>
        </w:rPr>
        <w:drawing>
          <wp:inline distT="0" distB="0" distL="0" distR="0" wp14:anchorId="090874FE" wp14:editId="2FC0F60F">
            <wp:extent cx="5611008" cy="3753374"/>
            <wp:effectExtent l="0" t="0" r="8890" b="0"/>
            <wp:docPr id="67" name="Picture 67" descr="Figure 2122: Maximum total bilirubin versus Alanine Aminotransferase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Figure 2122: Maximum total bilirubin versus Alanine Aminotransferase (Primary placebo-controlled analysis set A)"/>
                    <pic:cNvPicPr/>
                  </pic:nvPicPr>
                  <pic:blipFill>
                    <a:blip r:embed="rId102"/>
                    <a:stretch>
                      <a:fillRect/>
                    </a:stretch>
                  </pic:blipFill>
                  <pic:spPr>
                    <a:xfrm>
                      <a:off x="0" y="0"/>
                      <a:ext cx="5611008" cy="3753374"/>
                    </a:xfrm>
                    <a:prstGeom prst="rect">
                      <a:avLst/>
                    </a:prstGeom>
                  </pic:spPr>
                </pic:pic>
              </a:graphicData>
            </a:graphic>
          </wp:inline>
        </w:drawing>
      </w:r>
    </w:p>
    <w:p w14:paraId="614DF5B6" w14:textId="686EFD3C" w:rsidR="00FE583D" w:rsidRPr="000A1A4B" w:rsidRDefault="00FE583D" w:rsidP="00EB5D27">
      <w:pPr>
        <w:pStyle w:val="Heading6"/>
      </w:pPr>
      <w:r w:rsidRPr="00692341">
        <w:rPr>
          <w:i w:val="0"/>
          <w:iCs/>
        </w:rPr>
        <w:lastRenderedPageBreak/>
        <w:t>Evaluations for infections and infestations</w:t>
      </w:r>
    </w:p>
    <w:p w14:paraId="06D8303F" w14:textId="0BB0D2AE" w:rsidR="00FE583D" w:rsidRDefault="00FE583D" w:rsidP="00FE583D">
      <w:r w:rsidRPr="000A1A4B">
        <w:t xml:space="preserve">TEAEs in the Infections and infestations SOC for Analysis Set A are presented in Table </w:t>
      </w:r>
      <w:r w:rsidR="009D5AC3">
        <w:t>40</w:t>
      </w:r>
      <w:r>
        <w:t>.</w:t>
      </w:r>
    </w:p>
    <w:p w14:paraId="5D80ED18" w14:textId="77777777" w:rsidR="008864D7" w:rsidRDefault="008864D7" w:rsidP="008864D7">
      <w:r>
        <w:t xml:space="preserve">Two SAEs in the Infections and infestations SOC were reported in Analysis Set A, 1 event of laryngitis and 1 event of viral upper respiratory tract infection that were experienced in the same patient: </w:t>
      </w:r>
    </w:p>
    <w:p w14:paraId="36148F3B" w14:textId="77777777" w:rsidR="008864D7" w:rsidRDefault="008864D7" w:rsidP="008864D7">
      <w:r>
        <w:t xml:space="preserve">A female patient had an SAE of moderate laryngitis from Study Days 166 to 189. The SAE </w:t>
      </w:r>
      <w:proofErr w:type="gramStart"/>
      <w:r>
        <w:t>was considered to be</w:t>
      </w:r>
      <w:proofErr w:type="gramEnd"/>
      <w:r>
        <w:t xml:space="preserve"> unlikely related to study drug, and study drug was not changed. The patient also had an SAE of moderate viral upper respiratory tract infection from Study Days 166 to 189. The SAE </w:t>
      </w:r>
      <w:proofErr w:type="gramStart"/>
      <w:r>
        <w:t>was considered to be</w:t>
      </w:r>
      <w:proofErr w:type="gramEnd"/>
      <w:r>
        <w:t xml:space="preserve"> unlikely related to study drug, and no changes to study drug were made.</w:t>
      </w:r>
    </w:p>
    <w:p w14:paraId="4DC7A3BF" w14:textId="77F07B1B" w:rsidR="008864D7" w:rsidRDefault="008864D7" w:rsidP="008864D7">
      <w:r w:rsidRPr="00BA0ED5">
        <w:t xml:space="preserve">Overall, 66.7% of the </w:t>
      </w:r>
      <w:proofErr w:type="spellStart"/>
      <w:r w:rsidRPr="00BA0ED5">
        <w:t>omaveloxolone</w:t>
      </w:r>
      <w:proofErr w:type="spellEnd"/>
      <w:r w:rsidRPr="00BA0ED5">
        <w:t xml:space="preserve"> treated patients reported TEAEs within the SOC infections and infestations compared to 57.7% of the placebo treated patients. None of the Infections and infestations TEAEs were considered severe.</w:t>
      </w:r>
      <w:r>
        <w:t xml:space="preserve"> Further Rates in each treatment group of infection and infestation by PT are outlined under table </w:t>
      </w:r>
      <w:r w:rsidR="000D484B">
        <w:t>40</w:t>
      </w:r>
      <w:r>
        <w:t>.</w:t>
      </w:r>
    </w:p>
    <w:p w14:paraId="2EBF8E4B" w14:textId="4B6447EE" w:rsidR="00FE583D" w:rsidRPr="00275A76" w:rsidRDefault="00FE583D" w:rsidP="00170681">
      <w:pPr>
        <w:pStyle w:val="TableTitle"/>
        <w:spacing w:before="240"/>
      </w:pPr>
      <w:r w:rsidRPr="00275A76">
        <w:t xml:space="preserve">Table </w:t>
      </w:r>
      <w:r w:rsidR="000D484B">
        <w:t>40</w:t>
      </w:r>
      <w:r w:rsidRPr="00275A76">
        <w:t>: Summary of infections and infestation</w:t>
      </w:r>
      <w:r w:rsidR="00796FF9">
        <w:t>s</w:t>
      </w:r>
      <w:r w:rsidRPr="00275A76">
        <w:t xml:space="preserve"> TEAE</w:t>
      </w:r>
      <w:r w:rsidR="00F4320C">
        <w:t>s</w:t>
      </w:r>
      <w:r w:rsidRPr="00275A76">
        <w:t xml:space="preserve"> (primary placebo-controlled </w:t>
      </w:r>
      <w:r w:rsidR="00796FF9">
        <w:t>A</w:t>
      </w:r>
      <w:r w:rsidRPr="00275A76">
        <w:t xml:space="preserve">nalysis </w:t>
      </w:r>
      <w:r w:rsidR="00796FF9">
        <w:t>S</w:t>
      </w:r>
      <w:r w:rsidRPr="00275A76">
        <w:t>et A)</w:t>
      </w:r>
    </w:p>
    <w:p w14:paraId="05C2AFF0" w14:textId="77777777" w:rsidR="00FE583D" w:rsidRDefault="00FE583D" w:rsidP="00FE583D">
      <w:r w:rsidRPr="00EF2DB2">
        <w:rPr>
          <w:noProof/>
        </w:rPr>
        <w:drawing>
          <wp:inline distT="0" distB="0" distL="0" distR="0" wp14:anchorId="6449DFA6" wp14:editId="374C1112">
            <wp:extent cx="5081047" cy="2742979"/>
            <wp:effectExtent l="0" t="0" r="5715" b="635"/>
            <wp:docPr id="68" name="Picture 68" descr="Table 39: Summary of infections and infestation TEAE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Table 39: Summary of infections and infestation TEAE (primary placebo-controlled analysis set A)"/>
                    <pic:cNvPicPr/>
                  </pic:nvPicPr>
                  <pic:blipFill>
                    <a:blip r:embed="rId103"/>
                    <a:stretch>
                      <a:fillRect/>
                    </a:stretch>
                  </pic:blipFill>
                  <pic:spPr>
                    <a:xfrm>
                      <a:off x="0" y="0"/>
                      <a:ext cx="5101834" cy="2754201"/>
                    </a:xfrm>
                    <a:prstGeom prst="rect">
                      <a:avLst/>
                    </a:prstGeom>
                  </pic:spPr>
                </pic:pic>
              </a:graphicData>
            </a:graphic>
          </wp:inline>
        </w:drawing>
      </w:r>
    </w:p>
    <w:p w14:paraId="18E431C1" w14:textId="77777777" w:rsidR="00FE583D" w:rsidRDefault="00FE583D" w:rsidP="00FE583D">
      <w:r w:rsidRPr="005C3CC3">
        <w:rPr>
          <w:noProof/>
        </w:rPr>
        <w:lastRenderedPageBreak/>
        <w:drawing>
          <wp:inline distT="0" distB="0" distL="0" distR="0" wp14:anchorId="3B8CF487" wp14:editId="298DA10F">
            <wp:extent cx="5052767" cy="45808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083505" cy="4608758"/>
                    </a:xfrm>
                    <a:prstGeom prst="rect">
                      <a:avLst/>
                    </a:prstGeom>
                  </pic:spPr>
                </pic:pic>
              </a:graphicData>
            </a:graphic>
          </wp:inline>
        </w:drawing>
      </w:r>
    </w:p>
    <w:p w14:paraId="23D448D2" w14:textId="77777777" w:rsidR="00FE583D" w:rsidRPr="009A6FED" w:rsidRDefault="00FE583D" w:rsidP="006E13CC">
      <w:pPr>
        <w:pStyle w:val="Heading6"/>
        <w:rPr>
          <w:i w:val="0"/>
          <w:iCs/>
        </w:rPr>
      </w:pPr>
      <w:r w:rsidRPr="009A6FED">
        <w:rPr>
          <w:i w:val="0"/>
          <w:iCs/>
        </w:rPr>
        <w:t>Evaluation of Cardiovascular Safety</w:t>
      </w:r>
    </w:p>
    <w:p w14:paraId="21FA5544" w14:textId="77777777" w:rsidR="00FE583D" w:rsidRDefault="00FE583D" w:rsidP="00FE583D">
      <w:r w:rsidRPr="000564D5">
        <w:t xml:space="preserve">Cardiovascular safety was evaluated as cardiomyopathy is </w:t>
      </w:r>
      <w:r>
        <w:t>a</w:t>
      </w:r>
      <w:r w:rsidRPr="000564D5">
        <w:t xml:space="preserve"> common comorbid condition for patients with FA. In these patients, heart failure and arrhythmia are </w:t>
      </w:r>
      <w:r>
        <w:t>common</w:t>
      </w:r>
      <w:r w:rsidRPr="000564D5">
        <w:t xml:space="preserve"> causes of death.</w:t>
      </w:r>
      <w:r>
        <w:t xml:space="preserve"> </w:t>
      </w:r>
      <w:r w:rsidRPr="00BF722F">
        <w:t>In an early study with another NrF2 activator, bardoxolone methyl, congestive heart failure was observed.</w:t>
      </w:r>
    </w:p>
    <w:p w14:paraId="1BA5D54A" w14:textId="77777777" w:rsidR="00FE583D" w:rsidRDefault="00FE583D" w:rsidP="00FE583D">
      <w:r>
        <w:t>Regarding blood pressure</w:t>
      </w:r>
      <w:r w:rsidRPr="00601F69">
        <w:t xml:space="preserve"> no mean changes from baseline in SBP or DBP were observed at Week 48 in patients in the </w:t>
      </w:r>
      <w:proofErr w:type="spellStart"/>
      <w:r w:rsidRPr="00601F69">
        <w:t>omaveloxolone</w:t>
      </w:r>
      <w:proofErr w:type="spellEnd"/>
      <w:r w:rsidRPr="00601F69">
        <w:t xml:space="preserve"> or placebo group. The number and proportion of patients with maximum SBP values that exceeded 140 mmHg was lower in the </w:t>
      </w:r>
      <w:proofErr w:type="spellStart"/>
      <w:r w:rsidRPr="00601F69">
        <w:t>omaveloxolone</w:t>
      </w:r>
      <w:proofErr w:type="spellEnd"/>
      <w:r w:rsidRPr="00601F69">
        <w:t>-treated patients compared to placebo-treated patient.</w:t>
      </w:r>
      <w:r>
        <w:t xml:space="preserve"> </w:t>
      </w:r>
      <w:r w:rsidRPr="00835D28">
        <w:t xml:space="preserve">No </w:t>
      </w:r>
      <w:proofErr w:type="spellStart"/>
      <w:r w:rsidRPr="00835D28">
        <w:t>omaveloxolone</w:t>
      </w:r>
      <w:proofErr w:type="spellEnd"/>
      <w:r w:rsidRPr="00835D28">
        <w:t>-treated patients had SBP values that exceeded 160 mmHg vs. 2 (3.8%) placebo-treated patients</w:t>
      </w:r>
      <w:r>
        <w:t>.</w:t>
      </w:r>
    </w:p>
    <w:p w14:paraId="43F44B94" w14:textId="77777777" w:rsidR="00FE583D" w:rsidRDefault="00FE583D" w:rsidP="00FE583D">
      <w:r w:rsidRPr="00364BAD">
        <w:t xml:space="preserve">A small increase in pulse </w:t>
      </w:r>
      <w:r>
        <w:t xml:space="preserve">rate </w:t>
      </w:r>
      <w:r w:rsidRPr="00364BAD">
        <w:t>w</w:t>
      </w:r>
      <w:r>
        <w:t>as</w:t>
      </w:r>
      <w:r w:rsidRPr="00364BAD">
        <w:t xml:space="preserve"> seen in </w:t>
      </w:r>
      <w:proofErr w:type="spellStart"/>
      <w:r w:rsidRPr="00364BAD">
        <w:t>omaveloxolone</w:t>
      </w:r>
      <w:proofErr w:type="spellEnd"/>
      <w:r w:rsidRPr="00364BAD">
        <w:t xml:space="preserve"> treated patients with mean changes from baseline ranging from -4.0 to 4.4 bpm for </w:t>
      </w:r>
      <w:proofErr w:type="spellStart"/>
      <w:r w:rsidRPr="00364BAD">
        <w:t>omaveloxolone</w:t>
      </w:r>
      <w:proofErr w:type="spellEnd"/>
      <w:r w:rsidRPr="00364BAD">
        <w:t>-treated patients and -5.9 to 0.3 bpm for placebo-treated patients.</w:t>
      </w:r>
    </w:p>
    <w:p w14:paraId="0E04427D" w14:textId="60D224D0" w:rsidR="00FE583D" w:rsidRDefault="00FE583D" w:rsidP="00FE583D">
      <w:r w:rsidRPr="00C35C55">
        <w:t xml:space="preserve">Small mean increases in </w:t>
      </w:r>
      <w:r>
        <w:t>brain natriuretic peptide (</w:t>
      </w:r>
      <w:r w:rsidRPr="00C35C55">
        <w:t>BNP</w:t>
      </w:r>
      <w:r>
        <w:t>)</w:t>
      </w:r>
      <w:r w:rsidRPr="00C35C55">
        <w:t xml:space="preserve"> were observed with </w:t>
      </w:r>
      <w:proofErr w:type="spellStart"/>
      <w:r w:rsidRPr="00C35C55">
        <w:t>omaveloxolone</w:t>
      </w:r>
      <w:proofErr w:type="spellEnd"/>
      <w:r w:rsidRPr="00C35C55">
        <w:t xml:space="preserve"> treatment relative to placebo and 2 (3.9%) patients had BNP values that exceeded 200 </w:t>
      </w:r>
      <w:proofErr w:type="spellStart"/>
      <w:r w:rsidRPr="00C35C55">
        <w:t>pg</w:t>
      </w:r>
      <w:proofErr w:type="spellEnd"/>
      <w:r w:rsidRPr="00C35C55">
        <w:t>/</w:t>
      </w:r>
      <w:proofErr w:type="spellStart"/>
      <w:r w:rsidRPr="00C35C55">
        <w:t>mL.</w:t>
      </w:r>
      <w:proofErr w:type="spellEnd"/>
      <w:r w:rsidRPr="00C35C55">
        <w:t xml:space="preserve"> Small numerical increases from baseline in BNP were also seen in </w:t>
      </w:r>
      <w:proofErr w:type="spellStart"/>
      <w:r w:rsidRPr="00C35C55">
        <w:t>omaveloxolone</w:t>
      </w:r>
      <w:proofErr w:type="spellEnd"/>
      <w:r w:rsidRPr="00C35C55">
        <w:t>-treated adolescent patients at Week 48.</w:t>
      </w:r>
      <w:r w:rsidRPr="00127B31">
        <w:t xml:space="preserve"> </w:t>
      </w:r>
      <w:r>
        <w:t>M</w:t>
      </w:r>
      <w:r w:rsidRPr="00127B31">
        <w:t xml:space="preserve">ean BNP values for </w:t>
      </w:r>
      <w:proofErr w:type="spellStart"/>
      <w:r w:rsidRPr="00127B31">
        <w:t>omaveloxolone</w:t>
      </w:r>
      <w:proofErr w:type="spellEnd"/>
      <w:r w:rsidRPr="00127B31">
        <w:t>-treated patients remained below the ULN (</w:t>
      </w:r>
      <w:r>
        <w:t xml:space="preserve">&lt;100 </w:t>
      </w:r>
      <w:proofErr w:type="spellStart"/>
      <w:r>
        <w:t>pg</w:t>
      </w:r>
      <w:proofErr w:type="spellEnd"/>
      <w:r>
        <w:t xml:space="preserve">/mL). Figure </w:t>
      </w:r>
      <w:r w:rsidR="000941E1">
        <w:t>24</w:t>
      </w:r>
      <w:r w:rsidR="00890769">
        <w:t xml:space="preserve"> </w:t>
      </w:r>
      <w:r>
        <w:t>shows the mean absolute BNP values from baseline to week 48 in analysis set A. S</w:t>
      </w:r>
      <w:r w:rsidRPr="00303F13">
        <w:t xml:space="preserve">mall numerical increases from baseline in BNP were also noted in </w:t>
      </w:r>
      <w:proofErr w:type="spellStart"/>
      <w:r w:rsidRPr="00303F13">
        <w:t>omaveloxolone</w:t>
      </w:r>
      <w:proofErr w:type="spellEnd"/>
      <w:r w:rsidRPr="00303F13">
        <w:t>-treated adolescent patients at Week 48.</w:t>
      </w:r>
      <w:r>
        <w:t xml:space="preserve"> Figure </w:t>
      </w:r>
      <w:r w:rsidR="000941E1">
        <w:t xml:space="preserve">23 </w:t>
      </w:r>
      <w:r>
        <w:t>also shows the BNP level across the 48-week randomized control period with line graphs showing mean BNP levels in placebo, and treatment groups there were further separated by history of cardiomyopathy or not.</w:t>
      </w:r>
    </w:p>
    <w:p w14:paraId="54776118" w14:textId="15AFA95E" w:rsidR="00FE583D" w:rsidRPr="0000165A" w:rsidRDefault="00FE583D" w:rsidP="00890769">
      <w:pPr>
        <w:pStyle w:val="FigureTitle"/>
      </w:pPr>
      <w:bookmarkStart w:id="75" w:name="_Ref184201422"/>
      <w:r w:rsidRPr="0000165A">
        <w:lastRenderedPageBreak/>
        <w:t xml:space="preserve">Figure </w:t>
      </w:r>
      <w:fldSimple w:instr=" SEQ Figure \* ARABIC ">
        <w:r>
          <w:rPr>
            <w:noProof/>
          </w:rPr>
          <w:t>2</w:t>
        </w:r>
        <w:r w:rsidR="00890769">
          <w:rPr>
            <w:noProof/>
          </w:rPr>
          <w:t>3</w:t>
        </w:r>
      </w:fldSimple>
      <w:bookmarkEnd w:id="75"/>
      <w:r w:rsidRPr="0000165A">
        <w:t>:</w:t>
      </w:r>
      <w:bookmarkStart w:id="76" w:name="Figure_19:_B-Type_Natriuretic_Peptide_an"/>
      <w:bookmarkStart w:id="77" w:name="Figure_20:_B-Type_Natriuretic_Peptide_an"/>
      <w:bookmarkStart w:id="78" w:name="12.4.2.2._Individual_Patient_Changes"/>
      <w:bookmarkEnd w:id="76"/>
      <w:bookmarkEnd w:id="77"/>
      <w:bookmarkEnd w:id="78"/>
      <w:r w:rsidRPr="0000165A">
        <w:rPr>
          <w:rFonts w:ascii="Times New Roman" w:hAnsi="Times New Roman"/>
          <w:sz w:val="24"/>
          <w:szCs w:val="24"/>
        </w:rPr>
        <w:t xml:space="preserve"> </w:t>
      </w:r>
      <w:r w:rsidRPr="0000165A">
        <w:t>B-</w:t>
      </w:r>
      <w:r w:rsidR="00821BD4">
        <w:t>t</w:t>
      </w:r>
      <w:r w:rsidRPr="0000165A">
        <w:t xml:space="preserve">ype </w:t>
      </w:r>
      <w:r w:rsidR="00821BD4">
        <w:t>n</w:t>
      </w:r>
      <w:r w:rsidRPr="0000165A">
        <w:t xml:space="preserve">atriuretic </w:t>
      </w:r>
      <w:r w:rsidR="00821BD4">
        <w:t>p</w:t>
      </w:r>
      <w:r w:rsidRPr="0000165A">
        <w:t xml:space="preserve">eptide </w:t>
      </w:r>
      <w:r w:rsidR="0049006B">
        <w:t>(</w:t>
      </w:r>
      <w:r w:rsidR="00821BD4">
        <w:t xml:space="preserve">BNP) </w:t>
      </w:r>
      <w:r w:rsidRPr="0000165A">
        <w:t>and N-</w:t>
      </w:r>
      <w:r w:rsidR="00821BD4">
        <w:t>t</w:t>
      </w:r>
      <w:r w:rsidRPr="0000165A">
        <w:t xml:space="preserve">erminal </w:t>
      </w:r>
      <w:r w:rsidR="00821BD4">
        <w:t>p</w:t>
      </w:r>
      <w:r w:rsidRPr="0000165A">
        <w:t xml:space="preserve">rohormone of </w:t>
      </w:r>
      <w:r w:rsidR="00821BD4">
        <w:t xml:space="preserve">BNP </w:t>
      </w:r>
      <w:r w:rsidRPr="0000165A">
        <w:t xml:space="preserve">over </w:t>
      </w:r>
      <w:r w:rsidR="00821BD4">
        <w:t>t</w:t>
      </w:r>
      <w:r w:rsidRPr="0000165A">
        <w:t xml:space="preserve">ime by </w:t>
      </w:r>
      <w:r w:rsidR="00821BD4">
        <w:t>c</w:t>
      </w:r>
      <w:r w:rsidRPr="0000165A">
        <w:t xml:space="preserve">ardiomyopathy </w:t>
      </w:r>
      <w:r w:rsidR="00821BD4">
        <w:t>h</w:t>
      </w:r>
      <w:r w:rsidRPr="0000165A">
        <w:t>istory (Safety Population)</w:t>
      </w:r>
    </w:p>
    <w:p w14:paraId="02D4AB97" w14:textId="77777777" w:rsidR="00FE583D" w:rsidRDefault="00FE583D" w:rsidP="00FE583D">
      <w:r>
        <w:rPr>
          <w:noProof/>
        </w:rPr>
        <w:drawing>
          <wp:inline distT="0" distB="0" distL="0" distR="0" wp14:anchorId="39687C5D" wp14:editId="57390ED7">
            <wp:extent cx="5940132" cy="2997724"/>
            <wp:effectExtent l="0" t="0" r="3810" b="0"/>
            <wp:docPr id="1223019958" name="Picture 1" descr="Figure 23: B-Type Natriuretic Peptide and N-Terminal Prohormone of B-Type Natriuretic Peptide over Time by Cardiomyopathy History (Safe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19958" name="Picture 1" descr="Figure 23: B-Type Natriuretic Peptide and N-Terminal Prohormone of B-Type Natriuretic Peptide over Time by Cardiomyopathy History (Safety Population)"/>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57916" cy="3006699"/>
                    </a:xfrm>
                    <a:prstGeom prst="rect">
                      <a:avLst/>
                    </a:prstGeom>
                    <a:noFill/>
                  </pic:spPr>
                </pic:pic>
              </a:graphicData>
            </a:graphic>
          </wp:inline>
        </w:drawing>
      </w:r>
    </w:p>
    <w:p w14:paraId="33C7797A" w14:textId="77BE45FF" w:rsidR="00FE583D" w:rsidRPr="00B43E56" w:rsidRDefault="00FE583D" w:rsidP="00890769">
      <w:pPr>
        <w:pStyle w:val="FigureTitle"/>
      </w:pPr>
      <w:r w:rsidRPr="00B43E56">
        <w:t xml:space="preserve">Figure </w:t>
      </w:r>
      <w:fldSimple w:instr=" SEQ Figure \* ARABIC ">
        <w:r>
          <w:rPr>
            <w:noProof/>
          </w:rPr>
          <w:t>2</w:t>
        </w:r>
        <w:r w:rsidR="00890769">
          <w:rPr>
            <w:noProof/>
          </w:rPr>
          <w:t>4</w:t>
        </w:r>
      </w:fldSimple>
      <w:r w:rsidRPr="00B43E56">
        <w:t>:</w:t>
      </w:r>
      <w:r w:rsidRPr="00B43E56">
        <w:rPr>
          <w:szCs w:val="22"/>
        </w:rPr>
        <w:t xml:space="preserve"> </w:t>
      </w:r>
      <w:r w:rsidRPr="00B43E56">
        <w:t xml:space="preserve">mean absolute BNP values from baseline to week 48 (primary placebo-controlled </w:t>
      </w:r>
      <w:r w:rsidR="00796FF9">
        <w:t>A</w:t>
      </w:r>
      <w:r w:rsidRPr="00B43E56">
        <w:t xml:space="preserve">nalysis </w:t>
      </w:r>
      <w:r w:rsidR="00796FF9">
        <w:t>S</w:t>
      </w:r>
      <w:r w:rsidRPr="00B43E56">
        <w:t>et A)</w:t>
      </w:r>
    </w:p>
    <w:p w14:paraId="068C0AF4" w14:textId="77777777" w:rsidR="00FE583D" w:rsidRDefault="00FE583D" w:rsidP="00FE583D">
      <w:r w:rsidRPr="00E060BA">
        <w:rPr>
          <w:noProof/>
        </w:rPr>
        <w:drawing>
          <wp:inline distT="0" distB="0" distL="0" distR="0" wp14:anchorId="27F210CF" wp14:editId="13CE7CAC">
            <wp:extent cx="5854045" cy="3661859"/>
            <wp:effectExtent l="0" t="0" r="0" b="0"/>
            <wp:docPr id="55" name="Picture 55" descr="Figure 24: mean absolute BNP values from baseline to week 48 (primary placebo-controlled analysis s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24: mean absolute BNP values from baseline to week 48 (primary placebo-controlled analysis set A)"/>
                    <pic:cNvPicPr/>
                  </pic:nvPicPr>
                  <pic:blipFill>
                    <a:blip r:embed="rId106"/>
                    <a:stretch>
                      <a:fillRect/>
                    </a:stretch>
                  </pic:blipFill>
                  <pic:spPr>
                    <a:xfrm>
                      <a:off x="0" y="0"/>
                      <a:ext cx="5857375" cy="3663942"/>
                    </a:xfrm>
                    <a:prstGeom prst="rect">
                      <a:avLst/>
                    </a:prstGeom>
                  </pic:spPr>
                </pic:pic>
              </a:graphicData>
            </a:graphic>
          </wp:inline>
        </w:drawing>
      </w:r>
    </w:p>
    <w:p w14:paraId="049FBAC4" w14:textId="77777777" w:rsidR="000D484B" w:rsidRDefault="000D484B">
      <w:r>
        <w:br w:type="page"/>
      </w:r>
    </w:p>
    <w:p w14:paraId="458CDDA6" w14:textId="36A0F0FA" w:rsidR="00FE583D" w:rsidRDefault="00FE583D" w:rsidP="00FE583D">
      <w:proofErr w:type="spellStart"/>
      <w:r w:rsidRPr="0042134F">
        <w:lastRenderedPageBreak/>
        <w:t>Omaveloxolone</w:t>
      </w:r>
      <w:proofErr w:type="spellEnd"/>
      <w:r w:rsidRPr="0042134F">
        <w:t xml:space="preserve">-treated patients had a higher incidence of </w:t>
      </w:r>
      <w:r>
        <w:t xml:space="preserve">increased </w:t>
      </w:r>
      <w:r w:rsidRPr="0042134F">
        <w:t>total cholesterol (33.3% vs. 6.8%) and LDL (19.0% vs. 9.1%) values above the ULN and a higher incidence of low HDL (6.0% vs 4.3</w:t>
      </w:r>
      <w:r>
        <w:t>%</w:t>
      </w:r>
      <w:r w:rsidRPr="0042134F">
        <w:t xml:space="preserve">) values under the ULN compared to placebo. There was 1 TEAE of hypercholesterolemia reported in an </w:t>
      </w:r>
      <w:proofErr w:type="spellStart"/>
      <w:r w:rsidRPr="0042134F">
        <w:t>omaveloxolone</w:t>
      </w:r>
      <w:proofErr w:type="spellEnd"/>
      <w:r w:rsidRPr="0042134F">
        <w:t>-treated patient.</w:t>
      </w:r>
      <w:r>
        <w:t xml:space="preserve"> Treatment emergent abnormal cholesterol values are shown in table </w:t>
      </w:r>
      <w:r w:rsidR="003E5C06">
        <w:t>4</w:t>
      </w:r>
      <w:r w:rsidR="00C63491">
        <w:t>1</w:t>
      </w:r>
      <w:r w:rsidR="00512164">
        <w:t xml:space="preserve"> (page 8</w:t>
      </w:r>
      <w:r w:rsidR="001008D2">
        <w:t>4</w:t>
      </w:r>
      <w:r w:rsidR="00512164">
        <w:t>)</w:t>
      </w:r>
      <w:r>
        <w:t>.</w:t>
      </w:r>
    </w:p>
    <w:p w14:paraId="48200D2F" w14:textId="77777777" w:rsidR="00FE583D" w:rsidRDefault="00FE583D" w:rsidP="00FE583D">
      <w:r w:rsidRPr="007D7B02">
        <w:t xml:space="preserve">Patients treated with </w:t>
      </w:r>
      <w:proofErr w:type="spellStart"/>
      <w:r w:rsidRPr="007D7B02">
        <w:t>omaveloxolone</w:t>
      </w:r>
      <w:proofErr w:type="spellEnd"/>
      <w:r w:rsidRPr="007D7B02">
        <w:t xml:space="preserve"> showed mean increases in total cholesterol of approximately 20 mg/dL within the first 2 weeks of treatment that remained high but returned to baseline after withdrawal of drug. Adolescent patients had lower total cholesterol levels at baseline and had increases in total cholesterol after two weeks that slightly decreased until Week 48.</w:t>
      </w:r>
    </w:p>
    <w:p w14:paraId="10A6A2C9" w14:textId="77777777" w:rsidR="00FE583D" w:rsidRDefault="00FE583D" w:rsidP="00FE583D">
      <w:r w:rsidRPr="00742978">
        <w:t xml:space="preserve">Patients treated with </w:t>
      </w:r>
      <w:proofErr w:type="spellStart"/>
      <w:r w:rsidRPr="00742978">
        <w:t>omaveloxolone</w:t>
      </w:r>
      <w:proofErr w:type="spellEnd"/>
      <w:r w:rsidRPr="00742978">
        <w:t xml:space="preserve"> showed a reduction in HDL cholesterol of 5.4 mg/dL during the treatment period. Adolescent patients treated with </w:t>
      </w:r>
      <w:proofErr w:type="spellStart"/>
      <w:r w:rsidRPr="00742978">
        <w:t>omaveloxolone</w:t>
      </w:r>
      <w:proofErr w:type="spellEnd"/>
      <w:r w:rsidRPr="00742978">
        <w:t xml:space="preserve"> also showed reductions in HDL cholesterol at Week 48 that were </w:t>
      </w:r>
      <w:proofErr w:type="gramStart"/>
      <w:r w:rsidRPr="00742978">
        <w:t>similar to</w:t>
      </w:r>
      <w:proofErr w:type="gramEnd"/>
      <w:r w:rsidRPr="00742978">
        <w:t xml:space="preserve"> </w:t>
      </w:r>
      <w:proofErr w:type="spellStart"/>
      <w:r w:rsidRPr="00742978">
        <w:t>omaveloxolone</w:t>
      </w:r>
      <w:proofErr w:type="spellEnd"/>
      <w:r w:rsidRPr="00742978">
        <w:t>-treated adult patients.</w:t>
      </w:r>
    </w:p>
    <w:p w14:paraId="63BFC346" w14:textId="77777777" w:rsidR="00FE583D" w:rsidRDefault="00FE583D" w:rsidP="00FE583D">
      <w:r w:rsidRPr="00742978">
        <w:t xml:space="preserve">Patients treated with </w:t>
      </w:r>
      <w:proofErr w:type="spellStart"/>
      <w:r w:rsidRPr="00742978">
        <w:t>omaveloxolone</w:t>
      </w:r>
      <w:proofErr w:type="spellEnd"/>
      <w:r w:rsidRPr="00742978">
        <w:t xml:space="preserve"> showed increases in LDL cholesterol of approximately 20 mg/dL within the first 2 weeks of treatment that remained high but returned to baseline after withdrawal of drug. The same increase was seen in adolescent patients.</w:t>
      </w:r>
    </w:p>
    <w:p w14:paraId="4EB32E7E" w14:textId="77777777" w:rsidR="00FE583D" w:rsidRDefault="00FE583D" w:rsidP="00FE583D">
      <w:r w:rsidRPr="00EF06B6">
        <w:t xml:space="preserve">A small increase in mean VLDL cholesterol was seen until week 24 in </w:t>
      </w:r>
      <w:proofErr w:type="spellStart"/>
      <w:r w:rsidRPr="00EF06B6">
        <w:t>omaveloxolone</w:t>
      </w:r>
      <w:proofErr w:type="spellEnd"/>
      <w:r>
        <w:t xml:space="preserve"> </w:t>
      </w:r>
      <w:r w:rsidRPr="00EF06B6">
        <w:t xml:space="preserve">treated patients. VLDL values above the ULN were reported in 37.2% of </w:t>
      </w:r>
      <w:proofErr w:type="spellStart"/>
      <w:r w:rsidRPr="00EF06B6">
        <w:t>omaveloxolone</w:t>
      </w:r>
      <w:proofErr w:type="spellEnd"/>
      <w:r w:rsidRPr="00EF06B6">
        <w:t>-treated patients compared with 30.4% of placebo-treated patients.</w:t>
      </w:r>
    </w:p>
    <w:p w14:paraId="4B0B7E5A" w14:textId="69E0E535" w:rsidR="00FE583D" w:rsidRDefault="00FE583D" w:rsidP="00FE583D">
      <w:r w:rsidRPr="009F20F3">
        <w:t xml:space="preserve">The </w:t>
      </w:r>
      <w:r w:rsidR="007B6B69">
        <w:t>sponsor</w:t>
      </w:r>
      <w:r w:rsidRPr="009F20F3">
        <w:t xml:space="preserve"> suggests that the changes in lipids are related to the PD activation of Nrf2. The changes seen were reversible after withdrawal of the drug.</w:t>
      </w:r>
    </w:p>
    <w:p w14:paraId="12FB0FBA" w14:textId="40FE81FB" w:rsidR="00FE583D" w:rsidRPr="003256AD" w:rsidRDefault="00FE583D" w:rsidP="003E5C06">
      <w:pPr>
        <w:pStyle w:val="TableTitle"/>
      </w:pPr>
      <w:bookmarkStart w:id="79" w:name="_Ref184121079"/>
      <w:r w:rsidRPr="003256AD">
        <w:lastRenderedPageBreak/>
        <w:t xml:space="preserve">Table </w:t>
      </w:r>
      <w:fldSimple w:instr=" SEQ Table \* ARABIC ">
        <w:r>
          <w:rPr>
            <w:noProof/>
          </w:rPr>
          <w:t>4</w:t>
        </w:r>
        <w:r w:rsidR="001008D2">
          <w:rPr>
            <w:noProof/>
          </w:rPr>
          <w:t>1</w:t>
        </w:r>
      </w:fldSimple>
      <w:r w:rsidRPr="003256AD">
        <w:t>: Treatment-emergent abnormal cholesterol/lipid values</w:t>
      </w:r>
      <w:bookmarkEnd w:id="79"/>
    </w:p>
    <w:p w14:paraId="4496FB8E" w14:textId="77777777" w:rsidR="00FE583D" w:rsidRDefault="00FE583D" w:rsidP="00FE583D">
      <w:r w:rsidRPr="003256AD">
        <w:rPr>
          <w:noProof/>
        </w:rPr>
        <w:drawing>
          <wp:inline distT="0" distB="0" distL="0" distR="0" wp14:anchorId="7C0E914F" wp14:editId="55E96BC6">
            <wp:extent cx="5731510" cy="4650740"/>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31510" cy="4650740"/>
                    </a:xfrm>
                    <a:prstGeom prst="rect">
                      <a:avLst/>
                    </a:prstGeom>
                  </pic:spPr>
                </pic:pic>
              </a:graphicData>
            </a:graphic>
          </wp:inline>
        </w:drawing>
      </w:r>
    </w:p>
    <w:p w14:paraId="17B6CD0B" w14:textId="77777777" w:rsidR="00EB313D" w:rsidRDefault="00EB313D">
      <w:r>
        <w:br w:type="page"/>
      </w:r>
    </w:p>
    <w:p w14:paraId="6F3D5E22" w14:textId="4051A86A" w:rsidR="00FE583D" w:rsidRDefault="00FE583D" w:rsidP="00B44562">
      <w:pPr>
        <w:spacing w:before="240"/>
      </w:pPr>
      <w:r>
        <w:lastRenderedPageBreak/>
        <w:t xml:space="preserve">Regarding </w:t>
      </w:r>
      <w:r w:rsidRPr="00B53A32">
        <w:t>Electrocardiogram</w:t>
      </w:r>
      <w:r>
        <w:t xml:space="preserve"> (ECG) findings</w:t>
      </w:r>
      <w:r w:rsidR="00B44562">
        <w:t>,</w:t>
      </w:r>
      <w:r w:rsidRPr="00B53A32">
        <w:t xml:space="preserve"> </w:t>
      </w:r>
      <w:proofErr w:type="spellStart"/>
      <w:r w:rsidR="00130463">
        <w:t>o</w:t>
      </w:r>
      <w:r w:rsidRPr="00B53A32">
        <w:t>maveloxolone</w:t>
      </w:r>
      <w:proofErr w:type="spellEnd"/>
      <w:r w:rsidRPr="00B53A32">
        <w:t xml:space="preserve">-treated patients did not show meaningful changes in ECG parameters relative to baseline or compared with placebo-treated patients for PR interval, RR interval, ventricular heart rate or QRS duration. However, 3 (7.0%) </w:t>
      </w:r>
      <w:proofErr w:type="spellStart"/>
      <w:r w:rsidRPr="00B53A32">
        <w:t>omaveloxolone</w:t>
      </w:r>
      <w:proofErr w:type="spellEnd"/>
      <w:r w:rsidRPr="00B53A32">
        <w:t xml:space="preserve"> treated patients had </w:t>
      </w:r>
      <w:proofErr w:type="spellStart"/>
      <w:r w:rsidRPr="00B53A32">
        <w:t>QTcF</w:t>
      </w:r>
      <w:proofErr w:type="spellEnd"/>
      <w:r w:rsidRPr="00B53A32">
        <w:t xml:space="preserve"> interval &gt;450 to 480 </w:t>
      </w:r>
      <w:proofErr w:type="spellStart"/>
      <w:r w:rsidRPr="00B53A32">
        <w:t>ms</w:t>
      </w:r>
      <w:proofErr w:type="spellEnd"/>
      <w:r w:rsidRPr="00B53A32">
        <w:t xml:space="preserve"> vs. 0 in the placebo group. Further, 5 (11.6%) </w:t>
      </w:r>
      <w:proofErr w:type="spellStart"/>
      <w:r w:rsidRPr="00B53A32">
        <w:t>omaveloxolone</w:t>
      </w:r>
      <w:proofErr w:type="spellEnd"/>
      <w:r w:rsidRPr="00B53A32">
        <w:t xml:space="preserve"> treated vs. 3 (6.0%) placebo treated patients had QTcB interval &gt;450 to 480 </w:t>
      </w:r>
      <w:proofErr w:type="spellStart"/>
      <w:r w:rsidRPr="00B53A32">
        <w:t>ms</w:t>
      </w:r>
      <w:proofErr w:type="spellEnd"/>
      <w:r w:rsidRPr="00B53A32">
        <w:t xml:space="preserve"> and 1 (2.3%) vs. 0 had QTcB interval &gt;480 to 500 </w:t>
      </w:r>
      <w:proofErr w:type="spellStart"/>
      <w:r w:rsidRPr="00B53A32">
        <w:t>ms</w:t>
      </w:r>
      <w:proofErr w:type="spellEnd"/>
      <w:r w:rsidRPr="00B53A32">
        <w:t>.</w:t>
      </w:r>
    </w:p>
    <w:p w14:paraId="20513F9B" w14:textId="77777777" w:rsidR="00FE583D" w:rsidRDefault="00FE583D" w:rsidP="00FE583D">
      <w:r>
        <w:t xml:space="preserve">The number of patients reporting TEAEs in the Cardiac disorders SOC was similar for </w:t>
      </w:r>
      <w:proofErr w:type="spellStart"/>
      <w:r>
        <w:t>omaveloxolone</w:t>
      </w:r>
      <w:proofErr w:type="spellEnd"/>
      <w:r>
        <w:t xml:space="preserve">-treated and placebo-treated patients. Overall, the number of patients reporting TEAEs in the Cardiovascular standardized MeDRA query events (SMQs) were well balanced between </w:t>
      </w:r>
      <w:proofErr w:type="spellStart"/>
      <w:r>
        <w:t>omaveloxolone</w:t>
      </w:r>
      <w:proofErr w:type="spellEnd"/>
      <w:r>
        <w:t xml:space="preserve"> treated patients and placebo treated patients. However, evaluation of the Cardiac failure SMQ showed slightly more patients who reported TEAEs in the </w:t>
      </w:r>
      <w:proofErr w:type="spellStart"/>
      <w:r>
        <w:t>omaveloxolone</w:t>
      </w:r>
      <w:proofErr w:type="spellEnd"/>
      <w:r>
        <w:t xml:space="preserve"> group compared with the placebo group (3 [5.9%] patients vs. 1 [1.9%] patient, respectively).</w:t>
      </w:r>
    </w:p>
    <w:p w14:paraId="2A9C2AB5" w14:textId="2F3A7540" w:rsidR="00FE583D" w:rsidRPr="00D170CD" w:rsidRDefault="00FE583D" w:rsidP="00B445E0">
      <w:pPr>
        <w:pStyle w:val="Heading6"/>
        <w:rPr>
          <w:i w:val="0"/>
          <w:iCs/>
        </w:rPr>
      </w:pPr>
      <w:r w:rsidRPr="00D170CD">
        <w:rPr>
          <w:i w:val="0"/>
          <w:iCs/>
        </w:rPr>
        <w:t xml:space="preserve">Treatment-Emergent Adverse Events </w:t>
      </w:r>
      <w:r w:rsidR="00D170CD">
        <w:rPr>
          <w:i w:val="0"/>
          <w:iCs/>
        </w:rPr>
        <w:t>r</w:t>
      </w:r>
      <w:r w:rsidRPr="00D170CD">
        <w:rPr>
          <w:i w:val="0"/>
          <w:iCs/>
        </w:rPr>
        <w:t xml:space="preserve">elated to </w:t>
      </w:r>
      <w:r w:rsidR="00D170CD">
        <w:rPr>
          <w:i w:val="0"/>
          <w:iCs/>
        </w:rPr>
        <w:t>d</w:t>
      </w:r>
      <w:r w:rsidRPr="00D170CD">
        <w:rPr>
          <w:i w:val="0"/>
          <w:iCs/>
        </w:rPr>
        <w:t xml:space="preserve">epression, </w:t>
      </w:r>
      <w:r w:rsidR="00D170CD">
        <w:rPr>
          <w:i w:val="0"/>
          <w:iCs/>
        </w:rPr>
        <w:t>s</w:t>
      </w:r>
      <w:r w:rsidRPr="00D170CD">
        <w:rPr>
          <w:i w:val="0"/>
          <w:iCs/>
        </w:rPr>
        <w:t xml:space="preserve">uicide, and </w:t>
      </w:r>
      <w:r w:rsidR="00D170CD">
        <w:rPr>
          <w:i w:val="0"/>
          <w:iCs/>
        </w:rPr>
        <w:t>s</w:t>
      </w:r>
      <w:r w:rsidRPr="00D170CD">
        <w:rPr>
          <w:i w:val="0"/>
          <w:iCs/>
        </w:rPr>
        <w:t>elf-</w:t>
      </w:r>
      <w:r w:rsidR="00D170CD">
        <w:rPr>
          <w:i w:val="0"/>
          <w:iCs/>
        </w:rPr>
        <w:t>i</w:t>
      </w:r>
      <w:r w:rsidRPr="00D170CD">
        <w:rPr>
          <w:i w:val="0"/>
          <w:iCs/>
        </w:rPr>
        <w:t>njury</w:t>
      </w:r>
    </w:p>
    <w:p w14:paraId="441F311A" w14:textId="49C7526B" w:rsidR="00FE583D" w:rsidRDefault="00FE583D" w:rsidP="00FE583D">
      <w:r w:rsidRPr="00924ADA">
        <w:t xml:space="preserve">In Study 1402 </w:t>
      </w:r>
      <w:proofErr w:type="spellStart"/>
      <w:r w:rsidR="00672652">
        <w:t>p</w:t>
      </w:r>
      <w:r w:rsidRPr="00924ADA">
        <w:t>Part</w:t>
      </w:r>
      <w:proofErr w:type="spellEnd"/>
      <w:r w:rsidRPr="00924ADA">
        <w:t xml:space="preserve"> 2, fewer </w:t>
      </w:r>
      <w:proofErr w:type="spellStart"/>
      <w:r w:rsidRPr="00924ADA">
        <w:t>omaveloxolone</w:t>
      </w:r>
      <w:proofErr w:type="spellEnd"/>
      <w:r w:rsidRPr="00924ADA">
        <w:t xml:space="preserve">-treated patients reported psychiatric disorder TEAEs, despite 1 of the </w:t>
      </w:r>
      <w:proofErr w:type="spellStart"/>
      <w:r w:rsidRPr="00924ADA">
        <w:t>omaveloxolone</w:t>
      </w:r>
      <w:proofErr w:type="spellEnd"/>
      <w:r w:rsidRPr="00924ADA">
        <w:t xml:space="preserve"> patients reporting suicidal ideation</w:t>
      </w:r>
      <w:r>
        <w:t xml:space="preserve">. </w:t>
      </w:r>
      <w:r w:rsidRPr="008F47F0">
        <w:t xml:space="preserve">In Analysis Set A, 15 (29.4%) </w:t>
      </w:r>
      <w:proofErr w:type="spellStart"/>
      <w:r w:rsidRPr="008F47F0">
        <w:t>Omaveloxolone</w:t>
      </w:r>
      <w:proofErr w:type="spellEnd"/>
      <w:r w:rsidRPr="008F47F0">
        <w:t xml:space="preserve">-treated patients and 10 (19.2%) Placebo treated patients had a prior history of depression. In Study 1402 Part 2, 1 of the </w:t>
      </w:r>
      <w:proofErr w:type="spellStart"/>
      <w:r w:rsidRPr="008F47F0">
        <w:t>omaveloxolone</w:t>
      </w:r>
      <w:proofErr w:type="spellEnd"/>
      <w:r w:rsidRPr="008F47F0">
        <w:t xml:space="preserve"> treated patients reported suicidal ideation</w:t>
      </w:r>
      <w:r>
        <w:t>, this patient had a prior history of depression.</w:t>
      </w:r>
    </w:p>
    <w:p w14:paraId="7BAB99FE" w14:textId="3E43C91F" w:rsidR="00FE583D" w:rsidRPr="00D170CD" w:rsidRDefault="00FE583D" w:rsidP="00B445E0">
      <w:pPr>
        <w:pStyle w:val="Heading6"/>
        <w:rPr>
          <w:i w:val="0"/>
          <w:iCs/>
        </w:rPr>
      </w:pPr>
      <w:r w:rsidRPr="00D170CD">
        <w:rPr>
          <w:i w:val="0"/>
          <w:iCs/>
        </w:rPr>
        <w:t>Laboratory findings</w:t>
      </w:r>
    </w:p>
    <w:p w14:paraId="013FA687" w14:textId="77777777" w:rsidR="00FE583D" w:rsidRDefault="00FE583D" w:rsidP="00FE583D">
      <w:r>
        <w:t xml:space="preserve">Regarding haematology findings: </w:t>
      </w:r>
      <w:r w:rsidRPr="00394A86">
        <w:t xml:space="preserve">In Analysis Set A, small decreases in erythrocytes, haematocrit and haemoglobin were observed in </w:t>
      </w:r>
      <w:proofErr w:type="spellStart"/>
      <w:r w:rsidRPr="00394A86">
        <w:t>omaveloxolone</w:t>
      </w:r>
      <w:proofErr w:type="spellEnd"/>
      <w:r w:rsidRPr="00394A86">
        <w:t>-treated patients at Week 48. None of the decreases were clinically significant. Overall, no clinically meaningful changes in hematology parameters were noted in Analysis Set A</w:t>
      </w:r>
      <w:r>
        <w:t xml:space="preserve">. </w:t>
      </w:r>
      <w:r w:rsidRPr="00394A86">
        <w:t xml:space="preserve">No </w:t>
      </w:r>
      <w:proofErr w:type="spellStart"/>
      <w:r w:rsidRPr="00394A86">
        <w:t>omaveloxolone</w:t>
      </w:r>
      <w:proofErr w:type="spellEnd"/>
      <w:r w:rsidRPr="00394A86">
        <w:t>-treated patients had hematology laboratory abnormalities reported as TEAEs.</w:t>
      </w:r>
    </w:p>
    <w:p w14:paraId="01E44943" w14:textId="77777777" w:rsidR="00FE583D" w:rsidRDefault="00FE583D" w:rsidP="00FE583D">
      <w:r>
        <w:t xml:space="preserve">Regarding clinical chemistry findings: </w:t>
      </w:r>
      <w:r w:rsidRPr="0030011E">
        <w:t>No clinically significant changes were seen for total protein, glucose, lactate dehydrogenase, calcium, chloride or sodium at week 48 compared to baseline, nor for haemoglobin A1c at week 12 compared to baseline.</w:t>
      </w:r>
    </w:p>
    <w:p w14:paraId="2DDB3601" w14:textId="77777777" w:rsidR="00FE583D" w:rsidRDefault="00FE583D" w:rsidP="00FE583D">
      <w:r w:rsidRPr="00D81E49">
        <w:t xml:space="preserve">Baseline Albumin levels were lower in the </w:t>
      </w:r>
      <w:proofErr w:type="spellStart"/>
      <w:r w:rsidRPr="00D81E49">
        <w:t>omaveloxolone</w:t>
      </w:r>
      <w:proofErr w:type="spellEnd"/>
      <w:r w:rsidRPr="00D81E49">
        <w:t xml:space="preserve"> treatment group compared to placebo. There were no clinically significant changes throughout the week 48 and no patients reported low albumin values across treatment groups.</w:t>
      </w:r>
    </w:p>
    <w:p w14:paraId="4DB39F36" w14:textId="0FBDBB5D" w:rsidR="00FE583D" w:rsidRDefault="00FE583D" w:rsidP="00FE583D">
      <w:r>
        <w:t xml:space="preserve">Regarding creatinine kinase (CK) and estimated glomerular filtration rate: An initial decrease in median CK levels was observed in the </w:t>
      </w:r>
      <w:proofErr w:type="spellStart"/>
      <w:r>
        <w:t>omaveloxolone</w:t>
      </w:r>
      <w:proofErr w:type="spellEnd"/>
      <w:r>
        <w:t xml:space="preserve"> treatment group that were generally maintained through Week 48. </w:t>
      </w:r>
      <w:proofErr w:type="spellStart"/>
      <w:r>
        <w:t>Omaveloxolone</w:t>
      </w:r>
      <w:proofErr w:type="spellEnd"/>
      <w:r>
        <w:t xml:space="preserve">-treated patients had a median baseline of 87.0 U/L and a median change from baseline of -17.0 U/L at Week 48 versus a baseline of 111.0 U/L and a median change from baseline of -2.0 U/L in placebo-treated patients. Median CK values showed a change from baseline of -12.5 U/L after stopping study drug. A higher percentage of placebo-treated patients had ≥1 on-treatment high CK values compared with </w:t>
      </w:r>
      <w:proofErr w:type="spellStart"/>
      <w:r>
        <w:t>omaveloxolone</w:t>
      </w:r>
      <w:proofErr w:type="spellEnd"/>
      <w:r>
        <w:t xml:space="preserve">-treated patients (15.2% versus 8.2%, respectively). The </w:t>
      </w:r>
      <w:r w:rsidR="007B6B69">
        <w:t>sponsor</w:t>
      </w:r>
      <w:r>
        <w:t xml:space="preserve"> suggest that the results may indicate a decreased muscle inflammation and turnover in the </w:t>
      </w:r>
      <w:proofErr w:type="spellStart"/>
      <w:r>
        <w:t>omaveloxolone</w:t>
      </w:r>
      <w:proofErr w:type="spellEnd"/>
      <w:r>
        <w:t xml:space="preserve"> treated patients.</w:t>
      </w:r>
    </w:p>
    <w:p w14:paraId="784EE0C4" w14:textId="77777777" w:rsidR="00460882" w:rsidRDefault="00460882">
      <w:r>
        <w:br w:type="page"/>
      </w:r>
    </w:p>
    <w:p w14:paraId="7EEFB9CF" w14:textId="122A3563" w:rsidR="00FE583D" w:rsidRDefault="00FE583D" w:rsidP="00FE583D">
      <w:r>
        <w:lastRenderedPageBreak/>
        <w:t xml:space="preserve">Regarding ferritin levels: </w:t>
      </w:r>
      <w:proofErr w:type="spellStart"/>
      <w:r w:rsidRPr="00847A83">
        <w:t>Omaveloxolone</w:t>
      </w:r>
      <w:proofErr w:type="spellEnd"/>
      <w:r w:rsidRPr="00847A83">
        <w:t xml:space="preserve">-treated patients had increased values of ferritin. 1 (3.2%) </w:t>
      </w:r>
      <w:proofErr w:type="spellStart"/>
      <w:r w:rsidRPr="00847A83">
        <w:t>omaveloxolone</w:t>
      </w:r>
      <w:proofErr w:type="spellEnd"/>
      <w:r w:rsidRPr="00847A83">
        <w:t xml:space="preserve">-treated patient had ≥1 on-treatment high ferritin values compared to 0 placebo treated patients. </w:t>
      </w:r>
      <w:proofErr w:type="spellStart"/>
      <w:r w:rsidRPr="00847A83">
        <w:t>Omaveloxolone</w:t>
      </w:r>
      <w:proofErr w:type="spellEnd"/>
      <w:r w:rsidRPr="00847A83">
        <w:t xml:space="preserve"> treated patients had a mean (±SD) change from baseline of 20.09 ± 41.570 ng/mL at Week 48 versus a mean (±SD) change from baseline of 1.38 ± 22.225 ng/mL in placebo-treated patients.</w:t>
      </w:r>
      <w:r w:rsidRPr="00FB6C1C">
        <w:t xml:space="preserve"> The </w:t>
      </w:r>
      <w:r w:rsidR="007B6B69">
        <w:t>sponsor</w:t>
      </w:r>
      <w:r w:rsidRPr="00FB6C1C">
        <w:t xml:space="preserve"> suggest</w:t>
      </w:r>
      <w:r>
        <w:t>s</w:t>
      </w:r>
      <w:r w:rsidRPr="00FB6C1C">
        <w:t xml:space="preserve"> that since Nrf2 induces the expression of the genes that encode the components of the ferritin complex, increases in ferritin likely reflect activation of Nrf2.</w:t>
      </w:r>
    </w:p>
    <w:p w14:paraId="4DB844F7" w14:textId="6FA7D59E" w:rsidR="00FE583D" w:rsidRDefault="00FE583D" w:rsidP="00FE583D">
      <w:r w:rsidRPr="00F67178">
        <w:t xml:space="preserve">A small decrease in magnesium were observed in the </w:t>
      </w:r>
      <w:proofErr w:type="spellStart"/>
      <w:r w:rsidRPr="00F67178">
        <w:t>omaveloxolone</w:t>
      </w:r>
      <w:proofErr w:type="spellEnd"/>
      <w:r w:rsidRPr="00F67178">
        <w:t xml:space="preserve"> treated patients, however, no patients reported magnesium values below the lower limit of normal in Analysis Set A.</w:t>
      </w:r>
      <w:r>
        <w:t xml:space="preserve"> Regarding serum potassium </w:t>
      </w:r>
      <w:proofErr w:type="spellStart"/>
      <w:r w:rsidRPr="00C548DF">
        <w:t>Omaveloxolone</w:t>
      </w:r>
      <w:proofErr w:type="spellEnd"/>
      <w:r w:rsidRPr="00C548DF">
        <w:t xml:space="preserve">-treated patients had a mean change from baseline of 0.14 ± 0.344 </w:t>
      </w:r>
      <w:proofErr w:type="spellStart"/>
      <w:r w:rsidRPr="00C548DF">
        <w:t>mEq</w:t>
      </w:r>
      <w:proofErr w:type="spellEnd"/>
      <w:r w:rsidRPr="00C548DF">
        <w:t xml:space="preserve">/L at Week 48 versus a mean change from baseline of -0.03 ± 0.375 </w:t>
      </w:r>
      <w:proofErr w:type="spellStart"/>
      <w:r w:rsidRPr="00C548DF">
        <w:t>mEq</w:t>
      </w:r>
      <w:proofErr w:type="spellEnd"/>
      <w:r w:rsidRPr="00C548DF">
        <w:t>/L in placebo-treated patients. No</w:t>
      </w:r>
      <w:r>
        <w:t xml:space="preserve"> </w:t>
      </w:r>
      <w:proofErr w:type="spellStart"/>
      <w:r w:rsidRPr="007B1112">
        <w:t>omaveloxolone</w:t>
      </w:r>
      <w:proofErr w:type="spellEnd"/>
      <w:r w:rsidRPr="007B1112">
        <w:t>-treated patients had ≥1 on-treatment high potassium values.</w:t>
      </w:r>
    </w:p>
    <w:p w14:paraId="313AA0DB" w14:textId="58E331A9" w:rsidR="00FE583D" w:rsidRDefault="00FE583D" w:rsidP="00FE583D">
      <w:r>
        <w:t xml:space="preserve">Regarding </w:t>
      </w:r>
      <w:r w:rsidR="00523928">
        <w:t>u</w:t>
      </w:r>
      <w:r>
        <w:t xml:space="preserve">ric acid, blood urea nitrogen and bicarbonate: </w:t>
      </w:r>
      <w:r w:rsidRPr="000D6816">
        <w:t xml:space="preserve">Mean decreases in uric acid, BUN and bicarbonate were observed in </w:t>
      </w:r>
      <w:proofErr w:type="spellStart"/>
      <w:r w:rsidRPr="000D6816">
        <w:t>omaveloxolone</w:t>
      </w:r>
      <w:proofErr w:type="spellEnd"/>
      <w:r w:rsidRPr="000D6816">
        <w:t xml:space="preserve">-treated patients in Analysis Set A. In </w:t>
      </w:r>
      <w:proofErr w:type="spellStart"/>
      <w:r w:rsidRPr="000D6816">
        <w:t>omaveloxolone</w:t>
      </w:r>
      <w:proofErr w:type="spellEnd"/>
      <w:r w:rsidRPr="000D6816">
        <w:t xml:space="preserve"> treated patients a mean change from baseline uric acid of -0.48 ± 0.800 mg/dL at Week 48 versus a mean change from baseline of -0.17 ± 0.679 mg/dL in </w:t>
      </w:r>
      <w:proofErr w:type="spellStart"/>
      <w:r w:rsidRPr="000D6816">
        <w:t>placebotreated</w:t>
      </w:r>
      <w:proofErr w:type="spellEnd"/>
      <w:r w:rsidRPr="000D6816">
        <w:t xml:space="preserve"> patients. A mean change from baseline BUN of -0.38 ± 2.740 mg/dL at Week 48 in </w:t>
      </w:r>
      <w:proofErr w:type="spellStart"/>
      <w:r w:rsidRPr="000D6816">
        <w:t>omaveloxolone</w:t>
      </w:r>
      <w:proofErr w:type="spellEnd"/>
      <w:r w:rsidRPr="000D6816">
        <w:t xml:space="preserve"> treated patients versus a mean change from baseline of -0.20 ± 2.262 mg/dL in placebo-treated patients was observed. </w:t>
      </w:r>
      <w:proofErr w:type="spellStart"/>
      <w:r w:rsidRPr="000D6816">
        <w:t>Omaveloxolone</w:t>
      </w:r>
      <w:proofErr w:type="spellEnd"/>
      <w:r w:rsidRPr="000D6816">
        <w:t xml:space="preserve">-treated patients in Analysis Set A had a mean change from baseline bicarbonate of - 0.51 ± 2.585 </w:t>
      </w:r>
      <w:proofErr w:type="spellStart"/>
      <w:r w:rsidRPr="000D6816">
        <w:t>mEq</w:t>
      </w:r>
      <w:proofErr w:type="spellEnd"/>
      <w:r w:rsidRPr="000D6816">
        <w:t xml:space="preserve">/L at Week 48 versus a mean change from baseline of -0.32 ± 2.082 </w:t>
      </w:r>
      <w:proofErr w:type="spellStart"/>
      <w:r w:rsidRPr="000D6816">
        <w:t>mEq</w:t>
      </w:r>
      <w:proofErr w:type="spellEnd"/>
      <w:r w:rsidRPr="000D6816">
        <w:t xml:space="preserve">/L in placebo-treated patients. 3 (6.0%) patients in the </w:t>
      </w:r>
      <w:proofErr w:type="spellStart"/>
      <w:r w:rsidRPr="000D6816">
        <w:t>omaveloxolone</w:t>
      </w:r>
      <w:proofErr w:type="spellEnd"/>
      <w:r w:rsidRPr="000D6816">
        <w:t xml:space="preserve"> group had abnormal low bicarbonate versus 0 in the placebo group. The </w:t>
      </w:r>
      <w:r w:rsidR="007B6B69">
        <w:t>sponsor</w:t>
      </w:r>
      <w:r w:rsidRPr="000D6816">
        <w:t xml:space="preserve"> suggest</w:t>
      </w:r>
      <w:r>
        <w:t>s</w:t>
      </w:r>
      <w:r w:rsidRPr="000D6816">
        <w:t xml:space="preserve"> the decreased uric acid, BUS and bicarbonate are due to increased kidney function.</w:t>
      </w:r>
    </w:p>
    <w:p w14:paraId="10540435" w14:textId="77777777" w:rsidR="00FE583D" w:rsidRPr="009F2D45" w:rsidRDefault="00FE583D" w:rsidP="00AF685B">
      <w:pPr>
        <w:pStyle w:val="Heading6"/>
        <w:rPr>
          <w:i w:val="0"/>
          <w:iCs/>
        </w:rPr>
      </w:pPr>
      <w:r w:rsidRPr="009F2D45">
        <w:rPr>
          <w:i w:val="0"/>
          <w:iCs/>
        </w:rPr>
        <w:t>Safety in special populations</w:t>
      </w:r>
    </w:p>
    <w:p w14:paraId="02320CD2" w14:textId="77777777" w:rsidR="00FE583D" w:rsidRDefault="00FE583D" w:rsidP="00FE583D">
      <w:pPr>
        <w:rPr>
          <w:b/>
          <w:bCs/>
        </w:rPr>
      </w:pPr>
      <w:r w:rsidRPr="00AD542F">
        <w:rPr>
          <w:b/>
          <w:bCs/>
        </w:rPr>
        <w:t>Age</w:t>
      </w:r>
    </w:p>
    <w:p w14:paraId="5522842B" w14:textId="77777777" w:rsidR="00FE583D" w:rsidRDefault="00FE583D" w:rsidP="00FE583D">
      <w:r>
        <w:t>There were a</w:t>
      </w:r>
      <w:r w:rsidRPr="00FE6C38">
        <w:t xml:space="preserve"> small number of adolescent patients (n=9), no individual PT in these SOCs was reported with a notably different frequency in adolescent and adult patients.</w:t>
      </w:r>
      <w:r>
        <w:t xml:space="preserve"> </w:t>
      </w:r>
      <w:r w:rsidRPr="00FA3627">
        <w:t>Due to the small number of adolescent patients, results should be interpreted with caution.</w:t>
      </w:r>
    </w:p>
    <w:p w14:paraId="28354216" w14:textId="77777777" w:rsidR="00FE583D" w:rsidRDefault="00FE583D" w:rsidP="00FE583D">
      <w:pPr>
        <w:rPr>
          <w:b/>
          <w:bCs/>
        </w:rPr>
      </w:pPr>
      <w:r w:rsidRPr="00FA3627">
        <w:rPr>
          <w:b/>
          <w:bCs/>
        </w:rPr>
        <w:t>Sex</w:t>
      </w:r>
    </w:p>
    <w:p w14:paraId="1E351605" w14:textId="77777777" w:rsidR="00FE583D" w:rsidRDefault="00FE583D" w:rsidP="00FE583D">
      <w:r w:rsidRPr="00BD4663">
        <w:t>Overall, the incidence of TEAEs by sex was not meaningfully different across treatment groups, because 100% of patients reported a TEAE.</w:t>
      </w:r>
    </w:p>
    <w:p w14:paraId="759A70FD" w14:textId="77777777" w:rsidR="00FE583D" w:rsidRDefault="00FE583D" w:rsidP="00FE583D">
      <w:pPr>
        <w:rPr>
          <w:b/>
          <w:bCs/>
        </w:rPr>
      </w:pPr>
      <w:r w:rsidRPr="00C120B4">
        <w:rPr>
          <w:b/>
          <w:bCs/>
        </w:rPr>
        <w:t>Pes Cavus status</w:t>
      </w:r>
    </w:p>
    <w:p w14:paraId="40ED9C6F" w14:textId="72EF5261" w:rsidR="00FE583D" w:rsidRDefault="00FE583D" w:rsidP="00FE583D">
      <w:r w:rsidRPr="00C120B4">
        <w:t xml:space="preserve">In Analysis Set A, </w:t>
      </w:r>
      <w:proofErr w:type="gramStart"/>
      <w:r w:rsidRPr="00C120B4">
        <w:t>the majority of</w:t>
      </w:r>
      <w:proofErr w:type="gramEnd"/>
      <w:r w:rsidRPr="00C120B4">
        <w:t xml:space="preserve"> patients in both treatment groups did not have pes </w:t>
      </w:r>
      <w:proofErr w:type="spellStart"/>
      <w:r w:rsidRPr="00C120B4">
        <w:t>cavus</w:t>
      </w:r>
      <w:proofErr w:type="spellEnd"/>
      <w:r w:rsidRPr="00C120B4">
        <w:t xml:space="preserve"> (</w:t>
      </w:r>
      <w:proofErr w:type="spellStart"/>
      <w:r w:rsidRPr="00C120B4">
        <w:t>omaveloxolone</w:t>
      </w:r>
      <w:proofErr w:type="spellEnd"/>
      <w:r w:rsidRPr="00C120B4">
        <w:t xml:space="preserve">, 80.4%; placebo, 80.8%). There were only 10 </w:t>
      </w:r>
      <w:proofErr w:type="spellStart"/>
      <w:r w:rsidRPr="00C120B4">
        <w:t>omaveloxolone</w:t>
      </w:r>
      <w:proofErr w:type="spellEnd"/>
      <w:r w:rsidRPr="00C120B4">
        <w:t xml:space="preserve">-treated patients and 10 placebo-treated patients who did have pes </w:t>
      </w:r>
      <w:proofErr w:type="spellStart"/>
      <w:r w:rsidRPr="00C120B4">
        <w:t>cavus</w:t>
      </w:r>
      <w:proofErr w:type="spellEnd"/>
      <w:r w:rsidR="003C6C52">
        <w:t>.</w:t>
      </w:r>
      <w:r w:rsidR="007F6843">
        <w:t xml:space="preserve"> </w:t>
      </w:r>
      <w:r w:rsidR="003C6C52">
        <w:t>T</w:t>
      </w:r>
      <w:r w:rsidRPr="00C120B4">
        <w:t xml:space="preserve">herefore, TEAE results should be interpreted with caution. Overall, the incidence of TEAEs by pes </w:t>
      </w:r>
      <w:proofErr w:type="spellStart"/>
      <w:r w:rsidRPr="00C120B4">
        <w:t>cavus</w:t>
      </w:r>
      <w:proofErr w:type="spellEnd"/>
      <w:r w:rsidRPr="00C120B4">
        <w:t xml:space="preserve"> status was not meaningfully different across treatment groups, because 100% of patients reported a TEAE.</w:t>
      </w:r>
    </w:p>
    <w:p w14:paraId="76973858" w14:textId="77777777" w:rsidR="00FE583D" w:rsidRDefault="00FE583D" w:rsidP="00FE583D">
      <w:pPr>
        <w:rPr>
          <w:b/>
          <w:bCs/>
        </w:rPr>
      </w:pPr>
      <w:r w:rsidRPr="00A35B32">
        <w:rPr>
          <w:b/>
          <w:bCs/>
        </w:rPr>
        <w:t>Use in pregnancy and lactation</w:t>
      </w:r>
    </w:p>
    <w:p w14:paraId="225988FF" w14:textId="4CFDE4BB" w:rsidR="00FE583D" w:rsidRDefault="00D86D44" w:rsidP="00FE583D">
      <w:proofErr w:type="spellStart"/>
      <w:r>
        <w:t>O</w:t>
      </w:r>
      <w:r w:rsidR="00FE583D" w:rsidRPr="00A35B32">
        <w:t>maveloxolone</w:t>
      </w:r>
      <w:proofErr w:type="spellEnd"/>
      <w:r w:rsidR="00FE583D" w:rsidRPr="00A35B32">
        <w:t xml:space="preserve"> ha</w:t>
      </w:r>
      <w:r w:rsidR="00B66F35">
        <w:t>s</w:t>
      </w:r>
      <w:r w:rsidR="00FE583D" w:rsidRPr="00A35B32">
        <w:t xml:space="preserve"> not been investigated in pregnant or breastfeeding woman. Pregnancy and breastfeeding were criteria for permanent discontinuation in all </w:t>
      </w:r>
      <w:proofErr w:type="spellStart"/>
      <w:r w:rsidR="00FE583D" w:rsidRPr="00A35B32">
        <w:t>omaveloxolone</w:t>
      </w:r>
      <w:proofErr w:type="spellEnd"/>
      <w:r w:rsidR="00FE583D" w:rsidRPr="00A35B32">
        <w:t xml:space="preserve"> studies and women and men with reproductive potential were required to use a reliable method of birth control during the clinical studies. No women who were exposed to </w:t>
      </w:r>
      <w:proofErr w:type="spellStart"/>
      <w:r w:rsidR="00FE583D" w:rsidRPr="00A35B32">
        <w:t>omaveloxolone</w:t>
      </w:r>
      <w:proofErr w:type="spellEnd"/>
      <w:r w:rsidR="00FE583D" w:rsidRPr="00A35B32">
        <w:t xml:space="preserve"> became pregnant during any </w:t>
      </w:r>
      <w:proofErr w:type="spellStart"/>
      <w:r w:rsidR="00FE583D" w:rsidRPr="00A35B32">
        <w:t>omaveloxolone</w:t>
      </w:r>
      <w:proofErr w:type="spellEnd"/>
      <w:r w:rsidR="00FE583D" w:rsidRPr="00A35B32">
        <w:t xml:space="preserve"> study. Additionally, there were no pregnancies in partners of male patients exposed to </w:t>
      </w:r>
      <w:proofErr w:type="spellStart"/>
      <w:r w:rsidR="00FE583D" w:rsidRPr="00A35B32">
        <w:t>omaveloxolone</w:t>
      </w:r>
      <w:proofErr w:type="spellEnd"/>
      <w:r w:rsidR="00FE583D" w:rsidRPr="00A35B32">
        <w:t xml:space="preserve"> during their participation in a study</w:t>
      </w:r>
      <w:r w:rsidR="00FE583D">
        <w:t>.</w:t>
      </w:r>
    </w:p>
    <w:p w14:paraId="069175DE" w14:textId="77777777" w:rsidR="001008D2" w:rsidRDefault="001008D2">
      <w:pPr>
        <w:rPr>
          <w:b/>
          <w:bCs/>
        </w:rPr>
      </w:pPr>
      <w:r>
        <w:rPr>
          <w:b/>
          <w:bCs/>
        </w:rPr>
        <w:br w:type="page"/>
      </w:r>
    </w:p>
    <w:p w14:paraId="5FE97062" w14:textId="4AD5C91F" w:rsidR="00FE583D" w:rsidRPr="00E123A0" w:rsidRDefault="00FE583D" w:rsidP="00FE583D">
      <w:pPr>
        <w:rPr>
          <w:b/>
          <w:bCs/>
        </w:rPr>
      </w:pPr>
      <w:r w:rsidRPr="00E123A0">
        <w:rPr>
          <w:b/>
          <w:bCs/>
        </w:rPr>
        <w:lastRenderedPageBreak/>
        <w:t xml:space="preserve">Overdose </w:t>
      </w:r>
    </w:p>
    <w:p w14:paraId="19893FF6" w14:textId="2A9421B4" w:rsidR="00FE583D" w:rsidRDefault="00FE583D" w:rsidP="00FE583D">
      <w:r w:rsidRPr="00E123A0">
        <w:t xml:space="preserve">The </w:t>
      </w:r>
      <w:r>
        <w:t>highest doses used are from</w:t>
      </w:r>
      <w:r w:rsidRPr="00E123A0">
        <w:t xml:space="preserve"> Study 1402 </w:t>
      </w:r>
      <w:r w:rsidR="00E03CF5">
        <w:t>p</w:t>
      </w:r>
      <w:r w:rsidRPr="00E123A0">
        <w:t>art 1 in doses up to 300 mg (up to 12 weeks)</w:t>
      </w:r>
      <w:r>
        <w:t xml:space="preserve">. No other specific human data with </w:t>
      </w:r>
      <w:proofErr w:type="spellStart"/>
      <w:r>
        <w:t>omaveloxolone</w:t>
      </w:r>
      <w:proofErr w:type="spellEnd"/>
      <w:r>
        <w:t xml:space="preserve"> overdose is available.</w:t>
      </w:r>
    </w:p>
    <w:p w14:paraId="41678A79" w14:textId="77777777" w:rsidR="00FE583D" w:rsidRPr="006C6728" w:rsidRDefault="00FE583D" w:rsidP="00FE583D">
      <w:pPr>
        <w:rPr>
          <w:b/>
          <w:bCs/>
        </w:rPr>
      </w:pPr>
      <w:r w:rsidRPr="006C6728">
        <w:rPr>
          <w:b/>
          <w:bCs/>
        </w:rPr>
        <w:t>Drug abuse potential</w:t>
      </w:r>
    </w:p>
    <w:p w14:paraId="3C381016" w14:textId="5BEE2F30" w:rsidR="00FE583D" w:rsidRDefault="00FE583D" w:rsidP="00FE583D">
      <w:r w:rsidRPr="006126AE">
        <w:t xml:space="preserve">Based on its mechanism of action, </w:t>
      </w:r>
      <w:proofErr w:type="spellStart"/>
      <w:r w:rsidRPr="006126AE">
        <w:t>omaveloxolone</w:t>
      </w:r>
      <w:proofErr w:type="spellEnd"/>
      <w:r w:rsidRPr="006126AE">
        <w:t xml:space="preserve"> is not considered a drug for potential abuse and a drug abuse study was not conducted. This is acknowledged.</w:t>
      </w:r>
    </w:p>
    <w:p w14:paraId="4DCDE473" w14:textId="77777777" w:rsidR="00FE583D" w:rsidRDefault="00FE583D" w:rsidP="00FE583D">
      <w:pPr>
        <w:rPr>
          <w:b/>
          <w:bCs/>
        </w:rPr>
      </w:pPr>
      <w:r w:rsidRPr="00DA437D">
        <w:rPr>
          <w:b/>
          <w:bCs/>
        </w:rPr>
        <w:t>Effects on the Ability to Drive or Operate Machinery or Impairment of Mental Ability</w:t>
      </w:r>
    </w:p>
    <w:p w14:paraId="6EC1DC0D" w14:textId="6EDD4B4E" w:rsidR="00FE583D" w:rsidRDefault="00FE583D" w:rsidP="00FE583D">
      <w:r w:rsidRPr="00DA437D">
        <w:t xml:space="preserve">Somnolence </w:t>
      </w:r>
      <w:r w:rsidR="00AC61DF">
        <w:t>was</w:t>
      </w:r>
      <w:r w:rsidR="00AC61DF" w:rsidRPr="00DA437D">
        <w:t xml:space="preserve"> </w:t>
      </w:r>
      <w:r w:rsidRPr="00DA437D">
        <w:t xml:space="preserve">reported in 2 (3.9%) patients in the </w:t>
      </w:r>
      <w:proofErr w:type="spellStart"/>
      <w:r w:rsidRPr="00DA437D">
        <w:t>omaveloxolone</w:t>
      </w:r>
      <w:proofErr w:type="spellEnd"/>
      <w:r w:rsidRPr="00DA437D">
        <w:t xml:space="preserve"> treatment group and </w:t>
      </w:r>
      <w:r w:rsidR="00AC61DF">
        <w:t>no patients</w:t>
      </w:r>
      <w:r w:rsidR="00AC61DF" w:rsidRPr="00DA437D">
        <w:t xml:space="preserve"> </w:t>
      </w:r>
      <w:r w:rsidRPr="00DA437D">
        <w:t>in the placebo group in Analysis Set A.</w:t>
      </w:r>
    </w:p>
    <w:p w14:paraId="60A7C1CB" w14:textId="7CB491ED" w:rsidR="00FE583D" w:rsidRDefault="00FE583D" w:rsidP="00FE583D">
      <w:pPr>
        <w:pStyle w:val="Heading6"/>
        <w:rPr>
          <w:b w:val="0"/>
          <w:bCs w:val="0"/>
        </w:rPr>
      </w:pPr>
      <w:r>
        <w:rPr>
          <w:bCs w:val="0"/>
        </w:rPr>
        <w:t>Safety a</w:t>
      </w:r>
      <w:r w:rsidRPr="005A360F">
        <w:rPr>
          <w:bCs w:val="0"/>
        </w:rPr>
        <w:t>nalysis set C</w:t>
      </w:r>
      <w:r w:rsidRPr="005A360F">
        <w:t xml:space="preserve"> </w:t>
      </w:r>
      <w:r>
        <w:t xml:space="preserve">- (includes </w:t>
      </w:r>
      <w:r w:rsidRPr="000B0401">
        <w:rPr>
          <w:bCs w:val="0"/>
        </w:rPr>
        <w:t>study 1402 extension</w:t>
      </w:r>
      <w:r>
        <w:rPr>
          <w:bCs w:val="0"/>
        </w:rPr>
        <w:t>)</w:t>
      </w:r>
    </w:p>
    <w:p w14:paraId="1EC266DC" w14:textId="1F7E0FBC" w:rsidR="00FE583D" w:rsidRDefault="00FE583D" w:rsidP="00FE583D">
      <w:r>
        <w:t>This section includes safety analysis of set C, which</w:t>
      </w:r>
      <w:r w:rsidRPr="001B2517">
        <w:t xml:space="preserve"> </w:t>
      </w:r>
      <w:r w:rsidR="005F39AB">
        <w:t>i</w:t>
      </w:r>
      <w:r w:rsidRPr="001B2517">
        <w:t xml:space="preserve">ncludes data from all </w:t>
      </w:r>
      <w:proofErr w:type="spellStart"/>
      <w:r w:rsidRPr="001B2517">
        <w:t>omaveloxolone</w:t>
      </w:r>
      <w:proofErr w:type="spellEnd"/>
      <w:r w:rsidRPr="001B2517">
        <w:t>-treated patients (no placebo-treated patients) regardless of dose</w:t>
      </w:r>
      <w:r w:rsidR="005F39AB">
        <w:t>,</w:t>
      </w:r>
      <w:r w:rsidRPr="001B2517">
        <w:t xml:space="preserve"> from all studies in patients with FA (i</w:t>
      </w:r>
      <w:r w:rsidR="003C4118">
        <w:t>.</w:t>
      </w:r>
      <w:r w:rsidRPr="001B2517">
        <w:t>e</w:t>
      </w:r>
      <w:r w:rsidR="00DF145D">
        <w:t>.</w:t>
      </w:r>
      <w:r w:rsidRPr="001B2517">
        <w:t xml:space="preserve"> Study 1402 Part 1, Study 1402 Part 2, and Study 1402 Extension)</w:t>
      </w:r>
      <w:r>
        <w:t>.</w:t>
      </w:r>
    </w:p>
    <w:p w14:paraId="22F0BECB" w14:textId="674DCCDA" w:rsidR="00FE583D" w:rsidRDefault="00FE583D" w:rsidP="00FE583D">
      <w:r w:rsidRPr="00184FC3">
        <w:t xml:space="preserve">Overall, at least 1 TEAE occurred in 98.2% of </w:t>
      </w:r>
      <w:proofErr w:type="spellStart"/>
      <w:r w:rsidRPr="00184FC3">
        <w:t>omaveloxolone</w:t>
      </w:r>
      <w:proofErr w:type="spellEnd"/>
      <w:r w:rsidRPr="00184FC3">
        <w:t xml:space="preserve"> treated patients</w:t>
      </w:r>
      <w:r w:rsidR="00740FC5">
        <w:t xml:space="preserve"> (table 4</w:t>
      </w:r>
      <w:r w:rsidR="00A77E08">
        <w:t>2</w:t>
      </w:r>
      <w:r w:rsidR="00740FC5">
        <w:t>)</w:t>
      </w:r>
      <w:r w:rsidRPr="00184FC3">
        <w:t xml:space="preserve">. The overall pattern of TEAEs </w:t>
      </w:r>
      <w:r w:rsidRPr="00460882">
        <w:t xml:space="preserve">in </w:t>
      </w:r>
      <w:r w:rsidR="00460882">
        <w:t>A</w:t>
      </w:r>
      <w:r w:rsidRPr="00460882">
        <w:t xml:space="preserve">nalysis </w:t>
      </w:r>
      <w:r w:rsidR="00460882">
        <w:t>S</w:t>
      </w:r>
      <w:r w:rsidRPr="00460882">
        <w:t xml:space="preserve">et C </w:t>
      </w:r>
      <w:r w:rsidR="00DF145D" w:rsidRPr="00460882">
        <w:t xml:space="preserve">was </w:t>
      </w:r>
      <w:r w:rsidRPr="00460882">
        <w:t>comparable to Analysis Set A</w:t>
      </w:r>
      <w:r w:rsidRPr="00184FC3">
        <w:t xml:space="preserve">. However, the percentage of patients who discontinued study drug due to TEAEs (9.1%) and interrupted </w:t>
      </w:r>
      <w:proofErr w:type="spellStart"/>
      <w:r w:rsidRPr="00184FC3">
        <w:t>omaveloxolone</w:t>
      </w:r>
      <w:proofErr w:type="spellEnd"/>
      <w:r w:rsidRPr="00184FC3">
        <w:t xml:space="preserve"> use (23.6%) due to TEAEs, was greater than that of the </w:t>
      </w:r>
      <w:proofErr w:type="spellStart"/>
      <w:r w:rsidRPr="00184FC3">
        <w:t>omaveloxolone</w:t>
      </w:r>
      <w:proofErr w:type="spellEnd"/>
      <w:r w:rsidRPr="00184FC3">
        <w:t>-treated patients in Analysis Set A (7.8% and 17.6%, respectively). No deaths were reported in Analysis Set C.</w:t>
      </w:r>
      <w:r>
        <w:t xml:space="preserve"> This is shown in table 34. </w:t>
      </w:r>
      <w:r w:rsidRPr="00DE61EA">
        <w:t xml:space="preserve">The majority of the most common TEAEs in either group were mild to moderate in severity. </w:t>
      </w:r>
      <w:r w:rsidR="00551E74">
        <w:t>Twenty-one</w:t>
      </w:r>
      <w:r w:rsidR="00D47B93" w:rsidRPr="00DE61EA">
        <w:t xml:space="preserve"> </w:t>
      </w:r>
      <w:r w:rsidRPr="00DE61EA">
        <w:t xml:space="preserve">(12.7%) </w:t>
      </w:r>
      <w:proofErr w:type="spellStart"/>
      <w:r w:rsidRPr="00DE61EA">
        <w:t>omaveloxolone</w:t>
      </w:r>
      <w:proofErr w:type="spellEnd"/>
      <w:r w:rsidRPr="00DE61EA">
        <w:t>-treated patients experienced severe TEAEs. 4 (2.4%) experienced severe TEAEs within the SOC Infections and infestations (2 corona virus infection, 1 influenza and 1 gastroenteritis)</w:t>
      </w:r>
      <w:r>
        <w:t xml:space="preserve">. </w:t>
      </w:r>
      <w:r w:rsidR="00D47B93">
        <w:t>One</w:t>
      </w:r>
      <w:r w:rsidR="00D47B93" w:rsidRPr="000C560B">
        <w:t xml:space="preserve"> </w:t>
      </w:r>
      <w:r w:rsidRPr="000C560B">
        <w:t xml:space="preserve">additional </w:t>
      </w:r>
      <w:proofErr w:type="spellStart"/>
      <w:r w:rsidRPr="000C560B">
        <w:t>omaveloxolone</w:t>
      </w:r>
      <w:proofErr w:type="spellEnd"/>
      <w:r>
        <w:t xml:space="preserve"> </w:t>
      </w:r>
      <w:r w:rsidRPr="000C560B">
        <w:t xml:space="preserve">treated patient reported a severe event of ALT increased, 1 additional </w:t>
      </w:r>
      <w:proofErr w:type="spellStart"/>
      <w:r w:rsidRPr="000C560B">
        <w:t>omaveloxolone</w:t>
      </w:r>
      <w:proofErr w:type="spellEnd"/>
      <w:r w:rsidRPr="000C560B">
        <w:t>-treated patient reported a severe suicide attempt and 1 severe TEAE of acute left ventricular failure were also reported.</w:t>
      </w:r>
    </w:p>
    <w:p w14:paraId="08D4466B" w14:textId="4D01B239" w:rsidR="00FE583D" w:rsidRPr="005F3F8E" w:rsidRDefault="00FE583D" w:rsidP="003C4118">
      <w:pPr>
        <w:pStyle w:val="TableTitle"/>
      </w:pPr>
      <w:r w:rsidRPr="005F3F8E">
        <w:lastRenderedPageBreak/>
        <w:t xml:space="preserve">Table </w:t>
      </w:r>
      <w:fldSimple w:instr=" SEQ Table \* ARABIC ">
        <w:r>
          <w:rPr>
            <w:noProof/>
          </w:rPr>
          <w:t>4</w:t>
        </w:r>
        <w:r w:rsidR="001008D2">
          <w:rPr>
            <w:noProof/>
          </w:rPr>
          <w:t>2</w:t>
        </w:r>
      </w:fldSimple>
      <w:r w:rsidRPr="005F3F8E">
        <w:t>: Overview of TEAE</w:t>
      </w:r>
      <w:r w:rsidR="001259F5">
        <w:t>s</w:t>
      </w:r>
      <w:r w:rsidRPr="005F3F8E">
        <w:t xml:space="preserve"> (FA overall </w:t>
      </w:r>
      <w:proofErr w:type="spellStart"/>
      <w:r w:rsidRPr="005F3F8E">
        <w:t>omaveloxolone</w:t>
      </w:r>
      <w:proofErr w:type="spellEnd"/>
      <w:r w:rsidRPr="005F3F8E">
        <w:t xml:space="preserve"> exposure </w:t>
      </w:r>
      <w:r w:rsidR="0073146C">
        <w:t>I</w:t>
      </w:r>
      <w:r w:rsidRPr="005F3F8E">
        <w:t xml:space="preserve">ntegrated </w:t>
      </w:r>
      <w:r w:rsidR="0073146C">
        <w:t>A</w:t>
      </w:r>
      <w:r w:rsidRPr="005F3F8E">
        <w:t>nalysis</w:t>
      </w:r>
      <w:r w:rsidR="003C4118">
        <w:br/>
      </w:r>
      <w:r w:rsidR="0073146C">
        <w:t>S</w:t>
      </w:r>
      <w:r w:rsidRPr="005F3F8E">
        <w:t>et C)</w:t>
      </w:r>
    </w:p>
    <w:p w14:paraId="529E3416" w14:textId="77777777" w:rsidR="00FE583D" w:rsidRDefault="00FE583D" w:rsidP="00FE583D">
      <w:r w:rsidRPr="00870B64">
        <w:rPr>
          <w:noProof/>
        </w:rPr>
        <w:drawing>
          <wp:inline distT="0" distB="0" distL="0" distR="0" wp14:anchorId="76D8704E" wp14:editId="115C5196">
            <wp:extent cx="5439534" cy="6954220"/>
            <wp:effectExtent l="0" t="0" r="8890" b="0"/>
            <wp:docPr id="58" name="Picture 58" descr="Table 41: Overview of TEAE (FA overall omaveloxolone exposure integrated analysis set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able 41: Overview of TEAE (FA overall omaveloxolone exposure integrated analysis set C)&#10;"/>
                    <pic:cNvPicPr/>
                  </pic:nvPicPr>
                  <pic:blipFill>
                    <a:blip r:embed="rId108"/>
                    <a:stretch>
                      <a:fillRect/>
                    </a:stretch>
                  </pic:blipFill>
                  <pic:spPr>
                    <a:xfrm>
                      <a:off x="0" y="0"/>
                      <a:ext cx="5439534" cy="6954220"/>
                    </a:xfrm>
                    <a:prstGeom prst="rect">
                      <a:avLst/>
                    </a:prstGeom>
                  </pic:spPr>
                </pic:pic>
              </a:graphicData>
            </a:graphic>
          </wp:inline>
        </w:drawing>
      </w:r>
    </w:p>
    <w:p w14:paraId="71DF04DA" w14:textId="77777777" w:rsidR="00041BE1" w:rsidRDefault="00041BE1">
      <w:r>
        <w:br w:type="page"/>
      </w:r>
    </w:p>
    <w:p w14:paraId="63AB7D9B" w14:textId="20F84D75" w:rsidR="006404B3" w:rsidRDefault="006404B3" w:rsidP="006404B3">
      <w:r>
        <w:lastRenderedPageBreak/>
        <w:t>T</w:t>
      </w:r>
      <w:r w:rsidRPr="00D95E36">
        <w:t>able</w:t>
      </w:r>
      <w:r>
        <w:t xml:space="preserve"> </w:t>
      </w:r>
      <w:r w:rsidR="00942A37">
        <w:t>4</w:t>
      </w:r>
      <w:r w:rsidR="001008D2">
        <w:t>3</w:t>
      </w:r>
      <w:r w:rsidR="00942A37">
        <w:t xml:space="preserve"> </w:t>
      </w:r>
      <w:r>
        <w:t xml:space="preserve">includes a </w:t>
      </w:r>
      <w:r w:rsidRPr="00D95E36">
        <w:t xml:space="preserve">summary of common TEAEs occurring in ≥10% of patients in </w:t>
      </w:r>
      <w:proofErr w:type="spellStart"/>
      <w:r w:rsidRPr="00D95E36">
        <w:t>omaveloxolone</w:t>
      </w:r>
      <w:proofErr w:type="spellEnd"/>
      <w:r w:rsidRPr="00D95E36">
        <w:t xml:space="preserve">-treated patients and with a difference in incidence of ≥2% between </w:t>
      </w:r>
      <w:proofErr w:type="spellStart"/>
      <w:r w:rsidRPr="00D95E36">
        <w:t>omaveloxolone</w:t>
      </w:r>
      <w:proofErr w:type="spellEnd"/>
      <w:r>
        <w:t xml:space="preserve"> </w:t>
      </w:r>
      <w:r w:rsidRPr="00D95E36">
        <w:t>treated patients and placebo-treated patients identified in Analysis Set A. All the above mentioned TEAEs were represented, which support the safety observations in Analysis A.</w:t>
      </w:r>
    </w:p>
    <w:p w14:paraId="44FE8936" w14:textId="77777777" w:rsidR="006404B3" w:rsidRDefault="006404B3" w:rsidP="006404B3">
      <w:r>
        <w:t>For analysis set C, t</w:t>
      </w:r>
      <w:r w:rsidRPr="00A703D6">
        <w:t xml:space="preserve">he frequency of serious TEAEs reported in </w:t>
      </w:r>
      <w:proofErr w:type="spellStart"/>
      <w:r w:rsidRPr="00A703D6">
        <w:t>omaveloxolone</w:t>
      </w:r>
      <w:proofErr w:type="spellEnd"/>
      <w:r w:rsidRPr="00A703D6">
        <w:t xml:space="preserve">-treated patients was </w:t>
      </w:r>
      <w:proofErr w:type="gramStart"/>
      <w:r w:rsidRPr="00A703D6">
        <w:t>similar to</w:t>
      </w:r>
      <w:proofErr w:type="gramEnd"/>
      <w:r w:rsidRPr="00A703D6">
        <w:t xml:space="preserve"> Analysis Set A (11.3% in the 150/160 mg dose).</w:t>
      </w:r>
    </w:p>
    <w:p w14:paraId="469040F4" w14:textId="77777777" w:rsidR="00041BE1" w:rsidRDefault="00041BE1" w:rsidP="003C4118">
      <w:pPr>
        <w:pStyle w:val="TableTitle"/>
      </w:pPr>
    </w:p>
    <w:p w14:paraId="1A411932" w14:textId="2C53071C" w:rsidR="00FE583D" w:rsidRPr="00EF04D7" w:rsidRDefault="00FE583D" w:rsidP="003C4118">
      <w:pPr>
        <w:pStyle w:val="TableTitle"/>
      </w:pPr>
      <w:r w:rsidRPr="00EF04D7">
        <w:t xml:space="preserve">Table </w:t>
      </w:r>
      <w:fldSimple w:instr=" SEQ Table \* ARABIC ">
        <w:r>
          <w:rPr>
            <w:noProof/>
          </w:rPr>
          <w:t>4</w:t>
        </w:r>
        <w:r w:rsidR="00A77E08">
          <w:rPr>
            <w:noProof/>
          </w:rPr>
          <w:t>3</w:t>
        </w:r>
      </w:fldSimple>
      <w:r w:rsidRPr="00EF04D7">
        <w:t xml:space="preserve">: Summary of TEAE occurring in ≥10% in the </w:t>
      </w:r>
      <w:proofErr w:type="spellStart"/>
      <w:r w:rsidRPr="00EF04D7">
        <w:t>omaveloxolone</w:t>
      </w:r>
      <w:proofErr w:type="spellEnd"/>
      <w:r w:rsidRPr="00EF04D7">
        <w:t xml:space="preserve"> treatment group with a difference in incidence of ≥2% in the </w:t>
      </w:r>
      <w:proofErr w:type="spellStart"/>
      <w:r w:rsidRPr="00EF04D7">
        <w:t>omaveloxolone</w:t>
      </w:r>
      <w:proofErr w:type="spellEnd"/>
      <w:r w:rsidRPr="00EF04D7">
        <w:t xml:space="preserve"> treatment group over placebo group in analysis set A. (FA overall </w:t>
      </w:r>
      <w:proofErr w:type="spellStart"/>
      <w:r w:rsidRPr="00EF04D7">
        <w:t>omaveloxolone</w:t>
      </w:r>
      <w:proofErr w:type="spellEnd"/>
      <w:r w:rsidRPr="00EF04D7">
        <w:t xml:space="preserve"> exposure integrated analysis set C)</w:t>
      </w:r>
      <w:r>
        <w:t xml:space="preserve"> </w:t>
      </w:r>
    </w:p>
    <w:p w14:paraId="4E70478A" w14:textId="77777777" w:rsidR="00FE583D" w:rsidRDefault="00FE583D" w:rsidP="00FE583D">
      <w:r w:rsidRPr="00601FB1">
        <w:rPr>
          <w:noProof/>
        </w:rPr>
        <w:drawing>
          <wp:inline distT="0" distB="0" distL="0" distR="0" wp14:anchorId="4677CFB6" wp14:editId="00CCA6D4">
            <wp:extent cx="5430008" cy="5849166"/>
            <wp:effectExtent l="0" t="0" r="0" b="0"/>
            <wp:docPr id="59" name="Picture 59" descr="Table 42: Summary of TEAE occurring in ≥10% in the omaveloxolone treatment group with a difference in incidence of ≥2% in the omaveloxolone treatment group over placebo group in analysis set A.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able 42: Summary of TEAE occurring in ≥10% in the omaveloxolone treatment group with a difference in incidence of ≥2% in the omaveloxolone treatment group over placebo group in analysis set A. (FA overall omaveloxolone exposure integrated analysis set C"/>
                    <pic:cNvPicPr/>
                  </pic:nvPicPr>
                  <pic:blipFill>
                    <a:blip r:embed="rId109"/>
                    <a:stretch>
                      <a:fillRect/>
                    </a:stretch>
                  </pic:blipFill>
                  <pic:spPr>
                    <a:xfrm>
                      <a:off x="0" y="0"/>
                      <a:ext cx="5430008" cy="5849166"/>
                    </a:xfrm>
                    <a:prstGeom prst="rect">
                      <a:avLst/>
                    </a:prstGeom>
                  </pic:spPr>
                </pic:pic>
              </a:graphicData>
            </a:graphic>
          </wp:inline>
        </w:drawing>
      </w:r>
    </w:p>
    <w:p w14:paraId="72364CA8" w14:textId="77777777" w:rsidR="0073146C" w:rsidRDefault="0073146C">
      <w:pPr>
        <w:rPr>
          <w:rFonts w:ascii="Arial" w:eastAsia="Times New Roman" w:hAnsi="Arial" w:cs="Times New Roman"/>
          <w:b/>
          <w:bCs/>
          <w:iCs/>
          <w:color w:val="001871"/>
          <w:sz w:val="24"/>
          <w:szCs w:val="21"/>
        </w:rPr>
      </w:pPr>
      <w:r>
        <w:rPr>
          <w:i/>
          <w:iCs/>
        </w:rPr>
        <w:br w:type="page"/>
      </w:r>
    </w:p>
    <w:p w14:paraId="264E7F3D" w14:textId="5AF488F0" w:rsidR="00FE583D" w:rsidRPr="00C517E2" w:rsidRDefault="00FE583D" w:rsidP="00D23361">
      <w:pPr>
        <w:pStyle w:val="Heading6"/>
        <w:rPr>
          <w:i w:val="0"/>
          <w:iCs/>
        </w:rPr>
      </w:pPr>
      <w:r w:rsidRPr="00C517E2">
        <w:rPr>
          <w:i w:val="0"/>
          <w:iCs/>
        </w:rPr>
        <w:lastRenderedPageBreak/>
        <w:t>Safety topics of interest</w:t>
      </w:r>
    </w:p>
    <w:p w14:paraId="2C740F05" w14:textId="77777777" w:rsidR="00FE583D" w:rsidRDefault="00FE583D" w:rsidP="00FE583D">
      <w:pPr>
        <w:rPr>
          <w:b/>
          <w:bCs/>
        </w:rPr>
      </w:pPr>
      <w:r w:rsidRPr="00047CC4">
        <w:rPr>
          <w:b/>
          <w:bCs/>
        </w:rPr>
        <w:t>Hepatic safety</w:t>
      </w:r>
    </w:p>
    <w:p w14:paraId="54CBC460" w14:textId="106765DC" w:rsidR="00027FAD" w:rsidRDefault="00FE583D" w:rsidP="00FE583D">
      <w:r w:rsidRPr="00101E64">
        <w:t xml:space="preserve">The increase in ALT and AST </w:t>
      </w:r>
      <w:proofErr w:type="gramStart"/>
      <w:r w:rsidRPr="00101E64">
        <w:t>were</w:t>
      </w:r>
      <w:proofErr w:type="gramEnd"/>
      <w:r w:rsidRPr="00101E64">
        <w:t xml:space="preserve"> similar in Analysis Set C with a peak in week 2</w:t>
      </w:r>
      <w:r w:rsidR="008F6A2E">
        <w:t>4</w:t>
      </w:r>
      <w:r w:rsidRPr="00101E64">
        <w:t xml:space="preserve"> and a decline through week 48. When looking at the mean absolute ALT and AST levels to week 168, there is a peak again in week 72 and subsequently a decline again</w:t>
      </w:r>
      <w:r w:rsidR="00BA3C49">
        <w:t xml:space="preserve"> (figures 2</w:t>
      </w:r>
      <w:r w:rsidR="003C323A">
        <w:t>5</w:t>
      </w:r>
      <w:r w:rsidR="00BA3C49">
        <w:t xml:space="preserve"> and 2</w:t>
      </w:r>
      <w:r w:rsidR="003C323A">
        <w:t>6</w:t>
      </w:r>
      <w:r w:rsidR="00BA3C49">
        <w:t>)</w:t>
      </w:r>
      <w:r w:rsidRPr="00101E64">
        <w:t>.</w:t>
      </w:r>
      <w:r>
        <w:t xml:space="preserve"> </w:t>
      </w:r>
    </w:p>
    <w:p w14:paraId="69D91D60" w14:textId="42B13F5B" w:rsidR="00027FAD" w:rsidRDefault="00027FAD" w:rsidP="001C6552">
      <w:pPr>
        <w:pStyle w:val="FigureTitle"/>
      </w:pPr>
    </w:p>
    <w:p w14:paraId="1B7758E0" w14:textId="0156F0D2" w:rsidR="001C6552" w:rsidRPr="008C6CC7" w:rsidRDefault="001C6552" w:rsidP="001C6552">
      <w:pPr>
        <w:pStyle w:val="FigureTitle"/>
      </w:pPr>
      <w:r w:rsidRPr="008C6CC7">
        <w:t xml:space="preserve">Figure </w:t>
      </w:r>
      <w:fldSimple w:instr=" SEQ Figure \* ARABIC ">
        <w:r>
          <w:rPr>
            <w:noProof/>
          </w:rPr>
          <w:t>2</w:t>
        </w:r>
        <w:r w:rsidR="003C323A">
          <w:rPr>
            <w:noProof/>
          </w:rPr>
          <w:t>5</w:t>
        </w:r>
      </w:fldSimple>
      <w:r>
        <w:t xml:space="preserve">: </w:t>
      </w:r>
      <w:r w:rsidRPr="008C6CC7">
        <w:t xml:space="preserve">Mean absolute ALT levels (U/L), baseline to week 168 (FA overall </w:t>
      </w:r>
      <w:proofErr w:type="spellStart"/>
      <w:r w:rsidRPr="008C6CC7">
        <w:t>omaveloxolone</w:t>
      </w:r>
      <w:proofErr w:type="spellEnd"/>
      <w:r w:rsidRPr="008C6CC7">
        <w:t xml:space="preserve"> exposure </w:t>
      </w:r>
      <w:r w:rsidR="00E02097">
        <w:t>I</w:t>
      </w:r>
      <w:r w:rsidRPr="008C6CC7">
        <w:t>ntegrated</w:t>
      </w:r>
      <w:r w:rsidR="00E02097">
        <w:t xml:space="preserve"> An</w:t>
      </w:r>
      <w:r w:rsidRPr="008C6CC7">
        <w:t xml:space="preserve">alysis </w:t>
      </w:r>
      <w:r w:rsidR="00E02097">
        <w:t>S</w:t>
      </w:r>
      <w:r w:rsidRPr="008C6CC7">
        <w:t>et C)</w:t>
      </w:r>
    </w:p>
    <w:p w14:paraId="4C993FC6" w14:textId="77777777" w:rsidR="001C6552" w:rsidRDefault="001C6552" w:rsidP="001C6552">
      <w:r w:rsidRPr="0083711F">
        <w:rPr>
          <w:noProof/>
        </w:rPr>
        <w:drawing>
          <wp:inline distT="0" distB="0" distL="0" distR="0" wp14:anchorId="0DA99454" wp14:editId="3DAC1F4D">
            <wp:extent cx="5938520" cy="3808095"/>
            <wp:effectExtent l="0" t="0" r="5080" b="1905"/>
            <wp:docPr id="803369533" name="Picture 803369533" descr="Figure 24: Mean absolute ALT levels (U/L), baseline to week 168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Figure 24: Mean absolute ALT levels (U/L), baseline to week 168 (FA overall omaveloxolone exposure integrated analysis set C)"/>
                    <pic:cNvPicPr/>
                  </pic:nvPicPr>
                  <pic:blipFill>
                    <a:blip r:embed="rId110"/>
                    <a:stretch>
                      <a:fillRect/>
                    </a:stretch>
                  </pic:blipFill>
                  <pic:spPr>
                    <a:xfrm>
                      <a:off x="0" y="0"/>
                      <a:ext cx="5948733" cy="3814644"/>
                    </a:xfrm>
                    <a:prstGeom prst="rect">
                      <a:avLst/>
                    </a:prstGeom>
                  </pic:spPr>
                </pic:pic>
              </a:graphicData>
            </a:graphic>
          </wp:inline>
        </w:drawing>
      </w:r>
    </w:p>
    <w:p w14:paraId="117267C7" w14:textId="4B40B3DC" w:rsidR="001C6552" w:rsidRPr="005058EB" w:rsidRDefault="001C6552" w:rsidP="001C6552">
      <w:pPr>
        <w:pStyle w:val="FigureTitle"/>
      </w:pPr>
      <w:r w:rsidRPr="005058EB">
        <w:lastRenderedPageBreak/>
        <w:t xml:space="preserve">Figure </w:t>
      </w:r>
      <w:fldSimple w:instr=" SEQ Figure \* ARABIC ">
        <w:r>
          <w:rPr>
            <w:noProof/>
          </w:rPr>
          <w:t>2</w:t>
        </w:r>
        <w:r w:rsidR="000C426C">
          <w:rPr>
            <w:noProof/>
          </w:rPr>
          <w:t>6</w:t>
        </w:r>
      </w:fldSimple>
      <w:r w:rsidRPr="005058EB">
        <w:t xml:space="preserve">: Mean absolute AST levels (U/L), baseline to week 168 (FA overall </w:t>
      </w:r>
      <w:proofErr w:type="spellStart"/>
      <w:r w:rsidRPr="005058EB">
        <w:t>omaveloxolone</w:t>
      </w:r>
      <w:proofErr w:type="spellEnd"/>
      <w:r w:rsidRPr="005058EB">
        <w:t xml:space="preserve"> exposure </w:t>
      </w:r>
      <w:r w:rsidR="008F3B04">
        <w:t>I</w:t>
      </w:r>
      <w:r w:rsidRPr="005058EB">
        <w:t xml:space="preserve">ntegrated </w:t>
      </w:r>
      <w:r w:rsidR="008F3B04">
        <w:t>A</w:t>
      </w:r>
      <w:r w:rsidRPr="005058EB">
        <w:t xml:space="preserve">nalysis </w:t>
      </w:r>
      <w:r w:rsidR="008F3B04">
        <w:t>S</w:t>
      </w:r>
      <w:r w:rsidRPr="005058EB">
        <w:t>et C)</w:t>
      </w:r>
    </w:p>
    <w:p w14:paraId="6D03F3C3" w14:textId="77777777" w:rsidR="001C6552" w:rsidRDefault="001C6552" w:rsidP="001C6552">
      <w:r>
        <w:rPr>
          <w:noProof/>
        </w:rPr>
        <w:drawing>
          <wp:inline distT="0" distB="0" distL="0" distR="0" wp14:anchorId="0F399D13" wp14:editId="304B9C0C">
            <wp:extent cx="5938887" cy="3760992"/>
            <wp:effectExtent l="0" t="0" r="5080" b="0"/>
            <wp:docPr id="1229041971" name="Picture 1229041971" descr="Figure 25: Mean absolute AST levels (U/L), baseline to week 168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igure 25: Mean absolute AST levels (U/L), baseline to week 168 (FA overall omaveloxolone exposure integrated analysis set C)"/>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84653" cy="3789975"/>
                    </a:xfrm>
                    <a:prstGeom prst="rect">
                      <a:avLst/>
                    </a:prstGeom>
                    <a:noFill/>
                  </pic:spPr>
                </pic:pic>
              </a:graphicData>
            </a:graphic>
          </wp:inline>
        </w:drawing>
      </w:r>
    </w:p>
    <w:p w14:paraId="28E4C1FF" w14:textId="77777777" w:rsidR="00027FAD" w:rsidRDefault="00027FAD" w:rsidP="000C426C">
      <w:pPr>
        <w:spacing w:before="240"/>
      </w:pPr>
      <w:r w:rsidRPr="006F593F">
        <w:t xml:space="preserve">Three </w:t>
      </w:r>
      <w:proofErr w:type="spellStart"/>
      <w:r w:rsidRPr="006F593F">
        <w:t>omaveloxolone</w:t>
      </w:r>
      <w:proofErr w:type="spellEnd"/>
      <w:r w:rsidRPr="006F593F">
        <w:t>-treated patients treated with the 150 mg dose had ALT elevations ≥10× ULN and one patient AST elevations ≥10× ULN.</w:t>
      </w:r>
    </w:p>
    <w:p w14:paraId="365C301E" w14:textId="096761CD" w:rsidR="00FE583D" w:rsidRDefault="00FE583D" w:rsidP="00FE583D">
      <w:r>
        <w:t>The decrease in bilirubin and the increase in GGT in Analysis Set A were similar in Analysis Set C.</w:t>
      </w:r>
    </w:p>
    <w:p w14:paraId="09AEB004" w14:textId="4ECCC5AE" w:rsidR="00FE583D" w:rsidRDefault="00FE583D" w:rsidP="00FE583D">
      <w:r>
        <w:t xml:space="preserve">Compared with the results in Analysis Set A, increases in ALT, AST, and GGT reported as TEAEs occurred at a lower frequency in Analysis Set C (28.3%, 13.8% and 3.8%, respectively). 3 TEAEs of Cholelithiasis and 1 TEAE of Hepatic steatosis were reported in the </w:t>
      </w:r>
      <w:proofErr w:type="spellStart"/>
      <w:r>
        <w:t>omaveloxolone</w:t>
      </w:r>
      <w:proofErr w:type="spellEnd"/>
      <w:r>
        <w:t xml:space="preserve"> treatment group. This is shown in table </w:t>
      </w:r>
      <w:r w:rsidR="006F2725">
        <w:t>4</w:t>
      </w:r>
      <w:r w:rsidR="002C02C4">
        <w:t>4</w:t>
      </w:r>
      <w:r>
        <w:t xml:space="preserve">. </w:t>
      </w:r>
    </w:p>
    <w:p w14:paraId="0DA33703" w14:textId="1B7EBC61" w:rsidR="00FE583D" w:rsidRPr="00202290" w:rsidRDefault="00FE583D" w:rsidP="00F148C0">
      <w:pPr>
        <w:pStyle w:val="TableTitle"/>
        <w:spacing w:before="240"/>
      </w:pPr>
      <w:r w:rsidRPr="00202290">
        <w:lastRenderedPageBreak/>
        <w:t xml:space="preserve">Table </w:t>
      </w:r>
      <w:fldSimple w:instr=" SEQ Table \* ARABIC ">
        <w:r>
          <w:rPr>
            <w:noProof/>
          </w:rPr>
          <w:t>4</w:t>
        </w:r>
        <w:r w:rsidR="00507C86">
          <w:rPr>
            <w:noProof/>
          </w:rPr>
          <w:t>4</w:t>
        </w:r>
      </w:fldSimple>
      <w:r w:rsidRPr="00202290">
        <w:t>: Summary of hepatic TEAE by SOC and PT (</w:t>
      </w:r>
      <w:r w:rsidR="00E53F3B">
        <w:t>F</w:t>
      </w:r>
      <w:r w:rsidRPr="00202290">
        <w:t xml:space="preserve">A overall </w:t>
      </w:r>
      <w:proofErr w:type="spellStart"/>
      <w:r w:rsidRPr="00202290">
        <w:t>omaveloxolone</w:t>
      </w:r>
      <w:proofErr w:type="spellEnd"/>
      <w:r w:rsidRPr="00202290">
        <w:t xml:space="preserve"> exposure </w:t>
      </w:r>
      <w:r w:rsidR="00E53F3B">
        <w:t>I</w:t>
      </w:r>
      <w:r w:rsidRPr="00202290">
        <w:t xml:space="preserve">ntegrated </w:t>
      </w:r>
      <w:r w:rsidR="00E53F3B">
        <w:t>A</w:t>
      </w:r>
      <w:r w:rsidRPr="00202290">
        <w:t xml:space="preserve">nalysis </w:t>
      </w:r>
      <w:r w:rsidR="00E53F3B">
        <w:t>S</w:t>
      </w:r>
      <w:r w:rsidRPr="00202290">
        <w:t>et C)</w:t>
      </w:r>
    </w:p>
    <w:p w14:paraId="49823259" w14:textId="77777777" w:rsidR="00FE583D" w:rsidRDefault="00FE583D" w:rsidP="00FE583D">
      <w:r>
        <w:rPr>
          <w:noProof/>
        </w:rPr>
        <w:drawing>
          <wp:inline distT="0" distB="0" distL="0" distR="0" wp14:anchorId="276B655B" wp14:editId="32E3625B">
            <wp:extent cx="5730875" cy="3694430"/>
            <wp:effectExtent l="0" t="0" r="3175" b="1270"/>
            <wp:docPr id="79" name="Picture 79" descr="Table 43: Summary of hepatic TEAE by SOC and PT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able 43: Summary of hepatic TEAE by SOC and PT ((FA overall omaveloxolone exposure integrated analysis set C)"/>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0875" cy="3694430"/>
                    </a:xfrm>
                    <a:prstGeom prst="rect">
                      <a:avLst/>
                    </a:prstGeom>
                    <a:noFill/>
                  </pic:spPr>
                </pic:pic>
              </a:graphicData>
            </a:graphic>
          </wp:inline>
        </w:drawing>
      </w:r>
    </w:p>
    <w:p w14:paraId="5008B26E" w14:textId="77777777" w:rsidR="006F2725" w:rsidRDefault="006F2725" w:rsidP="00FE583D"/>
    <w:p w14:paraId="22D26C61" w14:textId="209D38D7" w:rsidR="00FE583D" w:rsidRDefault="00FE583D" w:rsidP="00FE583D">
      <w:r>
        <w:t xml:space="preserve">There were no SAEs related to hepatic safety in patients treated with </w:t>
      </w:r>
      <w:proofErr w:type="spellStart"/>
      <w:r>
        <w:t>omaveloxolone</w:t>
      </w:r>
      <w:proofErr w:type="spellEnd"/>
      <w:r>
        <w:t xml:space="preserve">. </w:t>
      </w:r>
      <w:r w:rsidR="00DF3669">
        <w:t>However, f</w:t>
      </w:r>
      <w:r>
        <w:t xml:space="preserve">ive patients discontinued </w:t>
      </w:r>
      <w:proofErr w:type="spellStart"/>
      <w:r>
        <w:t>omaveloxolone</w:t>
      </w:r>
      <w:proofErr w:type="spellEnd"/>
      <w:r>
        <w:t xml:space="preserve"> treatment due to hepatic safety. Discontinuations due to elevations in transaminases and liver enzymes were not associated with concomitant elevations in bilirubin. </w:t>
      </w:r>
      <w:r w:rsidRPr="00E13577">
        <w:t xml:space="preserve">The </w:t>
      </w:r>
      <w:r w:rsidR="007B6B69">
        <w:t>sponsor</w:t>
      </w:r>
      <w:r w:rsidRPr="00E13577">
        <w:t xml:space="preserve"> suggest</w:t>
      </w:r>
      <w:r>
        <w:t>s</w:t>
      </w:r>
      <w:r w:rsidRPr="00E13577">
        <w:t xml:space="preserve"> that the increase in ALT, AST, and GGT could be due to pharmacological induction of enzymes without causing underlying injury.</w:t>
      </w:r>
    </w:p>
    <w:p w14:paraId="6C5FD2F2" w14:textId="7BAD1A66" w:rsidR="00DB036C" w:rsidRDefault="00DB036C" w:rsidP="00DB036C">
      <w:r w:rsidRPr="00C713F9">
        <w:t xml:space="preserve">Figure </w:t>
      </w:r>
      <w:r w:rsidR="00C35DD0">
        <w:t>27</w:t>
      </w:r>
      <w:r w:rsidRPr="00C713F9">
        <w:t xml:space="preserve"> </w:t>
      </w:r>
      <w:r>
        <w:t xml:space="preserve">shows an </w:t>
      </w:r>
      <w:proofErr w:type="spellStart"/>
      <w:r>
        <w:t>eDISH</w:t>
      </w:r>
      <w:proofErr w:type="spellEnd"/>
      <w:r>
        <w:t xml:space="preserve"> plot for analysis set C</w:t>
      </w:r>
      <w:r w:rsidR="003E0456">
        <w:t>. N</w:t>
      </w:r>
      <w:r w:rsidRPr="00C713F9">
        <w:t xml:space="preserve">one of the </w:t>
      </w:r>
      <w:proofErr w:type="spellStart"/>
      <w:r w:rsidRPr="00C713F9">
        <w:t>omaveloxolone</w:t>
      </w:r>
      <w:proofErr w:type="spellEnd"/>
      <w:r w:rsidRPr="00C713F9">
        <w:t>-treated patients had maximum ALT or total bilirubin values that met potential Hy’s law criteria.</w:t>
      </w:r>
    </w:p>
    <w:p w14:paraId="459F0D9D" w14:textId="77777777" w:rsidR="00DB036C" w:rsidRDefault="00DB036C" w:rsidP="00FE583D"/>
    <w:p w14:paraId="434B4201" w14:textId="4709D6FC" w:rsidR="00FE583D" w:rsidRPr="00814A19" w:rsidRDefault="00C35DD0" w:rsidP="001A22A4">
      <w:pPr>
        <w:pStyle w:val="FigureTitle"/>
      </w:pPr>
      <w:r>
        <w:lastRenderedPageBreak/>
        <w:t>Figure 27: Maximum total bilirubin versus maximum ALT</w:t>
      </w:r>
      <w:r w:rsidR="00FE583D" w:rsidRPr="00814A19">
        <w:t xml:space="preserve"> (FA overall </w:t>
      </w:r>
      <w:proofErr w:type="spellStart"/>
      <w:r w:rsidR="00FE583D" w:rsidRPr="00814A19">
        <w:t>omaveloxolone</w:t>
      </w:r>
      <w:proofErr w:type="spellEnd"/>
      <w:r w:rsidR="00FE583D" w:rsidRPr="00814A19">
        <w:t xml:space="preserve"> exposure integrated analysis set C)</w:t>
      </w:r>
    </w:p>
    <w:p w14:paraId="392FFC27" w14:textId="77777777" w:rsidR="00FE583D" w:rsidRDefault="00FE583D" w:rsidP="00FE583D">
      <w:r w:rsidRPr="008458A9">
        <w:rPr>
          <w:noProof/>
        </w:rPr>
        <w:drawing>
          <wp:inline distT="0" distB="0" distL="0" distR="0" wp14:anchorId="7693D661" wp14:editId="20942E0B">
            <wp:extent cx="5865677" cy="4062953"/>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869685" cy="4065729"/>
                    </a:xfrm>
                    <a:prstGeom prst="rect">
                      <a:avLst/>
                    </a:prstGeom>
                  </pic:spPr>
                </pic:pic>
              </a:graphicData>
            </a:graphic>
          </wp:inline>
        </w:drawing>
      </w:r>
    </w:p>
    <w:p w14:paraId="139BE592" w14:textId="4B4BA338" w:rsidR="00720C46" w:rsidRDefault="00720C46" w:rsidP="00720C46">
      <w:r>
        <w:t>For analysis set C</w:t>
      </w:r>
      <w:r w:rsidR="009929C6">
        <w:t>,</w:t>
      </w:r>
      <w:r>
        <w:t xml:space="preserve"> table 44 shows that 18 (8.6%) patients had a maximum on treatment ALT shift from baseline to between ≥5 and &lt;10x the ULN for ALT and 3 (1.4%) of patients had a shift from normal ALT levels to </w:t>
      </w:r>
      <w:r w:rsidRPr="008E6F9C">
        <w:t>between ≥</w:t>
      </w:r>
      <w:r>
        <w:t>10</w:t>
      </w:r>
      <w:r w:rsidRPr="008E6F9C">
        <w:t xml:space="preserve"> and &lt;</w:t>
      </w:r>
      <w:r>
        <w:t>20</w:t>
      </w:r>
      <w:r w:rsidRPr="008E6F9C">
        <w:t>x the ULN for ALT</w:t>
      </w:r>
      <w:r>
        <w:t>.</w:t>
      </w:r>
    </w:p>
    <w:p w14:paraId="6A36837C" w14:textId="77777777" w:rsidR="001A22A4" w:rsidRDefault="001A22A4" w:rsidP="00FE583D">
      <w:pPr>
        <w:pStyle w:val="Caption"/>
        <w:keepNext/>
        <w:rPr>
          <w:b/>
          <w:bCs/>
        </w:rPr>
      </w:pPr>
    </w:p>
    <w:p w14:paraId="0C2B24DD" w14:textId="1EA52D77" w:rsidR="00FE583D" w:rsidRPr="00C42FA7" w:rsidRDefault="00FE583D" w:rsidP="001A22A4">
      <w:pPr>
        <w:pStyle w:val="TableTitle"/>
      </w:pPr>
      <w:r w:rsidRPr="00C42FA7">
        <w:t xml:space="preserve">Table </w:t>
      </w:r>
      <w:fldSimple w:instr=" SEQ Table \* ARABIC ">
        <w:r>
          <w:rPr>
            <w:noProof/>
          </w:rPr>
          <w:t>4</w:t>
        </w:r>
        <w:r w:rsidR="00D95532">
          <w:rPr>
            <w:noProof/>
          </w:rPr>
          <w:t>5</w:t>
        </w:r>
      </w:fldSimple>
      <w:r w:rsidRPr="00C42FA7">
        <w:t xml:space="preserve">: Shift from baseline ALT values in </w:t>
      </w:r>
      <w:proofErr w:type="spellStart"/>
      <w:r w:rsidRPr="00C42FA7">
        <w:t>omaveloxolone</w:t>
      </w:r>
      <w:proofErr w:type="spellEnd"/>
      <w:r w:rsidRPr="00C42FA7">
        <w:t xml:space="preserve"> treated patients: maximum on treatment and withdrawal (FA overall </w:t>
      </w:r>
      <w:proofErr w:type="spellStart"/>
      <w:r w:rsidRPr="00C42FA7">
        <w:t>omaveloxolone</w:t>
      </w:r>
      <w:proofErr w:type="spellEnd"/>
      <w:r w:rsidRPr="00C42FA7">
        <w:t xml:space="preserve"> exposure integrated analysis set C)</w:t>
      </w:r>
    </w:p>
    <w:p w14:paraId="6E31E3E3" w14:textId="77777777" w:rsidR="00FE583D" w:rsidRDefault="00FE583D" w:rsidP="00FE583D">
      <w:r w:rsidRPr="0040466A">
        <w:rPr>
          <w:noProof/>
        </w:rPr>
        <w:drawing>
          <wp:inline distT="0" distB="0" distL="0" distR="0" wp14:anchorId="6FB71790" wp14:editId="595E5FEA">
            <wp:extent cx="5062194" cy="2482844"/>
            <wp:effectExtent l="0" t="0" r="5715" b="0"/>
            <wp:docPr id="73" name="Picture 73" descr="Table 44: Shift from baseline ALT values in omaveloxolone treated patients: maximum on treatment and withdrawal (FA overall omaveloxolone exposure integrated analysis set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 44: Shift from baseline ALT values in omaveloxolone treated patients: maximum on treatment and withdrawal (FA overall omaveloxolone exposure integrated analysis set C)&#10;"/>
                    <pic:cNvPicPr/>
                  </pic:nvPicPr>
                  <pic:blipFill>
                    <a:blip r:embed="rId114"/>
                    <a:stretch>
                      <a:fillRect/>
                    </a:stretch>
                  </pic:blipFill>
                  <pic:spPr>
                    <a:xfrm>
                      <a:off x="0" y="0"/>
                      <a:ext cx="5076898" cy="2490056"/>
                    </a:xfrm>
                    <a:prstGeom prst="rect">
                      <a:avLst/>
                    </a:prstGeom>
                  </pic:spPr>
                </pic:pic>
              </a:graphicData>
            </a:graphic>
          </wp:inline>
        </w:drawing>
      </w:r>
    </w:p>
    <w:p w14:paraId="2F96DEC5" w14:textId="77777777" w:rsidR="00E53F3B" w:rsidRDefault="00E53F3B">
      <w:r>
        <w:br w:type="page"/>
      </w:r>
    </w:p>
    <w:p w14:paraId="0593A4AF" w14:textId="765E16A8" w:rsidR="009929C6" w:rsidRDefault="009929C6" w:rsidP="009929C6">
      <w:r>
        <w:lastRenderedPageBreak/>
        <w:t>For analysis set C</w:t>
      </w:r>
      <w:r w:rsidR="00861ACB">
        <w:t>,</w:t>
      </w:r>
      <w:r>
        <w:t xml:space="preserve"> table 4</w:t>
      </w:r>
      <w:r w:rsidR="00D95532">
        <w:t>6</w:t>
      </w:r>
      <w:r>
        <w:t xml:space="preserve"> shows that 1 (0.5%) patient had a maximum on treatment AST shift from baseline to between ≥5 and &lt;10x the ULN for AST and 1 (0.5%) patient had a shift from normal AST levels to </w:t>
      </w:r>
      <w:r w:rsidRPr="008E6F9C">
        <w:t>between ≥</w:t>
      </w:r>
      <w:r>
        <w:t>10</w:t>
      </w:r>
      <w:r w:rsidRPr="008E6F9C">
        <w:t xml:space="preserve"> and &lt;</w:t>
      </w:r>
      <w:r>
        <w:t>20</w:t>
      </w:r>
      <w:r w:rsidRPr="008E6F9C">
        <w:t>x the ULN for A</w:t>
      </w:r>
      <w:r>
        <w:t>S</w:t>
      </w:r>
      <w:r w:rsidRPr="008E6F9C">
        <w:t>T</w:t>
      </w:r>
      <w:r>
        <w:t>.</w:t>
      </w:r>
    </w:p>
    <w:p w14:paraId="29F8CEFA" w14:textId="71CB199C" w:rsidR="00FE583D" w:rsidRPr="00E46ED1" w:rsidRDefault="00FE583D" w:rsidP="009929C6">
      <w:pPr>
        <w:pStyle w:val="TableTitle"/>
        <w:spacing w:before="240"/>
      </w:pPr>
      <w:r w:rsidRPr="00E46ED1">
        <w:t xml:space="preserve">Table </w:t>
      </w:r>
      <w:fldSimple w:instr=" SEQ Table \* ARABIC ">
        <w:r>
          <w:rPr>
            <w:noProof/>
          </w:rPr>
          <w:t>4</w:t>
        </w:r>
        <w:r w:rsidR="00D95532">
          <w:rPr>
            <w:noProof/>
          </w:rPr>
          <w:t>6</w:t>
        </w:r>
      </w:fldSimple>
      <w:r w:rsidRPr="00E46ED1">
        <w:t xml:space="preserve">: Shift from baseline AST values in </w:t>
      </w:r>
      <w:proofErr w:type="spellStart"/>
      <w:r w:rsidRPr="00E46ED1">
        <w:t>omaveloxolone</w:t>
      </w:r>
      <w:proofErr w:type="spellEnd"/>
      <w:r w:rsidRPr="00E46ED1">
        <w:t xml:space="preserve"> treated patients: maximum on treatment and withdrawal (FA overall </w:t>
      </w:r>
      <w:proofErr w:type="spellStart"/>
      <w:r w:rsidRPr="00E46ED1">
        <w:t>omaveloxolone</w:t>
      </w:r>
      <w:proofErr w:type="spellEnd"/>
      <w:r w:rsidRPr="00E46ED1">
        <w:t xml:space="preserve"> exposure integrated analysis set C)</w:t>
      </w:r>
    </w:p>
    <w:p w14:paraId="4929095D" w14:textId="77777777" w:rsidR="00FE583D" w:rsidRDefault="00FE583D" w:rsidP="00FE583D">
      <w:r w:rsidRPr="00E46ED1">
        <w:rPr>
          <w:noProof/>
        </w:rPr>
        <w:drawing>
          <wp:inline distT="0" distB="0" distL="0" distR="0" wp14:anchorId="20F7B439" wp14:editId="137872C5">
            <wp:extent cx="5081047" cy="3665738"/>
            <wp:effectExtent l="0" t="0" r="5715" b="0"/>
            <wp:docPr id="74" name="Picture 74" descr="Table 45: Shift from baseline AST values in omaveloxolone treated patients: maximum on treatment and withdrawal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able 45: Shift from baseline AST values in omaveloxolone treated patients: maximum on treatment and withdrawal (FA overall omaveloxolone exposure integrated analysis set C)"/>
                    <pic:cNvPicPr/>
                  </pic:nvPicPr>
                  <pic:blipFill>
                    <a:blip r:embed="rId115"/>
                    <a:stretch>
                      <a:fillRect/>
                    </a:stretch>
                  </pic:blipFill>
                  <pic:spPr>
                    <a:xfrm>
                      <a:off x="0" y="0"/>
                      <a:ext cx="5088803" cy="3671334"/>
                    </a:xfrm>
                    <a:prstGeom prst="rect">
                      <a:avLst/>
                    </a:prstGeom>
                  </pic:spPr>
                </pic:pic>
              </a:graphicData>
            </a:graphic>
          </wp:inline>
        </w:drawing>
      </w:r>
    </w:p>
    <w:p w14:paraId="6039F150" w14:textId="20B6B19A" w:rsidR="00FE583D" w:rsidRPr="00370CBD" w:rsidRDefault="00FE583D" w:rsidP="00DB114B">
      <w:pPr>
        <w:pStyle w:val="FigureTitle"/>
      </w:pPr>
      <w:r w:rsidRPr="00370CBD">
        <w:t xml:space="preserve">Figure </w:t>
      </w:r>
      <w:fldSimple w:instr=" SEQ Figure \* ARABIC ">
        <w:r>
          <w:rPr>
            <w:noProof/>
          </w:rPr>
          <w:t>2</w:t>
        </w:r>
        <w:r w:rsidR="00883607">
          <w:rPr>
            <w:noProof/>
          </w:rPr>
          <w:t>8</w:t>
        </w:r>
      </w:fldSimple>
      <w:r w:rsidRPr="00370CBD">
        <w:t xml:space="preserve">: Mean absolute Bilirubin levels (mg/dL), baseline to week 168 (FA overall </w:t>
      </w:r>
      <w:proofErr w:type="spellStart"/>
      <w:r w:rsidRPr="00370CBD">
        <w:t>omaveloxolone</w:t>
      </w:r>
      <w:proofErr w:type="spellEnd"/>
      <w:r w:rsidRPr="00370CBD">
        <w:t xml:space="preserve"> exposure integrated analysis set C)</w:t>
      </w:r>
    </w:p>
    <w:p w14:paraId="29EB859F" w14:textId="77777777" w:rsidR="00FE583D" w:rsidRDefault="00FE583D" w:rsidP="00FE583D">
      <w:r w:rsidRPr="00567F84">
        <w:rPr>
          <w:noProof/>
        </w:rPr>
        <w:drawing>
          <wp:inline distT="0" distB="0" distL="0" distR="0" wp14:anchorId="28094F1E" wp14:editId="2704773E">
            <wp:extent cx="6089715" cy="3477895"/>
            <wp:effectExtent l="0" t="0" r="6350" b="8255"/>
            <wp:docPr id="76" name="Picture 76" descr="Figure 27: Mean absolute Bilirubin levels (mg/dL), baseline to week 168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Figure 27: Mean absolute Bilirubin levels (mg/dL), baseline to week 168 (FA overall omaveloxolone exposure integrated analysis set C)"/>
                    <pic:cNvPicPr/>
                  </pic:nvPicPr>
                  <pic:blipFill>
                    <a:blip r:embed="rId116"/>
                    <a:stretch>
                      <a:fillRect/>
                    </a:stretch>
                  </pic:blipFill>
                  <pic:spPr>
                    <a:xfrm>
                      <a:off x="0" y="0"/>
                      <a:ext cx="6102357" cy="3485115"/>
                    </a:xfrm>
                    <a:prstGeom prst="rect">
                      <a:avLst/>
                    </a:prstGeom>
                  </pic:spPr>
                </pic:pic>
              </a:graphicData>
            </a:graphic>
          </wp:inline>
        </w:drawing>
      </w:r>
    </w:p>
    <w:p w14:paraId="5CEC156A" w14:textId="3066EDC4" w:rsidR="003E4609" w:rsidRDefault="003E4609" w:rsidP="003E4609">
      <w:r>
        <w:lastRenderedPageBreak/>
        <w:t>Table 4</w:t>
      </w:r>
      <w:r w:rsidR="00902890">
        <w:t>7</w:t>
      </w:r>
      <w:r>
        <w:t xml:space="preserve"> shows that 4 (1.9%) of patients in analysis set C shifted from baseline bilirubin values to a maximum on treatment bilirubin value of &gt;ULN to ≤2x ULN.</w:t>
      </w:r>
    </w:p>
    <w:p w14:paraId="4B9D80E5" w14:textId="77777777" w:rsidR="003E4609" w:rsidRDefault="003E4609" w:rsidP="00DB114B">
      <w:pPr>
        <w:pStyle w:val="TableTitle"/>
      </w:pPr>
    </w:p>
    <w:p w14:paraId="4B71EC65" w14:textId="7F58373A" w:rsidR="00FE583D" w:rsidRPr="00370CBD" w:rsidRDefault="00FE583D" w:rsidP="00DB114B">
      <w:pPr>
        <w:pStyle w:val="TableTitle"/>
      </w:pPr>
      <w:r>
        <w:t xml:space="preserve">Table </w:t>
      </w:r>
      <w:fldSimple w:instr=" SEQ Table \* ARABIC ">
        <w:r>
          <w:rPr>
            <w:noProof/>
          </w:rPr>
          <w:t>4</w:t>
        </w:r>
        <w:r w:rsidR="00E14349">
          <w:rPr>
            <w:noProof/>
          </w:rPr>
          <w:t>7</w:t>
        </w:r>
      </w:fldSimple>
      <w:r>
        <w:t xml:space="preserve">: </w:t>
      </w:r>
      <w:r w:rsidRPr="00E46ED1">
        <w:t xml:space="preserve">Shift from baseline </w:t>
      </w:r>
      <w:r>
        <w:t>Bilirubin</w:t>
      </w:r>
      <w:r w:rsidRPr="00E46ED1">
        <w:t xml:space="preserve"> values in </w:t>
      </w:r>
      <w:proofErr w:type="spellStart"/>
      <w:r w:rsidRPr="00E46ED1">
        <w:t>omaveloxolone</w:t>
      </w:r>
      <w:proofErr w:type="spellEnd"/>
      <w:r w:rsidRPr="00E46ED1">
        <w:t xml:space="preserve"> treated patients: maximum on treatment and withdrawal (FA overall </w:t>
      </w:r>
      <w:proofErr w:type="spellStart"/>
      <w:r w:rsidRPr="00E46ED1">
        <w:t>omaveloxolone</w:t>
      </w:r>
      <w:proofErr w:type="spellEnd"/>
      <w:r w:rsidRPr="00E46ED1">
        <w:t xml:space="preserve"> exposure integrated analysis set C)</w:t>
      </w:r>
    </w:p>
    <w:p w14:paraId="6C86AB0A" w14:textId="77777777" w:rsidR="00FE583D" w:rsidRDefault="00FE583D" w:rsidP="00FE583D">
      <w:r w:rsidRPr="00370CBD">
        <w:rPr>
          <w:noProof/>
        </w:rPr>
        <w:drawing>
          <wp:inline distT="0" distB="0" distL="0" distR="0" wp14:anchorId="41259A7B" wp14:editId="754FF3B7">
            <wp:extent cx="5731510" cy="2621915"/>
            <wp:effectExtent l="0" t="0" r="2540" b="6985"/>
            <wp:docPr id="77" name="Picture 77" descr="Table 46: Shift from baseline Bilirubin values in omaveloxolone treated patients: maximum on treatment and withdrawal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able 46: Shift from baseline Bilirubin values in omaveloxolone treated patients: maximum on treatment and withdrawal (FA overall omaveloxolone exposure integrated analysis set C)"/>
                    <pic:cNvPicPr/>
                  </pic:nvPicPr>
                  <pic:blipFill>
                    <a:blip r:embed="rId117"/>
                    <a:stretch>
                      <a:fillRect/>
                    </a:stretch>
                  </pic:blipFill>
                  <pic:spPr>
                    <a:xfrm>
                      <a:off x="0" y="0"/>
                      <a:ext cx="5731510" cy="2621915"/>
                    </a:xfrm>
                    <a:prstGeom prst="rect">
                      <a:avLst/>
                    </a:prstGeom>
                  </pic:spPr>
                </pic:pic>
              </a:graphicData>
            </a:graphic>
          </wp:inline>
        </w:drawing>
      </w:r>
    </w:p>
    <w:p w14:paraId="24979912" w14:textId="77777777" w:rsidR="003E4609" w:rsidRDefault="003E4609">
      <w:pPr>
        <w:rPr>
          <w:b/>
          <w:bCs/>
        </w:rPr>
      </w:pPr>
      <w:r>
        <w:rPr>
          <w:b/>
          <w:bCs/>
        </w:rPr>
        <w:br w:type="page"/>
      </w:r>
    </w:p>
    <w:p w14:paraId="4DCD637C" w14:textId="2568126D" w:rsidR="00FE583D" w:rsidRDefault="00FE583D" w:rsidP="00FE583D">
      <w:pPr>
        <w:rPr>
          <w:b/>
          <w:bCs/>
        </w:rPr>
      </w:pPr>
      <w:r w:rsidRPr="00DC06C8">
        <w:rPr>
          <w:b/>
          <w:bCs/>
        </w:rPr>
        <w:lastRenderedPageBreak/>
        <w:t>Evaluation of weight</w:t>
      </w:r>
    </w:p>
    <w:p w14:paraId="20310B96" w14:textId="24D4FB4A" w:rsidR="00673FA7" w:rsidRDefault="00673FA7" w:rsidP="00673FA7">
      <w:r w:rsidRPr="002C0254">
        <w:t xml:space="preserve">Mean changes from baseline in weight in </w:t>
      </w:r>
      <w:r w:rsidRPr="00E53F3B">
        <w:t>Analysis Set C are</w:t>
      </w:r>
      <w:r w:rsidRPr="002C0254">
        <w:t xml:space="preserve"> shown in </w:t>
      </w:r>
      <w:r w:rsidR="00AE4B41">
        <w:t>f</w:t>
      </w:r>
      <w:r w:rsidRPr="002C0254">
        <w:t xml:space="preserve">igure </w:t>
      </w:r>
      <w:r>
        <w:t>2</w:t>
      </w:r>
      <w:r w:rsidR="00EC2CD9">
        <w:t>9</w:t>
      </w:r>
      <w:r w:rsidRPr="002C0254">
        <w:t xml:space="preserve">. The weight loss in Analysis Set C generally showed similar trends as Analysis Set A. At Week 48, </w:t>
      </w:r>
      <w:proofErr w:type="spellStart"/>
      <w:r w:rsidRPr="002C0254">
        <w:t>omaveloxolone</w:t>
      </w:r>
      <w:proofErr w:type="spellEnd"/>
      <w:r w:rsidRPr="002C0254">
        <w:t>-treated patients had a mean ± SD change from baseline weight of -1.60 ± 4.126 kg (median -1.10 kg). Weight loss of at least 5% relative to baseline was noted in 38.2% of the worst on-treatment weight loss values, and weight loss of at least 7% relative to baseline was noted in 23.7% of the worst on</w:t>
      </w:r>
      <w:r w:rsidR="000774E7">
        <w:t xml:space="preserve"> </w:t>
      </w:r>
      <w:r w:rsidRPr="002C0254">
        <w:t>treatment weight loss value</w:t>
      </w:r>
      <w:r>
        <w:t>.</w:t>
      </w:r>
    </w:p>
    <w:p w14:paraId="14964C71" w14:textId="77777777" w:rsidR="00673FA7" w:rsidRDefault="00673FA7" w:rsidP="00673FA7">
      <w:r w:rsidRPr="002C0478">
        <w:t xml:space="preserve">Analysis of weight change by age was consistent with Analysis Set </w:t>
      </w:r>
      <w:r>
        <w:t xml:space="preserve">A. </w:t>
      </w:r>
      <w:r w:rsidRPr="002C0478">
        <w:t>Analysis of weight change by age subgroup showed that the mean weight among adolescent patients did not decrease over the 48-week or 96-week treatment period.</w:t>
      </w:r>
    </w:p>
    <w:p w14:paraId="64FF4172" w14:textId="77777777" w:rsidR="00673FA7" w:rsidRDefault="00673FA7" w:rsidP="00673FA7">
      <w:r w:rsidRPr="00AB5D4B">
        <w:t>The overall changes in weight seen in Analysis Set C and in the subgroups was consistent with Analysis Set A.</w:t>
      </w:r>
    </w:p>
    <w:p w14:paraId="6746F94A" w14:textId="77777777" w:rsidR="00673FA7" w:rsidRPr="00625793" w:rsidRDefault="00673FA7" w:rsidP="00FE583D">
      <w:pPr>
        <w:rPr>
          <w:b/>
          <w:bCs/>
        </w:rPr>
      </w:pPr>
    </w:p>
    <w:p w14:paraId="5B6E7180" w14:textId="2CB80E78" w:rsidR="00FE583D" w:rsidRPr="00744C51" w:rsidRDefault="00FE583D" w:rsidP="00D26137">
      <w:pPr>
        <w:pStyle w:val="FigureTitle"/>
      </w:pPr>
      <w:r w:rsidRPr="00744C51">
        <w:t xml:space="preserve">Figure </w:t>
      </w:r>
      <w:fldSimple w:instr=" SEQ Figure \* ARABIC ">
        <w:r>
          <w:rPr>
            <w:noProof/>
          </w:rPr>
          <w:t>2</w:t>
        </w:r>
        <w:r w:rsidR="00EC2CD9">
          <w:rPr>
            <w:noProof/>
          </w:rPr>
          <w:t>9</w:t>
        </w:r>
      </w:fldSimple>
      <w:r w:rsidRPr="00744C51">
        <w:t xml:space="preserve">: Mean change from baseline to week 96 in weight (kg) (FA overall </w:t>
      </w:r>
      <w:proofErr w:type="spellStart"/>
      <w:r w:rsidRPr="00744C51">
        <w:t>omaveloxolone</w:t>
      </w:r>
      <w:proofErr w:type="spellEnd"/>
      <w:r w:rsidRPr="00744C51">
        <w:t xml:space="preserve"> exposure integrated analysis set C)</w:t>
      </w:r>
    </w:p>
    <w:p w14:paraId="37051318" w14:textId="77777777" w:rsidR="00FE583D" w:rsidRDefault="00FE583D" w:rsidP="00FE583D">
      <w:r>
        <w:rPr>
          <w:noProof/>
        </w:rPr>
        <w:drawing>
          <wp:inline distT="0" distB="0" distL="0" distR="0" wp14:anchorId="6AA509FE" wp14:editId="04238FEB">
            <wp:extent cx="6180821" cy="3770721"/>
            <wp:effectExtent l="0" t="0" r="0" b="1270"/>
            <wp:docPr id="81" name="Picture 81" descr="Figure 28: Mean change from baseline to week 96 in weight (kg) (FA overall omaveloxolone exposure integrated analysis se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Figure 28: Mean change from baseline to week 96 in weight (kg) (FA overall omaveloxolone exposure integrated analysis set C)"/>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05033" cy="3785492"/>
                    </a:xfrm>
                    <a:prstGeom prst="rect">
                      <a:avLst/>
                    </a:prstGeom>
                    <a:noFill/>
                  </pic:spPr>
                </pic:pic>
              </a:graphicData>
            </a:graphic>
          </wp:inline>
        </w:drawing>
      </w:r>
    </w:p>
    <w:p w14:paraId="0B5A0338" w14:textId="77777777" w:rsidR="00673FA7" w:rsidRDefault="00673FA7" w:rsidP="00FE583D">
      <w:pPr>
        <w:rPr>
          <w:b/>
          <w:bCs/>
        </w:rPr>
      </w:pPr>
    </w:p>
    <w:p w14:paraId="59F96671" w14:textId="77777777" w:rsidR="000774E7" w:rsidRDefault="000774E7">
      <w:pPr>
        <w:rPr>
          <w:b/>
          <w:bCs/>
        </w:rPr>
      </w:pPr>
      <w:r>
        <w:rPr>
          <w:b/>
          <w:bCs/>
        </w:rPr>
        <w:br w:type="page"/>
      </w:r>
    </w:p>
    <w:p w14:paraId="4E977ECE" w14:textId="0036B543" w:rsidR="00FE583D" w:rsidRDefault="00FE583D" w:rsidP="00FE583D">
      <w:pPr>
        <w:rPr>
          <w:b/>
          <w:bCs/>
        </w:rPr>
      </w:pPr>
      <w:r w:rsidRPr="003A4FA5">
        <w:rPr>
          <w:b/>
          <w:bCs/>
        </w:rPr>
        <w:lastRenderedPageBreak/>
        <w:t>Evaluations of infections and infestations</w:t>
      </w:r>
    </w:p>
    <w:p w14:paraId="24E88319" w14:textId="6023C1E6" w:rsidR="00FE583D" w:rsidRDefault="00FE583D" w:rsidP="00FE583D">
      <w:r>
        <w:t xml:space="preserve">For analysis set C </w:t>
      </w:r>
      <w:r w:rsidRPr="00B50F75">
        <w:t>67.3% of the all</w:t>
      </w:r>
      <w:r w:rsidR="00037B8D">
        <w:t>-</w:t>
      </w:r>
      <w:proofErr w:type="spellStart"/>
      <w:r w:rsidRPr="00B50F75">
        <w:t>omaveloxolone</w:t>
      </w:r>
      <w:proofErr w:type="spellEnd"/>
      <w:r w:rsidRPr="00B50F75">
        <w:t xml:space="preserve"> treated patients reported TEAEs within the SOC infections and infestations. Upper respiratory infections and Corona virus infections were reported more frequently compared to </w:t>
      </w:r>
      <w:r w:rsidRPr="000774E7">
        <w:t>Analysis Set A. Ot</w:t>
      </w:r>
      <w:r w:rsidRPr="00B50F75">
        <w:t>herwise the pattern was comparable to Analysis Set A.</w:t>
      </w:r>
    </w:p>
    <w:p w14:paraId="06FA1CE5" w14:textId="2C58C469" w:rsidR="00FE583D" w:rsidRDefault="00FE583D" w:rsidP="00FE583D">
      <w:r>
        <w:t>The</w:t>
      </w:r>
      <w:r w:rsidRPr="008E6970">
        <w:t xml:space="preserve"> majority of the TEAEs were considered mild to moderate in severity for </w:t>
      </w:r>
      <w:proofErr w:type="spellStart"/>
      <w:r w:rsidRPr="008E6970">
        <w:t>omaveloxolone</w:t>
      </w:r>
      <w:proofErr w:type="spellEnd"/>
      <w:r w:rsidRPr="008E6970">
        <w:t xml:space="preserve">-treated patients. There were 4 severe TEAEs in the Infections and infestations SOC. No meaningful difference in the number of patients with Infections and infestations TEAEs was observed among the adolescent and adult populations. Analysis of </w:t>
      </w:r>
      <w:r w:rsidR="0030018B">
        <w:t>i</w:t>
      </w:r>
      <w:r w:rsidRPr="008E6970">
        <w:t xml:space="preserve">nfection and infestation TEAEs by other subgroups is provided in the following tables: sex, region, ethnicity, race, and pes </w:t>
      </w:r>
      <w:proofErr w:type="spellStart"/>
      <w:r w:rsidRPr="008E6970">
        <w:t>cavus</w:t>
      </w:r>
      <w:proofErr w:type="spellEnd"/>
      <w:r w:rsidRPr="008E6970">
        <w:t xml:space="preserve"> status. No clinically meaningful differences or trends were observed in these subgroups.</w:t>
      </w:r>
      <w:r>
        <w:t xml:space="preserve"> These results are shown in table </w:t>
      </w:r>
      <w:r w:rsidR="00673FA7">
        <w:t>4</w:t>
      </w:r>
      <w:r w:rsidR="00EE490A">
        <w:t>8</w:t>
      </w:r>
      <w:r>
        <w:t>.</w:t>
      </w:r>
    </w:p>
    <w:p w14:paraId="44332341" w14:textId="263FD040" w:rsidR="00FE583D" w:rsidRPr="00C7401D" w:rsidRDefault="00FE583D" w:rsidP="000774E7">
      <w:pPr>
        <w:pStyle w:val="TableTitle"/>
        <w:spacing w:before="240"/>
      </w:pPr>
      <w:r w:rsidRPr="00C7401D">
        <w:t xml:space="preserve">Table </w:t>
      </w:r>
      <w:fldSimple w:instr=" SEQ Table \* ARABIC ">
        <w:r>
          <w:rPr>
            <w:noProof/>
          </w:rPr>
          <w:t>4</w:t>
        </w:r>
        <w:r w:rsidR="00D32BB6">
          <w:rPr>
            <w:noProof/>
          </w:rPr>
          <w:t>8</w:t>
        </w:r>
      </w:fldSimple>
      <w:r w:rsidRPr="00C7401D">
        <w:t xml:space="preserve">: Summary of infections and infestation TEAE in &gt;2 patients (FA overall </w:t>
      </w:r>
      <w:proofErr w:type="spellStart"/>
      <w:r w:rsidRPr="00C7401D">
        <w:t>omaveloxolone</w:t>
      </w:r>
      <w:proofErr w:type="spellEnd"/>
      <w:r w:rsidRPr="00C7401D">
        <w:t xml:space="preserve"> exposure integrated analysis set C)</w:t>
      </w:r>
    </w:p>
    <w:p w14:paraId="78DC58F0" w14:textId="77777777" w:rsidR="00FE583D" w:rsidRDefault="00FE583D" w:rsidP="00FE583D">
      <w:r w:rsidRPr="00064F40">
        <w:rPr>
          <w:noProof/>
        </w:rPr>
        <w:drawing>
          <wp:inline distT="0" distB="0" distL="0" distR="0" wp14:anchorId="5BA3D6B9" wp14:editId="3771620E">
            <wp:extent cx="5731510" cy="3555365"/>
            <wp:effectExtent l="0" t="0" r="2540"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31510" cy="3555365"/>
                    </a:xfrm>
                    <a:prstGeom prst="rect">
                      <a:avLst/>
                    </a:prstGeom>
                  </pic:spPr>
                </pic:pic>
              </a:graphicData>
            </a:graphic>
          </wp:inline>
        </w:drawing>
      </w:r>
    </w:p>
    <w:p w14:paraId="384CF7B5" w14:textId="5ECF2E14" w:rsidR="00FE583D" w:rsidRDefault="00FE583D" w:rsidP="00FE583D">
      <w:pPr>
        <w:rPr>
          <w:b/>
          <w:bCs/>
        </w:rPr>
      </w:pPr>
      <w:r w:rsidRPr="00152C2B">
        <w:rPr>
          <w:b/>
          <w:bCs/>
        </w:rPr>
        <w:t>Evaluation of cardiovascular safety</w:t>
      </w:r>
    </w:p>
    <w:p w14:paraId="7BC7B2CB" w14:textId="62B50AAB" w:rsidR="00FE583D" w:rsidRDefault="00FE583D" w:rsidP="00FE583D">
      <w:r>
        <w:t>For analysis set C</w:t>
      </w:r>
      <w:r w:rsidR="00D505D6">
        <w:t>,</w:t>
      </w:r>
      <w:r>
        <w:t xml:space="preserve"> </w:t>
      </w:r>
      <w:r w:rsidR="00D505D6">
        <w:t>t</w:t>
      </w:r>
      <w:r w:rsidRPr="00552B4E">
        <w:t xml:space="preserve">he profile of blood pressure over time was </w:t>
      </w:r>
      <w:proofErr w:type="gramStart"/>
      <w:r w:rsidRPr="00552B4E">
        <w:t>similar to</w:t>
      </w:r>
      <w:proofErr w:type="gramEnd"/>
      <w:r w:rsidRPr="00552B4E">
        <w:t xml:space="preserve"> the changes described above for the overall Analysis Set A population</w:t>
      </w:r>
    </w:p>
    <w:p w14:paraId="3722FFFF" w14:textId="77777777" w:rsidR="00FE583D" w:rsidRDefault="00FE583D" w:rsidP="00FE583D">
      <w:r>
        <w:t>For</w:t>
      </w:r>
      <w:r w:rsidRPr="00AE747C">
        <w:t xml:space="preserve"> Analysis Set C, the profile of BNP over time was </w:t>
      </w:r>
      <w:proofErr w:type="gramStart"/>
      <w:r w:rsidRPr="00AE747C">
        <w:t>similar to</w:t>
      </w:r>
      <w:proofErr w:type="gramEnd"/>
      <w:r w:rsidRPr="00AE747C">
        <w:t xml:space="preserve"> that observed in Analysis Set A for the overall population and adolescent population. Slight increases in BNP were observed with </w:t>
      </w:r>
      <w:proofErr w:type="spellStart"/>
      <w:r w:rsidRPr="00AE747C">
        <w:t>omaveloxolone</w:t>
      </w:r>
      <w:proofErr w:type="spellEnd"/>
      <w:r w:rsidRPr="00AE747C">
        <w:t xml:space="preserve"> treatment. There were 5 patients (3.0%) who had a TEAE reported of BNP increased. None of these 5 patients had any BNP result over 200 ng/</w:t>
      </w:r>
      <w:proofErr w:type="spellStart"/>
      <w:r w:rsidRPr="00AE747C">
        <w:t>mL.</w:t>
      </w:r>
      <w:proofErr w:type="spellEnd"/>
      <w:r w:rsidRPr="00AE747C">
        <w:t xml:space="preserve"> BNP values that exceeded 200 </w:t>
      </w:r>
      <w:proofErr w:type="spellStart"/>
      <w:r w:rsidRPr="00AE747C">
        <w:t>pg</w:t>
      </w:r>
      <w:proofErr w:type="spellEnd"/>
      <w:r w:rsidRPr="00AE747C">
        <w:t>/mL at any time while on study treatment were seen in 7 patients, cardiac AEs were reported for 2 of the 7 patients. (Data not included here, but available in the ISS 12.4.4.2.).</w:t>
      </w:r>
    </w:p>
    <w:p w14:paraId="54C3A2FE" w14:textId="77777777" w:rsidR="00FE583D" w:rsidRDefault="00FE583D" w:rsidP="00FE583D">
      <w:r w:rsidRPr="0092536B">
        <w:t>The incidence of total cholesterol above the ULN was lower compared to Analysis Set A (25.5% vs. 33.3%) and the incidence of LDL cholesterol values above the ULN was higher in Analysis Set C compared to Analysis Set A (25.9% vs. 19.9%)</w:t>
      </w:r>
      <w:r>
        <w:t>.</w:t>
      </w:r>
    </w:p>
    <w:p w14:paraId="7050BD71" w14:textId="77777777" w:rsidR="00FE583D" w:rsidRDefault="00FE583D" w:rsidP="00FE583D">
      <w:r w:rsidRPr="00CA3C19">
        <w:lastRenderedPageBreak/>
        <w:t xml:space="preserve">There were 5 patients with TEAEs of hypercholesterolemia or lipids increased reported in </w:t>
      </w:r>
      <w:proofErr w:type="spellStart"/>
      <w:r w:rsidRPr="00CA3C19">
        <w:t>omaveloxolone</w:t>
      </w:r>
      <w:proofErr w:type="spellEnd"/>
      <w:r w:rsidRPr="00CA3C19">
        <w:t xml:space="preserve">-treated patients. The mean change from baseline in total cholesterol at Weeks 48, 96, and 144 was 19.4, 40.6, and 28.9 mg/dL, respectively. Like in Analysis set A the change was reversible after withdrawal of the treatment. The Change in HDL, LDL and VLDL cholesterol were </w:t>
      </w:r>
      <w:proofErr w:type="gramStart"/>
      <w:r w:rsidRPr="00CA3C19">
        <w:t>similar to</w:t>
      </w:r>
      <w:proofErr w:type="gramEnd"/>
      <w:r w:rsidRPr="00CA3C19">
        <w:t xml:space="preserve"> the changes seen in Analysis Set A.</w:t>
      </w:r>
    </w:p>
    <w:p w14:paraId="648089B7" w14:textId="77777777" w:rsidR="00FE583D" w:rsidRDefault="00FE583D" w:rsidP="00FE583D">
      <w:r>
        <w:t>Regarding</w:t>
      </w:r>
      <w:r w:rsidRPr="00CA3C19">
        <w:t xml:space="preserve"> ECGs, </w:t>
      </w:r>
      <w:proofErr w:type="spellStart"/>
      <w:r w:rsidRPr="00CA3C19">
        <w:t>omaveloxolone</w:t>
      </w:r>
      <w:proofErr w:type="spellEnd"/>
      <w:r w:rsidRPr="00CA3C19">
        <w:t xml:space="preserve">-treated patients did not show meaningful changes in ECG parameters relative to either baseline, </w:t>
      </w:r>
      <w:proofErr w:type="gramStart"/>
      <w:r w:rsidRPr="00CA3C19">
        <w:t>similar to</w:t>
      </w:r>
      <w:proofErr w:type="gramEnd"/>
      <w:r w:rsidRPr="00CA3C19">
        <w:t xml:space="preserve"> Analysis Set A, except for the mentioned events of QTc prolongations seen in Analysis Set A.</w:t>
      </w:r>
    </w:p>
    <w:p w14:paraId="32302073" w14:textId="308F287F" w:rsidR="00FE583D" w:rsidRDefault="00FE583D" w:rsidP="00FE583D">
      <w:r>
        <w:t>Regarding</w:t>
      </w:r>
      <w:r w:rsidRPr="008A6190">
        <w:t xml:space="preserve"> echocardiograms, treatment with </w:t>
      </w:r>
      <w:proofErr w:type="spellStart"/>
      <w:r w:rsidRPr="008A6190">
        <w:t>omaveloxolone</w:t>
      </w:r>
      <w:proofErr w:type="spellEnd"/>
      <w:r w:rsidRPr="008A6190">
        <w:t xml:space="preserve"> did not result in meaningful changes in echocardiogram parameters relative to baseline or compared with Analysis Set A. However, cases of </w:t>
      </w:r>
      <w:r w:rsidR="001D20E3">
        <w:t>l</w:t>
      </w:r>
      <w:r w:rsidRPr="008A6190">
        <w:t>eft ventricle dilated at Week 48 (1 (2.3%)</w:t>
      </w:r>
      <w:r w:rsidR="00E304B8">
        <w:t>.</w:t>
      </w:r>
      <w:r w:rsidRPr="008A6190">
        <w:t xml:space="preserve"> Left ventricular hypertrophy at </w:t>
      </w:r>
      <w:r w:rsidR="00E304B8">
        <w:t>w</w:t>
      </w:r>
      <w:r w:rsidRPr="008A6190">
        <w:t xml:space="preserve">eek 48 (11 (25,6%)) and </w:t>
      </w:r>
      <w:r w:rsidR="00E304B8">
        <w:t>r</w:t>
      </w:r>
      <w:r w:rsidRPr="008A6190">
        <w:t xml:space="preserve">ight ventricle enlargement at </w:t>
      </w:r>
      <w:r w:rsidR="00E304B8">
        <w:t>w</w:t>
      </w:r>
      <w:r w:rsidRPr="008A6190">
        <w:t>eek 48 (2 (4.7%)) were reported</w:t>
      </w:r>
      <w:r>
        <w:t>.</w:t>
      </w:r>
    </w:p>
    <w:p w14:paraId="7B59B5FD" w14:textId="77777777" w:rsidR="00FE583D" w:rsidRPr="00E304B8" w:rsidRDefault="00FE583D" w:rsidP="00FE583D">
      <w:pPr>
        <w:pStyle w:val="Heading6"/>
        <w:rPr>
          <w:b w:val="0"/>
          <w:bCs w:val="0"/>
          <w:i w:val="0"/>
          <w:iCs/>
        </w:rPr>
      </w:pPr>
      <w:r w:rsidRPr="00E304B8">
        <w:rPr>
          <w:bCs w:val="0"/>
          <w:i w:val="0"/>
          <w:iCs/>
        </w:rPr>
        <w:t>Safety analysis study 1403</w:t>
      </w:r>
    </w:p>
    <w:p w14:paraId="3BA79F6D" w14:textId="0315EF09" w:rsidR="00FE583D" w:rsidRPr="00DB41F5" w:rsidRDefault="00FE583D" w:rsidP="00FE583D">
      <w:pPr>
        <w:autoSpaceDE w:val="0"/>
        <w:autoSpaceDN w:val="0"/>
        <w:adjustRightInd w:val="0"/>
        <w:spacing w:after="0" w:line="240" w:lineRule="auto"/>
        <w:rPr>
          <w:rFonts w:cs="TimesNewRomanPSMT"/>
        </w:rPr>
      </w:pPr>
      <w:r w:rsidRPr="00DB41F5">
        <w:rPr>
          <w:rFonts w:cs="TimesNewRomanPSMT"/>
        </w:rPr>
        <w:t>Part 1 of this study was a randomized, placebo-controlled, double-blind, dose-ranging study to evaluate the safety, efficacy, and PD activity of RTA 408 at 2.5 mg, 5 mg, 10 mg, 20 mg, and higher dose levels (not to exceed 160 mg) in patients with mitochondrial myopathy</w:t>
      </w:r>
      <w:r w:rsidR="00F37BC9">
        <w:rPr>
          <w:rFonts w:cs="TimesNewRomanPSMT"/>
        </w:rPr>
        <w:t>.</w:t>
      </w:r>
      <w:r w:rsidRPr="00DB41F5">
        <w:rPr>
          <w:rFonts w:cs="TimesNewRomanPSMT"/>
        </w:rPr>
        <w:t xml:space="preserve"> The planned part 2 of this study was not conducted due to RTA 408 showing little to no efficacy </w:t>
      </w:r>
      <w:proofErr w:type="gramStart"/>
      <w:r w:rsidRPr="00DB41F5">
        <w:rPr>
          <w:rFonts w:cs="TimesNewRomanPSMT"/>
        </w:rPr>
        <w:t>with regard to</w:t>
      </w:r>
      <w:proofErr w:type="gramEnd"/>
      <w:r w:rsidRPr="00DB41F5">
        <w:rPr>
          <w:rFonts w:cs="TimesNewRomanPSMT"/>
        </w:rPr>
        <w:t xml:space="preserve"> the measured clinical endpoints.</w:t>
      </w:r>
    </w:p>
    <w:p w14:paraId="289BDD75" w14:textId="77777777" w:rsidR="00FE583D" w:rsidRPr="00DB41F5" w:rsidRDefault="00FE583D" w:rsidP="00FE583D">
      <w:pPr>
        <w:autoSpaceDE w:val="0"/>
        <w:autoSpaceDN w:val="0"/>
        <w:adjustRightInd w:val="0"/>
        <w:spacing w:after="0" w:line="240" w:lineRule="auto"/>
        <w:rPr>
          <w:rFonts w:cs="TimesNewRomanPSMT"/>
        </w:rPr>
      </w:pPr>
    </w:p>
    <w:p w14:paraId="7E8BA891" w14:textId="72336584" w:rsidR="00FE583D" w:rsidRDefault="00FE583D" w:rsidP="00FE583D">
      <w:pPr>
        <w:autoSpaceDE w:val="0"/>
        <w:autoSpaceDN w:val="0"/>
        <w:adjustRightInd w:val="0"/>
        <w:spacing w:after="0" w:line="240" w:lineRule="auto"/>
        <w:rPr>
          <w:rFonts w:cs="TimesNewRomanPSMT"/>
        </w:rPr>
      </w:pPr>
      <w:r w:rsidRPr="00DB41F5">
        <w:rPr>
          <w:rFonts w:cs="TimesNewRomanPSMT"/>
        </w:rPr>
        <w:t xml:space="preserve">Part 1 of the study evaluated the safety, efficacy, and PD activity of RTA 408 at 2.5 mg, 5 mg, 10 mg, 20 mg, 40 mg, 80 mg, and 160 mg in patients with mitochondrial myopathy. Each dose cohort consisted of 8 eligible patients randomized 3:1 to RTA 408 at the cohort specific dose(n=6) or placebo (n=2). Approximately 8 cohorts were to be enrolled in </w:t>
      </w:r>
      <w:r w:rsidR="00F37BC9">
        <w:rPr>
          <w:rFonts w:cs="TimesNewRomanPSMT"/>
        </w:rPr>
        <w:t>p</w:t>
      </w:r>
      <w:r w:rsidRPr="00DB41F5">
        <w:rPr>
          <w:rFonts w:cs="TimesNewRomanPSMT"/>
        </w:rPr>
        <w:t xml:space="preserve">art 1 of the study to allow for adequate dose-ranging for selection of two doses of RTA 408 to be used in </w:t>
      </w:r>
      <w:r w:rsidR="00F37BC9">
        <w:rPr>
          <w:rFonts w:cs="TimesNewRomanPSMT"/>
        </w:rPr>
        <w:t>p</w:t>
      </w:r>
      <w:r w:rsidRPr="00DB41F5">
        <w:rPr>
          <w:rFonts w:cs="TimesNewRomanPSMT"/>
        </w:rPr>
        <w:t>art 2; however, only 7 cohorts were enrolled, with 2 cohorts (1 of which enrolled only 5 patients) at the maximum dose (160 mg).</w:t>
      </w:r>
    </w:p>
    <w:p w14:paraId="450AA368" w14:textId="77777777" w:rsidR="000774E7" w:rsidRPr="00DB41F5" w:rsidRDefault="000774E7" w:rsidP="00FE583D">
      <w:pPr>
        <w:autoSpaceDE w:val="0"/>
        <w:autoSpaceDN w:val="0"/>
        <w:adjustRightInd w:val="0"/>
        <w:spacing w:after="0" w:line="240" w:lineRule="auto"/>
        <w:rPr>
          <w:rFonts w:cs="TimesNewRomanPSMT"/>
        </w:rPr>
      </w:pPr>
    </w:p>
    <w:p w14:paraId="4ECEC56D" w14:textId="43074B7A" w:rsidR="00FE583D" w:rsidRPr="00D56EF1" w:rsidRDefault="00FE583D" w:rsidP="00DB41F5">
      <w:pPr>
        <w:pStyle w:val="FigureTitle"/>
      </w:pPr>
      <w:bookmarkStart w:id="80" w:name="_Toc12019956"/>
      <w:r w:rsidRPr="00D56EF1">
        <w:t xml:space="preserve">Figure </w:t>
      </w:r>
      <w:r w:rsidR="006F7F6C">
        <w:t>30</w:t>
      </w:r>
      <w:r w:rsidRPr="00D56EF1">
        <w:t>:</w:t>
      </w:r>
      <w:bookmarkStart w:id="81" w:name="_bookmark1"/>
      <w:bookmarkStart w:id="82" w:name="_bookmark0"/>
      <w:bookmarkEnd w:id="81"/>
      <w:bookmarkEnd w:id="82"/>
      <w:r w:rsidRPr="00D56EF1">
        <w:rPr>
          <w:rFonts w:ascii="Times New Roman" w:hAnsi="Times New Roman"/>
          <w:sz w:val="24"/>
          <w:szCs w:val="24"/>
        </w:rPr>
        <w:t xml:space="preserve"> </w:t>
      </w:r>
      <w:r w:rsidRPr="00D56EF1">
        <w:t xml:space="preserve">Intended </w:t>
      </w:r>
      <w:r w:rsidR="001305DC">
        <w:t>s</w:t>
      </w:r>
      <w:r w:rsidRPr="00D56EF1">
        <w:t xml:space="preserve">chema for </w:t>
      </w:r>
      <w:r w:rsidR="001305DC">
        <w:t>s</w:t>
      </w:r>
      <w:r w:rsidRPr="00D56EF1">
        <w:t xml:space="preserve">tudy of RTA 408 in </w:t>
      </w:r>
      <w:r w:rsidR="001305DC">
        <w:t>p</w:t>
      </w:r>
      <w:r w:rsidRPr="00D56EF1">
        <w:t xml:space="preserve">atients with </w:t>
      </w:r>
      <w:r w:rsidR="001305DC">
        <w:t>m</w:t>
      </w:r>
      <w:r w:rsidRPr="00D56EF1">
        <w:t xml:space="preserve">itochondrial </w:t>
      </w:r>
      <w:r w:rsidR="001305DC">
        <w:t>m</w:t>
      </w:r>
      <w:r w:rsidRPr="00D56EF1">
        <w:t>yopathy</w:t>
      </w:r>
    </w:p>
    <w:p w14:paraId="6D78BF16" w14:textId="77777777" w:rsidR="00FE583D" w:rsidRDefault="00FE583D" w:rsidP="00FE583D">
      <w:pPr>
        <w:rPr>
          <w:i/>
          <w:color w:val="A5A5A5" w:themeColor="accent3"/>
        </w:rPr>
      </w:pPr>
      <w:r w:rsidRPr="00227ACD">
        <w:rPr>
          <w:i/>
          <w:noProof/>
          <w:color w:val="A5A5A5" w:themeColor="accent3"/>
        </w:rPr>
        <w:drawing>
          <wp:inline distT="0" distB="0" distL="0" distR="0" wp14:anchorId="13CB8DAD" wp14:editId="642019D6">
            <wp:extent cx="5731510" cy="2117090"/>
            <wp:effectExtent l="0" t="0" r="2540" b="0"/>
            <wp:docPr id="606253810" name="Picture 1" descr="Figure 29: Intended Schema for Study of RTA 408 in Patients with Mitochondrial Myopa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53810" name="Picture 1" descr="Figure 29: Intended Schema for Study of RTA 408 in Patients with Mitochondrial Myopathy"/>
                    <pic:cNvPicPr/>
                  </pic:nvPicPr>
                  <pic:blipFill>
                    <a:blip r:embed="rId120"/>
                    <a:stretch>
                      <a:fillRect/>
                    </a:stretch>
                  </pic:blipFill>
                  <pic:spPr>
                    <a:xfrm>
                      <a:off x="0" y="0"/>
                      <a:ext cx="5731510" cy="2117090"/>
                    </a:xfrm>
                    <a:prstGeom prst="rect">
                      <a:avLst/>
                    </a:prstGeom>
                  </pic:spPr>
                </pic:pic>
              </a:graphicData>
            </a:graphic>
          </wp:inline>
        </w:drawing>
      </w:r>
    </w:p>
    <w:p w14:paraId="4C479CB0" w14:textId="77777777" w:rsidR="00FE583D" w:rsidRPr="00EC7A0D" w:rsidRDefault="00FE583D" w:rsidP="001305DC">
      <w:pPr>
        <w:spacing w:before="240"/>
        <w:rPr>
          <w:iCs/>
        </w:rPr>
      </w:pPr>
      <w:r w:rsidRPr="00EC7A0D">
        <w:rPr>
          <w:iCs/>
        </w:rPr>
        <w:t xml:space="preserve">Key inclusion criteria were participants who have a known primary mitochondrial DNA mutation or a nuclear DNA defect </w:t>
      </w:r>
      <w:r w:rsidRPr="004354F5">
        <w:rPr>
          <w:iCs/>
        </w:rPr>
        <w:t>that is associated with reduced activity of at least 1 mitochondrially encoded</w:t>
      </w:r>
      <w:r w:rsidRPr="00EC7A0D">
        <w:rPr>
          <w:iCs/>
        </w:rPr>
        <w:t xml:space="preserve"> respiratory chain complex and be a healthy male or female </w:t>
      </w:r>
      <w:bookmarkStart w:id="83" w:name="_bookmark4"/>
      <w:bookmarkStart w:id="84" w:name="_bookmark3"/>
      <w:bookmarkStart w:id="85" w:name="9.2._Discussion_of_the_Study_Design,_Inc"/>
      <w:bookmarkStart w:id="86" w:name="9.3._Selection_of_Study_Population"/>
      <w:bookmarkStart w:id="87" w:name="9.3.1._Inclusion_Criteria"/>
      <w:bookmarkStart w:id="88" w:name="9.3.2._Exclusion_Criteria"/>
      <w:bookmarkStart w:id="89" w:name="_bookmark2"/>
      <w:bookmarkEnd w:id="83"/>
      <w:bookmarkEnd w:id="84"/>
      <w:bookmarkEnd w:id="85"/>
      <w:bookmarkEnd w:id="86"/>
      <w:bookmarkEnd w:id="87"/>
      <w:bookmarkEnd w:id="88"/>
      <w:bookmarkEnd w:id="89"/>
      <w:r w:rsidRPr="00EC7A0D">
        <w:rPr>
          <w:iCs/>
        </w:rPr>
        <w:t>≥ 18 years of age and ≤ 75 years of age</w:t>
      </w:r>
      <w:r>
        <w:rPr>
          <w:iCs/>
        </w:rPr>
        <w:t>.</w:t>
      </w:r>
    </w:p>
    <w:p w14:paraId="7252E2C7" w14:textId="793943B3" w:rsidR="00FE583D" w:rsidRDefault="00FE583D" w:rsidP="00FE583D">
      <w:pPr>
        <w:rPr>
          <w:iCs/>
        </w:rPr>
      </w:pPr>
      <w:r w:rsidRPr="00626958">
        <w:rPr>
          <w:iCs/>
        </w:rPr>
        <w:t>Summar</w:t>
      </w:r>
      <w:r>
        <w:rPr>
          <w:iCs/>
        </w:rPr>
        <w:t>y</w:t>
      </w:r>
      <w:r w:rsidRPr="00626958">
        <w:rPr>
          <w:iCs/>
        </w:rPr>
        <w:t xml:space="preserve"> of drug exposure by treatment group</w:t>
      </w:r>
      <w:r>
        <w:rPr>
          <w:iCs/>
        </w:rPr>
        <w:t xml:space="preserve"> in this study</w:t>
      </w:r>
      <w:r w:rsidRPr="00626958">
        <w:rPr>
          <w:iCs/>
        </w:rPr>
        <w:t xml:space="preserve"> is shown in </w:t>
      </w:r>
      <w:r w:rsidR="008D5BFF" w:rsidRPr="009B38F3">
        <w:rPr>
          <w:iCs/>
        </w:rPr>
        <w:fldChar w:fldCharType="begin"/>
      </w:r>
      <w:r w:rsidR="008D5BFF" w:rsidRPr="009B38F3">
        <w:rPr>
          <w:iCs/>
        </w:rPr>
        <w:instrText xml:space="preserve"> REF _Ref183595593 \h </w:instrText>
      </w:r>
      <w:r w:rsidR="008D5BFF" w:rsidRPr="009B38F3">
        <w:rPr>
          <w:iCs/>
        </w:rPr>
      </w:r>
      <w:r w:rsidR="008D5BFF" w:rsidRPr="009B38F3">
        <w:rPr>
          <w:iCs/>
        </w:rPr>
        <w:fldChar w:fldCharType="separate"/>
      </w:r>
      <w:r w:rsidR="008D5BFF" w:rsidRPr="009B38F3">
        <w:rPr>
          <w:iCs/>
        </w:rPr>
        <w:t>Table 4</w:t>
      </w:r>
      <w:r w:rsidR="00DA0B3A">
        <w:rPr>
          <w:iCs/>
        </w:rPr>
        <w:t>9</w:t>
      </w:r>
      <w:r w:rsidR="008D5BFF">
        <w:rPr>
          <w:iCs/>
        </w:rPr>
        <w:t>.</w:t>
      </w:r>
      <w:r w:rsidR="008D5BFF" w:rsidRPr="009B38F3">
        <w:rPr>
          <w:iCs/>
        </w:rPr>
        <w:fldChar w:fldCharType="end"/>
      </w:r>
    </w:p>
    <w:p w14:paraId="70D2DA23" w14:textId="69D4ED02" w:rsidR="00FE583D" w:rsidRPr="009B38F3" w:rsidRDefault="00FE583D" w:rsidP="008D5BFF">
      <w:pPr>
        <w:pStyle w:val="TableTitle"/>
      </w:pPr>
      <w:bookmarkStart w:id="90" w:name="_Ref183595593"/>
      <w:r w:rsidRPr="009B38F3">
        <w:lastRenderedPageBreak/>
        <w:t xml:space="preserve">Table </w:t>
      </w:r>
      <w:fldSimple w:instr=" SEQ Table \* ARABIC ">
        <w:r>
          <w:rPr>
            <w:noProof/>
          </w:rPr>
          <w:t>4</w:t>
        </w:r>
        <w:r w:rsidR="00DA0B3A">
          <w:rPr>
            <w:noProof/>
          </w:rPr>
          <w:t>9</w:t>
        </w:r>
      </w:fldSimple>
      <w:bookmarkEnd w:id="90"/>
      <w:r w:rsidRPr="009B38F3">
        <w:t xml:space="preserve">: Summary of </w:t>
      </w:r>
      <w:r w:rsidR="001305DC">
        <w:t>d</w:t>
      </w:r>
      <w:r w:rsidRPr="009B38F3">
        <w:t xml:space="preserve">rug </w:t>
      </w:r>
      <w:r w:rsidR="001305DC">
        <w:t>e</w:t>
      </w:r>
      <w:r w:rsidRPr="009B38F3">
        <w:t xml:space="preserve">xposure by </w:t>
      </w:r>
      <w:r w:rsidR="001305DC">
        <w:t>t</w:t>
      </w:r>
      <w:r w:rsidRPr="009B38F3">
        <w:t xml:space="preserve">reatment </w:t>
      </w:r>
      <w:r w:rsidR="001305DC">
        <w:t>g</w:t>
      </w:r>
      <w:r w:rsidRPr="009B38F3">
        <w:t>roup</w:t>
      </w:r>
    </w:p>
    <w:p w14:paraId="640755A4" w14:textId="77777777" w:rsidR="00FE583D" w:rsidRDefault="00FE583D" w:rsidP="00FE583D">
      <w:pPr>
        <w:rPr>
          <w:iCs/>
        </w:rPr>
      </w:pPr>
      <w:r w:rsidRPr="00C95EE2">
        <w:rPr>
          <w:iCs/>
          <w:noProof/>
        </w:rPr>
        <w:drawing>
          <wp:inline distT="0" distB="0" distL="0" distR="0" wp14:anchorId="3C444EDD" wp14:editId="5347A5E8">
            <wp:extent cx="5731510" cy="2770505"/>
            <wp:effectExtent l="0" t="0" r="2540" b="0"/>
            <wp:docPr id="2010947279" name="Picture 1" descr="Table 48: Summary of Drug Exposure by 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7279" name="Picture 1" descr="Table 48: Summary of Drug Exposure by Treatment Group"/>
                    <pic:cNvPicPr/>
                  </pic:nvPicPr>
                  <pic:blipFill>
                    <a:blip r:embed="rId121"/>
                    <a:stretch>
                      <a:fillRect/>
                    </a:stretch>
                  </pic:blipFill>
                  <pic:spPr>
                    <a:xfrm>
                      <a:off x="0" y="0"/>
                      <a:ext cx="5731510" cy="2770505"/>
                    </a:xfrm>
                    <a:prstGeom prst="rect">
                      <a:avLst/>
                    </a:prstGeom>
                  </pic:spPr>
                </pic:pic>
              </a:graphicData>
            </a:graphic>
          </wp:inline>
        </w:drawing>
      </w:r>
    </w:p>
    <w:p w14:paraId="6CF74458" w14:textId="77777777" w:rsidR="008D5BFF" w:rsidRDefault="008D5BFF" w:rsidP="00FE583D">
      <w:pPr>
        <w:rPr>
          <w:iCs/>
        </w:rPr>
      </w:pPr>
      <w:bookmarkStart w:id="91" w:name="12.2._Adverse_Events"/>
      <w:bookmarkStart w:id="92" w:name="12.2.1._Brief_Summary_of_Adverse_Events"/>
      <w:bookmarkStart w:id="93" w:name="12.2.2._Display_of_Adverse_Events"/>
      <w:bookmarkStart w:id="94" w:name="12.2.3._Analysis_of_Adverse_Events"/>
      <w:bookmarkEnd w:id="91"/>
      <w:bookmarkEnd w:id="92"/>
      <w:bookmarkEnd w:id="93"/>
      <w:bookmarkEnd w:id="94"/>
    </w:p>
    <w:p w14:paraId="086D6832" w14:textId="6D804580" w:rsidR="00FE583D" w:rsidRPr="00735749" w:rsidRDefault="00FE583D" w:rsidP="00FE583D">
      <w:pPr>
        <w:rPr>
          <w:iCs/>
        </w:rPr>
      </w:pPr>
      <w:r>
        <w:rPr>
          <w:iCs/>
        </w:rPr>
        <w:t xml:space="preserve">Regarding TEAE’s, </w:t>
      </w:r>
      <w:r w:rsidRPr="00E7746C">
        <w:rPr>
          <w:iCs/>
        </w:rPr>
        <w:t>19 (47.5%) RTA 408 treated</w:t>
      </w:r>
      <w:r>
        <w:rPr>
          <w:iCs/>
        </w:rPr>
        <w:t xml:space="preserve"> </w:t>
      </w:r>
      <w:r w:rsidRPr="00E7746C">
        <w:rPr>
          <w:iCs/>
        </w:rPr>
        <w:t>patients and 7 (53.8%) placebo treated patients experienced only TEAEs that were mild at worst severity, 11 (27.5%) RTA 408 treated patients and 3 (23.1%) patients treated with placebo experienced at least one TEAE that was moderate at worst severity, and 6 (15.0%) RTA 408</w:t>
      </w:r>
      <w:r>
        <w:rPr>
          <w:iCs/>
        </w:rPr>
        <w:t xml:space="preserve"> </w:t>
      </w:r>
      <w:r w:rsidRPr="00735749">
        <w:rPr>
          <w:iCs/>
        </w:rPr>
        <w:t>treated patients and 1 (7.7%) placebo treated patient experienced a severe TEAE</w:t>
      </w:r>
      <w:r>
        <w:rPr>
          <w:iCs/>
        </w:rPr>
        <w:t>.</w:t>
      </w:r>
    </w:p>
    <w:p w14:paraId="6843040D" w14:textId="53ECD433" w:rsidR="00FE583D" w:rsidRPr="005E15AD" w:rsidRDefault="00FE583D" w:rsidP="00FE583D">
      <w:pPr>
        <w:rPr>
          <w:iCs/>
        </w:rPr>
      </w:pPr>
      <w:r w:rsidRPr="003A52B7">
        <w:rPr>
          <w:iCs/>
        </w:rPr>
        <w:t>Overall, 11 TEAEs occurred in ≥ 2 patients in any dose group</w:t>
      </w:r>
      <w:r w:rsidR="00037B8D">
        <w:rPr>
          <w:iCs/>
        </w:rPr>
        <w:t>.</w:t>
      </w:r>
      <w:r>
        <w:rPr>
          <w:iCs/>
        </w:rPr>
        <w:t xml:space="preserve"> </w:t>
      </w:r>
      <w:r w:rsidRPr="005E15AD">
        <w:rPr>
          <w:iCs/>
        </w:rPr>
        <w:t>No apparent treatment</w:t>
      </w:r>
      <w:r>
        <w:rPr>
          <w:iCs/>
        </w:rPr>
        <w:t xml:space="preserve"> </w:t>
      </w:r>
      <w:r w:rsidRPr="005E15AD">
        <w:rPr>
          <w:iCs/>
        </w:rPr>
        <w:t>or dose-related trends were observed for these TEAEs.</w:t>
      </w:r>
      <w:r>
        <w:rPr>
          <w:iCs/>
        </w:rPr>
        <w:t xml:space="preserve"> This is shown in </w:t>
      </w:r>
      <w:r w:rsidR="008D5BFF" w:rsidRPr="001D6DCC">
        <w:rPr>
          <w:iCs/>
        </w:rPr>
        <w:fldChar w:fldCharType="begin"/>
      </w:r>
      <w:r w:rsidR="008D5BFF" w:rsidRPr="001D6DCC">
        <w:rPr>
          <w:iCs/>
        </w:rPr>
        <w:instrText xml:space="preserve"> REF _Ref183597122 \h  \* MERGEFORMAT </w:instrText>
      </w:r>
      <w:r w:rsidR="008D5BFF" w:rsidRPr="001D6DCC">
        <w:rPr>
          <w:iCs/>
        </w:rPr>
      </w:r>
      <w:r w:rsidR="008D5BFF" w:rsidRPr="001D6DCC">
        <w:rPr>
          <w:iCs/>
        </w:rPr>
        <w:fldChar w:fldCharType="separate"/>
      </w:r>
      <w:r w:rsidR="008D5BFF" w:rsidRPr="001D6DCC">
        <w:t xml:space="preserve">Table </w:t>
      </w:r>
      <w:r w:rsidR="008B5056">
        <w:rPr>
          <w:noProof/>
        </w:rPr>
        <w:t>50</w:t>
      </w:r>
      <w:r w:rsidR="008D5BFF" w:rsidRPr="001D6DCC">
        <w:rPr>
          <w:iCs/>
        </w:rPr>
        <w:fldChar w:fldCharType="end"/>
      </w:r>
      <w:r w:rsidRPr="001D6DCC">
        <w:rPr>
          <w:iCs/>
        </w:rPr>
        <w:t>.</w:t>
      </w:r>
    </w:p>
    <w:p w14:paraId="6DFF6845" w14:textId="37CA5C4D" w:rsidR="00FE583D" w:rsidRPr="00804548" w:rsidRDefault="00FE583D" w:rsidP="008D5BFF">
      <w:pPr>
        <w:pStyle w:val="TableTitle"/>
      </w:pPr>
      <w:bookmarkStart w:id="95" w:name="_Ref183597122"/>
      <w:r w:rsidRPr="00804548">
        <w:lastRenderedPageBreak/>
        <w:t xml:space="preserve">Table </w:t>
      </w:r>
      <w:bookmarkEnd w:id="95"/>
      <w:r w:rsidR="008B5056">
        <w:t>50</w:t>
      </w:r>
      <w:r w:rsidRPr="00804548">
        <w:t xml:space="preserve">: TEAEs </w:t>
      </w:r>
      <w:r w:rsidR="004A0A68">
        <w:t>o</w:t>
      </w:r>
      <w:r w:rsidRPr="00804548">
        <w:t xml:space="preserve">ccurring in ≥ 2 </w:t>
      </w:r>
      <w:r w:rsidR="004A0A68">
        <w:t>p</w:t>
      </w:r>
      <w:r w:rsidRPr="00804548">
        <w:t xml:space="preserve">atients in </w:t>
      </w:r>
      <w:r w:rsidR="004A0A68">
        <w:t>a</w:t>
      </w:r>
      <w:r w:rsidRPr="00804548">
        <w:t xml:space="preserve">ny </w:t>
      </w:r>
      <w:r w:rsidR="004A0A68">
        <w:t>d</w:t>
      </w:r>
      <w:r w:rsidRPr="00804548">
        <w:t xml:space="preserve">ose </w:t>
      </w:r>
      <w:r w:rsidR="004A0A68">
        <w:t>g</w:t>
      </w:r>
      <w:r w:rsidRPr="00804548">
        <w:t>roup</w:t>
      </w:r>
    </w:p>
    <w:p w14:paraId="7A502170" w14:textId="77777777" w:rsidR="00FE583D" w:rsidRPr="003A52B7" w:rsidRDefault="00FE583D" w:rsidP="00FE583D">
      <w:pPr>
        <w:rPr>
          <w:iCs/>
        </w:rPr>
      </w:pPr>
      <w:r w:rsidRPr="005E15AD">
        <w:rPr>
          <w:iCs/>
          <w:noProof/>
        </w:rPr>
        <w:drawing>
          <wp:inline distT="0" distB="0" distL="0" distR="0" wp14:anchorId="3D9E37E1" wp14:editId="304E53CE">
            <wp:extent cx="5209578" cy="4760536"/>
            <wp:effectExtent l="0" t="0" r="0" b="2540"/>
            <wp:docPr id="1628451037" name="Picture 1" descr="Table 49: TEAEs Occurring in ≥ 2 Patients in Any Dos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51037" name="Picture 1" descr="Table 49: TEAEs Occurring in ≥ 2 Patients in Any Dose Group"/>
                    <pic:cNvPicPr/>
                  </pic:nvPicPr>
                  <pic:blipFill>
                    <a:blip r:embed="rId122"/>
                    <a:stretch>
                      <a:fillRect/>
                    </a:stretch>
                  </pic:blipFill>
                  <pic:spPr>
                    <a:xfrm>
                      <a:off x="0" y="0"/>
                      <a:ext cx="5213505" cy="4764124"/>
                    </a:xfrm>
                    <a:prstGeom prst="rect">
                      <a:avLst/>
                    </a:prstGeom>
                  </pic:spPr>
                </pic:pic>
              </a:graphicData>
            </a:graphic>
          </wp:inline>
        </w:drawing>
      </w:r>
    </w:p>
    <w:p w14:paraId="0F4A9591" w14:textId="77777777" w:rsidR="00D30832" w:rsidRDefault="00D30832" w:rsidP="00FE583D">
      <w:pPr>
        <w:rPr>
          <w:iCs/>
        </w:rPr>
      </w:pPr>
      <w:bookmarkStart w:id="96" w:name="12.2.4._Listing_of_Adverse_Events_by_Pat"/>
      <w:bookmarkStart w:id="97" w:name="12.3._Deaths,_Other_Serious_Adverse_Even"/>
      <w:bookmarkStart w:id="98" w:name="12.3.1._Listing_of_Deaths,_Other_Serious"/>
      <w:bookmarkStart w:id="99" w:name="12.3.1.1._Deaths"/>
      <w:bookmarkStart w:id="100" w:name="12.3.1.2._Other_Serious_Adverse_Events"/>
      <w:bookmarkEnd w:id="96"/>
      <w:bookmarkEnd w:id="97"/>
      <w:bookmarkEnd w:id="98"/>
      <w:bookmarkEnd w:id="99"/>
      <w:bookmarkEnd w:id="100"/>
    </w:p>
    <w:p w14:paraId="6F1FC7FC" w14:textId="0A2B7A19" w:rsidR="00FE583D" w:rsidRPr="001B09D5" w:rsidRDefault="00D30832" w:rsidP="00FE583D">
      <w:pPr>
        <w:rPr>
          <w:iCs/>
        </w:rPr>
      </w:pPr>
      <w:r>
        <w:rPr>
          <w:iCs/>
        </w:rPr>
        <w:t xml:space="preserve">A </w:t>
      </w:r>
      <w:r w:rsidR="00FE583D" w:rsidRPr="00715CED">
        <w:rPr>
          <w:iCs/>
        </w:rPr>
        <w:t>total of 5 patients (9.4%) reported 7 SAEs, 4 patients treated with RTA 408 (10.0%) and 1</w:t>
      </w:r>
      <w:r w:rsidR="00FE583D">
        <w:rPr>
          <w:iCs/>
        </w:rPr>
        <w:t xml:space="preserve"> </w:t>
      </w:r>
      <w:r w:rsidR="00FE583D" w:rsidRPr="00715CED">
        <w:rPr>
          <w:iCs/>
        </w:rPr>
        <w:t>patient receiving placebo (7.7%).</w:t>
      </w:r>
      <w:r>
        <w:rPr>
          <w:iCs/>
        </w:rPr>
        <w:t xml:space="preserve"> </w:t>
      </w:r>
      <w:r w:rsidR="00FE583D" w:rsidRPr="00E97803">
        <w:rPr>
          <w:iCs/>
        </w:rPr>
        <w:t>Four of the SAEs experienced by 3 patients treated with RTA 408 were considered by the</w:t>
      </w:r>
      <w:r w:rsidR="00FE583D">
        <w:rPr>
          <w:iCs/>
        </w:rPr>
        <w:t xml:space="preserve"> </w:t>
      </w:r>
      <w:r w:rsidR="00FE583D" w:rsidRPr="00E97803">
        <w:rPr>
          <w:iCs/>
        </w:rPr>
        <w:t xml:space="preserve">investigator to be drug related (atrioventricular dissociation, tachycardia, ventricular tachycardia, and fatigue); however, the </w:t>
      </w:r>
      <w:r w:rsidR="004C338D">
        <w:rPr>
          <w:iCs/>
        </w:rPr>
        <w:t>s</w:t>
      </w:r>
      <w:r w:rsidR="007B6B69">
        <w:rPr>
          <w:iCs/>
        </w:rPr>
        <w:t>ponsor</w:t>
      </w:r>
      <w:r w:rsidR="00FE583D" w:rsidRPr="00E97803">
        <w:rPr>
          <w:iCs/>
        </w:rPr>
        <w:t xml:space="preserve"> considered the cardiac disorder SAEs as unrelated to</w:t>
      </w:r>
      <w:r w:rsidR="00FE583D">
        <w:rPr>
          <w:iCs/>
        </w:rPr>
        <w:t xml:space="preserve"> </w:t>
      </w:r>
      <w:r w:rsidR="00FE583D" w:rsidRPr="00E97803">
        <w:rPr>
          <w:iCs/>
        </w:rPr>
        <w:t>treatment</w:t>
      </w:r>
      <w:r w:rsidR="00FE583D">
        <w:rPr>
          <w:iCs/>
        </w:rPr>
        <w:t xml:space="preserve">. </w:t>
      </w:r>
      <w:r w:rsidR="00FE583D" w:rsidRPr="001B09D5">
        <w:rPr>
          <w:iCs/>
        </w:rPr>
        <w:t>Additionally, tachycardia (mild and not</w:t>
      </w:r>
      <w:r w:rsidR="00FE583D">
        <w:rPr>
          <w:iCs/>
        </w:rPr>
        <w:t xml:space="preserve"> </w:t>
      </w:r>
      <w:r w:rsidR="00FE583D" w:rsidRPr="001B09D5">
        <w:rPr>
          <w:iCs/>
        </w:rPr>
        <w:t>considered an SAE) was reported in 1 patient treated with placebo.</w:t>
      </w:r>
      <w:r w:rsidR="00FE583D" w:rsidRPr="00E901E3">
        <w:rPr>
          <w:rFonts w:ascii="Times New Roman" w:hAnsi="Times New Roman"/>
          <w:sz w:val="24"/>
          <w:szCs w:val="24"/>
        </w:rPr>
        <w:t xml:space="preserve"> </w:t>
      </w:r>
      <w:r w:rsidR="00FE583D" w:rsidRPr="00E901E3">
        <w:rPr>
          <w:iCs/>
        </w:rPr>
        <w:t>Drug-related SAEs led to</w:t>
      </w:r>
      <w:r w:rsidR="00FE583D">
        <w:rPr>
          <w:iCs/>
        </w:rPr>
        <w:t xml:space="preserve"> </w:t>
      </w:r>
      <w:r w:rsidR="00FE583D" w:rsidRPr="00E901E3">
        <w:rPr>
          <w:iCs/>
        </w:rPr>
        <w:t>withdrawal from treatment in 2 patients (those experiencing cardiac disorders) and treatment interruption in 1 patient (experiencing exacerbated fatigue; patient later withdrew from treatment after experiencing a non-serious AE). The SAE experienced by a patient receiving placebo</w:t>
      </w:r>
      <w:r w:rsidR="00FE583D">
        <w:rPr>
          <w:iCs/>
        </w:rPr>
        <w:t xml:space="preserve"> </w:t>
      </w:r>
      <w:r w:rsidR="00FE583D" w:rsidRPr="00E901E3">
        <w:rPr>
          <w:iCs/>
        </w:rPr>
        <w:t>(tonic epileptic seizure) was not considered to be drug related.</w:t>
      </w:r>
      <w:r w:rsidR="00FE583D">
        <w:rPr>
          <w:iCs/>
        </w:rPr>
        <w:t xml:space="preserve"> SAE</w:t>
      </w:r>
      <w:r w:rsidR="00760592">
        <w:rPr>
          <w:iCs/>
        </w:rPr>
        <w:t>s</w:t>
      </w:r>
      <w:r w:rsidR="00FE583D">
        <w:rPr>
          <w:iCs/>
        </w:rPr>
        <w:t xml:space="preserve"> are shown in </w:t>
      </w:r>
      <w:r w:rsidR="00977DFD" w:rsidRPr="00424706">
        <w:rPr>
          <w:iCs/>
        </w:rPr>
        <w:fldChar w:fldCharType="begin"/>
      </w:r>
      <w:r w:rsidR="00977DFD" w:rsidRPr="00424706">
        <w:rPr>
          <w:iCs/>
        </w:rPr>
        <w:instrText xml:space="preserve"> REF _Ref183597453 \h  \* MERGEFORMAT </w:instrText>
      </w:r>
      <w:r w:rsidR="00977DFD" w:rsidRPr="00424706">
        <w:rPr>
          <w:iCs/>
        </w:rPr>
      </w:r>
      <w:r w:rsidR="00977DFD" w:rsidRPr="00424706">
        <w:rPr>
          <w:iCs/>
        </w:rPr>
        <w:fldChar w:fldCharType="separate"/>
      </w:r>
      <w:r w:rsidR="00977DFD" w:rsidRPr="00424706">
        <w:t xml:space="preserve">Table </w:t>
      </w:r>
      <w:r w:rsidR="00977DFD" w:rsidRPr="00424706">
        <w:rPr>
          <w:noProof/>
        </w:rPr>
        <w:t>5</w:t>
      </w:r>
      <w:r w:rsidR="00970195" w:rsidRPr="00424706">
        <w:rPr>
          <w:noProof/>
        </w:rPr>
        <w:t>1</w:t>
      </w:r>
      <w:r w:rsidR="00977DFD" w:rsidRPr="00424706">
        <w:rPr>
          <w:iCs/>
        </w:rPr>
        <w:fldChar w:fldCharType="end"/>
      </w:r>
      <w:r w:rsidR="00FE583D" w:rsidRPr="00424706">
        <w:rPr>
          <w:iCs/>
        </w:rPr>
        <w:t>.</w:t>
      </w:r>
    </w:p>
    <w:p w14:paraId="314809F4" w14:textId="6B8BB10A" w:rsidR="00FE583D" w:rsidRPr="00F73EA8" w:rsidRDefault="00FE583D" w:rsidP="00977DFD">
      <w:pPr>
        <w:pStyle w:val="TableTitle"/>
      </w:pPr>
      <w:bookmarkStart w:id="101" w:name="_Ref183597453"/>
      <w:r w:rsidRPr="00F73EA8">
        <w:lastRenderedPageBreak/>
        <w:t xml:space="preserve">Table </w:t>
      </w:r>
      <w:fldSimple w:instr=" SEQ Table \* ARABIC ">
        <w:r>
          <w:rPr>
            <w:noProof/>
          </w:rPr>
          <w:t>5</w:t>
        </w:r>
        <w:r w:rsidR="00174C0A">
          <w:rPr>
            <w:noProof/>
          </w:rPr>
          <w:t>1</w:t>
        </w:r>
      </w:fldSimple>
      <w:bookmarkEnd w:id="101"/>
      <w:r w:rsidRPr="00F73EA8">
        <w:t xml:space="preserve">: </w:t>
      </w:r>
      <w:bookmarkStart w:id="102" w:name="Table_14.3.1.3_Serious_Treatment-emergen"/>
      <w:bookmarkEnd w:id="102"/>
      <w:r w:rsidRPr="00F73EA8">
        <w:t>Serious Treatment-emergent Adverse Events by System Organ Class and Preferred Term Safety Population</w:t>
      </w:r>
    </w:p>
    <w:p w14:paraId="33B2B5C6" w14:textId="77777777" w:rsidR="00FE583D" w:rsidRPr="00E97803" w:rsidRDefault="00FE583D" w:rsidP="00FE583D">
      <w:pPr>
        <w:rPr>
          <w:iCs/>
        </w:rPr>
      </w:pPr>
      <w:r w:rsidRPr="009B4CBD">
        <w:rPr>
          <w:iCs/>
          <w:noProof/>
        </w:rPr>
        <w:drawing>
          <wp:inline distT="0" distB="0" distL="0" distR="0" wp14:anchorId="1D95D95F" wp14:editId="774BB10C">
            <wp:extent cx="6268825" cy="2450465"/>
            <wp:effectExtent l="0" t="0" r="0" b="6985"/>
            <wp:docPr id="1176574748" name="Picture 1" descr="Table 50: Serious Treatment-emergent Adverse Events by System Organ Class and Preferred Term Safe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74748" name="Picture 1" descr="Table 50: Serious Treatment-emergent Adverse Events by System Organ Class and Preferred Term Safety Population"/>
                    <pic:cNvPicPr/>
                  </pic:nvPicPr>
                  <pic:blipFill>
                    <a:blip r:embed="rId123"/>
                    <a:stretch>
                      <a:fillRect/>
                    </a:stretch>
                  </pic:blipFill>
                  <pic:spPr>
                    <a:xfrm>
                      <a:off x="0" y="0"/>
                      <a:ext cx="6309009" cy="2466173"/>
                    </a:xfrm>
                    <a:prstGeom prst="rect">
                      <a:avLst/>
                    </a:prstGeom>
                  </pic:spPr>
                </pic:pic>
              </a:graphicData>
            </a:graphic>
          </wp:inline>
        </w:drawing>
      </w:r>
    </w:p>
    <w:p w14:paraId="2ADF4A9E" w14:textId="77777777" w:rsidR="00982C67" w:rsidRDefault="00982C67" w:rsidP="00FE583D">
      <w:pPr>
        <w:rPr>
          <w:iCs/>
        </w:rPr>
      </w:pPr>
      <w:bookmarkStart w:id="103" w:name="12.4._Clinical_Laboratory_Evaluation"/>
      <w:bookmarkStart w:id="104" w:name="12.4.1._Listing_of_Individual_Laboratory"/>
      <w:bookmarkStart w:id="105" w:name="12.4.2._Evaluation_of_Each_Laboratory_Pa"/>
      <w:bookmarkStart w:id="106" w:name="12.4.2.1._Laboratory_Values_Over_Time"/>
      <w:bookmarkEnd w:id="103"/>
      <w:bookmarkEnd w:id="104"/>
      <w:bookmarkEnd w:id="105"/>
      <w:bookmarkEnd w:id="106"/>
    </w:p>
    <w:p w14:paraId="26560BEA" w14:textId="70709599" w:rsidR="00C43628" w:rsidRDefault="00FE583D" w:rsidP="00FE583D">
      <w:pPr>
        <w:rPr>
          <w:iCs/>
        </w:rPr>
      </w:pPr>
      <w:r w:rsidRPr="00BB4582">
        <w:rPr>
          <w:iCs/>
        </w:rPr>
        <w:t>A total of 4</w:t>
      </w:r>
      <w:r>
        <w:rPr>
          <w:iCs/>
        </w:rPr>
        <w:t xml:space="preserve"> </w:t>
      </w:r>
      <w:r w:rsidRPr="00BB4582">
        <w:rPr>
          <w:iCs/>
        </w:rPr>
        <w:t>patients (10%) treated with RTA 408 exceeded the threshold criterion of ALT or AST &gt; 3x the upper limit of normal (1 patient in the 40 mg group, and 3 patients in the 160 mg group), while no patients treated with placebo exceeded the threshold criterion. ALT and AST levels were below 3x the upper limit of normal by the next assessment for all patients. Two of these patients</w:t>
      </w:r>
      <w:r w:rsidR="005A7EB2">
        <w:rPr>
          <w:iCs/>
        </w:rPr>
        <w:t xml:space="preserve"> </w:t>
      </w:r>
      <w:r w:rsidRPr="00BB4582">
        <w:rPr>
          <w:iCs/>
        </w:rPr>
        <w:t>had ALT or AST levels that were considered high at baseline. One patient (2.5%) treated with RTA 408 (in the 160 mg group) who exceeded the threshold criterion of ALT or AST &gt; 3x the upper limit of normal also exceeded the threshold criterion of ALT or AST &gt; 8x the upper limit of normal (as discussed in</w:t>
      </w:r>
      <w:r>
        <w:rPr>
          <w:iCs/>
        </w:rPr>
        <w:t xml:space="preserve"> </w:t>
      </w:r>
      <w:r w:rsidRPr="00BB4582">
        <w:rPr>
          <w:iCs/>
        </w:rPr>
        <w:t xml:space="preserve">Section 11.4.1.4). </w:t>
      </w:r>
    </w:p>
    <w:p w14:paraId="124E3249" w14:textId="7827EF30" w:rsidR="00C43628" w:rsidRDefault="00FE583D" w:rsidP="00FE583D">
      <w:pPr>
        <w:rPr>
          <w:iCs/>
        </w:rPr>
      </w:pPr>
      <w:r w:rsidRPr="00BB4582">
        <w:rPr>
          <w:iCs/>
        </w:rPr>
        <w:t xml:space="preserve">Drug interruption </w:t>
      </w:r>
      <w:proofErr w:type="gramStart"/>
      <w:r w:rsidRPr="00BB4582">
        <w:rPr>
          <w:iCs/>
        </w:rPr>
        <w:t>as a result of</w:t>
      </w:r>
      <w:proofErr w:type="gramEnd"/>
      <w:r w:rsidRPr="00BB4582">
        <w:rPr>
          <w:iCs/>
        </w:rPr>
        <w:t xml:space="preserve"> exceeding these threshold criteria only occurred in the patient with ALT or AST &gt; 8x the upper limit of normal. Specifically, the patient had AST levels of 23 U/L at baseline, but at </w:t>
      </w:r>
      <w:r w:rsidR="00B539D2">
        <w:rPr>
          <w:iCs/>
        </w:rPr>
        <w:t>w</w:t>
      </w:r>
      <w:r w:rsidRPr="00BB4582">
        <w:rPr>
          <w:iCs/>
        </w:rPr>
        <w:t xml:space="preserve">eek 1, their AST levels were 310 U/L, exceeding 8x the upper limit of normal. Additionally, the patient’s ALT levels (152 U/L) exceeded 3x the upper limit of normal at their </w:t>
      </w:r>
      <w:r w:rsidR="00B539D2">
        <w:rPr>
          <w:iCs/>
        </w:rPr>
        <w:t>w</w:t>
      </w:r>
      <w:r w:rsidRPr="00BB4582">
        <w:rPr>
          <w:iCs/>
        </w:rPr>
        <w:t xml:space="preserve">eek 1 visit (but were normal at baseline). Subsequently, treatment was interrupted. </w:t>
      </w:r>
    </w:p>
    <w:p w14:paraId="69F4487D" w14:textId="30178CA4" w:rsidR="00FE583D" w:rsidRPr="00BB4582" w:rsidRDefault="00FE583D" w:rsidP="00FE583D">
      <w:pPr>
        <w:rPr>
          <w:iCs/>
        </w:rPr>
      </w:pPr>
      <w:r w:rsidRPr="00BB4582">
        <w:rPr>
          <w:iCs/>
        </w:rPr>
        <w:t>By Week 2, AST levels had return to near normal levels and were</w:t>
      </w:r>
      <w:r>
        <w:rPr>
          <w:iCs/>
        </w:rPr>
        <w:t xml:space="preserve"> </w:t>
      </w:r>
      <w:r w:rsidRPr="00BB4582">
        <w:rPr>
          <w:iCs/>
        </w:rPr>
        <w:t>1.5x the baseline value (35 U/L). The patient’s ALT levels returned to 2x the baseline value (48 U/L). After the patient resumed treatment, their AST and ALT levels were in the normal range (at the Week 4 and Week 8 visits) until Week 12 when their AST levels were elevated to 2.1x the baseline value. At Week 16 (4 weeks after treatment ended), the patient’s AST and ALT levels were both elevated again to levels exceeding 3x the upper limit of normal. Increases in ALT or AST were not associated with changes in total bilirubin for any of the patients who exceeded</w:t>
      </w:r>
      <w:r>
        <w:rPr>
          <w:iCs/>
        </w:rPr>
        <w:t xml:space="preserve"> </w:t>
      </w:r>
      <w:r w:rsidRPr="00BB4582">
        <w:rPr>
          <w:iCs/>
        </w:rPr>
        <w:t>these threshold criteria.</w:t>
      </w:r>
      <w:r>
        <w:rPr>
          <w:iCs/>
        </w:rPr>
        <w:t xml:space="preserve"> These values are shown in </w:t>
      </w:r>
      <w:r w:rsidR="00982C67" w:rsidRPr="00BB4582">
        <w:rPr>
          <w:iCs/>
        </w:rPr>
        <w:fldChar w:fldCharType="begin"/>
      </w:r>
      <w:r w:rsidR="00982C67" w:rsidRPr="00BB4582">
        <w:rPr>
          <w:iCs/>
        </w:rPr>
        <w:instrText xml:space="preserve"> REF _Ref183598784 \h  \* MERGEFORMAT </w:instrText>
      </w:r>
      <w:r w:rsidR="00982C67" w:rsidRPr="00BB4582">
        <w:rPr>
          <w:iCs/>
        </w:rPr>
      </w:r>
      <w:r w:rsidR="00982C67" w:rsidRPr="00BB4582">
        <w:rPr>
          <w:iCs/>
        </w:rPr>
        <w:fldChar w:fldCharType="separate"/>
      </w:r>
      <w:r w:rsidR="00982C67" w:rsidRPr="00BB4582">
        <w:t xml:space="preserve">Table </w:t>
      </w:r>
      <w:r w:rsidR="00982C67">
        <w:rPr>
          <w:noProof/>
        </w:rPr>
        <w:t>5</w:t>
      </w:r>
      <w:r w:rsidR="00174C0A">
        <w:rPr>
          <w:noProof/>
        </w:rPr>
        <w:t>2</w:t>
      </w:r>
      <w:r w:rsidR="00982C67" w:rsidRPr="00BB4582">
        <w:rPr>
          <w:iCs/>
        </w:rPr>
        <w:fldChar w:fldCharType="end"/>
      </w:r>
      <w:r w:rsidRPr="00BB4582">
        <w:rPr>
          <w:iCs/>
        </w:rPr>
        <w:t>.</w:t>
      </w:r>
    </w:p>
    <w:p w14:paraId="5B8DE243" w14:textId="77777777" w:rsidR="00FE583D" w:rsidRPr="00715CED" w:rsidRDefault="00FE583D" w:rsidP="00FE583D">
      <w:pPr>
        <w:rPr>
          <w:iCs/>
        </w:rPr>
      </w:pPr>
    </w:p>
    <w:p w14:paraId="6D2E1208" w14:textId="4DD37950" w:rsidR="00FE583D" w:rsidRPr="005A05F4" w:rsidRDefault="00FE583D" w:rsidP="000A7DAC">
      <w:pPr>
        <w:pStyle w:val="TableTitle"/>
      </w:pPr>
      <w:bookmarkStart w:id="107" w:name="_Ref183598784"/>
      <w:r w:rsidRPr="005A05F4">
        <w:lastRenderedPageBreak/>
        <w:t xml:space="preserve">Table </w:t>
      </w:r>
      <w:fldSimple w:instr=" SEQ Table \* ARABIC ">
        <w:r>
          <w:rPr>
            <w:noProof/>
          </w:rPr>
          <w:t>5</w:t>
        </w:r>
        <w:r w:rsidR="00C718F3">
          <w:rPr>
            <w:noProof/>
          </w:rPr>
          <w:t>2</w:t>
        </w:r>
      </w:fldSimple>
      <w:bookmarkEnd w:id="107"/>
      <w:r w:rsidRPr="005A05F4">
        <w:t xml:space="preserve">: </w:t>
      </w:r>
      <w:bookmarkStart w:id="108" w:name="Table_14.3.4.6_Summary_of_Subjects_Excee"/>
      <w:bookmarkEnd w:id="108"/>
      <w:r w:rsidRPr="005A05F4">
        <w:t xml:space="preserve">Summary of Subjects Exceeding Pre-Specified Hepatic </w:t>
      </w:r>
      <w:proofErr w:type="gramStart"/>
      <w:r w:rsidRPr="005A05F4">
        <w:t>enzyme</w:t>
      </w:r>
      <w:proofErr w:type="gramEnd"/>
      <w:r w:rsidRPr="005A05F4">
        <w:t xml:space="preserve"> Levels in Safety Population</w:t>
      </w:r>
    </w:p>
    <w:p w14:paraId="1B76BA1D" w14:textId="77777777" w:rsidR="00FE583D" w:rsidRPr="00E7746C" w:rsidRDefault="00FE583D" w:rsidP="00FE583D">
      <w:pPr>
        <w:rPr>
          <w:iCs/>
        </w:rPr>
      </w:pPr>
      <w:r w:rsidRPr="00E06662">
        <w:rPr>
          <w:iCs/>
          <w:noProof/>
        </w:rPr>
        <w:drawing>
          <wp:inline distT="0" distB="0" distL="0" distR="0" wp14:anchorId="37E45D7A" wp14:editId="20C5147B">
            <wp:extent cx="6127423" cy="2790190"/>
            <wp:effectExtent l="0" t="0" r="6985" b="0"/>
            <wp:docPr id="1196670383" name="Picture 1" descr="Table 51: Summary of Subjects Exceeding Pre-Specified Hepatic enzyme Levels in Safe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70383" name="Picture 1" descr="Table 51: Summary of Subjects Exceeding Pre-Specified Hepatic enzyme Levels in Safety Population"/>
                    <pic:cNvPicPr/>
                  </pic:nvPicPr>
                  <pic:blipFill>
                    <a:blip r:embed="rId124"/>
                    <a:stretch>
                      <a:fillRect/>
                    </a:stretch>
                  </pic:blipFill>
                  <pic:spPr>
                    <a:xfrm>
                      <a:off x="0" y="0"/>
                      <a:ext cx="6147188" cy="2799190"/>
                    </a:xfrm>
                    <a:prstGeom prst="rect">
                      <a:avLst/>
                    </a:prstGeom>
                  </pic:spPr>
                </pic:pic>
              </a:graphicData>
            </a:graphic>
          </wp:inline>
        </w:drawing>
      </w:r>
    </w:p>
    <w:bookmarkEnd w:id="80"/>
    <w:p w14:paraId="0445E309" w14:textId="77777777" w:rsidR="00A7318B" w:rsidRDefault="00A7318B">
      <w:pPr>
        <w:rPr>
          <w:rFonts w:ascii="Arial" w:eastAsia="Times New Roman" w:hAnsi="Arial" w:cs="Times New Roman"/>
          <w:b/>
          <w:bCs/>
          <w:color w:val="001871"/>
          <w:sz w:val="32"/>
          <w:szCs w:val="32"/>
          <w:lang w:eastAsia="en-AU"/>
        </w:rPr>
      </w:pPr>
      <w:r>
        <w:rPr>
          <w:lang w:eastAsia="en-AU"/>
        </w:rPr>
        <w:br w:type="page"/>
      </w:r>
    </w:p>
    <w:p w14:paraId="67F2FD24" w14:textId="77777777" w:rsidR="00ED09AE" w:rsidRDefault="00ED09AE" w:rsidP="00ED09AE">
      <w:pPr>
        <w:pStyle w:val="Heading3"/>
      </w:pPr>
      <w:bookmarkStart w:id="109" w:name="_Toc233964977"/>
      <w:bookmarkStart w:id="110" w:name="_Toc12019957"/>
      <w:r>
        <w:lastRenderedPageBreak/>
        <w:t>Risk-benefit analysis</w:t>
      </w:r>
      <w:bookmarkEnd w:id="109"/>
    </w:p>
    <w:p w14:paraId="6FE630E8" w14:textId="63D692C2" w:rsidR="00ED09AE" w:rsidRDefault="00185508" w:rsidP="00ED09AE">
      <w:pPr>
        <w:pStyle w:val="Heading4"/>
      </w:pPr>
      <w:bookmarkStart w:id="111" w:name="_Toc233964978"/>
      <w:r>
        <w:t>Delegate</w:t>
      </w:r>
      <w:r w:rsidR="00ED09AE">
        <w:t>’s considerations</w:t>
      </w:r>
      <w:bookmarkEnd w:id="111"/>
    </w:p>
    <w:p w14:paraId="20A6C3B4" w14:textId="77777777" w:rsidR="00FE583D" w:rsidRDefault="00FE583D" w:rsidP="004A0FEF">
      <w:pPr>
        <w:pStyle w:val="Heading4"/>
      </w:pPr>
      <w:bookmarkStart w:id="112" w:name="_Ref188275067"/>
      <w:bookmarkStart w:id="113" w:name="_Toc233964979"/>
      <w:bookmarkEnd w:id="110"/>
      <w:r>
        <w:t>Pharmacokinetics</w:t>
      </w:r>
      <w:bookmarkEnd w:id="112"/>
      <w:bookmarkEnd w:id="113"/>
    </w:p>
    <w:p w14:paraId="38AE8883" w14:textId="5C0785E1" w:rsidR="00FE583D" w:rsidRDefault="00FE583D" w:rsidP="00FE583D">
      <w:r>
        <w:t xml:space="preserve">The absorption, distribution, metabolism and excretion as described in the </w:t>
      </w:r>
      <w:r w:rsidR="007B6B69">
        <w:t>sponsor</w:t>
      </w:r>
      <w:r w:rsidR="004C338D">
        <w:t>’</w:t>
      </w:r>
      <w:r>
        <w:t>s proposed Australian PI is described under ‘</w:t>
      </w:r>
      <w:r>
        <w:fldChar w:fldCharType="begin"/>
      </w:r>
      <w:r>
        <w:instrText xml:space="preserve"> REF _Ref187830570 \h </w:instrText>
      </w:r>
      <w:r>
        <w:fldChar w:fldCharType="separate"/>
      </w:r>
      <w:r w:rsidRPr="00AA53F4">
        <w:t>Background</w:t>
      </w:r>
      <w:r>
        <w:fldChar w:fldCharType="end"/>
      </w:r>
      <w:r>
        <w:t xml:space="preserve">’ heading and subheading </w:t>
      </w:r>
      <w:r w:rsidRPr="0079447E">
        <w:t>‘</w:t>
      </w:r>
      <w:proofErr w:type="spellStart"/>
      <w:r w:rsidRPr="0079447E">
        <w:fldChar w:fldCharType="begin"/>
      </w:r>
      <w:r w:rsidRPr="0079447E">
        <w:instrText xml:space="preserve"> REF _Ref187830530 \h  \* MERGEFORMAT </w:instrText>
      </w:r>
      <w:r w:rsidRPr="0079447E">
        <w:fldChar w:fldCharType="separate"/>
      </w:r>
      <w:r w:rsidRPr="0079447E">
        <w:t>Omaveloxolone</w:t>
      </w:r>
      <w:proofErr w:type="spellEnd"/>
      <w:r w:rsidRPr="0079447E">
        <w:fldChar w:fldCharType="end"/>
      </w:r>
      <w:r w:rsidRPr="0079447E">
        <w:t>’</w:t>
      </w:r>
      <w:r>
        <w:t>.</w:t>
      </w:r>
    </w:p>
    <w:p w14:paraId="24762EFD" w14:textId="77777777" w:rsidR="00A04967" w:rsidRDefault="00FE583D" w:rsidP="00FE583D">
      <w:r>
        <w:t xml:space="preserve">It is noted that study 1805 showed a much lower systemic exposure after single dose of </w:t>
      </w:r>
      <w:proofErr w:type="spellStart"/>
      <w:r>
        <w:t>omaveloxolone</w:t>
      </w:r>
      <w:proofErr w:type="spellEnd"/>
      <w:r>
        <w:t xml:space="preserve"> 150mg measured by a m</w:t>
      </w:r>
      <w:r w:rsidRPr="001964A1">
        <w:t>ean AUC</w:t>
      </w:r>
      <w:r w:rsidRPr="001964A1">
        <w:rPr>
          <w:vertAlign w:val="subscript"/>
        </w:rPr>
        <w:t>0-∞</w:t>
      </w:r>
      <w:r w:rsidRPr="001964A1">
        <w:t xml:space="preserve"> calculated at 183 (SD 25.7) h*ng/mL</w:t>
      </w:r>
      <w:r>
        <w:t xml:space="preserve"> compared to other PK studies. </w:t>
      </w:r>
    </w:p>
    <w:p w14:paraId="24DF68C3" w14:textId="7507C675" w:rsidR="00C172E6" w:rsidRDefault="00A04967" w:rsidP="00FE583D">
      <w:r w:rsidRPr="003F3E92">
        <w:t>T</w:t>
      </w:r>
      <w:r w:rsidR="00FE583D" w:rsidRPr="003F3E92">
        <w:t xml:space="preserve">he </w:t>
      </w:r>
      <w:r w:rsidR="007B6B69" w:rsidRPr="003F3E92">
        <w:t>sponsor</w:t>
      </w:r>
      <w:r w:rsidR="00FE583D" w:rsidRPr="003F3E92">
        <w:t xml:space="preserve"> explain</w:t>
      </w:r>
      <w:r w:rsidRPr="003F3E92">
        <w:t>ed</w:t>
      </w:r>
      <w:r w:rsidR="00FE583D" w:rsidRPr="003F3E92">
        <w:t xml:space="preserve"> that s</w:t>
      </w:r>
      <w:r w:rsidR="00FE583D">
        <w:t xml:space="preserve">tudy 1805 used a study specific radiolabelled capsule that was prepared on site containing a mixture of radiolabelled active ingredient and cold active ingredient of </w:t>
      </w:r>
      <w:proofErr w:type="spellStart"/>
      <w:r w:rsidR="00FE583D">
        <w:t>omaveloxolone</w:t>
      </w:r>
      <w:proofErr w:type="spellEnd"/>
      <w:r w:rsidR="00FE583D">
        <w:t xml:space="preserve"> and that in this study </w:t>
      </w:r>
      <w:proofErr w:type="spellStart"/>
      <w:r w:rsidR="00FE583D">
        <w:t>omaveloxolone</w:t>
      </w:r>
      <w:proofErr w:type="spellEnd"/>
      <w:r w:rsidR="00FE583D">
        <w:t xml:space="preserve"> was administered as single 150mg capsule with no excipients present, compared to administration of x3 50mg capsules in all other studies with excipients being present. The </w:t>
      </w:r>
      <w:r w:rsidR="007B6B69">
        <w:t>sponsor</w:t>
      </w:r>
      <w:r w:rsidR="00FE583D">
        <w:t xml:space="preserve"> believes that no excipients being present in the 150mg </w:t>
      </w:r>
      <w:proofErr w:type="spellStart"/>
      <w:r w:rsidR="00FE583D">
        <w:t>omaveloxolone</w:t>
      </w:r>
      <w:proofErr w:type="spellEnd"/>
      <w:r w:rsidR="00FE583D">
        <w:t xml:space="preserve"> capsule administered in study 1805 may have led to lower bioavailability of </w:t>
      </w:r>
      <w:proofErr w:type="spellStart"/>
      <w:r w:rsidR="00FE583D">
        <w:t>omaveloxolone</w:t>
      </w:r>
      <w:proofErr w:type="spellEnd"/>
      <w:r w:rsidR="00FE583D">
        <w:t xml:space="preserve"> in this study due to reduced dissolution due to lack of excipients and differences in absorption due to different number of capsules being administered. </w:t>
      </w:r>
    </w:p>
    <w:p w14:paraId="1AB7E54E" w14:textId="3179B347" w:rsidR="00FE583D" w:rsidRPr="0061523D" w:rsidRDefault="00FE583D" w:rsidP="00FE583D">
      <w:pPr>
        <w:rPr>
          <w:b/>
          <w:bCs/>
        </w:rPr>
      </w:pPr>
      <w:r>
        <w:t xml:space="preserve">The EMA evaluator also raised the possibility that the lower bioavailability may have resulted in underestimation of renal excretion. The </w:t>
      </w:r>
      <w:r w:rsidR="007B6B69">
        <w:t>sponsor</w:t>
      </w:r>
      <w:r>
        <w:t xml:space="preserve"> responded that even if adjusted for 8 to 11 times lower plasma exposure the mean radioactivity excreted in urine would only be ~1.07% and the </w:t>
      </w:r>
      <w:r w:rsidR="007B6B69">
        <w:t>sponsor</w:t>
      </w:r>
      <w:r>
        <w:t xml:space="preserve"> further explained that no </w:t>
      </w:r>
      <w:proofErr w:type="spellStart"/>
      <w:r>
        <w:t>omaveloxolone</w:t>
      </w:r>
      <w:proofErr w:type="spellEnd"/>
      <w:r>
        <w:t xml:space="preserve"> was detected in the urine in this study further supporting that renal elimination is very minor part of excretion of </w:t>
      </w:r>
      <w:proofErr w:type="spellStart"/>
      <w:r>
        <w:t>omaveloxolone</w:t>
      </w:r>
      <w:proofErr w:type="spellEnd"/>
      <w:r>
        <w:t xml:space="preserve">. The </w:t>
      </w:r>
      <w:r w:rsidR="00185508">
        <w:t>Delegate</w:t>
      </w:r>
      <w:r>
        <w:t xml:space="preserve"> agrees that the evidence supports that renal elimination of </w:t>
      </w:r>
      <w:proofErr w:type="spellStart"/>
      <w:r>
        <w:t>omaveloxolone</w:t>
      </w:r>
      <w:proofErr w:type="spellEnd"/>
      <w:r>
        <w:t xml:space="preserve"> is minimal and variations in renal function clinically are unlikely to have significant effects on systemic exposure for patients treat with </w:t>
      </w:r>
      <w:proofErr w:type="spellStart"/>
      <w:r>
        <w:t>omaveloxolone</w:t>
      </w:r>
      <w:proofErr w:type="spellEnd"/>
      <w:r>
        <w:t>, but it needs to be acknowledged that the</w:t>
      </w:r>
      <w:bookmarkStart w:id="114" w:name="Question_90"/>
      <w:bookmarkStart w:id="115" w:name="Assessment_of_the_applicant’s_response:"/>
      <w:bookmarkStart w:id="116" w:name="Conclusion:"/>
      <w:bookmarkEnd w:id="114"/>
      <w:bookmarkEnd w:id="115"/>
      <w:bookmarkEnd w:id="116"/>
      <w:r>
        <w:t xml:space="preserve"> </w:t>
      </w:r>
      <w:r w:rsidRPr="0061523D">
        <w:t>effect</w:t>
      </w:r>
      <w:r>
        <w:t>s</w:t>
      </w:r>
      <w:r w:rsidRPr="0061523D">
        <w:t xml:space="preserve"> of moderate or severe renal impairment on the pharmacokinetics of </w:t>
      </w:r>
      <w:proofErr w:type="spellStart"/>
      <w:r w:rsidRPr="0061523D">
        <w:t>omaveloxolone</w:t>
      </w:r>
      <w:proofErr w:type="spellEnd"/>
      <w:r w:rsidRPr="0061523D">
        <w:t xml:space="preserve"> </w:t>
      </w:r>
      <w:r>
        <w:t>are</w:t>
      </w:r>
      <w:r w:rsidRPr="0061523D">
        <w:t xml:space="preserve"> unknown.</w:t>
      </w:r>
    </w:p>
    <w:p w14:paraId="20D33350" w14:textId="0BA001B5" w:rsidR="00F96EF4" w:rsidRDefault="00FE583D" w:rsidP="00FE583D">
      <w:pPr>
        <w:rPr>
          <w:vertAlign w:val="subscript"/>
        </w:rPr>
      </w:pPr>
      <w:r>
        <w:t xml:space="preserve">Study 1806 was a drug-drug interaction study in health volunteers. Results from this study showed significant increases in systemic </w:t>
      </w:r>
      <w:proofErr w:type="spellStart"/>
      <w:r>
        <w:t>omaveloxolone</w:t>
      </w:r>
      <w:proofErr w:type="spellEnd"/>
      <w:r>
        <w:t xml:space="preserve"> exposure when </w:t>
      </w:r>
      <w:proofErr w:type="spellStart"/>
      <w:r>
        <w:t>omaveloxolone</w:t>
      </w:r>
      <w:proofErr w:type="spellEnd"/>
      <w:r>
        <w:t xml:space="preserve"> was administered with the strong CYP3A4 inhibitor itraconazole. C</w:t>
      </w:r>
      <w:r w:rsidRPr="00E8164D">
        <w:t xml:space="preserve">o-administration of </w:t>
      </w:r>
      <w:proofErr w:type="spellStart"/>
      <w:r w:rsidRPr="00E8164D">
        <w:t>omaveloxolone</w:t>
      </w:r>
      <w:proofErr w:type="spellEnd"/>
      <w:r w:rsidRPr="00E8164D">
        <w:t xml:space="preserve"> with itraconazole was compared with </w:t>
      </w:r>
      <w:proofErr w:type="spellStart"/>
      <w:r w:rsidRPr="00E8164D">
        <w:t>omaveloxolone</w:t>
      </w:r>
      <w:proofErr w:type="spellEnd"/>
      <w:r w:rsidRPr="00E8164D">
        <w:t xml:space="preserve"> administration alone, the ratio of geometric LS means (90% CI) of </w:t>
      </w:r>
      <w:proofErr w:type="spellStart"/>
      <w:r w:rsidRPr="00E8164D">
        <w:t>omaveloxolone</w:t>
      </w:r>
      <w:proofErr w:type="spellEnd"/>
      <w:r w:rsidRPr="00E8164D">
        <w:t xml:space="preserve"> AUC</w:t>
      </w:r>
      <w:r w:rsidRPr="00E8164D">
        <w:rPr>
          <w:vertAlign w:val="subscript"/>
        </w:rPr>
        <w:t>0-∞</w:t>
      </w:r>
      <w:r w:rsidRPr="00E8164D">
        <w:t xml:space="preserve"> and </w:t>
      </w:r>
      <w:proofErr w:type="spellStart"/>
      <w:r w:rsidRPr="00E8164D">
        <w:t>C</w:t>
      </w:r>
      <w:r w:rsidRPr="00E8164D">
        <w:rPr>
          <w:vertAlign w:val="subscript"/>
        </w:rPr>
        <w:t>max</w:t>
      </w:r>
      <w:proofErr w:type="spellEnd"/>
      <w:r w:rsidRPr="00E8164D">
        <w:t xml:space="preserve"> were 4.12 (3.48, 4.87) and 2.77 (2.17, 3.54), respectively</w:t>
      </w:r>
      <w:r>
        <w:t xml:space="preserve">, showing an approximately 3-fold increase in </w:t>
      </w:r>
      <w:r w:rsidRPr="00D730CE">
        <w:t>AUC</w:t>
      </w:r>
      <w:r w:rsidRPr="005E3A9C">
        <w:rPr>
          <w:vertAlign w:val="subscript"/>
        </w:rPr>
        <w:t>0-∞</w:t>
      </w:r>
      <w:r>
        <w:rPr>
          <w:vertAlign w:val="subscript"/>
        </w:rPr>
        <w:t xml:space="preserve">. </w:t>
      </w:r>
    </w:p>
    <w:p w14:paraId="1BE4A167" w14:textId="51F43647" w:rsidR="00FE583D" w:rsidRDefault="00FE583D" w:rsidP="00FE583D">
      <w:r>
        <w:t xml:space="preserve">The proposed PI recommends avoiding concomitant use of moderate and strong CYP3A4 inhibitors with </w:t>
      </w:r>
      <w:proofErr w:type="spellStart"/>
      <w:r>
        <w:t>omaveloxolone</w:t>
      </w:r>
      <w:proofErr w:type="spellEnd"/>
      <w:r>
        <w:t xml:space="preserve">. If co-administration of </w:t>
      </w:r>
      <w:proofErr w:type="spellStart"/>
      <w:r>
        <w:t>omaveloxolone</w:t>
      </w:r>
      <w:proofErr w:type="spellEnd"/>
      <w:r>
        <w:t xml:space="preserve"> with strong CYP3A4 inhibitors cannot be avoided, then a dose reduction of </w:t>
      </w:r>
      <w:proofErr w:type="spellStart"/>
      <w:r>
        <w:t>omaveloxolone</w:t>
      </w:r>
      <w:proofErr w:type="spellEnd"/>
      <w:r>
        <w:t xml:space="preserve"> 50mg daily is recommended with close monitoring for adverse reactions with recommendation to discontinue strong CYP3A4 inhibitor if adverse reactions emerge. For moderate CYP3A4 inhibitors the proposed PI recommends dose reduction to 100mg daily if concomitant use of </w:t>
      </w:r>
      <w:proofErr w:type="spellStart"/>
      <w:r>
        <w:t>omaveloxolone</w:t>
      </w:r>
      <w:proofErr w:type="spellEnd"/>
      <w:r>
        <w:t xml:space="preserve"> worth moderate CYP3A4 inhibitor cannot be avoided with further dose reduction to 50mg daily if adverse reactions occur. Concomitant use of strong or moderate CYP3A4 inducer with </w:t>
      </w:r>
      <w:proofErr w:type="spellStart"/>
      <w:r>
        <w:t>omaveloxolone</w:t>
      </w:r>
      <w:proofErr w:type="spellEnd"/>
      <w:r>
        <w:t xml:space="preserve"> is recommended to be avoided I the proposed PI. The </w:t>
      </w:r>
      <w:r w:rsidR="00185508">
        <w:t>Delegate</w:t>
      </w:r>
      <w:r>
        <w:t xml:space="preserve"> agrees with the </w:t>
      </w:r>
      <w:r w:rsidR="007B6B69">
        <w:t>sponsor</w:t>
      </w:r>
      <w:r w:rsidR="004C338D">
        <w:t>’</w:t>
      </w:r>
      <w:r>
        <w:t xml:space="preserve">s recommendations in the proposed PI when CYP3A4 inhibitors or inducers are used concurrently with </w:t>
      </w:r>
      <w:proofErr w:type="spellStart"/>
      <w:r>
        <w:t>omaveloxolone</w:t>
      </w:r>
      <w:proofErr w:type="spellEnd"/>
      <w:r>
        <w:t>.</w:t>
      </w:r>
    </w:p>
    <w:p w14:paraId="5F3C63B9" w14:textId="77777777" w:rsidR="009F46E6" w:rsidRDefault="009F46E6">
      <w:r>
        <w:br w:type="page"/>
      </w:r>
    </w:p>
    <w:p w14:paraId="50AB3878" w14:textId="77777777" w:rsidR="00A614CE" w:rsidRDefault="00FE583D" w:rsidP="00FE583D">
      <w:r>
        <w:lastRenderedPageBreak/>
        <w:t>Study 1804 was a single dose p</w:t>
      </w:r>
      <w:r w:rsidRPr="009358C4">
        <w:t xml:space="preserve">harmacokinetic </w:t>
      </w:r>
      <w:r>
        <w:t>s</w:t>
      </w:r>
      <w:r w:rsidRPr="009358C4">
        <w:t>tudy</w:t>
      </w:r>
      <w:r>
        <w:t xml:space="preserve"> of </w:t>
      </w:r>
      <w:proofErr w:type="spellStart"/>
      <w:r>
        <w:t>omaveloxolone</w:t>
      </w:r>
      <w:proofErr w:type="spellEnd"/>
      <w:r w:rsidRPr="009358C4">
        <w:t xml:space="preserve"> in participants with Mild, Moderate, or Severe Hepatic Impairment, or with Normal Hepatic Function</w:t>
      </w:r>
      <w:r>
        <w:t xml:space="preserve">. This study showed that participants </w:t>
      </w:r>
      <w:r w:rsidRPr="002A0FBB">
        <w:t xml:space="preserve">with mild hepatic impairment had an approximately 22% increased mean </w:t>
      </w:r>
      <w:proofErr w:type="spellStart"/>
      <w:r w:rsidRPr="002A0FBB">
        <w:t>C</w:t>
      </w:r>
      <w:r w:rsidRPr="002A0FBB">
        <w:rPr>
          <w:vertAlign w:val="subscript"/>
        </w:rPr>
        <w:t>max</w:t>
      </w:r>
      <w:proofErr w:type="spellEnd"/>
      <w:r w:rsidRPr="002A0FBB">
        <w:t xml:space="preserve"> with a similar total exposure between these 2 groups. Participants with moderate hepatic impairment had a 53% and 51% higher mean AUC</w:t>
      </w:r>
      <w:r w:rsidRPr="002A0FBB">
        <w:rPr>
          <w:vertAlign w:val="subscript"/>
        </w:rPr>
        <w:t>inf</w:t>
      </w:r>
      <w:r w:rsidRPr="002A0FBB">
        <w:t xml:space="preserve"> and mean </w:t>
      </w:r>
      <w:proofErr w:type="spellStart"/>
      <w:r w:rsidRPr="002A0FBB">
        <w:t>C</w:t>
      </w:r>
      <w:r w:rsidRPr="002A0FBB">
        <w:rPr>
          <w:vertAlign w:val="subscript"/>
        </w:rPr>
        <w:t>max</w:t>
      </w:r>
      <w:proofErr w:type="spellEnd"/>
      <w:r w:rsidRPr="002A0FBB">
        <w:t xml:space="preserve"> values respectively compared to the normal hepatic function group. Participants with severe hepatic impairment had an approximately 56% increase in mean AUC</w:t>
      </w:r>
      <w:r w:rsidRPr="002A0FBB">
        <w:rPr>
          <w:vertAlign w:val="subscript"/>
        </w:rPr>
        <w:t>0-∞</w:t>
      </w:r>
      <w:r w:rsidRPr="002A0FBB">
        <w:t xml:space="preserve"> compared to the normal hepatic group</w:t>
      </w:r>
      <w:r>
        <w:t xml:space="preserve">. </w:t>
      </w:r>
    </w:p>
    <w:p w14:paraId="2D10AB82" w14:textId="578D162D" w:rsidR="00FE583D" w:rsidRDefault="00FE583D" w:rsidP="00FE583D">
      <w:r>
        <w:t xml:space="preserve">The proposed Australian PI recommends a 150mg daily dose for those with mild hepatic impairment (Child Pugh Class A), an initial starting dose of 100mg daily in those with moderate hepatic impairment (Child Pugh Class B) with monitoring for adverse reactions and if adverse reactions occur then consideration of further dose reduction to 50mg daily can be considered. Patients with severe hepatic impairment (Child-Pugh Class C) are recommended to avoid </w:t>
      </w:r>
      <w:proofErr w:type="spellStart"/>
      <w:r>
        <w:t>omaveloxolone</w:t>
      </w:r>
      <w:proofErr w:type="spellEnd"/>
      <w:r>
        <w:t xml:space="preserve"> use. Based on the submitted data and study 1804 which investigated the effects of hepatic impairment on </w:t>
      </w:r>
      <w:proofErr w:type="spellStart"/>
      <w:r>
        <w:t>omaveloxolone</w:t>
      </w:r>
      <w:proofErr w:type="spellEnd"/>
      <w:r>
        <w:t xml:space="preserve"> PK</w:t>
      </w:r>
      <w:r w:rsidR="00A614CE">
        <w:t>,</w:t>
      </w:r>
      <w:r>
        <w:t xml:space="preserve"> the </w:t>
      </w:r>
      <w:r w:rsidR="00185508">
        <w:t>Delegate</w:t>
      </w:r>
      <w:r>
        <w:t xml:space="preserve"> agrees with the </w:t>
      </w:r>
      <w:r w:rsidR="007B6B69">
        <w:t>sponsor</w:t>
      </w:r>
      <w:r w:rsidR="004C338D">
        <w:t>’</w:t>
      </w:r>
      <w:r>
        <w:t xml:space="preserve">s proposed recommended </w:t>
      </w:r>
      <w:proofErr w:type="spellStart"/>
      <w:r>
        <w:t>omaveloxolone</w:t>
      </w:r>
      <w:proofErr w:type="spellEnd"/>
      <w:r>
        <w:t xml:space="preserve"> dosing in patients with hepatic impairment.</w:t>
      </w:r>
    </w:p>
    <w:p w14:paraId="739071D1" w14:textId="77101534" w:rsidR="00FE583D" w:rsidRPr="00067C40" w:rsidRDefault="00FE583D" w:rsidP="00FE583D">
      <w:r w:rsidRPr="00CD5260">
        <w:t xml:space="preserve">Module 4 evaluation has noted that CYP3A4 was identified as the main metabolising enzyme in human liver microsomes, with minor contribution from CYP2C8. Section 4.5 of the proposed PI outlines clearly the interactions </w:t>
      </w:r>
      <w:proofErr w:type="spellStart"/>
      <w:r w:rsidRPr="00CD5260">
        <w:t>omaveloxolone</w:t>
      </w:r>
      <w:proofErr w:type="spellEnd"/>
      <w:r w:rsidRPr="00CD5260">
        <w:t xml:space="preserve"> is likely to have with strong or moderate CYP3A4 inhibitors and inducers, CYP3A4 substrates, CYP2C8 substrates and BCRP substrates. The </w:t>
      </w:r>
      <w:r w:rsidR="00185508">
        <w:t>Delegate</w:t>
      </w:r>
      <w:r w:rsidRPr="00CD5260">
        <w:t xml:space="preserve"> finds these warnings regarding CYP and BCRP enzyme interactions adequate. </w:t>
      </w:r>
    </w:p>
    <w:p w14:paraId="076B45BB" w14:textId="647E93AA" w:rsidR="00FE583D" w:rsidRPr="001D2C30" w:rsidRDefault="00FE583D" w:rsidP="00FE583D">
      <w:pPr>
        <w:pStyle w:val="Heading4"/>
      </w:pPr>
      <w:bookmarkStart w:id="117" w:name="_Toc233964980"/>
      <w:r w:rsidRPr="001D2C30">
        <w:t>Efficacy</w:t>
      </w:r>
      <w:bookmarkEnd w:id="117"/>
      <w:r w:rsidR="00DA7CBB">
        <w:t xml:space="preserve"> </w:t>
      </w:r>
    </w:p>
    <w:p w14:paraId="60989D36" w14:textId="77777777" w:rsidR="00EE36DB" w:rsidRDefault="00FE583D" w:rsidP="00FE583D">
      <w:r>
        <w:t xml:space="preserve">The tool used in the pivotal study in measuring the primary efficacy endpoint was the modified Friederichs ataxia rating scale. The </w:t>
      </w:r>
      <w:r w:rsidR="007B6B69">
        <w:t>sponsor</w:t>
      </w:r>
      <w:r>
        <w:t xml:space="preserve"> has provided justification for use of this scale </w:t>
      </w:r>
      <w:r w:rsidRPr="005A3FD1">
        <w:t xml:space="preserve">in </w:t>
      </w:r>
      <w:r w:rsidRPr="00EE36DB">
        <w:t>section 9.5.2 of the clinical study report (e007747 (0000-) - 408-C-1402-PT2 Report Body).</w:t>
      </w:r>
      <w:r>
        <w:t xml:space="preserve"> </w:t>
      </w:r>
    </w:p>
    <w:p w14:paraId="3589C0B1" w14:textId="42516ADA" w:rsidR="00CB5286" w:rsidRDefault="00FE583D" w:rsidP="00FE583D">
      <w:r>
        <w:t xml:space="preserve">Further outline of the </w:t>
      </w:r>
      <w:proofErr w:type="spellStart"/>
      <w:r>
        <w:t>mFAR</w:t>
      </w:r>
      <w:proofErr w:type="spellEnd"/>
      <w:r>
        <w:t xml:space="preserve"> tool is provided in </w:t>
      </w:r>
      <w:r w:rsidRPr="00424706">
        <w:fldChar w:fldCharType="begin"/>
      </w:r>
      <w:r w:rsidRPr="00424706">
        <w:instrText xml:space="preserve"> REF _Ref183600802 \h </w:instrText>
      </w:r>
      <w:r w:rsidR="00424706" w:rsidRPr="00424706">
        <w:instrText xml:space="preserve"> \* MERGEFORMAT </w:instrText>
      </w:r>
      <w:r w:rsidRPr="00424706">
        <w:fldChar w:fldCharType="separate"/>
      </w:r>
      <w:r w:rsidRPr="00424706">
        <w:t>Study 1402 Part 2</w:t>
      </w:r>
      <w:r w:rsidRPr="00424706">
        <w:fldChar w:fldCharType="end"/>
      </w:r>
      <w:r>
        <w:t>, under efficacy heading. This scale has been specifically developed to measure neurological outcomes in patients with Friedreich’s ataxia</w:t>
      </w:r>
      <w:r>
        <w:rPr>
          <w:rStyle w:val="FootnoteReference"/>
        </w:rPr>
        <w:footnoteReference w:id="13"/>
      </w:r>
      <w:r>
        <w:t xml:space="preserve">. The </w:t>
      </w:r>
      <w:proofErr w:type="spellStart"/>
      <w:r>
        <w:t>mFARS</w:t>
      </w:r>
      <w:proofErr w:type="spellEnd"/>
      <w:r>
        <w:t xml:space="preserve"> 4 sub-section (bulbar function, upper limb co-ordination, lower limb co-ordination and upright stability) clearly aims to measure the key neurological clinical features that define Friedreich’s ataxia with a higher score indicating worse neurological function. </w:t>
      </w:r>
    </w:p>
    <w:p w14:paraId="0DDC153E" w14:textId="77777777" w:rsidR="00CB5286" w:rsidRDefault="00FE583D" w:rsidP="00FE583D">
      <w:r>
        <w:t xml:space="preserve">The </w:t>
      </w:r>
      <w:r w:rsidR="00185508">
        <w:t>Delegate</w:t>
      </w:r>
      <w:r>
        <w:t xml:space="preserve"> believes the most compelling evidence provided regarding the validity of this tool in measuring outcomes in patients with Friedreich’s ataxia is from a referenced study by Patel et al, 2016</w:t>
      </w:r>
      <w:r>
        <w:rPr>
          <w:rStyle w:val="FootnoteReference"/>
        </w:rPr>
        <w:footnoteReference w:id="14"/>
      </w:r>
      <w:r>
        <w:t xml:space="preserve">, where initially 812 participants with Friedreich’s Ataxia were evaluated annually across 12 sites on different rating scales over a 5-year period to analyse neurological outcomes. The </w:t>
      </w:r>
      <w:proofErr w:type="spellStart"/>
      <w:r>
        <w:t>mFARS</w:t>
      </w:r>
      <w:proofErr w:type="spellEnd"/>
      <w:r>
        <w:t xml:space="preserve"> was one of the tools used in this study and showed a consistent, steady increase in scores annually over a 5-year period, with the </w:t>
      </w:r>
      <w:r w:rsidR="007B6B69">
        <w:t>sponsor</w:t>
      </w:r>
      <w:r>
        <w:t xml:space="preserve"> stating that there was an average increase of 1-2 points per year on the </w:t>
      </w:r>
      <w:proofErr w:type="spellStart"/>
      <w:r>
        <w:t>mFARS</w:t>
      </w:r>
      <w:proofErr w:type="spellEnd"/>
      <w:r>
        <w:t xml:space="preserve"> score in the 234 participants who reached the 5 years follow up interval with the changes in </w:t>
      </w:r>
      <w:proofErr w:type="spellStart"/>
      <w:r>
        <w:t>mFARS</w:t>
      </w:r>
      <w:proofErr w:type="spellEnd"/>
      <w:r>
        <w:t xml:space="preserve"> score. The </w:t>
      </w:r>
      <w:r w:rsidR="007B6B69">
        <w:t>sponsor</w:t>
      </w:r>
      <w:r>
        <w:t xml:space="preserve"> also stated that </w:t>
      </w:r>
      <w:r w:rsidR="00D203E2">
        <w:t>‘</w:t>
      </w:r>
      <w:r>
        <w:t>changes in FARS</w:t>
      </w:r>
      <w:bookmarkStart w:id="129" w:name="9.5.2._Appropriateness_of_Measurements"/>
      <w:bookmarkEnd w:id="129"/>
      <w:r w:rsidRPr="00E64527">
        <w:rPr>
          <w:rFonts w:ascii="Times New Roman" w:hAnsi="Times New Roman"/>
          <w:sz w:val="24"/>
          <w:szCs w:val="24"/>
        </w:rPr>
        <w:t xml:space="preserve"> </w:t>
      </w:r>
      <w:r w:rsidRPr="00E64527">
        <w:t>scores are significantly correlated with a variety of measures of disease</w:t>
      </w:r>
      <w:r>
        <w:t xml:space="preserve"> </w:t>
      </w:r>
      <w:r w:rsidRPr="00E64527">
        <w:t>progression, including disease duration, ataxia staging, and ADL scores (p &lt;0.0001)</w:t>
      </w:r>
      <w:r w:rsidR="00D203E2">
        <w:t>’</w:t>
      </w:r>
      <w:r>
        <w:t>, no reference was provided for this statement</w:t>
      </w:r>
      <w:r w:rsidRPr="00E64527">
        <w:t>.</w:t>
      </w:r>
      <w:r>
        <w:t xml:space="preserve"> </w:t>
      </w:r>
    </w:p>
    <w:p w14:paraId="395ED281" w14:textId="1167ECBA" w:rsidR="00FE583D" w:rsidRDefault="00FE583D" w:rsidP="00FE583D">
      <w:r>
        <w:lastRenderedPageBreak/>
        <w:t>Based on the provided evidence</w:t>
      </w:r>
      <w:r w:rsidR="00CB5286">
        <w:t>,</w:t>
      </w:r>
      <w:r>
        <w:t xml:space="preserve"> </w:t>
      </w:r>
      <w:r w:rsidR="00D203E2">
        <w:t xml:space="preserve">the </w:t>
      </w:r>
      <w:r w:rsidR="00185508">
        <w:t>Delegate</w:t>
      </w:r>
      <w:r w:rsidR="00D203E2">
        <w:t xml:space="preserve"> was</w:t>
      </w:r>
      <w:r>
        <w:t xml:space="preserve"> satisfied that the </w:t>
      </w:r>
      <w:proofErr w:type="spellStart"/>
      <w:r>
        <w:t>mFARS</w:t>
      </w:r>
      <w:proofErr w:type="spellEnd"/>
      <w:r>
        <w:t xml:space="preserve"> has sufficient validity to warrant being used as the primary efficacy endpoint tool in the </w:t>
      </w:r>
      <w:r w:rsidR="007B6B69">
        <w:t>sponsor</w:t>
      </w:r>
      <w:r w:rsidR="004C338D">
        <w:t>’</w:t>
      </w:r>
      <w:r>
        <w:t xml:space="preserve">s pivotal study to determine a significant treatment difference between the </w:t>
      </w:r>
      <w:proofErr w:type="spellStart"/>
      <w:r>
        <w:t>omaveloxolone</w:t>
      </w:r>
      <w:proofErr w:type="spellEnd"/>
      <w:r>
        <w:t xml:space="preserve"> group compared to placebo.</w:t>
      </w:r>
    </w:p>
    <w:p w14:paraId="05BE61DA" w14:textId="71F05016" w:rsidR="00FE583D" w:rsidRDefault="00FE583D" w:rsidP="00FE583D">
      <w:r>
        <w:t>Of note in study 1402 part 2</w:t>
      </w:r>
      <w:r w:rsidR="00073B5C">
        <w:t>,</w:t>
      </w:r>
      <w:r>
        <w:t xml:space="preserve"> there were significant imbalances between treatment groups in gender, with 17 (32.7%) females in the placebo group compared to 31 (60.8%) females in the </w:t>
      </w:r>
      <w:proofErr w:type="spellStart"/>
      <w:r>
        <w:t>omaveloxolone</w:t>
      </w:r>
      <w:proofErr w:type="spellEnd"/>
      <w:r>
        <w:t xml:space="preserve"> group. Given the pathophysiology of Friedreich’s ataxia the </w:t>
      </w:r>
      <w:r w:rsidR="00185508">
        <w:t>Delegate</w:t>
      </w:r>
      <w:r>
        <w:t xml:space="preserve"> does not have any reason to believe that this gender imbalance between treatment groups is likely to significantly affect the results of treatment outcomes in the pivotal trial.</w:t>
      </w:r>
    </w:p>
    <w:p w14:paraId="73BCAA81" w14:textId="327465BB" w:rsidR="00FE583D" w:rsidRDefault="00FE583D" w:rsidP="00FE583D">
      <w:r>
        <w:t>In the pivotal trial 1402 part 2</w:t>
      </w:r>
      <w:r w:rsidR="007B3B54">
        <w:t>,</w:t>
      </w:r>
      <w:r>
        <w:t xml:space="preserve"> the primary efficacy endpoint of </w:t>
      </w:r>
      <w:r w:rsidRPr="00C22438">
        <w:t xml:space="preserve">change from baseline of </w:t>
      </w:r>
      <w:proofErr w:type="spellStart"/>
      <w:r w:rsidRPr="00C22438">
        <w:t>mFARS</w:t>
      </w:r>
      <w:proofErr w:type="spellEnd"/>
      <w:r w:rsidRPr="00C22438">
        <w:t xml:space="preserve"> score at week 48</w:t>
      </w:r>
      <w:r>
        <w:t xml:space="preserve"> showed a LS </w:t>
      </w:r>
      <w:r w:rsidRPr="00B21F20">
        <w:t>mean</w:t>
      </w:r>
      <w:r>
        <w:t xml:space="preserve"> difference in</w:t>
      </w:r>
      <w:r w:rsidRPr="00B21F20">
        <w:t xml:space="preserve"> </w:t>
      </w:r>
      <w:proofErr w:type="spellStart"/>
      <w:r w:rsidRPr="00B21F20">
        <w:t>mFARS</w:t>
      </w:r>
      <w:proofErr w:type="spellEnd"/>
      <w:r w:rsidRPr="00B21F20">
        <w:t xml:space="preserve"> score in the </w:t>
      </w:r>
      <w:proofErr w:type="spellStart"/>
      <w:r w:rsidRPr="00B21F20">
        <w:t>Omaveloxolone</w:t>
      </w:r>
      <w:proofErr w:type="spellEnd"/>
      <w:r w:rsidRPr="00B21F20">
        <w:t xml:space="preserve"> group compared to placebo</w:t>
      </w:r>
      <w:r>
        <w:t xml:space="preserve"> (in participants defined as without pes </w:t>
      </w:r>
      <w:proofErr w:type="spellStart"/>
      <w:r>
        <w:t>cavus</w:t>
      </w:r>
      <w:proofErr w:type="spellEnd"/>
      <w:r>
        <w:t>, N=82)</w:t>
      </w:r>
      <w:r w:rsidRPr="00B21F20">
        <w:t xml:space="preserve"> of -2.40 </w:t>
      </w:r>
      <w:r w:rsidR="00D203E2">
        <w:br/>
      </w:r>
      <w:r w:rsidRPr="00B21F20">
        <w:t>(95% CI=-4.31, -0.50 and SE=0.956)</w:t>
      </w:r>
      <w:r>
        <w:t>(</w:t>
      </w:r>
      <w:r w:rsidRPr="00B21F20">
        <w:t xml:space="preserve"> p-value=0.0141</w:t>
      </w:r>
      <w:r>
        <w:t>).</w:t>
      </w:r>
      <w:r w:rsidRPr="00335D4F">
        <w:t xml:space="preserve"> Patients randomized to </w:t>
      </w:r>
      <w:proofErr w:type="spellStart"/>
      <w:r w:rsidRPr="00335D4F">
        <w:t>omaveloxolone</w:t>
      </w:r>
      <w:proofErr w:type="spellEnd"/>
      <w:r w:rsidRPr="00335D4F">
        <w:t xml:space="preserve"> experienced a mean improvement from baseline in </w:t>
      </w:r>
      <w:proofErr w:type="spellStart"/>
      <w:r w:rsidRPr="00335D4F">
        <w:t>mFARS</w:t>
      </w:r>
      <w:proofErr w:type="spellEnd"/>
      <w:r w:rsidRPr="00335D4F">
        <w:t xml:space="preserve"> of - 1.55 points, while patients randomized to placebo experienced a mean worsening from baseline of </w:t>
      </w:r>
      <w:proofErr w:type="spellStart"/>
      <w:r w:rsidRPr="00335D4F">
        <w:t>mFARS</w:t>
      </w:r>
      <w:proofErr w:type="spellEnd"/>
      <w:r w:rsidRPr="00335D4F">
        <w:t xml:space="preserve"> of </w:t>
      </w:r>
      <w:r>
        <w:t>+</w:t>
      </w:r>
      <w:r w:rsidRPr="00335D4F">
        <w:t>0.85 points at Week 48</w:t>
      </w:r>
      <w:r>
        <w:t>.</w:t>
      </w:r>
    </w:p>
    <w:p w14:paraId="27E60D8D" w14:textId="226A135D" w:rsidR="00FE583D" w:rsidRPr="00692696" w:rsidRDefault="00FE583D" w:rsidP="00FE583D">
      <w:r>
        <w:t xml:space="preserve">In the entire randomized population of 103 participants samples (which included participants with pes </w:t>
      </w:r>
      <w:proofErr w:type="spellStart"/>
      <w:r>
        <w:t>cavus</w:t>
      </w:r>
      <w:proofErr w:type="spellEnd"/>
      <w:r>
        <w:t xml:space="preserve">) there was a treatment difference of -1.93 in LS mean </w:t>
      </w:r>
      <w:proofErr w:type="spellStart"/>
      <w:r>
        <w:t>mFARS</w:t>
      </w:r>
      <w:proofErr w:type="spellEnd"/>
      <w:r>
        <w:t xml:space="preserve"> score at week 48 favouring the </w:t>
      </w:r>
      <w:proofErr w:type="spellStart"/>
      <w:r>
        <w:t>omaveloxolone</w:t>
      </w:r>
      <w:proofErr w:type="spellEnd"/>
      <w:r>
        <w:t xml:space="preserve"> group compared to placebo (p-value 0.034). It is noted that the number of participants with pes </w:t>
      </w:r>
      <w:proofErr w:type="spellStart"/>
      <w:r>
        <w:t>cavus</w:t>
      </w:r>
      <w:proofErr w:type="spellEnd"/>
      <w:r>
        <w:t xml:space="preserve"> was only 20 (randomized equally with n=10 in placebo and n=10 in </w:t>
      </w:r>
      <w:proofErr w:type="spellStart"/>
      <w:r>
        <w:t>omaveloxolone</w:t>
      </w:r>
      <w:proofErr w:type="spellEnd"/>
      <w:r>
        <w:t xml:space="preserve"> group). </w:t>
      </w:r>
      <w:r w:rsidRPr="00861694">
        <w:t xml:space="preserve">In document </w:t>
      </w:r>
      <w:r w:rsidRPr="00861694">
        <w:rPr>
          <w:i/>
          <w:iCs/>
        </w:rPr>
        <w:t>‘foreign evaluation report – Day 120 list of questions – responses – clinical on page 49’</w:t>
      </w:r>
      <w:r w:rsidRPr="00861694">
        <w:t xml:space="preserve"> the</w:t>
      </w:r>
      <w:r>
        <w:t xml:space="preserve"> </w:t>
      </w:r>
      <w:r w:rsidR="007B6B69">
        <w:t>sponsor</w:t>
      </w:r>
      <w:r>
        <w:t xml:space="preserve"> discusses their justification for exclusion of patients with severe pes </w:t>
      </w:r>
      <w:proofErr w:type="spellStart"/>
      <w:r>
        <w:t>cavus</w:t>
      </w:r>
      <w:proofErr w:type="spellEnd"/>
      <w:r>
        <w:t xml:space="preserve"> (and how this was defined) from the primary analysis population in study 1402 part 2. The </w:t>
      </w:r>
      <w:r w:rsidR="007B6B69">
        <w:t>sponsor</w:t>
      </w:r>
      <w:r w:rsidR="004C338D">
        <w:t>’</w:t>
      </w:r>
      <w:r>
        <w:t xml:space="preserve">s justification stated: that pes </w:t>
      </w:r>
      <w:proofErr w:type="spellStart"/>
      <w:r>
        <w:t>cavus</w:t>
      </w:r>
      <w:proofErr w:type="spellEnd"/>
      <w:r>
        <w:t xml:space="preserve"> exists on a spectrum in FA so is not a binary variable and therefore many participants in the clinical trial (including in the group labelled ‘without pes </w:t>
      </w:r>
      <w:proofErr w:type="spellStart"/>
      <w:r>
        <w:t>cavus</w:t>
      </w:r>
      <w:proofErr w:type="spellEnd"/>
      <w:r>
        <w:t xml:space="preserve">’) likely had varying degrees of pes </w:t>
      </w:r>
      <w:proofErr w:type="spellStart"/>
      <w:r>
        <w:t>cavus</w:t>
      </w:r>
      <w:proofErr w:type="spellEnd"/>
      <w:r>
        <w:t xml:space="preserve"> present, severe pes </w:t>
      </w:r>
      <w:proofErr w:type="spellStart"/>
      <w:r>
        <w:t>cavus</w:t>
      </w:r>
      <w:proofErr w:type="spellEnd"/>
      <w:r>
        <w:t xml:space="preserve"> was hypothesized to interfere with ability to complete the </w:t>
      </w:r>
      <w:proofErr w:type="spellStart"/>
      <w:r>
        <w:t>mFARS</w:t>
      </w:r>
      <w:proofErr w:type="spellEnd"/>
      <w:r>
        <w:t xml:space="preserve"> scale due to issues performing standing and balance assessment supporting exclusion from the primary analysis as well as the baseline demographic characteristics between patients labelled ‘with’ and ‘without’ pes </w:t>
      </w:r>
      <w:proofErr w:type="spellStart"/>
      <w:r>
        <w:t>cavus</w:t>
      </w:r>
      <w:proofErr w:type="spellEnd"/>
      <w:r>
        <w:t xml:space="preserve"> were, similar supporting that pes </w:t>
      </w:r>
      <w:proofErr w:type="spellStart"/>
      <w:r>
        <w:t>cavus</w:t>
      </w:r>
      <w:proofErr w:type="spellEnd"/>
      <w:r>
        <w:t xml:space="preserve"> is not a distinct phenotypic or clinical entity. After review of the </w:t>
      </w:r>
      <w:r w:rsidR="007B6B69">
        <w:t>sponsor</w:t>
      </w:r>
      <w:r w:rsidR="004C338D">
        <w:t>’</w:t>
      </w:r>
      <w:r>
        <w:t>s response</w:t>
      </w:r>
      <w:r w:rsidR="001279D1">
        <w:t>,</w:t>
      </w:r>
      <w:r>
        <w:t xml:space="preserve"> the </w:t>
      </w:r>
      <w:r w:rsidR="00185508">
        <w:t>Delegate</w:t>
      </w:r>
      <w:r>
        <w:t xml:space="preserve"> believes there is not enough evidence present to exclude patients with severe pes </w:t>
      </w:r>
      <w:proofErr w:type="spellStart"/>
      <w:r>
        <w:t>cavus</w:t>
      </w:r>
      <w:proofErr w:type="spellEnd"/>
      <w:r>
        <w:t xml:space="preserve"> from treatment with </w:t>
      </w:r>
      <w:proofErr w:type="spellStart"/>
      <w:r>
        <w:t>omaveloxolone</w:t>
      </w:r>
      <w:proofErr w:type="spellEnd"/>
      <w:r>
        <w:t xml:space="preserve"> and that on balance there is adequate evidence to support that </w:t>
      </w:r>
      <w:proofErr w:type="spellStart"/>
      <w:r>
        <w:t>omaveloxolone</w:t>
      </w:r>
      <w:proofErr w:type="spellEnd"/>
      <w:r>
        <w:t xml:space="preserve"> is in patients with Friedreich’s Ataxia and severe pes </w:t>
      </w:r>
      <w:proofErr w:type="spellStart"/>
      <w:r>
        <w:t>cavus</w:t>
      </w:r>
      <w:proofErr w:type="spellEnd"/>
      <w:r>
        <w:t xml:space="preserve"> (as defined by the </w:t>
      </w:r>
      <w:r w:rsidR="007B6B69">
        <w:t>sponsor</w:t>
      </w:r>
      <w:r>
        <w:t xml:space="preserve">) is likely to still have some meaningful benefit. Therefore, the </w:t>
      </w:r>
      <w:r w:rsidR="00185508">
        <w:t>Delegate</w:t>
      </w:r>
      <w:r>
        <w:t xml:space="preserve"> has not recommended any change to the indication as proposed by the </w:t>
      </w:r>
      <w:r w:rsidR="007B6B69">
        <w:t>sponsor</w:t>
      </w:r>
      <w:r>
        <w:t>.</w:t>
      </w:r>
    </w:p>
    <w:p w14:paraId="3FA2A946" w14:textId="77777777" w:rsidR="00FE583D" w:rsidRDefault="00FE583D" w:rsidP="00FE583D">
      <w:r w:rsidRPr="00070531">
        <w:t>The key secondary endpoints</w:t>
      </w:r>
      <w:r>
        <w:t xml:space="preserve"> of change in</w:t>
      </w:r>
      <w:r w:rsidRPr="00070531">
        <w:t xml:space="preserve"> PGIC and CGIC scores at Week 48</w:t>
      </w:r>
      <w:r>
        <w:t xml:space="preserve"> compared to baseline</w:t>
      </w:r>
      <w:r w:rsidRPr="00070531">
        <w:t xml:space="preserve"> were not statistically different for </w:t>
      </w:r>
      <w:proofErr w:type="spellStart"/>
      <w:r w:rsidRPr="00070531">
        <w:t>omaveloxolone</w:t>
      </w:r>
      <w:proofErr w:type="spellEnd"/>
      <w:r w:rsidRPr="00070531">
        <w:t xml:space="preserve"> compared with placebo in the FAS.</w:t>
      </w:r>
    </w:p>
    <w:p w14:paraId="5E44AE1B" w14:textId="77777777" w:rsidR="00FE583D" w:rsidRDefault="00FE583D" w:rsidP="00FE583D">
      <w:r w:rsidRPr="00335D4F">
        <w:t xml:space="preserve">For the other key secondary outcome of change from baseline to week 48 in peak work and exploratory outcomes of change from baseline to week 48 in: 9-hole peg test, 25-foot timed walk test, frequency of falls there was no statistically significant difference between placebo and the </w:t>
      </w:r>
      <w:proofErr w:type="spellStart"/>
      <w:r w:rsidRPr="00335D4F">
        <w:t>omaveloxolone</w:t>
      </w:r>
      <w:proofErr w:type="spellEnd"/>
      <w:r w:rsidRPr="00335D4F">
        <w:t xml:space="preserve"> treatment group.</w:t>
      </w:r>
    </w:p>
    <w:p w14:paraId="0BD82D2F" w14:textId="77777777" w:rsidR="00FE583D" w:rsidRDefault="00FE583D" w:rsidP="00FE583D">
      <w:r w:rsidRPr="00362013">
        <w:t xml:space="preserve">The only exploratory outcome that found a statistically significant difference between treatment groups was the mean total FA activities of daily living (FA-ADL) score over the study period. The LS mean change from baseline to week 48 was 1.14 ± 0.421 in placebo and -0.17 ± 0.45 for the </w:t>
      </w:r>
      <w:proofErr w:type="spellStart"/>
      <w:r w:rsidRPr="00362013">
        <w:t>omaveloxolone</w:t>
      </w:r>
      <w:proofErr w:type="spellEnd"/>
      <w:r w:rsidRPr="00362013">
        <w:t xml:space="preserve"> group. The between treatment group LS mean difference ± SE was -1.30 ± 0.629 with a p-value=0.04.</w:t>
      </w:r>
    </w:p>
    <w:p w14:paraId="14BA4F07" w14:textId="77777777" w:rsidR="006B2A50" w:rsidRDefault="006B2A50">
      <w:r>
        <w:br w:type="page"/>
      </w:r>
    </w:p>
    <w:p w14:paraId="7F4A22B6" w14:textId="66B697A2" w:rsidR="00FE583D" w:rsidRDefault="00FE583D" w:rsidP="00FE583D">
      <w:r>
        <w:lastRenderedPageBreak/>
        <w:t xml:space="preserve">The </w:t>
      </w:r>
      <w:proofErr w:type="spellStart"/>
      <w:r>
        <w:t>omaveloxolone</w:t>
      </w:r>
      <w:proofErr w:type="spellEnd"/>
      <w:r>
        <w:t xml:space="preserve"> treatment groups LS mean </w:t>
      </w:r>
      <w:proofErr w:type="spellStart"/>
      <w:r>
        <w:t>mFARS</w:t>
      </w:r>
      <w:proofErr w:type="spellEnd"/>
      <w:r>
        <w:t xml:space="preserve"> score from baseline to week 48 improving is noted, which provides significant evidence of efficacy for the neurological signs/symptoms of Friedreich’s ataxia. Based on the longitudinal cohort study by Patel (2016) in patients diagnosed with Friedreich’s the mean change in </w:t>
      </w:r>
      <w:proofErr w:type="spellStart"/>
      <w:r>
        <w:t>mFARS</w:t>
      </w:r>
      <w:proofErr w:type="spellEnd"/>
      <w:r>
        <w:t xml:space="preserve"> at 1 year after entry into the study was +2.10 (SD +/- 6.23). In the pivotal study 1402 </w:t>
      </w:r>
      <w:r w:rsidR="008915FA">
        <w:t>p</w:t>
      </w:r>
      <w:r>
        <w:t xml:space="preserve">art 2 the placebo group had a mean worsening in </w:t>
      </w:r>
      <w:proofErr w:type="spellStart"/>
      <w:r>
        <w:t>mFARS</w:t>
      </w:r>
      <w:proofErr w:type="spellEnd"/>
      <w:r>
        <w:t xml:space="preserve"> score of +0.85 from baseline at week 28. Outcomes from the placebo arm of this pivotal study and from the longitudinal cohort study Patel (2016) suggest that in patients diagnosed with Friedreich’s ataxia on average the </w:t>
      </w:r>
      <w:proofErr w:type="spellStart"/>
      <w:r>
        <w:t>mFARS</w:t>
      </w:r>
      <w:proofErr w:type="spellEnd"/>
      <w:r>
        <w:t xml:space="preserve"> score will likely worsen after approximately 1 year. The </w:t>
      </w:r>
      <w:r w:rsidR="00185508">
        <w:t>Delegate</w:t>
      </w:r>
      <w:r>
        <w:t xml:space="preserve"> feels that an improvement in LS mean score in the treatment group compared to placebo group on the </w:t>
      </w:r>
      <w:proofErr w:type="spellStart"/>
      <w:r>
        <w:t>mFARS</w:t>
      </w:r>
      <w:proofErr w:type="spellEnd"/>
      <w:r>
        <w:t xml:space="preserve"> provides significant evidence of efficacy for neurological signs/symptoms of Friedreich’s ataxia, this is due to Friedreich’s ataxia being known to be a progressive neurological disease which worsens over time with evidence suggesting that there is expected to be on average a worsening in </w:t>
      </w:r>
      <w:proofErr w:type="spellStart"/>
      <w:r>
        <w:t>mFARS</w:t>
      </w:r>
      <w:proofErr w:type="spellEnd"/>
      <w:r>
        <w:t xml:space="preserve"> score when measured annually over years in patients with Friedreich’s ataxia. The </w:t>
      </w:r>
      <w:r w:rsidR="00185508">
        <w:t>Delegate</w:t>
      </w:r>
      <w:r>
        <w:t xml:space="preserve"> feels that this makes an improvement in the LS mean </w:t>
      </w:r>
      <w:proofErr w:type="spellStart"/>
      <w:r>
        <w:t>mFARS</w:t>
      </w:r>
      <w:proofErr w:type="spellEnd"/>
      <w:r>
        <w:t xml:space="preserve"> score from baseline to week 48 highly significant given the natural history of progressive neurological deterioration in Friedreich’s Ataxia. </w:t>
      </w:r>
    </w:p>
    <w:p w14:paraId="5A229AA0" w14:textId="251AFD57" w:rsidR="00FE583D" w:rsidRDefault="00FE583D" w:rsidP="00FE583D">
      <w:r>
        <w:t xml:space="preserve">The exploratory endpoint of a statistically significant difference in LS mean scores in the FA-ADL score between the </w:t>
      </w:r>
      <w:proofErr w:type="spellStart"/>
      <w:r>
        <w:t>omaveloxolone</w:t>
      </w:r>
      <w:proofErr w:type="spellEnd"/>
      <w:r>
        <w:t xml:space="preserve"> and placebo group provides some minor supportive evidence of efficacy for </w:t>
      </w:r>
      <w:proofErr w:type="spellStart"/>
      <w:r>
        <w:t>omaveloxolone</w:t>
      </w:r>
      <w:proofErr w:type="spellEnd"/>
      <w:r>
        <w:t xml:space="preserve"> for this indication, but given the multiple other secondary and exploratory endpoints that did not reach statistical significance the significance of this finding is of uncertain significance. It is noted that the exploratory endpoint of change in LS mean FA-ADL score showed that the LS-mean score for the </w:t>
      </w:r>
      <w:proofErr w:type="spellStart"/>
      <w:r>
        <w:t>omaveloxolone</w:t>
      </w:r>
      <w:proofErr w:type="spellEnd"/>
      <w:r>
        <w:t xml:space="preserve"> group improved, (LS mean for </w:t>
      </w:r>
      <w:proofErr w:type="spellStart"/>
      <w:r>
        <w:t>omaveloxolone</w:t>
      </w:r>
      <w:proofErr w:type="spellEnd"/>
      <w:r>
        <w:t xml:space="preserve"> group -0.17 </w:t>
      </w:r>
      <w:r w:rsidRPr="00362013">
        <w:t>± 0.45</w:t>
      </w:r>
      <w:r>
        <w:t xml:space="preserve"> compared to LS mean worsening in </w:t>
      </w:r>
      <w:r w:rsidRPr="00362013">
        <w:t>1.14 ± 0.421</w:t>
      </w:r>
      <w:r>
        <w:t xml:space="preserve"> in placebo group). Similar to the primary efficacy endpoint, a mean improvement in the FA-ADL score in the </w:t>
      </w:r>
      <w:proofErr w:type="spellStart"/>
      <w:r>
        <w:t>omaveloxolone</w:t>
      </w:r>
      <w:proofErr w:type="spellEnd"/>
      <w:r>
        <w:t xml:space="preserve"> group compared to placebo provides stronger supportive evidence of efficacy due to the progressive deterioration in neurological function expected with Friedreich’s Ataxia, which would be expected to cause a deterioration in activities of daily living over time, which was present using the LS mean FA-ADL score in the placebo group, but not the </w:t>
      </w:r>
      <w:proofErr w:type="spellStart"/>
      <w:r>
        <w:t>omaveloxolone</w:t>
      </w:r>
      <w:proofErr w:type="spellEnd"/>
      <w:r>
        <w:t xml:space="preserve"> treatment group, this is shown in the </w:t>
      </w:r>
      <w:r w:rsidR="007B6B69">
        <w:t>sponsor</w:t>
      </w:r>
      <w:r w:rsidR="004C338D">
        <w:t>’</w:t>
      </w:r>
      <w:r>
        <w:t xml:space="preserve">s day 120 EMA evaluation report response to questions in </w:t>
      </w:r>
      <w:r w:rsidR="00D01DA2">
        <w:t xml:space="preserve"> f</w:t>
      </w:r>
      <w:r w:rsidR="002466B4" w:rsidRPr="00F83BFF">
        <w:fldChar w:fldCharType="begin"/>
      </w:r>
      <w:r w:rsidR="002466B4" w:rsidRPr="00F83BFF">
        <w:instrText xml:space="preserve"> REF _Ref184028840 \h  \* MERGEFORMAT </w:instrText>
      </w:r>
      <w:r w:rsidR="002466B4" w:rsidRPr="00F83BFF">
        <w:fldChar w:fldCharType="separate"/>
      </w:r>
      <w:r w:rsidR="002466B4" w:rsidRPr="00F83BFF">
        <w:t xml:space="preserve">igure </w:t>
      </w:r>
      <w:r w:rsidR="002466B4">
        <w:rPr>
          <w:noProof/>
        </w:rPr>
        <w:t>3</w:t>
      </w:r>
      <w:r w:rsidR="00C718F3">
        <w:rPr>
          <w:noProof/>
        </w:rPr>
        <w:t>1</w:t>
      </w:r>
      <w:r w:rsidR="002466B4" w:rsidRPr="00F83BFF">
        <w:fldChar w:fldCharType="end"/>
      </w:r>
      <w:r w:rsidRPr="00F83BFF">
        <w:t>.</w:t>
      </w:r>
    </w:p>
    <w:p w14:paraId="7C92C55C" w14:textId="3993813C" w:rsidR="00FE583D" w:rsidRPr="00F83BFF" w:rsidRDefault="00FE583D" w:rsidP="002466B4">
      <w:pPr>
        <w:pStyle w:val="FigureTitle"/>
      </w:pPr>
      <w:bookmarkStart w:id="130" w:name="_Ref184028840"/>
      <w:r w:rsidRPr="00F83BFF">
        <w:t xml:space="preserve">Figure </w:t>
      </w:r>
      <w:fldSimple w:instr=" SEQ Figure \* ARABIC ">
        <w:r>
          <w:rPr>
            <w:noProof/>
          </w:rPr>
          <w:t>3</w:t>
        </w:r>
        <w:r w:rsidR="002376DE">
          <w:rPr>
            <w:noProof/>
          </w:rPr>
          <w:t>1</w:t>
        </w:r>
      </w:fldSimple>
      <w:bookmarkEnd w:id="130"/>
      <w:r w:rsidRPr="00F83BFF">
        <w:t xml:space="preserve">: </w:t>
      </w:r>
      <w:bookmarkStart w:id="131" w:name="Figure_10:_Study_1402_Part_2:_Omaveloxol"/>
      <w:bookmarkStart w:id="132" w:name="Table_6:_Study_1402_Part_2:_Combined_Wee"/>
      <w:bookmarkStart w:id="133" w:name="Abbreviations:_CFB=change_from_baseline;"/>
      <w:bookmarkEnd w:id="131"/>
      <w:bookmarkEnd w:id="132"/>
      <w:bookmarkEnd w:id="133"/>
      <w:r w:rsidRPr="00F83BFF">
        <w:t xml:space="preserve">Study 1402 </w:t>
      </w:r>
      <w:r w:rsidR="00EF3CD1">
        <w:t>p</w:t>
      </w:r>
      <w:r w:rsidRPr="00F83BFF">
        <w:t xml:space="preserve">art 2: </w:t>
      </w:r>
      <w:proofErr w:type="spellStart"/>
      <w:r w:rsidRPr="00F83BFF">
        <w:t>Omaveloxolone</w:t>
      </w:r>
      <w:proofErr w:type="spellEnd"/>
      <w:r w:rsidRPr="00F83BFF">
        <w:t xml:space="preserve"> Treatment Effect on FA-ADL (FAS)</w:t>
      </w:r>
    </w:p>
    <w:p w14:paraId="25AA6770" w14:textId="77777777" w:rsidR="00FE583D" w:rsidRDefault="00FE583D" w:rsidP="00FE583D">
      <w:r w:rsidRPr="00196B63">
        <w:rPr>
          <w:noProof/>
        </w:rPr>
        <w:drawing>
          <wp:inline distT="0" distB="0" distL="0" distR="0" wp14:anchorId="721998ED" wp14:editId="236F353D">
            <wp:extent cx="5505254" cy="3324225"/>
            <wp:effectExtent l="0" t="0" r="635" b="0"/>
            <wp:docPr id="206071584" name="Picture 1" descr="Figure 30: Study 1402 Part 2: Omaveloxolone Treatment Effect on FA-ADL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1584" name="Picture 1" descr="Figure 30: Study 1402 Part 2: Omaveloxolone Treatment Effect on FA-ADL (FAS)"/>
                    <pic:cNvPicPr/>
                  </pic:nvPicPr>
                  <pic:blipFill>
                    <a:blip r:embed="rId125"/>
                    <a:stretch>
                      <a:fillRect/>
                    </a:stretch>
                  </pic:blipFill>
                  <pic:spPr>
                    <a:xfrm>
                      <a:off x="0" y="0"/>
                      <a:ext cx="5507783" cy="3325752"/>
                    </a:xfrm>
                    <a:prstGeom prst="rect">
                      <a:avLst/>
                    </a:prstGeom>
                  </pic:spPr>
                </pic:pic>
              </a:graphicData>
            </a:graphic>
          </wp:inline>
        </w:drawing>
      </w:r>
    </w:p>
    <w:p w14:paraId="154F07D6" w14:textId="488AE047" w:rsidR="00FE583D" w:rsidRPr="00834B50" w:rsidRDefault="00FE583D" w:rsidP="00FE583D">
      <w:r>
        <w:lastRenderedPageBreak/>
        <w:t>The key secondary endpoints (</w:t>
      </w:r>
      <w:r w:rsidRPr="007B5459">
        <w:t xml:space="preserve">Patient Global Impression of Change </w:t>
      </w:r>
      <w:r>
        <w:t>[</w:t>
      </w:r>
      <w:r w:rsidRPr="007B5459">
        <w:t>PGIC</w:t>
      </w:r>
      <w:r>
        <w:t xml:space="preserve">] and </w:t>
      </w:r>
      <w:r w:rsidRPr="007B5459">
        <w:t xml:space="preserve">Clinical Global Impression of Change </w:t>
      </w:r>
      <w:r>
        <w:t>[</w:t>
      </w:r>
      <w:r w:rsidRPr="007B5459">
        <w:t>CGIC</w:t>
      </w:r>
      <w:r>
        <w:t xml:space="preserve">]) showed no statistically significant improvement between the </w:t>
      </w:r>
      <w:proofErr w:type="spellStart"/>
      <w:r w:rsidR="006B786A">
        <w:t>o</w:t>
      </w:r>
      <w:r>
        <w:t>maveloxolone</w:t>
      </w:r>
      <w:proofErr w:type="spellEnd"/>
      <w:r>
        <w:t xml:space="preserve"> group compared to placebo, although these outcomes were numerically improved in the </w:t>
      </w:r>
      <w:proofErr w:type="spellStart"/>
      <w:r>
        <w:t>omaveloxolone</w:t>
      </w:r>
      <w:proofErr w:type="spellEnd"/>
      <w:r>
        <w:t xml:space="preserve"> treatment group compared to placebo. This would have provided important supportive evidence of improvement in quality of life from both a patient and health professional perspective. However, even without statistically significant changes in these key secondary endpoints the </w:t>
      </w:r>
      <w:r w:rsidR="00185508">
        <w:t>Delegate</w:t>
      </w:r>
      <w:r>
        <w:t xml:space="preserve"> believes the changes in the primary endpoint does establish the efficacy of </w:t>
      </w:r>
      <w:proofErr w:type="spellStart"/>
      <w:r>
        <w:t>omaveloxolone</w:t>
      </w:r>
      <w:proofErr w:type="spellEnd"/>
      <w:r>
        <w:t xml:space="preserve"> at the proposed dosage for the indication of </w:t>
      </w:r>
      <w:r w:rsidRPr="000C23A5">
        <w:rPr>
          <w:i/>
        </w:rPr>
        <w:t>treatment of Friedreich’s ataxia in adults and adolescents aged 16 years and older.</w:t>
      </w:r>
    </w:p>
    <w:p w14:paraId="13EC4F8C" w14:textId="77777777" w:rsidR="00FE583D" w:rsidRDefault="00FE583D" w:rsidP="00FE583D">
      <w:pPr>
        <w:pStyle w:val="Heading4"/>
      </w:pPr>
      <w:bookmarkStart w:id="134" w:name="_Toc233964981"/>
      <w:r w:rsidRPr="001D2C30">
        <w:t>Safety</w:t>
      </w:r>
      <w:bookmarkEnd w:id="134"/>
    </w:p>
    <w:p w14:paraId="6BB4672D" w14:textId="0FC637F9" w:rsidR="00FE583D" w:rsidRDefault="00FE583D" w:rsidP="00FE583D">
      <w:r>
        <w:t xml:space="preserve">It is noted that there are small participants numbers in the placebo-controlled pivotal trial 1042 </w:t>
      </w:r>
      <w:r w:rsidR="006B786A">
        <w:t>p</w:t>
      </w:r>
      <w:r>
        <w:t>art 2 (</w:t>
      </w:r>
      <w:proofErr w:type="spellStart"/>
      <w:r>
        <w:t>omaveloxolone</w:t>
      </w:r>
      <w:proofErr w:type="spellEnd"/>
      <w:r>
        <w:t xml:space="preserve"> group </w:t>
      </w:r>
      <w:r w:rsidRPr="003B791C">
        <w:t>N=51</w:t>
      </w:r>
      <w:r>
        <w:t>, placebo group N=52</w:t>
      </w:r>
      <w:r w:rsidRPr="003B791C">
        <w:t>)</w:t>
      </w:r>
      <w:r>
        <w:t xml:space="preserve">, making it difficult to determine the significance of small differences in TEAE’s between the </w:t>
      </w:r>
      <w:proofErr w:type="spellStart"/>
      <w:r>
        <w:t>omaveloxolone</w:t>
      </w:r>
      <w:proofErr w:type="spellEnd"/>
      <w:r>
        <w:t xml:space="preserve"> and placebo groups.</w:t>
      </w:r>
    </w:p>
    <w:p w14:paraId="376EC7B2" w14:textId="3A9780A8" w:rsidR="0017015E" w:rsidRDefault="00FE583D" w:rsidP="00FE583D">
      <w:r>
        <w:t>In the primary analysis set A</w:t>
      </w:r>
      <w:r w:rsidR="002F7680">
        <w:t>,</w:t>
      </w:r>
      <w:r>
        <w:t xml:space="preserve"> TEAE’s with incidence </w:t>
      </w:r>
      <w:r w:rsidRPr="002C36B6">
        <w:t xml:space="preserve">≥2% and </w:t>
      </w:r>
      <w:r w:rsidR="0017015E">
        <w:t xml:space="preserve">in </w:t>
      </w:r>
      <w:r w:rsidRPr="002C36B6">
        <w:t xml:space="preserve">excess in the </w:t>
      </w:r>
      <w:proofErr w:type="spellStart"/>
      <w:r w:rsidRPr="002C36B6">
        <w:t>omaveloxolone</w:t>
      </w:r>
      <w:proofErr w:type="spellEnd"/>
      <w:r w:rsidRPr="002C36B6">
        <w:t xml:space="preserve"> treatment group over the placebo group (primary placebo-controlled</w:t>
      </w:r>
      <w:r w:rsidR="00EA1F04">
        <w:t xml:space="preserve"> A</w:t>
      </w:r>
      <w:r w:rsidRPr="002C36B6">
        <w:t>nalysis set A)</w:t>
      </w:r>
      <w:r>
        <w:t xml:space="preserve"> included </w:t>
      </w:r>
      <w:r w:rsidR="005528BC">
        <w:t>the following</w:t>
      </w:r>
      <w:r w:rsidR="0017015E">
        <w:t>.</w:t>
      </w:r>
    </w:p>
    <w:p w14:paraId="6761C6FE" w14:textId="760A2857" w:rsidR="00DC7FB8" w:rsidRDefault="00226733" w:rsidP="00FE583D">
      <w:r>
        <w:t>U</w:t>
      </w:r>
      <w:r w:rsidR="00FE583D">
        <w:t xml:space="preserve">nder </w:t>
      </w:r>
      <w:r w:rsidR="00A11648">
        <w:t xml:space="preserve">the </w:t>
      </w:r>
      <w:r w:rsidR="00FE583D">
        <w:t>SOC of gastrointestinal disorders:</w:t>
      </w:r>
    </w:p>
    <w:p w14:paraId="6A150CF8" w14:textId="6EBDD8F1" w:rsidR="00DC7FB8" w:rsidRDefault="00FE583D" w:rsidP="00DC7FB8">
      <w:pPr>
        <w:pStyle w:val="ListBullet"/>
      </w:pPr>
      <w:r>
        <w:t>nausea occurr</w:t>
      </w:r>
      <w:r w:rsidR="00541F3E">
        <w:t>ed</w:t>
      </w:r>
      <w:r>
        <w:t xml:space="preserve"> in 17 (33.3%) participants in the </w:t>
      </w:r>
      <w:proofErr w:type="spellStart"/>
      <w:r>
        <w:t>omaveloxolone</w:t>
      </w:r>
      <w:proofErr w:type="spellEnd"/>
      <w:r>
        <w:t xml:space="preserve"> treated group compared to 7 (13.5%) in placebo</w:t>
      </w:r>
    </w:p>
    <w:p w14:paraId="0F1A3B41" w14:textId="7671C4E7" w:rsidR="00DC7FB8" w:rsidRDefault="00FE583D" w:rsidP="00DC7FB8">
      <w:pPr>
        <w:pStyle w:val="ListBullet"/>
      </w:pPr>
      <w:r>
        <w:t>diarrhoea occurr</w:t>
      </w:r>
      <w:r w:rsidR="00DC7FB8">
        <w:t>ed</w:t>
      </w:r>
      <w:r>
        <w:t xml:space="preserve"> in 10 (19.6%) participants in the </w:t>
      </w:r>
      <w:proofErr w:type="spellStart"/>
      <w:r>
        <w:t>omaveloxolone</w:t>
      </w:r>
      <w:proofErr w:type="spellEnd"/>
      <w:r>
        <w:t xml:space="preserve"> treated group compared to 5 (9.6%) in placebo</w:t>
      </w:r>
    </w:p>
    <w:p w14:paraId="52AF47CB" w14:textId="059BD3B3" w:rsidR="00A11648" w:rsidRDefault="00FE583D" w:rsidP="00DC7FB8">
      <w:pPr>
        <w:pStyle w:val="ListBullet"/>
      </w:pPr>
      <w:r>
        <w:t>vomiting occurr</w:t>
      </w:r>
      <w:r w:rsidR="00A11648">
        <w:t>ed</w:t>
      </w:r>
      <w:r>
        <w:t xml:space="preserve"> in 8 (15.7%) participants in the </w:t>
      </w:r>
      <w:proofErr w:type="spellStart"/>
      <w:r>
        <w:t>omaveloxolone</w:t>
      </w:r>
      <w:proofErr w:type="spellEnd"/>
      <w:r>
        <w:t xml:space="preserve"> treated group compared to 6 (11.5%) in placebo</w:t>
      </w:r>
    </w:p>
    <w:p w14:paraId="3FF264B2" w14:textId="17302277" w:rsidR="00EA67B8" w:rsidRDefault="00FE583D" w:rsidP="00DC7FB8">
      <w:pPr>
        <w:pStyle w:val="ListBullet"/>
      </w:pPr>
      <w:r>
        <w:t>abdominal pain upper occurr</w:t>
      </w:r>
      <w:r w:rsidR="00A11648">
        <w:t>ed</w:t>
      </w:r>
      <w:r>
        <w:t xml:space="preserve"> in 5 (9.8%) participants in the </w:t>
      </w:r>
      <w:proofErr w:type="spellStart"/>
      <w:r>
        <w:t>omaveloxolone</w:t>
      </w:r>
      <w:proofErr w:type="spellEnd"/>
      <w:r>
        <w:t xml:space="preserve"> treated group compared to 1(1.9%) in placebo. </w:t>
      </w:r>
    </w:p>
    <w:p w14:paraId="6F511B72" w14:textId="77777777" w:rsidR="004F475C" w:rsidRDefault="00FE583D" w:rsidP="00EA67B8">
      <w:r>
        <w:t xml:space="preserve">Under </w:t>
      </w:r>
      <w:r w:rsidR="00EA67B8">
        <w:t xml:space="preserve">the </w:t>
      </w:r>
      <w:r>
        <w:t>SOC of nervous system disorder</w:t>
      </w:r>
      <w:r w:rsidR="004F475C">
        <w:t>,</w:t>
      </w:r>
      <w:r>
        <w:t xml:space="preserve"> headache occurred in 19 (37.3%) of participants in the </w:t>
      </w:r>
      <w:proofErr w:type="spellStart"/>
      <w:r>
        <w:t>omaveloxolone</w:t>
      </w:r>
      <w:proofErr w:type="spellEnd"/>
      <w:r>
        <w:t xml:space="preserve"> treated group compared to 13 (25%) in placebo. </w:t>
      </w:r>
    </w:p>
    <w:p w14:paraId="785F11C9" w14:textId="77777777" w:rsidR="00A31F34" w:rsidRDefault="00FE583D" w:rsidP="00EA67B8">
      <w:r>
        <w:t xml:space="preserve">Under the SOC </w:t>
      </w:r>
      <w:r w:rsidR="00A31F34">
        <w:t xml:space="preserve">of </w:t>
      </w:r>
      <w:r>
        <w:t>musculoskeletal and connective tissue disorder</w:t>
      </w:r>
      <w:r w:rsidR="00A31F34">
        <w:t>:</w:t>
      </w:r>
    </w:p>
    <w:p w14:paraId="6FD26E05" w14:textId="1D61BCBE" w:rsidR="00A31F34" w:rsidRDefault="00FE583D" w:rsidP="00A31F34">
      <w:pPr>
        <w:pStyle w:val="ListBullet"/>
      </w:pPr>
      <w:r>
        <w:t xml:space="preserve">back pain occurred </w:t>
      </w:r>
      <w:r w:rsidRPr="00AB61B4">
        <w:t>in</w:t>
      </w:r>
      <w:r>
        <w:t xml:space="preserve"> 7</w:t>
      </w:r>
      <w:r w:rsidRPr="00AB61B4">
        <w:t xml:space="preserve"> (</w:t>
      </w:r>
      <w:r>
        <w:t>13</w:t>
      </w:r>
      <w:r w:rsidRPr="00AB61B4">
        <w:t>.</w:t>
      </w:r>
      <w:r>
        <w:t>7</w:t>
      </w:r>
      <w:r w:rsidRPr="00AB61B4">
        <w:t xml:space="preserve">%) of participants in the </w:t>
      </w:r>
      <w:proofErr w:type="spellStart"/>
      <w:r w:rsidRPr="00AB61B4">
        <w:t>omaveloxolone</w:t>
      </w:r>
      <w:proofErr w:type="spellEnd"/>
      <w:r w:rsidRPr="00AB61B4">
        <w:t xml:space="preserve"> treated group compared to </w:t>
      </w:r>
      <w:r>
        <w:t>4</w:t>
      </w:r>
      <w:r w:rsidRPr="00AB61B4">
        <w:t xml:space="preserve"> (</w:t>
      </w:r>
      <w:r>
        <w:t>7.7</w:t>
      </w:r>
      <w:r w:rsidRPr="00AB61B4">
        <w:t>%) in placebo</w:t>
      </w:r>
    </w:p>
    <w:p w14:paraId="48462CB3" w14:textId="76F149AA" w:rsidR="00A31F34" w:rsidRDefault="00FE583D" w:rsidP="00A31F34">
      <w:pPr>
        <w:pStyle w:val="ListBullet"/>
      </w:pPr>
      <w:r>
        <w:t xml:space="preserve">muscle spasms occurred </w:t>
      </w:r>
      <w:r w:rsidRPr="00AB61B4">
        <w:t>in</w:t>
      </w:r>
      <w:r>
        <w:t xml:space="preserve"> 7 (13.7%)</w:t>
      </w:r>
      <w:r w:rsidRPr="00AB61B4">
        <w:t xml:space="preserve"> of participants in the </w:t>
      </w:r>
      <w:proofErr w:type="spellStart"/>
      <w:r w:rsidRPr="00AB61B4">
        <w:t>omaveloxolone</w:t>
      </w:r>
      <w:proofErr w:type="spellEnd"/>
      <w:r w:rsidRPr="00AB61B4">
        <w:t xml:space="preserve"> treated group compared to </w:t>
      </w:r>
      <w:r>
        <w:t>3 (5.8</w:t>
      </w:r>
      <w:r w:rsidRPr="00AB61B4">
        <w:t>%) in placebo</w:t>
      </w:r>
      <w:r w:rsidR="000A484B">
        <w:t>.</w:t>
      </w:r>
    </w:p>
    <w:p w14:paraId="6E09AFB2" w14:textId="3BB9EBAD" w:rsidR="00C71A73" w:rsidRDefault="00C71A73" w:rsidP="00B256A4">
      <w:r>
        <w:t>O</w:t>
      </w:r>
      <w:r w:rsidR="00FE583D">
        <w:t xml:space="preserve">ropharyngeal pain occurred in 9 (17.6%) in the </w:t>
      </w:r>
      <w:proofErr w:type="spellStart"/>
      <w:r w:rsidR="00FE583D">
        <w:t>omaveloxolone</w:t>
      </w:r>
      <w:proofErr w:type="spellEnd"/>
      <w:r w:rsidR="00FE583D">
        <w:t xml:space="preserve"> group compared to 3 (5.8%) in the placebo group</w:t>
      </w:r>
      <w:r>
        <w:t xml:space="preserve">, and </w:t>
      </w:r>
      <w:r w:rsidR="00FE583D">
        <w:t xml:space="preserve">fatigue occurred in 11 (21.6%) in the </w:t>
      </w:r>
      <w:proofErr w:type="spellStart"/>
      <w:r w:rsidR="00FE583D">
        <w:t>omaveloxolone</w:t>
      </w:r>
      <w:proofErr w:type="spellEnd"/>
      <w:r w:rsidR="00FE583D">
        <w:t xml:space="preserve"> group compared to 7 (13.5%) in the placebo group. </w:t>
      </w:r>
    </w:p>
    <w:p w14:paraId="4617DF3C" w14:textId="3FD51EC1" w:rsidR="00327041" w:rsidRDefault="00FE583D" w:rsidP="00B256A4">
      <w:r>
        <w:t>Under the SOC</w:t>
      </w:r>
      <w:r w:rsidRPr="00731AED">
        <w:t xml:space="preserve"> of </w:t>
      </w:r>
      <w:r>
        <w:t xml:space="preserve">infections and infestations: </w:t>
      </w:r>
    </w:p>
    <w:p w14:paraId="4AAFE2C4" w14:textId="66931BCB" w:rsidR="00666C5E" w:rsidRDefault="00FE583D" w:rsidP="00666C5E">
      <w:pPr>
        <w:pStyle w:val="ListBullet"/>
      </w:pPr>
      <w:r>
        <w:t>influenza occurred in 7</w:t>
      </w:r>
      <w:r w:rsidRPr="00731AED">
        <w:t xml:space="preserve"> (</w:t>
      </w:r>
      <w:r>
        <w:t>13.7</w:t>
      </w:r>
      <w:r w:rsidRPr="00731AED">
        <w:t xml:space="preserve">%) in the </w:t>
      </w:r>
      <w:proofErr w:type="spellStart"/>
      <w:r w:rsidRPr="00731AED">
        <w:t>omaveloxolone</w:t>
      </w:r>
      <w:proofErr w:type="spellEnd"/>
      <w:r w:rsidRPr="00731AED">
        <w:t xml:space="preserve"> group compared to </w:t>
      </w:r>
      <w:r>
        <w:t>2 (3.8</w:t>
      </w:r>
      <w:r w:rsidRPr="00731AED">
        <w:t>%) in the placebo group</w:t>
      </w:r>
    </w:p>
    <w:p w14:paraId="0D138167" w14:textId="77777777" w:rsidR="005F5C9D" w:rsidRDefault="00FE583D" w:rsidP="00666C5E">
      <w:pPr>
        <w:pStyle w:val="ListBullet"/>
      </w:pPr>
      <w:r>
        <w:t>viral gastroenteritis occurred in 3 (5.9</w:t>
      </w:r>
      <w:r w:rsidRPr="00731AED">
        <w:t xml:space="preserve">%) in the </w:t>
      </w:r>
      <w:proofErr w:type="spellStart"/>
      <w:r w:rsidRPr="00731AED">
        <w:t>omaveloxolone</w:t>
      </w:r>
      <w:proofErr w:type="spellEnd"/>
      <w:r w:rsidRPr="00731AED">
        <w:t xml:space="preserve"> group compared to </w:t>
      </w:r>
      <w:r>
        <w:t>1 (1.9</w:t>
      </w:r>
      <w:r w:rsidRPr="00731AED">
        <w:t>%) in the placebo group</w:t>
      </w:r>
    </w:p>
    <w:p w14:paraId="546207B9" w14:textId="349E33AE" w:rsidR="00483D44" w:rsidRDefault="00FE583D" w:rsidP="00666C5E">
      <w:pPr>
        <w:pStyle w:val="ListBullet"/>
      </w:pPr>
      <w:r>
        <w:t>urinary tract infection occurred in 4 (7.8</w:t>
      </w:r>
      <w:r w:rsidRPr="00731AED">
        <w:t xml:space="preserve">%) in the </w:t>
      </w:r>
      <w:proofErr w:type="spellStart"/>
      <w:r w:rsidRPr="00731AED">
        <w:t>omaveloxolone</w:t>
      </w:r>
      <w:proofErr w:type="spellEnd"/>
      <w:r w:rsidRPr="00731AED">
        <w:t xml:space="preserve"> group compared to</w:t>
      </w:r>
      <w:r>
        <w:t xml:space="preserve"> 0</w:t>
      </w:r>
      <w:r w:rsidRPr="00731AED">
        <w:t xml:space="preserve"> in the placebo group</w:t>
      </w:r>
      <w:r>
        <w:t xml:space="preserve">. </w:t>
      </w:r>
    </w:p>
    <w:p w14:paraId="02E727D5" w14:textId="2547F3D5" w:rsidR="00FE583D" w:rsidRDefault="00FE583D" w:rsidP="00483D44">
      <w:r>
        <w:lastRenderedPageBreak/>
        <w:t xml:space="preserve">Decreased appetite </w:t>
      </w:r>
      <w:r w:rsidRPr="00E46102">
        <w:t xml:space="preserve">occurred in </w:t>
      </w:r>
      <w:r>
        <w:t>6 (11.8</w:t>
      </w:r>
      <w:r w:rsidRPr="00E46102">
        <w:t xml:space="preserve">%) in the </w:t>
      </w:r>
      <w:proofErr w:type="spellStart"/>
      <w:r w:rsidRPr="00E46102">
        <w:t>omaveloxolone</w:t>
      </w:r>
      <w:proofErr w:type="spellEnd"/>
      <w:r w:rsidRPr="00E46102">
        <w:t xml:space="preserve"> group compared to </w:t>
      </w:r>
      <w:r>
        <w:t>2 (3.8</w:t>
      </w:r>
      <w:r w:rsidRPr="00E46102">
        <w:t>%) in the placebo group</w:t>
      </w:r>
      <w:r>
        <w:t xml:space="preserve">. Macular rash </w:t>
      </w:r>
      <w:r w:rsidRPr="00E46102">
        <w:t xml:space="preserve">occurred in </w:t>
      </w:r>
      <w:r>
        <w:t>2 (3.9</w:t>
      </w:r>
      <w:r w:rsidRPr="00E46102">
        <w:t xml:space="preserve">%) in the </w:t>
      </w:r>
      <w:proofErr w:type="spellStart"/>
      <w:r w:rsidRPr="00E46102">
        <w:t>omaveloxolone</w:t>
      </w:r>
      <w:proofErr w:type="spellEnd"/>
      <w:r w:rsidRPr="00E46102">
        <w:t xml:space="preserve"> group compared to </w:t>
      </w:r>
      <w:r>
        <w:t>0</w:t>
      </w:r>
      <w:r w:rsidRPr="00E46102">
        <w:t xml:space="preserve"> in the placebo group</w:t>
      </w:r>
      <w:r>
        <w:t xml:space="preserve">. Dysmenorrhoea </w:t>
      </w:r>
      <w:r w:rsidRPr="00E46102">
        <w:t xml:space="preserve">occurred in </w:t>
      </w:r>
      <w:r>
        <w:t>3 (5.9</w:t>
      </w:r>
      <w:r w:rsidRPr="00E46102">
        <w:t xml:space="preserve">%) in the </w:t>
      </w:r>
      <w:proofErr w:type="spellStart"/>
      <w:r w:rsidRPr="00E46102">
        <w:t>omaveloxolone</w:t>
      </w:r>
      <w:proofErr w:type="spellEnd"/>
      <w:r w:rsidRPr="00E46102">
        <w:t xml:space="preserve"> group compared to </w:t>
      </w:r>
      <w:r>
        <w:t>0</w:t>
      </w:r>
      <w:r w:rsidRPr="00E46102">
        <w:t xml:space="preserve"> in the placebo group</w:t>
      </w:r>
      <w:r>
        <w:t>.</w:t>
      </w:r>
    </w:p>
    <w:p w14:paraId="174845C0" w14:textId="72AB7ACC" w:rsidR="00DF636F" w:rsidRDefault="00FE583D" w:rsidP="00FE583D">
      <w:r w:rsidRPr="0032236A">
        <w:t xml:space="preserve">The majority of the most common TEAEs in either group were mild to moderate in severity. Five (9.8%) </w:t>
      </w:r>
      <w:proofErr w:type="spellStart"/>
      <w:r w:rsidRPr="0032236A">
        <w:t>omaveloxolone</w:t>
      </w:r>
      <w:proofErr w:type="spellEnd"/>
      <w:r w:rsidRPr="0032236A">
        <w:t>-treated patients experienced 6 severe TEAEs (</w:t>
      </w:r>
      <w:r w:rsidR="00483D44">
        <w:t>c</w:t>
      </w:r>
      <w:r w:rsidRPr="0032236A">
        <w:t xml:space="preserve">ontusion, </w:t>
      </w:r>
      <w:r w:rsidR="00483D44">
        <w:t>s</w:t>
      </w:r>
      <w:r w:rsidRPr="0032236A">
        <w:t xml:space="preserve">kin laceration, </w:t>
      </w:r>
      <w:r w:rsidR="00483D44">
        <w:t>m</w:t>
      </w:r>
      <w:r w:rsidRPr="0032236A">
        <w:t xml:space="preserve">igraine, </w:t>
      </w:r>
      <w:r w:rsidR="00483D44">
        <w:t>increased b</w:t>
      </w:r>
      <w:r w:rsidRPr="0032236A">
        <w:t xml:space="preserve">lood creatine phosphokinase, </w:t>
      </w:r>
      <w:r w:rsidR="00483D44">
        <w:t>s</w:t>
      </w:r>
      <w:r w:rsidRPr="0032236A">
        <w:t xml:space="preserve">uicidal ideation and </w:t>
      </w:r>
      <w:r w:rsidR="00483D44">
        <w:t>h</w:t>
      </w:r>
      <w:r w:rsidRPr="0032236A">
        <w:t>ydrocele). Two severe TEAEs were in adolescent patients (hydrocele in 1 patient and contusion and skin laceration in 1 patient).</w:t>
      </w:r>
    </w:p>
    <w:p w14:paraId="78EFBADE" w14:textId="15C9F6C1" w:rsidR="00FE583D" w:rsidRDefault="00FE583D" w:rsidP="00FE583D">
      <w:r w:rsidRPr="0032236A">
        <w:t xml:space="preserve">No severe event occurred in more than 1 patient and none of the severe events were considered related to study drug. </w:t>
      </w:r>
      <w:r w:rsidR="00DF636F">
        <w:t>No</w:t>
      </w:r>
      <w:r w:rsidR="00DF636F" w:rsidRPr="0032236A">
        <w:t xml:space="preserve"> </w:t>
      </w:r>
      <w:r w:rsidRPr="0032236A">
        <w:t>patients in the placebo group experienced a severe TEAE.</w:t>
      </w:r>
    </w:p>
    <w:p w14:paraId="1FE0C21A" w14:textId="636CCBC4" w:rsidR="00FE583D" w:rsidRDefault="00FE583D" w:rsidP="00FE583D">
      <w:r w:rsidRPr="00A94D5D">
        <w:t xml:space="preserve">Regarding patient disposition </w:t>
      </w:r>
      <w:r>
        <w:t>in the primary analysis set A</w:t>
      </w:r>
      <w:r w:rsidR="00F15E57">
        <w:t>,</w:t>
      </w:r>
      <w:r>
        <w:t xml:space="preserve"> 4 (7.8%) participants </w:t>
      </w:r>
      <w:r w:rsidRPr="00A94D5D">
        <w:t xml:space="preserve">discontinued from the </w:t>
      </w:r>
      <w:proofErr w:type="spellStart"/>
      <w:r w:rsidRPr="00A94D5D">
        <w:t>omaveloxolone</w:t>
      </w:r>
      <w:proofErr w:type="spellEnd"/>
      <w:r w:rsidRPr="00A94D5D">
        <w:t xml:space="preserve"> group compared to 2</w:t>
      </w:r>
      <w:r>
        <w:t xml:space="preserve"> (3.8%)</w:t>
      </w:r>
      <w:r w:rsidRPr="00A94D5D">
        <w:t xml:space="preserve"> in placebo group</w:t>
      </w:r>
      <w:r>
        <w:t xml:space="preserve">. Reasons for discontinuation in the </w:t>
      </w:r>
      <w:proofErr w:type="spellStart"/>
      <w:r>
        <w:t>omaveloxolone</w:t>
      </w:r>
      <w:proofErr w:type="spellEnd"/>
      <w:r>
        <w:t xml:space="preserve"> group </w:t>
      </w:r>
      <w:proofErr w:type="gramStart"/>
      <w:r w:rsidR="00E67671">
        <w:t>were</w:t>
      </w:r>
      <w:r>
        <w:t>:</w:t>
      </w:r>
      <w:proofErr w:type="gramEnd"/>
      <w:r>
        <w:t xml:space="preserve"> </w:t>
      </w:r>
      <w:r w:rsidR="00F00EE6">
        <w:t>v</w:t>
      </w:r>
      <w:r>
        <w:t>entricular tachycardia, raised ALT and AST, muscle spasms</w:t>
      </w:r>
      <w:r w:rsidR="00F00EE6">
        <w:t>,</w:t>
      </w:r>
      <w:r>
        <w:t xml:space="preserve"> and rosacea (all these TEAE’s led to discontinuation in 1 participant). In the placebo group</w:t>
      </w:r>
      <w:r w:rsidR="00955BD7">
        <w:t>,</w:t>
      </w:r>
      <w:r>
        <w:t xml:space="preserve"> study drug discontinuation occurred due to </w:t>
      </w:r>
      <w:r w:rsidR="00955BD7">
        <w:t>a</w:t>
      </w:r>
      <w:r>
        <w:t xml:space="preserve">trial fibrillation and </w:t>
      </w:r>
      <w:proofErr w:type="spellStart"/>
      <w:r>
        <w:t>erythrosis</w:t>
      </w:r>
      <w:proofErr w:type="spellEnd"/>
      <w:r>
        <w:t>, both occurring in a single participant.</w:t>
      </w:r>
    </w:p>
    <w:p w14:paraId="0C8315C6" w14:textId="77777777" w:rsidR="00FE583D" w:rsidRDefault="00FE583D" w:rsidP="00FE583D">
      <w:r w:rsidRPr="00545A20">
        <w:t xml:space="preserve">No deaths were reported in the FA studies. Across the entire </w:t>
      </w:r>
      <w:proofErr w:type="spellStart"/>
      <w:r w:rsidRPr="00545A20">
        <w:t>omaveloxolone</w:t>
      </w:r>
      <w:proofErr w:type="spellEnd"/>
      <w:r w:rsidRPr="00545A20">
        <w:t xml:space="preserve"> development program, 7 deaths were reported, all in oncology studies in patients with stage 4 cancer</w:t>
      </w:r>
      <w:r>
        <w:t>.</w:t>
      </w:r>
    </w:p>
    <w:p w14:paraId="293EF016" w14:textId="6A55A8F5" w:rsidR="003644E4" w:rsidRDefault="00FE583D" w:rsidP="00FE583D">
      <w:r>
        <w:t>In the pivotal study 1402 part 2</w:t>
      </w:r>
      <w:r w:rsidR="000749D4">
        <w:t>,</w:t>
      </w:r>
      <w:r>
        <w:t xml:space="preserve"> rates of infection/infestation were significantly higher in the </w:t>
      </w:r>
      <w:proofErr w:type="spellStart"/>
      <w:r>
        <w:t>omaveloxolone</w:t>
      </w:r>
      <w:proofErr w:type="spellEnd"/>
      <w:r>
        <w:t xml:space="preserve"> treatment group (27.5%) compared to 7.7% in placebo. In the </w:t>
      </w:r>
      <w:proofErr w:type="spellStart"/>
      <w:r>
        <w:t>omaveloxolone</w:t>
      </w:r>
      <w:proofErr w:type="spellEnd"/>
      <w:r>
        <w:t xml:space="preserve"> treatment group</w:t>
      </w:r>
      <w:r w:rsidR="00CE17BF">
        <w:t>,</w:t>
      </w:r>
      <w:r>
        <w:t xml:space="preserve"> rates of influenza (13.7%), viral gastroenteritis (5.9%) and UTI (7.8%) were all higher compared to the placebo group with rates in the placebo group of influenza (7.7%), viral gastroenteritis (5.9%) and UTI (0%). </w:t>
      </w:r>
    </w:p>
    <w:p w14:paraId="1BE6F47F" w14:textId="7887FB8A" w:rsidR="00FE583D" w:rsidRPr="008B635C" w:rsidRDefault="00FE583D" w:rsidP="00FE583D">
      <w:pPr>
        <w:rPr>
          <w:b/>
          <w:bCs/>
        </w:rPr>
      </w:pPr>
      <w:r>
        <w:t>Interestingly</w:t>
      </w:r>
      <w:r w:rsidR="003644E4">
        <w:t>,</w:t>
      </w:r>
      <w:r>
        <w:t xml:space="preserve"> rates of viral upper respiratory tract infection were similar (3.9%) compared to placebo (1.9%). In the </w:t>
      </w:r>
      <w:r w:rsidR="007B6B69">
        <w:t>sponsor</w:t>
      </w:r>
      <w:r w:rsidR="004C338D">
        <w:t>’</w:t>
      </w:r>
      <w:r>
        <w:t xml:space="preserve">s response to increased rates of infection during the pivotal trial </w:t>
      </w:r>
      <w:r w:rsidRPr="00531E11">
        <w:rPr>
          <w:i/>
          <w:iCs/>
        </w:rPr>
        <w:t>(EMA foreign evaluation report day 150 – Question 165)</w:t>
      </w:r>
      <w:r w:rsidR="002F09FB" w:rsidRPr="002F09FB">
        <w:t>,</w:t>
      </w:r>
      <w:r w:rsidR="002F09FB">
        <w:rPr>
          <w:i/>
          <w:iCs/>
        </w:rPr>
        <w:t xml:space="preserve"> </w:t>
      </w:r>
      <w:r>
        <w:t xml:space="preserve">the </w:t>
      </w:r>
      <w:r w:rsidR="007B6B69">
        <w:t>sponsor</w:t>
      </w:r>
      <w:r>
        <w:t xml:space="preserve"> responded that infections/infestation were evaluated due to possible anti-inflammatory effects related to Nrf2 activation that could theoretically lead to a decreased immune response. </w:t>
      </w:r>
      <w:r w:rsidR="00EC5989">
        <w:t>T</w:t>
      </w:r>
      <w:r>
        <w:t xml:space="preserve">he </w:t>
      </w:r>
      <w:r w:rsidR="007B6B69">
        <w:t>sponsor</w:t>
      </w:r>
      <w:r>
        <w:t xml:space="preserve"> stated that in the pivotal trial there were no differences in white cell counts between treatment groups (including </w:t>
      </w:r>
      <w:r w:rsidRPr="0065578F">
        <w:t>lymphocytes, monocytes, neutrophils, eosinophils, basophils</w:t>
      </w:r>
      <w:r>
        <w:t xml:space="preserve">), upper respiratory tract infection rates were similar between treatment groups, there were no discontinuation due to infection and the mean time to onset </w:t>
      </w:r>
      <w:bookmarkStart w:id="135" w:name="Infections_as_important_potential_risk"/>
      <w:bookmarkStart w:id="136" w:name="Question_165"/>
      <w:bookmarkEnd w:id="135"/>
      <w:bookmarkEnd w:id="136"/>
      <w:r w:rsidRPr="00D95A06">
        <w:t>of a reported</w:t>
      </w:r>
      <w:r>
        <w:t xml:space="preserve"> </w:t>
      </w:r>
      <w:r w:rsidRPr="00D95A06">
        <w:t xml:space="preserve">TEAE in the Infections and infestations system organ class for </w:t>
      </w:r>
      <w:proofErr w:type="spellStart"/>
      <w:r w:rsidRPr="00D95A06">
        <w:t>omaveloxolone</w:t>
      </w:r>
      <w:proofErr w:type="spellEnd"/>
      <w:r w:rsidRPr="00D95A06">
        <w:t>-treated patients</w:t>
      </w:r>
      <w:r>
        <w:t xml:space="preserve"> </w:t>
      </w:r>
      <w:r w:rsidRPr="00D95A06">
        <w:t>was similar to that for placebo-treated patients, 106.5 (±16.50) vs 105.3 (±20.93) days</w:t>
      </w:r>
      <w:r>
        <w:t xml:space="preserve">, </w:t>
      </w:r>
      <w:r w:rsidRPr="00815B6B">
        <w:t xml:space="preserve">indicating that administration of </w:t>
      </w:r>
      <w:proofErr w:type="spellStart"/>
      <w:r w:rsidRPr="00815B6B">
        <w:t>omaveloxolone</w:t>
      </w:r>
      <w:proofErr w:type="spellEnd"/>
      <w:r w:rsidRPr="00815B6B">
        <w:t xml:space="preserve"> did not compromise the immune response.</w:t>
      </w:r>
      <w:r>
        <w:t xml:space="preserve"> </w:t>
      </w:r>
      <w:r w:rsidRPr="008B635C">
        <w:rPr>
          <w:b/>
          <w:bCs/>
        </w:rPr>
        <w:t xml:space="preserve">The </w:t>
      </w:r>
      <w:r w:rsidR="00185508" w:rsidRPr="008B635C">
        <w:rPr>
          <w:b/>
          <w:bCs/>
        </w:rPr>
        <w:t>Delegate</w:t>
      </w:r>
      <w:r w:rsidRPr="008B635C">
        <w:rPr>
          <w:b/>
          <w:bCs/>
        </w:rPr>
        <w:t xml:space="preserve"> finds this justification adequate and at this point </w:t>
      </w:r>
      <w:r w:rsidR="008152C1" w:rsidRPr="008B635C">
        <w:rPr>
          <w:b/>
          <w:bCs/>
        </w:rPr>
        <w:t>thinks</w:t>
      </w:r>
      <w:r w:rsidRPr="008B635C">
        <w:rPr>
          <w:b/>
          <w:bCs/>
        </w:rPr>
        <w:t xml:space="preserve"> there is not enough evidence to establish a clear link between </w:t>
      </w:r>
      <w:proofErr w:type="spellStart"/>
      <w:r w:rsidRPr="008B635C">
        <w:rPr>
          <w:b/>
          <w:bCs/>
        </w:rPr>
        <w:t>omaveloxolone</w:t>
      </w:r>
      <w:proofErr w:type="spellEnd"/>
      <w:r w:rsidRPr="008B635C">
        <w:rPr>
          <w:b/>
          <w:bCs/>
        </w:rPr>
        <w:t xml:space="preserve"> use and increased rates of infections.</w:t>
      </w:r>
    </w:p>
    <w:p w14:paraId="13E397D4" w14:textId="77777777" w:rsidR="00967134" w:rsidRDefault="00967134">
      <w:r>
        <w:br w:type="page"/>
      </w:r>
    </w:p>
    <w:p w14:paraId="063E5C05" w14:textId="634CC9B9" w:rsidR="00FE583D" w:rsidRPr="008B635C" w:rsidRDefault="00FE583D" w:rsidP="00FE583D">
      <w:pPr>
        <w:rPr>
          <w:b/>
          <w:bCs/>
        </w:rPr>
      </w:pPr>
      <w:r>
        <w:lastRenderedPageBreak/>
        <w:t xml:space="preserve">Rates of nausea, abdominal pain, diarrhoea and decreased appetite in pivotal study 1402 part 2 were all significantly higher in the </w:t>
      </w:r>
      <w:proofErr w:type="spellStart"/>
      <w:r>
        <w:t>omaveloxolone</w:t>
      </w:r>
      <w:proofErr w:type="spellEnd"/>
      <w:r>
        <w:t xml:space="preserve"> treatment group compared to placebo. Mean change from baseline to week 48 was </w:t>
      </w:r>
      <w:r w:rsidRPr="005E30F1">
        <w:t xml:space="preserve">-1.35 ± 3.585 kg for </w:t>
      </w:r>
      <w:proofErr w:type="spellStart"/>
      <w:r w:rsidRPr="005E30F1">
        <w:t>omaveloxolone</w:t>
      </w:r>
      <w:proofErr w:type="spellEnd"/>
      <w:r w:rsidRPr="005E30F1">
        <w:t xml:space="preserve"> treated patients and 1.17 ± 4.108 kg for placebo-treated patients after 48 weeks of treatment. Relative to baseline, 34.0% (n=17) of the </w:t>
      </w:r>
      <w:proofErr w:type="spellStart"/>
      <w:r w:rsidRPr="005E30F1">
        <w:t>omaveloxolone</w:t>
      </w:r>
      <w:proofErr w:type="spellEnd"/>
      <w:r w:rsidRPr="005E30F1">
        <w:t xml:space="preserve">-treated patients showed at least 5% weight loss, and 12.0% (n=6) of </w:t>
      </w:r>
      <w:proofErr w:type="spellStart"/>
      <w:r w:rsidRPr="005E30F1">
        <w:t>omaveloxolone</w:t>
      </w:r>
      <w:proofErr w:type="spellEnd"/>
      <w:r w:rsidRPr="005E30F1">
        <w:t xml:space="preserve"> treated patients showed at least 7% weight loss.</w:t>
      </w:r>
      <w:r>
        <w:t xml:space="preserve"> The increased rates of gastrointestinal side effects may explain the mean decrease in weight noted in the pivotal trial in </w:t>
      </w:r>
      <w:proofErr w:type="spellStart"/>
      <w:r>
        <w:t>omaveloxolone</w:t>
      </w:r>
      <w:proofErr w:type="spellEnd"/>
      <w:r>
        <w:t xml:space="preserve"> treated patients</w:t>
      </w:r>
      <w:r w:rsidR="00566411">
        <w:t xml:space="preserve">. </w:t>
      </w:r>
      <w:r w:rsidR="00AD2ED0">
        <w:t xml:space="preserve">How </w:t>
      </w:r>
      <w:proofErr w:type="spellStart"/>
      <w:r w:rsidR="00AD2ED0">
        <w:t>o</w:t>
      </w:r>
      <w:r>
        <w:t>maveloxolone</w:t>
      </w:r>
      <w:proofErr w:type="spellEnd"/>
      <w:r w:rsidR="00AD2ED0">
        <w:t xml:space="preserve"> may</w:t>
      </w:r>
      <w:r>
        <w:t xml:space="preserve"> lead to these gastrointestinal adverse effects is not clear. There is a warning in the proposed Australian PI stating treatment with </w:t>
      </w:r>
      <w:r w:rsidR="00CF3C13">
        <w:t xml:space="preserve">Skyclarys </w:t>
      </w:r>
      <w:r>
        <w:t xml:space="preserve">has been associated with mild decreases in body weight and there is </w:t>
      </w:r>
      <w:r w:rsidR="008B635C">
        <w:t xml:space="preserve">a </w:t>
      </w:r>
      <w:r>
        <w:t xml:space="preserve">recommendation to monitor weight regularly. </w:t>
      </w:r>
      <w:r w:rsidRPr="008B635C">
        <w:rPr>
          <w:b/>
          <w:bCs/>
        </w:rPr>
        <w:t xml:space="preserve">The </w:t>
      </w:r>
      <w:r w:rsidR="00185508" w:rsidRPr="008B635C">
        <w:rPr>
          <w:b/>
          <w:bCs/>
        </w:rPr>
        <w:t>Delegate</w:t>
      </w:r>
      <w:r w:rsidRPr="008B635C">
        <w:rPr>
          <w:b/>
          <w:bCs/>
        </w:rPr>
        <w:t xml:space="preserve"> finds this warning adequate regarding weight loss.</w:t>
      </w:r>
    </w:p>
    <w:p w14:paraId="018EB5A8" w14:textId="6D85474E" w:rsidR="00E77511" w:rsidRDefault="00FE583D" w:rsidP="00FE583D">
      <w:r>
        <w:t xml:space="preserve">Serious adverse events (SAE) in the SOC of cardiac disorders occurred at a higher rate in the </w:t>
      </w:r>
      <w:proofErr w:type="spellStart"/>
      <w:r>
        <w:t>omaveloxolone</w:t>
      </w:r>
      <w:proofErr w:type="spellEnd"/>
      <w:r>
        <w:t xml:space="preserve"> treatment group</w:t>
      </w:r>
      <w:r w:rsidR="00DB156A">
        <w:t>,</w:t>
      </w:r>
      <w:r>
        <w:t xml:space="preserve"> with 3 (5.9%) in the </w:t>
      </w:r>
      <w:proofErr w:type="spellStart"/>
      <w:r>
        <w:t>omaveloxolone</w:t>
      </w:r>
      <w:proofErr w:type="spellEnd"/>
      <w:r>
        <w:t xml:space="preserve"> group compared to 1 (1.9%) in the placebo group. It is noted that the serious event of recurrent palpitations was reported in a female on </w:t>
      </w:r>
      <w:proofErr w:type="spellStart"/>
      <w:r>
        <w:t>omaveloxolone</w:t>
      </w:r>
      <w:proofErr w:type="spellEnd"/>
      <w:r>
        <w:t xml:space="preserve"> with an electrophysiology study showing sinus tachycardia and was prescribed ivabradine</w:t>
      </w:r>
      <w:r w:rsidR="000C593F">
        <w:t>. T</w:t>
      </w:r>
      <w:r>
        <w:t>he event was considered possibl</w:t>
      </w:r>
      <w:r w:rsidR="000C593F">
        <w:t>y</w:t>
      </w:r>
      <w:r>
        <w:t xml:space="preserve"> related to study drug by investigator. A female on study day 2 on </w:t>
      </w:r>
      <w:proofErr w:type="spellStart"/>
      <w:r>
        <w:t>omaveloxolone</w:t>
      </w:r>
      <w:proofErr w:type="spellEnd"/>
      <w:r>
        <w:t xml:space="preserve"> experienced the serious TEAE of ventricular tachycardia assessed as mild in severity and did not require hospitalization</w:t>
      </w:r>
      <w:r w:rsidR="00473D4A">
        <w:t>.  T</w:t>
      </w:r>
      <w:r>
        <w:t xml:space="preserve">he narrative states it was felt to be unlikely this event was related to </w:t>
      </w:r>
      <w:r w:rsidR="00473D4A">
        <w:t xml:space="preserve">the </w:t>
      </w:r>
      <w:r>
        <w:t xml:space="preserve">study medication, but the participant was permanently discontinued from study drug. A male receiving </w:t>
      </w:r>
      <w:proofErr w:type="spellStart"/>
      <w:r>
        <w:t>omaveloxolone</w:t>
      </w:r>
      <w:proofErr w:type="spellEnd"/>
      <w:r>
        <w:t xml:space="preserve"> developed the SAE of atrial fibrillation on study day 52 that required electro cardioversion in an emergency department and treatment with diltiazem. </w:t>
      </w:r>
    </w:p>
    <w:p w14:paraId="6E1BA0B6" w14:textId="77777777" w:rsidR="005F5ED9" w:rsidRDefault="00FE583D" w:rsidP="00FE583D">
      <w:r>
        <w:t xml:space="preserve">There were no significant differences in blood pressure noted over the 48-week treatment period in study 1402 part 2, an increase </w:t>
      </w:r>
      <w:r w:rsidRPr="004B316C">
        <w:t xml:space="preserve">in pulse rate was seen in </w:t>
      </w:r>
      <w:proofErr w:type="spellStart"/>
      <w:r w:rsidRPr="004B316C">
        <w:t>omaveloxolone</w:t>
      </w:r>
      <w:proofErr w:type="spellEnd"/>
      <w:r w:rsidRPr="004B316C">
        <w:t xml:space="preserve"> treated patients with mean changes from baseline ranging from -4.0 to 4.4 bpm for </w:t>
      </w:r>
      <w:proofErr w:type="spellStart"/>
      <w:r w:rsidRPr="004B316C">
        <w:t>omaveloxolone</w:t>
      </w:r>
      <w:proofErr w:type="spellEnd"/>
      <w:r w:rsidRPr="004B316C">
        <w:t>-treated patients and -5.9 to 0.3 bpm for placebo-treated patients.</w:t>
      </w:r>
      <w:r>
        <w:t xml:space="preserve"> </w:t>
      </w:r>
    </w:p>
    <w:p w14:paraId="7B3834EF" w14:textId="77777777" w:rsidR="00982A9A" w:rsidRDefault="00FE583D" w:rsidP="00FE583D">
      <w:r>
        <w:t xml:space="preserve">Regarding ECG findings from the pivotal study </w:t>
      </w:r>
      <w:r w:rsidRPr="00375B5D">
        <w:t>3</w:t>
      </w:r>
      <w:r w:rsidR="005F5ED9">
        <w:t>,</w:t>
      </w:r>
      <w:r w:rsidRPr="00375B5D">
        <w:t xml:space="preserve"> (7.0%) </w:t>
      </w:r>
      <w:proofErr w:type="spellStart"/>
      <w:r w:rsidRPr="00375B5D">
        <w:t>omaveloxolone</w:t>
      </w:r>
      <w:proofErr w:type="spellEnd"/>
      <w:r w:rsidRPr="00375B5D">
        <w:t xml:space="preserve"> treated patients had </w:t>
      </w:r>
      <w:proofErr w:type="spellStart"/>
      <w:r w:rsidRPr="00375B5D">
        <w:t>QTcF</w:t>
      </w:r>
      <w:proofErr w:type="spellEnd"/>
      <w:r w:rsidRPr="00375B5D">
        <w:t xml:space="preserve"> interval &gt;450 to 480 </w:t>
      </w:r>
      <w:proofErr w:type="spellStart"/>
      <w:r w:rsidRPr="00375B5D">
        <w:t>ms</w:t>
      </w:r>
      <w:proofErr w:type="spellEnd"/>
      <w:r w:rsidRPr="00375B5D">
        <w:t xml:space="preserve"> vs. 0 in the placebo group. Further, 5 (11.6%) </w:t>
      </w:r>
      <w:proofErr w:type="spellStart"/>
      <w:r w:rsidRPr="00375B5D">
        <w:t>omaveloxolone</w:t>
      </w:r>
      <w:proofErr w:type="spellEnd"/>
      <w:r w:rsidRPr="00375B5D">
        <w:t xml:space="preserve"> treated vs. 3 (6.0%) placebo treated patients had QTcB interval &gt;450 to 480 </w:t>
      </w:r>
      <w:proofErr w:type="spellStart"/>
      <w:r w:rsidRPr="00375B5D">
        <w:t>ms</w:t>
      </w:r>
      <w:proofErr w:type="spellEnd"/>
      <w:r w:rsidRPr="00375B5D">
        <w:t xml:space="preserve"> and 1 (2.3%) vs. 0 had QTcB interval &gt;480 to 500 </w:t>
      </w:r>
      <w:proofErr w:type="spellStart"/>
      <w:r w:rsidRPr="00375B5D">
        <w:t>ms</w:t>
      </w:r>
      <w:proofErr w:type="spellEnd"/>
      <w:r w:rsidRPr="00375B5D">
        <w:t>.</w:t>
      </w:r>
      <w:r w:rsidRPr="00203DD9">
        <w:t xml:space="preserve"> </w:t>
      </w:r>
    </w:p>
    <w:p w14:paraId="215CE1EB" w14:textId="1D986A71" w:rsidR="00FE583D" w:rsidRPr="004B316C" w:rsidRDefault="00FE583D" w:rsidP="00FE583D">
      <w:r w:rsidRPr="00203DD9">
        <w:t xml:space="preserve">Small mean increases in brain natriuretic peptide (BNP) were observed with </w:t>
      </w:r>
      <w:proofErr w:type="spellStart"/>
      <w:r w:rsidRPr="00203DD9">
        <w:t>omaveloxolone</w:t>
      </w:r>
      <w:proofErr w:type="spellEnd"/>
      <w:r w:rsidRPr="00203DD9">
        <w:t xml:space="preserve"> treatment relative to placebo and 2 (3.9%) patients had BNP values that exceeded 200 </w:t>
      </w:r>
      <w:proofErr w:type="spellStart"/>
      <w:r w:rsidRPr="00203DD9">
        <w:t>pg</w:t>
      </w:r>
      <w:proofErr w:type="spellEnd"/>
      <w:r w:rsidRPr="00203DD9">
        <w:t>/</w:t>
      </w:r>
      <w:proofErr w:type="spellStart"/>
      <w:r w:rsidRPr="00203DD9">
        <w:t>mL.</w:t>
      </w:r>
      <w:proofErr w:type="spellEnd"/>
      <w:r w:rsidRPr="00203DD9">
        <w:t xml:space="preserve"> Small numerical increases from baseline in BNP were also seen in </w:t>
      </w:r>
      <w:proofErr w:type="spellStart"/>
      <w:r w:rsidRPr="00203DD9">
        <w:t>omaveloxolone</w:t>
      </w:r>
      <w:proofErr w:type="spellEnd"/>
      <w:r w:rsidRPr="00203DD9">
        <w:t>-treated adolescent patients at Week 48.</w:t>
      </w:r>
    </w:p>
    <w:p w14:paraId="0353AD65" w14:textId="4E0B865E" w:rsidR="00FE583D" w:rsidRDefault="00FE583D" w:rsidP="00FE583D">
      <w:r>
        <w:t>As discussed under ‘uncertainties and limitations of data’</w:t>
      </w:r>
      <w:r w:rsidR="00982A9A">
        <w:t>,</w:t>
      </w:r>
      <w:r>
        <w:t xml:space="preserve"> the interpretation of the significance of results regarding increased rates of SAE</w:t>
      </w:r>
      <w:r w:rsidR="00982A9A">
        <w:t>s</w:t>
      </w:r>
      <w:r>
        <w:t xml:space="preserve"> in cardiac disorders in the </w:t>
      </w:r>
      <w:proofErr w:type="spellStart"/>
      <w:r>
        <w:t>omaveloxolone</w:t>
      </w:r>
      <w:proofErr w:type="spellEnd"/>
      <w:r>
        <w:t xml:space="preserve"> group is unclear, especially given the small sample size and imbalance between treatment groups with a history of diagnosis of cardiomyopathy, which was higher in the </w:t>
      </w:r>
      <w:proofErr w:type="spellStart"/>
      <w:r>
        <w:t>omaveloxolone</w:t>
      </w:r>
      <w:proofErr w:type="spellEnd"/>
      <w:r>
        <w:t xml:space="preserve"> treatment group (49%) compared to placebo (28.8%).</w:t>
      </w:r>
    </w:p>
    <w:p w14:paraId="74665480" w14:textId="77777777" w:rsidR="00967134" w:rsidRDefault="00967134">
      <w:r>
        <w:br w:type="page"/>
      </w:r>
    </w:p>
    <w:p w14:paraId="3C2FB7EF" w14:textId="06E22B46" w:rsidR="00FE583D" w:rsidRDefault="00FE583D" w:rsidP="00FE583D">
      <w:r>
        <w:lastRenderedPageBreak/>
        <w:t>In study 1402-part 1</w:t>
      </w:r>
      <w:r w:rsidR="00982A9A">
        <w:t>,</w:t>
      </w:r>
      <w:r>
        <w:t xml:space="preserve"> dose dependant increases in </w:t>
      </w:r>
      <w:r w:rsidR="00982A9A">
        <w:t>f</w:t>
      </w:r>
      <w:r>
        <w:t xml:space="preserve">erritin, GGT, ALT and AST were noted. The </w:t>
      </w:r>
      <w:r w:rsidR="007B6B69">
        <w:t>sponsor</w:t>
      </w:r>
      <w:r>
        <w:t xml:space="preserve"> states these are PD markers showing the </w:t>
      </w:r>
      <w:proofErr w:type="spellStart"/>
      <w:r>
        <w:t>omaveloxolone</w:t>
      </w:r>
      <w:proofErr w:type="spellEnd"/>
      <w:r>
        <w:t xml:space="preserve"> is having its intended effect of Nrf2 activation and does not represent an inflammatory reaction or hepatic tissue damage. In study 1402 part 2 regarding hepatic adverse events</w:t>
      </w:r>
      <w:r w:rsidR="00FD20E0">
        <w:t>,</w:t>
      </w:r>
      <w:r>
        <w:t xml:space="preserve"> o</w:t>
      </w:r>
      <w:r w:rsidRPr="00B20E11">
        <w:t xml:space="preserve">ne </w:t>
      </w:r>
      <w:proofErr w:type="spellStart"/>
      <w:r w:rsidRPr="00B20E11">
        <w:t>omaveloxolone</w:t>
      </w:r>
      <w:proofErr w:type="spellEnd"/>
      <w:r w:rsidRPr="00B20E11">
        <w:t xml:space="preserve">-treated patient had ALT values ≥10× ULN. The patient discontinued </w:t>
      </w:r>
      <w:r w:rsidR="00FD20E0">
        <w:t xml:space="preserve">the </w:t>
      </w:r>
      <w:r w:rsidRPr="00B20E11">
        <w:t>study drug due to protocol-specified criteria</w:t>
      </w:r>
      <w:r>
        <w:t xml:space="preserve">. Regarding raised ALT levels in participants whose ALT levels were ≤ULN in the </w:t>
      </w:r>
      <w:proofErr w:type="spellStart"/>
      <w:r>
        <w:t>omaveloxolone</w:t>
      </w:r>
      <w:proofErr w:type="spellEnd"/>
      <w:r>
        <w:t xml:space="preserve"> treatment group</w:t>
      </w:r>
      <w:r w:rsidR="00D92CAD">
        <w:t>,</w:t>
      </w:r>
      <w:r>
        <w:t xml:space="preserve"> 6 (11.8%) </w:t>
      </w:r>
      <w:r w:rsidR="007A354B">
        <w:t xml:space="preserve">of </w:t>
      </w:r>
      <w:r>
        <w:t xml:space="preserve">participants in the </w:t>
      </w:r>
      <w:proofErr w:type="spellStart"/>
      <w:r>
        <w:t>Omaveloxolone</w:t>
      </w:r>
      <w:proofErr w:type="spellEnd"/>
      <w:r>
        <w:t xml:space="preserve"> treatment group developed ALT levels ≥5x ULN to &lt;10x ULN, 7 (13.7%) participants in the </w:t>
      </w:r>
      <w:proofErr w:type="spellStart"/>
      <w:r>
        <w:t>omaveloxolone</w:t>
      </w:r>
      <w:proofErr w:type="spellEnd"/>
      <w:r>
        <w:t xml:space="preserve"> treatment group developed ALT levels ≥3x ULN to &lt;5x ULN</w:t>
      </w:r>
      <w:r w:rsidR="007A354B">
        <w:t>,</w:t>
      </w:r>
      <w:r>
        <w:t xml:space="preserve"> and 20 (39.2%) developed ALT levels &gt;ULN and &lt;3x ULN. Mean ALT levels in the </w:t>
      </w:r>
      <w:proofErr w:type="spellStart"/>
      <w:r w:rsidR="007A354B">
        <w:t>o</w:t>
      </w:r>
      <w:r>
        <w:t>maveloxolone</w:t>
      </w:r>
      <w:proofErr w:type="spellEnd"/>
      <w:r>
        <w:t xml:space="preserve"> group did trend downwards after week 4 and remained stable after week 12 of study 1402 part 2 as shown in </w:t>
      </w:r>
      <w:r w:rsidR="007A354B">
        <w:t>f</w:t>
      </w:r>
      <w:r w:rsidRPr="00555DB9">
        <w:fldChar w:fldCharType="begin"/>
      </w:r>
      <w:r w:rsidRPr="00555DB9">
        <w:instrText xml:space="preserve"> REF _Ref184116046 \h  \* MERGEFORMAT </w:instrText>
      </w:r>
      <w:r w:rsidRPr="00555DB9">
        <w:fldChar w:fldCharType="separate"/>
      </w:r>
      <w:r w:rsidRPr="00555DB9">
        <w:t xml:space="preserve">igure </w:t>
      </w:r>
      <w:r w:rsidRPr="00555DB9">
        <w:rPr>
          <w:noProof/>
        </w:rPr>
        <w:t>1</w:t>
      </w:r>
      <w:r w:rsidR="007F72A6">
        <w:rPr>
          <w:noProof/>
        </w:rPr>
        <w:t>9</w:t>
      </w:r>
      <w:r w:rsidRPr="00555DB9">
        <w:fldChar w:fldCharType="end"/>
      </w:r>
      <w:r>
        <w:t xml:space="preserve">. Mean ALT levels in </w:t>
      </w:r>
      <w:proofErr w:type="spellStart"/>
      <w:r>
        <w:t>omaveloxolone</w:t>
      </w:r>
      <w:proofErr w:type="spellEnd"/>
      <w:r>
        <w:t xml:space="preserve"> treatment group remained above placebo throughout the treatment period to week 48. Mean AST levels in the </w:t>
      </w:r>
      <w:proofErr w:type="spellStart"/>
      <w:r>
        <w:t>omaveloxolone</w:t>
      </w:r>
      <w:proofErr w:type="spellEnd"/>
      <w:r>
        <w:t xml:space="preserve"> treatment group were also higher compared to placebo at all timepoints from week 2 to week 48, this may also be confounded by the discontinuation of 1 patient in the </w:t>
      </w:r>
      <w:proofErr w:type="spellStart"/>
      <w:r>
        <w:t>omaveloxolone</w:t>
      </w:r>
      <w:proofErr w:type="spellEnd"/>
      <w:r>
        <w:t xml:space="preserve"> treatment group who discontinued </w:t>
      </w:r>
      <w:proofErr w:type="spellStart"/>
      <w:r>
        <w:t>omaveloxolone</w:t>
      </w:r>
      <w:proofErr w:type="spellEnd"/>
      <w:r>
        <w:t xml:space="preserve"> due to raised aminotransferase levels which may have slightly reduced mean AST and ALT levels overall in the </w:t>
      </w:r>
      <w:proofErr w:type="spellStart"/>
      <w:r>
        <w:t>omaveloxolone</w:t>
      </w:r>
      <w:proofErr w:type="spellEnd"/>
      <w:r>
        <w:t xml:space="preserve"> treatment group later in the study. </w:t>
      </w:r>
      <w:r w:rsidRPr="00EE6E8B">
        <w:t xml:space="preserve">Of note the range of ALT and AST values in the </w:t>
      </w:r>
      <w:proofErr w:type="spellStart"/>
      <w:r w:rsidRPr="00EE6E8B">
        <w:t>omaveloxolone</w:t>
      </w:r>
      <w:proofErr w:type="spellEnd"/>
      <w:r w:rsidRPr="00EE6E8B">
        <w:t xml:space="preserve"> treatment groups were much wider compared to the placebo treatment group. </w:t>
      </w:r>
      <w:r>
        <w:t xml:space="preserve">No cases of Hy’s law were </w:t>
      </w:r>
      <w:r w:rsidR="00CD0B89">
        <w:t>noted,</w:t>
      </w:r>
      <w:r>
        <w:t xml:space="preserve"> and mean bilirubin levels were reduced in the </w:t>
      </w:r>
      <w:proofErr w:type="spellStart"/>
      <w:r>
        <w:t>omaveloxolone</w:t>
      </w:r>
      <w:proofErr w:type="spellEnd"/>
      <w:r>
        <w:t xml:space="preserve"> treatment group compared to placebo, the cause of this appears to be unclear. As discussed in section ‘</w:t>
      </w:r>
      <w:r>
        <w:fldChar w:fldCharType="begin"/>
      </w:r>
      <w:r>
        <w:instrText xml:space="preserve"> REF _Ref184118766 \h </w:instrText>
      </w:r>
      <w:r>
        <w:fldChar w:fldCharType="separate"/>
      </w:r>
      <w:r>
        <w:t>Uncertainties and limitations of data</w:t>
      </w:r>
      <w:r>
        <w:fldChar w:fldCharType="end"/>
      </w:r>
      <w:r>
        <w:t xml:space="preserve">’ the </w:t>
      </w:r>
      <w:r w:rsidR="00185508">
        <w:t>Delegate</w:t>
      </w:r>
      <w:r>
        <w:t xml:space="preserve"> does not accept that there is compelling evidence that the raised ALT and AST levels noted in the pivotal study are undoubtedly the result of induction of the Nrf2 gene by </w:t>
      </w:r>
      <w:proofErr w:type="spellStart"/>
      <w:r>
        <w:t>omaveloxolone</w:t>
      </w:r>
      <w:proofErr w:type="spellEnd"/>
      <w:r>
        <w:t xml:space="preserve">. The possibility that these hepatic enzyme (raised AST and ALT, especially in the weeks after commencing </w:t>
      </w:r>
      <w:proofErr w:type="spellStart"/>
      <w:r>
        <w:t>omaveloxolone</w:t>
      </w:r>
      <w:proofErr w:type="spellEnd"/>
      <w:r>
        <w:t xml:space="preserve">) changes may represent hepatocellular damage needs to be considered with longer-term effects of </w:t>
      </w:r>
      <w:proofErr w:type="spellStart"/>
      <w:r>
        <w:t>omaveloxolone</w:t>
      </w:r>
      <w:proofErr w:type="spellEnd"/>
      <w:r>
        <w:t xml:space="preserve"> on hepatic function beyond the period of the 48-week placebo-controlled trial period being unclear. The </w:t>
      </w:r>
      <w:r w:rsidR="00185508">
        <w:t>Delegate</w:t>
      </w:r>
      <w:r>
        <w:t xml:space="preserve"> also notes during study 1402 that 4 participants in this study discontinued due to the adverse event of </w:t>
      </w:r>
      <w:r w:rsidR="00825B35">
        <w:t>‘</w:t>
      </w:r>
      <w:r>
        <w:t>Alanine aminotransferase increased</w:t>
      </w:r>
      <w:r w:rsidR="00825B35">
        <w:t>’</w:t>
      </w:r>
      <w:r>
        <w:t xml:space="preserve">, this number appears significant given there were 149 participants in the OLE study and again raises uncertainty regarding long term effects of </w:t>
      </w:r>
      <w:proofErr w:type="spellStart"/>
      <w:r>
        <w:t>omaveloxolone</w:t>
      </w:r>
      <w:proofErr w:type="spellEnd"/>
      <w:r>
        <w:t xml:space="preserve"> use on the liver.</w:t>
      </w:r>
    </w:p>
    <w:p w14:paraId="0DB0272B" w14:textId="75E01864" w:rsidR="00FE583D" w:rsidRDefault="00FE583D" w:rsidP="00FE583D">
      <w:r w:rsidRPr="007D0E1C">
        <w:t>The high variation in participant numbers and low overall participant numbers at each study visit in study 1402</w:t>
      </w:r>
      <w:r>
        <w:t xml:space="preserve"> part 2</w:t>
      </w:r>
      <w:r w:rsidRPr="007D0E1C">
        <w:t xml:space="preserve"> during the open label extension period</w:t>
      </w:r>
      <w:r w:rsidR="00AC1AA0">
        <w:t>,</w:t>
      </w:r>
      <w:r w:rsidRPr="007D0E1C">
        <w:t xml:space="preserve"> when examining mean </w:t>
      </w:r>
      <w:r w:rsidR="00AC1AA0">
        <w:t>f</w:t>
      </w:r>
      <w:r w:rsidRPr="007D0E1C">
        <w:t>erritin, GGT, ALT and AST levels</w:t>
      </w:r>
      <w:r w:rsidR="00AC1AA0">
        <w:t>,</w:t>
      </w:r>
      <w:r w:rsidRPr="007D0E1C">
        <w:t xml:space="preserve"> make this data difficult to interpret, especially given the lack of a placebo group comparator</w:t>
      </w:r>
      <w:r>
        <w:t>. Due to this</w:t>
      </w:r>
      <w:r w:rsidR="00FE040A">
        <w:t>,</w:t>
      </w:r>
      <w:r w:rsidRPr="007D0E1C">
        <w:t xml:space="preserve"> the </w:t>
      </w:r>
      <w:r w:rsidR="00185508">
        <w:t>Delegate</w:t>
      </w:r>
      <w:r w:rsidRPr="007D0E1C">
        <w:t xml:space="preserve"> does not find this data adds significant value in determining the hepatic safety of </w:t>
      </w:r>
      <w:proofErr w:type="spellStart"/>
      <w:r w:rsidRPr="007D0E1C">
        <w:t>omaveloxolone</w:t>
      </w:r>
      <w:proofErr w:type="spellEnd"/>
      <w:r w:rsidRPr="007D0E1C">
        <w:t>.</w:t>
      </w:r>
    </w:p>
    <w:p w14:paraId="39DB50D9" w14:textId="3062BE55" w:rsidR="00FE583D" w:rsidRDefault="00FE040A" w:rsidP="00FE583D">
      <w:r>
        <w:t>The</w:t>
      </w:r>
      <w:r w:rsidR="00FE583D">
        <w:t xml:space="preserve"> post marketing periodic safety update submitted by the </w:t>
      </w:r>
      <w:r w:rsidR="007B6B69">
        <w:t>sponsor</w:t>
      </w:r>
      <w:r w:rsidR="00FE583D">
        <w:t xml:space="preserve"> covering 28</w:t>
      </w:r>
      <w:r w:rsidR="00FE583D" w:rsidRPr="00E95A3F">
        <w:rPr>
          <w:vertAlign w:val="superscript"/>
        </w:rPr>
        <w:t>h</w:t>
      </w:r>
      <w:r w:rsidR="00FE583D">
        <w:t xml:space="preserve"> August 2023 to 27 February 2024 had an estimated patient exposure of 208.29 patient years in 401 patients. During this period there were 5 consumer reported events of interest relating to drug induced liver injury with the PT and seriousness of these events shown in </w:t>
      </w:r>
      <w:r w:rsidR="00EB2F0B">
        <w:t>t</w:t>
      </w:r>
      <w:r w:rsidR="00FE583D" w:rsidRPr="00800244">
        <w:fldChar w:fldCharType="begin"/>
      </w:r>
      <w:r w:rsidR="00FE583D" w:rsidRPr="00800244">
        <w:instrText xml:space="preserve"> REF _Ref187997722 \h  \* MERGEFORMAT </w:instrText>
      </w:r>
      <w:r w:rsidR="00FE583D" w:rsidRPr="00800244">
        <w:fldChar w:fldCharType="separate"/>
      </w:r>
      <w:r w:rsidR="00FE583D" w:rsidRPr="00800244">
        <w:t xml:space="preserve">able </w:t>
      </w:r>
      <w:r w:rsidR="00911A60">
        <w:rPr>
          <w:noProof/>
        </w:rPr>
        <w:t>5</w:t>
      </w:r>
      <w:r w:rsidR="00E070DC">
        <w:rPr>
          <w:noProof/>
        </w:rPr>
        <w:t>3</w:t>
      </w:r>
      <w:r w:rsidR="00911A60">
        <w:rPr>
          <w:noProof/>
        </w:rPr>
        <w:t xml:space="preserve"> </w:t>
      </w:r>
      <w:r w:rsidR="00FE583D">
        <w:rPr>
          <w:noProof/>
        </w:rPr>
        <w:t>below</w:t>
      </w:r>
      <w:r w:rsidR="00FE583D" w:rsidRPr="00800244">
        <w:t>.</w:t>
      </w:r>
      <w:r w:rsidR="00FE583D" w:rsidRPr="00800244">
        <w:fldChar w:fldCharType="end"/>
      </w:r>
      <w:r w:rsidR="00FE583D" w:rsidRPr="00800244">
        <w:t xml:space="preserve"> </w:t>
      </w:r>
      <w:r w:rsidR="007B001F">
        <w:t>The</w:t>
      </w:r>
      <w:r w:rsidR="00FE583D">
        <w:t xml:space="preserve"> serious events of hepatic failure, hepatic cirrhosis and the non-serious event of hepatic steatosis </w:t>
      </w:r>
      <w:r w:rsidR="007B001F">
        <w:t xml:space="preserve">are </w:t>
      </w:r>
      <w:r w:rsidR="00FE583D">
        <w:t>noted</w:t>
      </w:r>
      <w:r w:rsidR="007B001F">
        <w:t>,</w:t>
      </w:r>
      <w:r w:rsidR="00FE583D">
        <w:t xml:space="preserve"> raising the question whether these events are linked with </w:t>
      </w:r>
      <w:proofErr w:type="spellStart"/>
      <w:r w:rsidR="00FE583D">
        <w:t>omaveloxolone</w:t>
      </w:r>
      <w:proofErr w:type="spellEnd"/>
      <w:r w:rsidR="00FE583D">
        <w:t xml:space="preserve"> use.</w:t>
      </w:r>
    </w:p>
    <w:p w14:paraId="2DB95F76" w14:textId="6B1F6BFC" w:rsidR="00FE583D" w:rsidRPr="00800244" w:rsidRDefault="00FE583D" w:rsidP="001E7A4E">
      <w:pPr>
        <w:pStyle w:val="TableTitle"/>
      </w:pPr>
      <w:bookmarkStart w:id="137" w:name="_Ref187997722"/>
      <w:r w:rsidRPr="00800244">
        <w:lastRenderedPageBreak/>
        <w:t xml:space="preserve">Table </w:t>
      </w:r>
      <w:fldSimple w:instr=" SEQ Table \* ARABIC ">
        <w:r>
          <w:rPr>
            <w:noProof/>
          </w:rPr>
          <w:t>5</w:t>
        </w:r>
        <w:r w:rsidR="00E070DC">
          <w:rPr>
            <w:noProof/>
          </w:rPr>
          <w:t>3</w:t>
        </w:r>
      </w:fldSimple>
      <w:r w:rsidRPr="00800244">
        <w:t xml:space="preserve">: Overview of </w:t>
      </w:r>
      <w:r w:rsidR="006B33F4">
        <w:t>e</w:t>
      </w:r>
      <w:r w:rsidRPr="00800244">
        <w:t xml:space="preserve">vents by MedDRA PT and </w:t>
      </w:r>
      <w:r w:rsidR="00DB5919">
        <w:t>s</w:t>
      </w:r>
      <w:r w:rsidRPr="00800244">
        <w:t>eriousness</w:t>
      </w:r>
      <w:bookmarkEnd w:id="137"/>
      <w:r>
        <w:t xml:space="preserve"> during PSUR from 28 August 2023 to 27 February 2024</w:t>
      </w:r>
    </w:p>
    <w:p w14:paraId="3B900869" w14:textId="77777777" w:rsidR="00FE583D" w:rsidRDefault="00FE583D" w:rsidP="00FE583D">
      <w:r w:rsidRPr="00B6620C">
        <w:rPr>
          <w:noProof/>
        </w:rPr>
        <w:drawing>
          <wp:inline distT="0" distB="0" distL="0" distR="0" wp14:anchorId="115EB635" wp14:editId="78D1636D">
            <wp:extent cx="5731510" cy="1693545"/>
            <wp:effectExtent l="0" t="0" r="2540" b="1905"/>
            <wp:docPr id="1320375762" name="Picture 1" descr="Table 52: Overview of Events by MedDRA PT and Seriousness during PSUR from 28th August 2023 to 27th Februar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75762" name="Picture 1" descr="Table 52: Overview of Events by MedDRA PT and Seriousness during PSUR from 28th August 2023 to 27th February 2024"/>
                    <pic:cNvPicPr/>
                  </pic:nvPicPr>
                  <pic:blipFill>
                    <a:blip r:embed="rId126"/>
                    <a:stretch>
                      <a:fillRect/>
                    </a:stretch>
                  </pic:blipFill>
                  <pic:spPr>
                    <a:xfrm>
                      <a:off x="0" y="0"/>
                      <a:ext cx="5731510" cy="1693545"/>
                    </a:xfrm>
                    <a:prstGeom prst="rect">
                      <a:avLst/>
                    </a:prstGeom>
                  </pic:spPr>
                </pic:pic>
              </a:graphicData>
            </a:graphic>
          </wp:inline>
        </w:drawing>
      </w:r>
    </w:p>
    <w:p w14:paraId="1F9F761E" w14:textId="7DA90F70" w:rsidR="00FE583D" w:rsidRDefault="00FE583D" w:rsidP="00DB5919">
      <w:pPr>
        <w:spacing w:before="240"/>
      </w:pPr>
      <w:r>
        <w:t>Regarding cholesterol</w:t>
      </w:r>
      <w:r w:rsidR="00DB5919">
        <w:t>,</w:t>
      </w:r>
      <w:r>
        <w:t xml:space="preserve"> </w:t>
      </w:r>
      <w:proofErr w:type="spellStart"/>
      <w:r w:rsidR="00DB5919">
        <w:t>o</w:t>
      </w:r>
      <w:r w:rsidRPr="00965646">
        <w:t>maveloxolone</w:t>
      </w:r>
      <w:proofErr w:type="spellEnd"/>
      <w:r w:rsidRPr="00965646">
        <w:t>-treated patients had a higher incidence of increased total cholesterol (33.3% vs. 6.8%) and LDL (19.0% vs. 9.1%) values above the ULN and a higher incidence of low HDL (6.0% vs 4.3%) values under the ULN compared to placebo</w:t>
      </w:r>
      <w:r>
        <w:t xml:space="preserve">. </w:t>
      </w:r>
      <w:r w:rsidRPr="0042134F">
        <w:t xml:space="preserve">There was 1 TEAE of hypercholesterolemia reported in an </w:t>
      </w:r>
      <w:proofErr w:type="spellStart"/>
      <w:r w:rsidRPr="0042134F">
        <w:t>omaveloxolone</w:t>
      </w:r>
      <w:proofErr w:type="spellEnd"/>
      <w:r w:rsidRPr="0042134F">
        <w:t>-treated patient.</w:t>
      </w:r>
      <w:r>
        <w:t xml:space="preserve"> The metabolic pathway and mechanism by which these adverse effects on cholesterol occur with </w:t>
      </w:r>
      <w:proofErr w:type="spellStart"/>
      <w:r>
        <w:t>omaveloxolone</w:t>
      </w:r>
      <w:proofErr w:type="spellEnd"/>
      <w:r>
        <w:t xml:space="preserve"> use has not been clearly explained in any of the </w:t>
      </w:r>
      <w:r w:rsidR="007B6B69">
        <w:t>sponsor</w:t>
      </w:r>
      <w:r w:rsidR="004C338D">
        <w:t>’</w:t>
      </w:r>
      <w:r>
        <w:t xml:space="preserve">s submission documents. The proposed Australian PI under section 4.4 states a clear warning regarding lipid abnormalities stating raised LDL levels and lower HDL levels can occur with </w:t>
      </w:r>
      <w:proofErr w:type="spellStart"/>
      <w:r>
        <w:t>omaveloxolone</w:t>
      </w:r>
      <w:proofErr w:type="spellEnd"/>
      <w:r>
        <w:t xml:space="preserve"> use and suggests lipid monitoring before and during treatment with </w:t>
      </w:r>
      <w:proofErr w:type="spellStart"/>
      <w:r>
        <w:t>omaveloxolone</w:t>
      </w:r>
      <w:proofErr w:type="spellEnd"/>
      <w:r>
        <w:t xml:space="preserve">. The </w:t>
      </w:r>
      <w:r w:rsidR="00185508">
        <w:t>Delegate</w:t>
      </w:r>
      <w:r>
        <w:t xml:space="preserve"> finds this warning adequate to inform prescribers of this risk and the recommended actions to take.</w:t>
      </w:r>
    </w:p>
    <w:p w14:paraId="08D7011D" w14:textId="77777777" w:rsidR="00CE0503" w:rsidRDefault="00CE0503">
      <w:pPr>
        <w:rPr>
          <w:rFonts w:ascii="Arial" w:eastAsia="Cambria" w:hAnsi="Arial" w:cs="Times New Roman"/>
          <w:b/>
          <w:bCs/>
          <w:color w:val="001871"/>
          <w:sz w:val="28"/>
          <w:szCs w:val="26"/>
        </w:rPr>
      </w:pPr>
      <w:bookmarkStart w:id="138" w:name="_Ref184118766"/>
      <w:r>
        <w:br w:type="page"/>
      </w:r>
    </w:p>
    <w:p w14:paraId="43832BCC" w14:textId="774ABA38" w:rsidR="00FE583D" w:rsidRDefault="00FE583D" w:rsidP="00FE583D">
      <w:pPr>
        <w:pStyle w:val="Heading4"/>
      </w:pPr>
      <w:bookmarkStart w:id="139" w:name="_Toc233964982"/>
      <w:r>
        <w:lastRenderedPageBreak/>
        <w:t>Uncertainties and limitations of data</w:t>
      </w:r>
      <w:bookmarkEnd w:id="138"/>
      <w:bookmarkEnd w:id="139"/>
    </w:p>
    <w:p w14:paraId="1A341537" w14:textId="77777777" w:rsidR="00FE583D" w:rsidRPr="006B1DA9" w:rsidRDefault="00FE583D" w:rsidP="00FE583D">
      <w:r w:rsidRPr="006B1DA9">
        <w:t xml:space="preserve">The efficacy of </w:t>
      </w:r>
      <w:proofErr w:type="spellStart"/>
      <w:r w:rsidRPr="006B1DA9">
        <w:t>omaveloxolone</w:t>
      </w:r>
      <w:proofErr w:type="spellEnd"/>
      <w:r w:rsidRPr="006B1DA9">
        <w:t xml:space="preserve"> for the proposed indication is primarily supported by the pivotal study 1402 part 2, inclusion criteria in this trial required an </w:t>
      </w:r>
      <w:proofErr w:type="spellStart"/>
      <w:r w:rsidRPr="006B1DA9">
        <w:t>mFARS</w:t>
      </w:r>
      <w:proofErr w:type="spellEnd"/>
      <w:r w:rsidRPr="006B1DA9">
        <w:t xml:space="preserve"> score ≥20 and ≤80. This raises uncertainty regarding the efficacy of </w:t>
      </w:r>
      <w:proofErr w:type="spellStart"/>
      <w:r w:rsidRPr="006B1DA9">
        <w:t>omaveloxolone</w:t>
      </w:r>
      <w:proofErr w:type="spellEnd"/>
      <w:r w:rsidRPr="006B1DA9">
        <w:t xml:space="preserve"> in preventing </w:t>
      </w:r>
      <w:r>
        <w:t xml:space="preserve">neurological deterioration (as measured by </w:t>
      </w:r>
      <w:proofErr w:type="spellStart"/>
      <w:r>
        <w:t>mFARS</w:t>
      </w:r>
      <w:proofErr w:type="spellEnd"/>
      <w:r>
        <w:t xml:space="preserve"> score)</w:t>
      </w:r>
      <w:r w:rsidRPr="006B1DA9">
        <w:t xml:space="preserve"> in patients with Friedreich’s ataxia who have more severe neurological symptoms at baseline (those in real world population who’s </w:t>
      </w:r>
      <w:proofErr w:type="spellStart"/>
      <w:r w:rsidRPr="006B1DA9">
        <w:t>mFARS</w:t>
      </w:r>
      <w:proofErr w:type="spellEnd"/>
      <w:r w:rsidRPr="006B1DA9">
        <w:t xml:space="preserve"> score is &gt;80</w:t>
      </w:r>
      <w:r>
        <w:t xml:space="preserve"> at baseline</w:t>
      </w:r>
      <w:r w:rsidRPr="006B1DA9">
        <w:t>).</w:t>
      </w:r>
    </w:p>
    <w:p w14:paraId="5B1EAC3B" w14:textId="10F50FE2" w:rsidR="00FE583D" w:rsidRDefault="00FE583D" w:rsidP="00FE583D">
      <w:r w:rsidRPr="00FD2B32">
        <w:t xml:space="preserve">The </w:t>
      </w:r>
      <w:r w:rsidR="007B6B69">
        <w:t>sponsor</w:t>
      </w:r>
      <w:r w:rsidRPr="00FD2B32">
        <w:t xml:space="preserve"> has proposed that induction of the Nrf2 gene, which activates multiple mechanisms to protect against oxidative tissue damage is the primary mechanism of efficacy in patients with Friedreich’s ataxia. The </w:t>
      </w:r>
      <w:r w:rsidR="00185508">
        <w:t>Delegate</w:t>
      </w:r>
      <w:r w:rsidRPr="00FD2B32">
        <w:t xml:space="preserve"> accepts this as plausible based on</w:t>
      </w:r>
      <w:r>
        <w:t xml:space="preserve"> the submitted information regarding</w:t>
      </w:r>
      <w:r w:rsidRPr="00FD2B32">
        <w:t xml:space="preserve"> </w:t>
      </w:r>
      <w:proofErr w:type="spellStart"/>
      <w:r w:rsidRPr="00FD2B32">
        <w:t>Omaveloxolones</w:t>
      </w:r>
      <w:proofErr w:type="spellEnd"/>
      <w:r w:rsidRPr="00FD2B32">
        <w:t xml:space="preserve"> mechanism of action combined with the known pathophysiology of Friedreich’s ataxia</w:t>
      </w:r>
      <w:r>
        <w:t xml:space="preserve">, but several limitations regarding the knowledge surrounding </w:t>
      </w:r>
      <w:proofErr w:type="spellStart"/>
      <w:r>
        <w:t>Omaveloxolone’s</w:t>
      </w:r>
      <w:proofErr w:type="spellEnd"/>
      <w:r>
        <w:t xml:space="preserve"> mechanisms of action and possible off target adverse effects are discussed below.</w:t>
      </w:r>
    </w:p>
    <w:p w14:paraId="313DA3F8" w14:textId="41CA990D" w:rsidR="00235ADF" w:rsidRDefault="00FE583D" w:rsidP="00FE583D">
      <w:r w:rsidRPr="00B33801">
        <w:t>Regarding the increase in SAE’s noted in the pivotal study 1402</w:t>
      </w:r>
      <w:r w:rsidR="005254A2">
        <w:t>,</w:t>
      </w:r>
      <w:r>
        <w:t xml:space="preserve"> in the </w:t>
      </w:r>
      <w:proofErr w:type="spellStart"/>
      <w:r>
        <w:t>omaveloxolone</w:t>
      </w:r>
      <w:proofErr w:type="spellEnd"/>
      <w:r>
        <w:t xml:space="preserve"> treatment group</w:t>
      </w:r>
      <w:r w:rsidRPr="00B33801">
        <w:t xml:space="preserve"> </w:t>
      </w:r>
      <w:r>
        <w:t xml:space="preserve">under the SOC of ‘cardiac disorders’ the significance of this remains unclear. The sample size of the placebo (N=52) and </w:t>
      </w:r>
      <w:proofErr w:type="spellStart"/>
      <w:r>
        <w:t>omaveloxolone</w:t>
      </w:r>
      <w:proofErr w:type="spellEnd"/>
      <w:r>
        <w:t xml:space="preserve"> group (N=51) is small</w:t>
      </w:r>
      <w:r w:rsidR="00674728">
        <w:t>,</w:t>
      </w:r>
      <w:r>
        <w:t xml:space="preserve"> so differences between treatment groups are difficult to interpret. Furthermore, the significant imbalance between rates of cardiomyopathy between the </w:t>
      </w:r>
      <w:proofErr w:type="spellStart"/>
      <w:r>
        <w:t>omaveloxolone</w:t>
      </w:r>
      <w:proofErr w:type="spellEnd"/>
      <w:r>
        <w:t xml:space="preserve"> group (49%) compared to the placebo group (28.8%) make rates of cardiovascular events such as arrhythmias difficult to interpret</w:t>
      </w:r>
      <w:r w:rsidR="00674728">
        <w:t>. T</w:t>
      </w:r>
      <w:r>
        <w:t>his is because a history of cardiomyopathy would be more likely to pre-dispose a patient to arrhythmias</w:t>
      </w:r>
      <w:r w:rsidR="002A18C9">
        <w:t>,</w:t>
      </w:r>
      <w:r>
        <w:t xml:space="preserve"> further increasing difficulty in interpretation of safety data regarding cardiac disorder in the pivotal trial 1402. It is noted that 2 patients in the </w:t>
      </w:r>
      <w:proofErr w:type="spellStart"/>
      <w:r>
        <w:t>omaveloxolone</w:t>
      </w:r>
      <w:proofErr w:type="spellEnd"/>
      <w:r>
        <w:t xml:space="preserve"> treatment group developed BNP levels &gt;200pg/mL with 0 reaching this threshold in the placebo group. </w:t>
      </w:r>
      <w:r w:rsidRPr="00687B8B">
        <w:fldChar w:fldCharType="begin"/>
      </w:r>
      <w:r w:rsidRPr="00687B8B">
        <w:instrText xml:space="preserve"> REF _Ref184201422 \h  \* MERGEFORMAT </w:instrText>
      </w:r>
      <w:r w:rsidRPr="00687B8B">
        <w:fldChar w:fldCharType="separate"/>
      </w:r>
      <w:r w:rsidRPr="00687B8B">
        <w:t xml:space="preserve">Figure </w:t>
      </w:r>
      <w:r w:rsidR="001642AA">
        <w:t>23</w:t>
      </w:r>
      <w:r w:rsidRPr="00687B8B">
        <w:fldChar w:fldCharType="end"/>
      </w:r>
      <w:r>
        <w:t xml:space="preserve"> shows that patients in the </w:t>
      </w:r>
      <w:proofErr w:type="spellStart"/>
      <w:r>
        <w:t>omaveloxolone</w:t>
      </w:r>
      <w:proofErr w:type="spellEnd"/>
      <w:r>
        <w:t xml:space="preserve"> treatment group with a history of cardiomyopathy developed increases in mean BNP levels at multiple time points (compared to </w:t>
      </w:r>
      <w:proofErr w:type="spellStart"/>
      <w:r>
        <w:t>omaveloxolone</w:t>
      </w:r>
      <w:proofErr w:type="spellEnd"/>
      <w:r>
        <w:t xml:space="preserve"> treated participants with no history of cardiomyopathy), especially at week 24, where it is noted that the mean BNP elevation levels are higher in participants  on </w:t>
      </w:r>
      <w:proofErr w:type="spellStart"/>
      <w:r>
        <w:t>omaveloxolone</w:t>
      </w:r>
      <w:proofErr w:type="spellEnd"/>
      <w:r>
        <w:t xml:space="preserve"> with a history of cardiomyopathy</w:t>
      </w:r>
      <w:r w:rsidR="00235ADF">
        <w:t>. A</w:t>
      </w:r>
      <w:r>
        <w:t>gain</w:t>
      </w:r>
      <w:r w:rsidR="006E530B">
        <w:t>,</w:t>
      </w:r>
      <w:r>
        <w:t xml:space="preserve"> the significance of this is unclear and there is no clear biological pathway that would explain elevated BNP levels in the </w:t>
      </w:r>
      <w:proofErr w:type="spellStart"/>
      <w:r>
        <w:t>omaveloxolone</w:t>
      </w:r>
      <w:proofErr w:type="spellEnd"/>
      <w:r>
        <w:t xml:space="preserve"> treated group through its mechanism of action. </w:t>
      </w:r>
    </w:p>
    <w:p w14:paraId="4EFDA6FA" w14:textId="61BEB623" w:rsidR="009B436B" w:rsidRDefault="00FE583D" w:rsidP="00FE583D">
      <w:r>
        <w:t xml:space="preserve">This rise in BNP is of concern as the most common driver of BNP elevation is through cardiac stretch due to increased cardiac pressures, which is a key mechanism for the development of heart failure. The </w:t>
      </w:r>
      <w:r w:rsidR="007B6B69">
        <w:t>sponsor</w:t>
      </w:r>
      <w:r>
        <w:t xml:space="preserve"> has referenced mouse studies </w:t>
      </w:r>
      <w:r w:rsidRPr="00F06994">
        <w:rPr>
          <w:i/>
          <w:iCs/>
        </w:rPr>
        <w:t>(EMA Foreign Evaluation Reports - Day 150 Assessment Reports – Clinical – Response to Question 100</w:t>
      </w:r>
      <w:r>
        <w:rPr>
          <w:i/>
          <w:iCs/>
        </w:rPr>
        <w:t xml:space="preserve">) </w:t>
      </w:r>
      <w:r>
        <w:t>where it is stated that in studies of mouse models with obesity</w:t>
      </w:r>
      <w:r w:rsidR="00F349E8">
        <w:t>,</w:t>
      </w:r>
      <w:r>
        <w:t xml:space="preserve"> there was a decrease in heart weight with </w:t>
      </w:r>
      <w:proofErr w:type="spellStart"/>
      <w:r>
        <w:t>omaveloxolone</w:t>
      </w:r>
      <w:proofErr w:type="spellEnd"/>
      <w:r>
        <w:t xml:space="preserve"> </w:t>
      </w:r>
      <w:proofErr w:type="spellStart"/>
      <w:r>
        <w:t>analog</w:t>
      </w:r>
      <w:proofErr w:type="spellEnd"/>
      <w:r>
        <w:t xml:space="preserve"> treatment</w:t>
      </w:r>
      <w:r w:rsidR="00F349E8">
        <w:t xml:space="preserve">. The </w:t>
      </w:r>
      <w:r w:rsidR="00185508">
        <w:t>Delegate</w:t>
      </w:r>
      <w:r>
        <w:t xml:space="preserve"> feels this does not provide a plausible explanation for BNP elevations in the </w:t>
      </w:r>
      <w:r w:rsidR="007B6B69">
        <w:t>sponsor</w:t>
      </w:r>
      <w:r w:rsidR="004C338D">
        <w:t>’</w:t>
      </w:r>
      <w:r>
        <w:t xml:space="preserve">s pivotal study.  </w:t>
      </w:r>
      <w:proofErr w:type="spellStart"/>
      <w:r>
        <w:t>Omaveloxolone</w:t>
      </w:r>
      <w:r w:rsidR="00F349E8">
        <w:t>’</w:t>
      </w:r>
      <w:r>
        <w:t>s</w:t>
      </w:r>
      <w:proofErr w:type="spellEnd"/>
      <w:r>
        <w:t xml:space="preserve"> mechanism of action through induction of the Nrf2 gene has pleiotropic effects resulting in changes to multiple metabolic pathways within the human body. Given the effects on multiple metabolic pathways</w:t>
      </w:r>
      <w:r w:rsidR="00F349E8">
        <w:t>,</w:t>
      </w:r>
      <w:r>
        <w:t xml:space="preserve"> the possibility that </w:t>
      </w:r>
      <w:proofErr w:type="spellStart"/>
      <w:r>
        <w:t>omaveloxolone</w:t>
      </w:r>
      <w:proofErr w:type="spellEnd"/>
      <w:r>
        <w:t xml:space="preserve">, acting through an unknown mechanism either increases cardiac compliance, or increases cardiac pressures (or both) leading to BNP elevations needs to be considered, especially in those with a history of cardiomyopathy. </w:t>
      </w:r>
    </w:p>
    <w:p w14:paraId="0E98C1CC" w14:textId="77777777" w:rsidR="006E530B" w:rsidRDefault="006E530B">
      <w:r>
        <w:br w:type="page"/>
      </w:r>
    </w:p>
    <w:p w14:paraId="42C237B0" w14:textId="4A7FCAAB" w:rsidR="00FE583D" w:rsidRPr="0092401C" w:rsidRDefault="00FE583D" w:rsidP="00FE583D">
      <w:r>
        <w:lastRenderedPageBreak/>
        <w:t>From the submitted information</w:t>
      </w:r>
      <w:r w:rsidR="009B436B">
        <w:t>,</w:t>
      </w:r>
      <w:r>
        <w:t xml:space="preserve"> the </w:t>
      </w:r>
      <w:r w:rsidR="00185508">
        <w:t>Delegate</w:t>
      </w:r>
      <w:r>
        <w:t xml:space="preserve"> feels it is an unknown risk whether these BNP elevations could represent pre-clinical signs of worsening heart failure due to raised cardiac pressures. In the pivotal trial 1402 part 2</w:t>
      </w:r>
      <w:r w:rsidR="009B436B">
        <w:t>,</w:t>
      </w:r>
      <w:r>
        <w:t xml:space="preserve"> only participants with </w:t>
      </w:r>
      <w:r w:rsidRPr="0092401C">
        <w:t>mild to moderate cardiomyopathy</w:t>
      </w:r>
      <w:r>
        <w:t xml:space="preserve"> </w:t>
      </w:r>
      <w:r w:rsidRPr="0092401C">
        <w:t>associated with Friedreich’s ataxia</w:t>
      </w:r>
      <w:r>
        <w:t xml:space="preserve"> were included and patients with an LV ejection fraction &lt;40% were excluded</w:t>
      </w:r>
      <w:r w:rsidR="00CA4299">
        <w:t>. T</w:t>
      </w:r>
      <w:r>
        <w:t>herefore</w:t>
      </w:r>
      <w:r w:rsidR="006E530B">
        <w:t>,</w:t>
      </w:r>
      <w:r>
        <w:t xml:space="preserve"> the possibility that </w:t>
      </w:r>
      <w:proofErr w:type="spellStart"/>
      <w:r>
        <w:t>omaveloxolone</w:t>
      </w:r>
      <w:proofErr w:type="spellEnd"/>
      <w:r>
        <w:t xml:space="preserve"> could exacerbate or increase rates of heart failure in patients with more advanced cardiac disease (especially with ejection fraction &lt;40%) needs to be considered. This raises the question about whether patients with Friederich</w:t>
      </w:r>
      <w:r w:rsidR="00CA4299">
        <w:t>’</w:t>
      </w:r>
      <w:r>
        <w:t xml:space="preserve">s ataxia who have more advanced hypertrophic cardiomyopathy, or who have </w:t>
      </w:r>
      <w:r w:rsidR="00CA4299">
        <w:t>e</w:t>
      </w:r>
      <w:r>
        <w:t xml:space="preserve">jection fractions &lt;40% are suitable for treatment with </w:t>
      </w:r>
      <w:proofErr w:type="spellStart"/>
      <w:r>
        <w:t>omaveloxolone</w:t>
      </w:r>
      <w:proofErr w:type="spellEnd"/>
      <w:r>
        <w:t>.</w:t>
      </w:r>
    </w:p>
    <w:p w14:paraId="2FDF3620" w14:textId="690EC97C" w:rsidR="00FE583D" w:rsidRDefault="00FE583D" w:rsidP="00FE583D">
      <w:r w:rsidRPr="008D41E6">
        <w:t>Regarding adverse hepatic events and abnormal laboratory values</w:t>
      </w:r>
      <w:r w:rsidR="00BE54A7">
        <w:t>,</w:t>
      </w:r>
      <w:r w:rsidRPr="008D41E6">
        <w:t xml:space="preserve"> the </w:t>
      </w:r>
      <w:r w:rsidR="007B6B69">
        <w:t>sponsor</w:t>
      </w:r>
      <w:r w:rsidRPr="008D41E6">
        <w:t xml:space="preserve"> has provided justification </w:t>
      </w:r>
      <w:r w:rsidRPr="008D41E6">
        <w:rPr>
          <w:i/>
          <w:iCs/>
        </w:rPr>
        <w:t xml:space="preserve">(In </w:t>
      </w:r>
      <w:r w:rsidRPr="008D41E6">
        <w:rPr>
          <w:i/>
          <w:iCs/>
        </w:rPr>
        <w:fldChar w:fldCharType="begin"/>
      </w:r>
      <w:r w:rsidRPr="008D41E6">
        <w:rPr>
          <w:i/>
          <w:iCs/>
        </w:rPr>
        <w:instrText xml:space="preserve"> REF _Ref184112251 \h  \* MERGEFORMAT </w:instrText>
      </w:r>
      <w:r w:rsidRPr="008D41E6">
        <w:rPr>
          <w:i/>
          <w:iCs/>
        </w:rPr>
      </w:r>
      <w:r w:rsidRPr="008D41E6">
        <w:rPr>
          <w:i/>
          <w:iCs/>
        </w:rPr>
        <w:fldChar w:fldCharType="separate"/>
      </w:r>
      <w:r w:rsidRPr="008D41E6">
        <w:rPr>
          <w:i/>
          <w:iCs/>
          <w:u w:val="single"/>
        </w:rPr>
        <w:t>Pharmacodynamics (PD)</w:t>
      </w:r>
      <w:r w:rsidRPr="008D41E6">
        <w:fldChar w:fldCharType="end"/>
      </w:r>
      <w:r w:rsidRPr="008D41E6">
        <w:rPr>
          <w:i/>
          <w:iCs/>
        </w:rPr>
        <w:t xml:space="preserve"> heading)</w:t>
      </w:r>
      <w:r w:rsidRPr="008D41E6">
        <w:t xml:space="preserve"> for why consistent dose dependant elevation in GGT, </w:t>
      </w:r>
      <w:r w:rsidR="00BE54A7">
        <w:t>f</w:t>
      </w:r>
      <w:r w:rsidRPr="008D41E6">
        <w:t>erritin, AST, ALT and reduction in CK noted in study 1402 part 1 are not considered to be related to hepatocyte damage or an inflammatory reaction, but rather due to induction of the Nr</w:t>
      </w:r>
      <w:r>
        <w:t>f</w:t>
      </w:r>
      <w:r w:rsidRPr="008D41E6">
        <w:t xml:space="preserve">2 gene causing pleiotropic effects </w:t>
      </w:r>
      <w:r>
        <w:t>leading to</w:t>
      </w:r>
      <w:r w:rsidRPr="008D41E6">
        <w:t xml:space="preserve"> increased mitochondrial function and induction of </w:t>
      </w:r>
      <w:r>
        <w:t>metabolic pathways</w:t>
      </w:r>
      <w:r w:rsidRPr="008D41E6">
        <w:t xml:space="preserve"> that reduce oxidative tissue damage. There is also evidence that in mouse models</w:t>
      </w:r>
      <w:r w:rsidR="00E3074E">
        <w:t>,</w:t>
      </w:r>
      <w:r w:rsidRPr="008D41E6">
        <w:t xml:space="preserve"> induction of the Nrf2 gene has effects on regulating multiple Phase I and Phase II drug metabolizing genes that are involved in responses to oxidative stress</w:t>
      </w:r>
      <w:r w:rsidRPr="008D41E6">
        <w:rPr>
          <w:vertAlign w:val="superscript"/>
        </w:rPr>
        <w:footnoteReference w:id="15"/>
      </w:r>
      <w:r w:rsidRPr="008D41E6">
        <w:t xml:space="preserve">. </w:t>
      </w:r>
      <w:r>
        <w:t xml:space="preserve">The </w:t>
      </w:r>
      <w:r w:rsidR="007B6B69">
        <w:t>sponsor</w:t>
      </w:r>
      <w:r>
        <w:t xml:space="preserve"> has also cited evidence that the Nfr2 transcription factor directly regulates </w:t>
      </w:r>
      <w:r w:rsidR="00E3074E">
        <w:t>f</w:t>
      </w:r>
      <w:r>
        <w:t>erritin and GGT expression in cultured cells</w:t>
      </w:r>
      <w:r w:rsidR="00CD0B89">
        <w:t xml:space="preserve"> </w:t>
      </w:r>
      <w:r w:rsidRPr="00F06994">
        <w:rPr>
          <w:i/>
          <w:iCs/>
        </w:rPr>
        <w:t>(EMA Foreign Evaluation Reports - Day 150 Assessment Reports – Clinical – Response to Question 100)</w:t>
      </w:r>
      <w:r>
        <w:t>.</w:t>
      </w:r>
      <w:r w:rsidRPr="008D41E6">
        <w:t xml:space="preserve"> </w:t>
      </w:r>
      <w:r>
        <w:t xml:space="preserve">It is noted that the </w:t>
      </w:r>
      <w:r w:rsidR="007B6B69">
        <w:t>sponsor</w:t>
      </w:r>
      <w:r>
        <w:t xml:space="preserve"> has not proposed any clear metabolic pathway to explain the simultaneous elevation of both mean ALT and AST in the pivotal trial with </w:t>
      </w:r>
      <w:proofErr w:type="spellStart"/>
      <w:r>
        <w:t>omaveloxolone</w:t>
      </w:r>
      <w:proofErr w:type="spellEnd"/>
      <w:r>
        <w:t xml:space="preserve"> use</w:t>
      </w:r>
      <w:r w:rsidR="002A671B">
        <w:t>. T</w:t>
      </w:r>
      <w:r>
        <w:t xml:space="preserve">he plausibility of the raised ALT and AST levels in the pivotal trials being due to Nrf2 gene induction needs to be considered when the Nrf2 gene is largely regulating intracellular </w:t>
      </w:r>
      <w:r w:rsidR="00C53089">
        <w:t>processes and</w:t>
      </w:r>
      <w:r>
        <w:t xml:space="preserve"> does not necessarily explain why raised mean ALT and AST levels were noted with </w:t>
      </w:r>
      <w:proofErr w:type="spellStart"/>
      <w:r>
        <w:t>omaveloxolone</w:t>
      </w:r>
      <w:proofErr w:type="spellEnd"/>
      <w:r>
        <w:t xml:space="preserve"> use. The most common reason for a simultaneous rise in ALT and AST levels in a participant’s serum would be hepatocellular damage releasing ALT and AST into serum (especially with 1 participant on </w:t>
      </w:r>
      <w:proofErr w:type="spellStart"/>
      <w:r>
        <w:t>omaveloxolone</w:t>
      </w:r>
      <w:proofErr w:type="spellEnd"/>
      <w:r>
        <w:t xml:space="preserve"> developing ALT levels &gt;x10 ULN in an active treatment group with a small total number of participants on active treatment). The dose dependant rise in ALT and AST noted in </w:t>
      </w:r>
      <w:r w:rsidR="00BC7EA9">
        <w:t>S</w:t>
      </w:r>
      <w:r>
        <w:t xml:space="preserve">tudy 1402 part 1 provides some supporting evidence that these ALT and AST rises are a pharmacodynamic effect of </w:t>
      </w:r>
      <w:proofErr w:type="spellStart"/>
      <w:r>
        <w:t>omaveloxolone</w:t>
      </w:r>
      <w:proofErr w:type="spellEnd"/>
      <w:r>
        <w:t>, rather than hepatic toxicity. But this evidence does not clearly exclude the possibility that this could indicate transient dose dependant hepatic toxicity through an unknown mechanism.</w:t>
      </w:r>
    </w:p>
    <w:p w14:paraId="212C45A4" w14:textId="467E8F68" w:rsidR="00FE583D" w:rsidRPr="00960168" w:rsidRDefault="00FE583D" w:rsidP="00FE583D">
      <w:r>
        <w:t xml:space="preserve">A further uncertainty is present regarding the safety and efficacy of </w:t>
      </w:r>
      <w:proofErr w:type="spellStart"/>
      <w:r>
        <w:t>omaveloxolone</w:t>
      </w:r>
      <w:proofErr w:type="spellEnd"/>
      <w:r>
        <w:t xml:space="preserve"> when used in patients &lt;16 years of age</w:t>
      </w:r>
      <w:r w:rsidR="00672470">
        <w:t>.</w:t>
      </w:r>
      <w:r>
        <w:t xml:space="preserve"> </w:t>
      </w:r>
      <w:r w:rsidR="00672470">
        <w:t>T</w:t>
      </w:r>
      <w:r>
        <w:t xml:space="preserve">here were no patients &lt;16 years of age included in the </w:t>
      </w:r>
      <w:r w:rsidR="007B6B69">
        <w:t>sponsor</w:t>
      </w:r>
      <w:r w:rsidR="00E53B44">
        <w:t>’s</w:t>
      </w:r>
      <w:r>
        <w:t xml:space="preserve"> pivotal trial. It is noted that ~29% of patients with FA will be diagnosed at 0-14 years and ~39% diagnosed between 8-14 years. Given this</w:t>
      </w:r>
      <w:r w:rsidR="00672470">
        <w:t>,</w:t>
      </w:r>
      <w:r>
        <w:t xml:space="preserve"> combined with currently available evidence of efficacy</w:t>
      </w:r>
      <w:r w:rsidR="00692DF0">
        <w:t>,</w:t>
      </w:r>
      <w:r>
        <w:t xml:space="preserve"> it is highly likely that there will be interest in the use of </w:t>
      </w:r>
      <w:proofErr w:type="spellStart"/>
      <w:r>
        <w:t>omaveloxolone</w:t>
      </w:r>
      <w:proofErr w:type="spellEnd"/>
      <w:r>
        <w:t xml:space="preserve"> </w:t>
      </w:r>
      <w:proofErr w:type="gramStart"/>
      <w:r>
        <w:t>off-label</w:t>
      </w:r>
      <w:proofErr w:type="gramEnd"/>
      <w:r>
        <w:t xml:space="preserve"> for the same indication in patients &lt;16years of age. In response to the EMA evaluator question regarding providing PK data for elderly subjects</w:t>
      </w:r>
      <w:r w:rsidR="00692DF0">
        <w:t>,</w:t>
      </w:r>
      <w:r>
        <w:t xml:space="preserve"> the </w:t>
      </w:r>
      <w:r w:rsidR="007B6B69">
        <w:t>sponsor</w:t>
      </w:r>
      <w:r>
        <w:t xml:space="preserve"> performed analysis using their </w:t>
      </w:r>
      <w:proofErr w:type="spellStart"/>
      <w:r>
        <w:t>popPK</w:t>
      </w:r>
      <w:proofErr w:type="spellEnd"/>
      <w:r>
        <w:t xml:space="preserve"> model to characterize the effect of age on the PK of </w:t>
      </w:r>
      <w:proofErr w:type="spellStart"/>
      <w:r>
        <w:t>omaveloxolone</w:t>
      </w:r>
      <w:proofErr w:type="spellEnd"/>
      <w:r>
        <w:t xml:space="preserve"> </w:t>
      </w:r>
      <w:r w:rsidRPr="00F06994">
        <w:rPr>
          <w:i/>
          <w:iCs/>
        </w:rPr>
        <w:t xml:space="preserve">(EMA Foreign Evaluation Reports - Day 150 Assessment Reports – Clinical – Response to Question </w:t>
      </w:r>
      <w:r>
        <w:rPr>
          <w:i/>
          <w:iCs/>
        </w:rPr>
        <w:t>93</w:t>
      </w:r>
      <w:r w:rsidRPr="00F06994">
        <w:rPr>
          <w:i/>
          <w:iCs/>
        </w:rPr>
        <w:t>)</w:t>
      </w:r>
      <w:r>
        <w:t xml:space="preserve">. Using this approach a box plot estimating the predicted </w:t>
      </w:r>
      <w:proofErr w:type="spellStart"/>
      <w:r>
        <w:t>C</w:t>
      </w:r>
      <w:r w:rsidRPr="00F26E7A">
        <w:rPr>
          <w:vertAlign w:val="subscript"/>
        </w:rPr>
        <w:t>max</w:t>
      </w:r>
      <w:proofErr w:type="spellEnd"/>
      <w:r w:rsidRPr="00F26E7A">
        <w:rPr>
          <w:vertAlign w:val="subscript"/>
        </w:rPr>
        <w:t xml:space="preserve">, ss </w:t>
      </w:r>
      <w:r>
        <w:t xml:space="preserve">and predicted </w:t>
      </w:r>
      <w:proofErr w:type="spellStart"/>
      <w:r>
        <w:t>AUC</w:t>
      </w:r>
      <w:r w:rsidRPr="00A41107">
        <w:rPr>
          <w:vertAlign w:val="subscript"/>
        </w:rPr>
        <w:t>ss</w:t>
      </w:r>
      <w:proofErr w:type="spellEnd"/>
      <w:r>
        <w:t xml:space="preserve"> was created by age as shown in </w:t>
      </w:r>
      <w:r w:rsidR="00B60CE4">
        <w:t>f</w:t>
      </w:r>
      <w:r w:rsidRPr="00150441">
        <w:fldChar w:fldCharType="begin"/>
      </w:r>
      <w:r w:rsidRPr="00150441">
        <w:instrText xml:space="preserve"> REF _Ref187842749 \h  \* MERGEFORMAT </w:instrText>
      </w:r>
      <w:r w:rsidRPr="00150441">
        <w:fldChar w:fldCharType="separate"/>
      </w:r>
      <w:r w:rsidRPr="00150441">
        <w:t xml:space="preserve">igure </w:t>
      </w:r>
      <w:r w:rsidRPr="00150441">
        <w:rPr>
          <w:noProof/>
        </w:rPr>
        <w:t>3</w:t>
      </w:r>
      <w:r w:rsidR="004606B0">
        <w:rPr>
          <w:noProof/>
        </w:rPr>
        <w:t>2</w:t>
      </w:r>
      <w:r w:rsidRPr="00150441">
        <w:fldChar w:fldCharType="end"/>
      </w:r>
      <w:r w:rsidRPr="00150441">
        <w:t xml:space="preserve"> and </w:t>
      </w:r>
      <w:r w:rsidR="00B60CE4">
        <w:t>f</w:t>
      </w:r>
      <w:r w:rsidRPr="00150441">
        <w:fldChar w:fldCharType="begin"/>
      </w:r>
      <w:r w:rsidRPr="00150441">
        <w:instrText xml:space="preserve"> REF _Ref187842755 \h  \* MERGEFORMAT </w:instrText>
      </w:r>
      <w:r w:rsidRPr="00150441">
        <w:fldChar w:fldCharType="separate"/>
      </w:r>
      <w:r w:rsidRPr="00150441">
        <w:t xml:space="preserve">igure </w:t>
      </w:r>
      <w:r w:rsidRPr="00150441">
        <w:rPr>
          <w:noProof/>
        </w:rPr>
        <w:t>3</w:t>
      </w:r>
      <w:r w:rsidR="004606B0">
        <w:rPr>
          <w:noProof/>
        </w:rPr>
        <w:t>3</w:t>
      </w:r>
      <w:r w:rsidRPr="00150441">
        <w:fldChar w:fldCharType="end"/>
      </w:r>
      <w:r>
        <w:t xml:space="preserve">. This shows that predicted </w:t>
      </w:r>
      <w:proofErr w:type="spellStart"/>
      <w:r>
        <w:t>C</w:t>
      </w:r>
      <w:r w:rsidRPr="0098771E">
        <w:rPr>
          <w:vertAlign w:val="subscript"/>
        </w:rPr>
        <w:t>max</w:t>
      </w:r>
      <w:proofErr w:type="spellEnd"/>
      <w:r w:rsidRPr="0098771E">
        <w:rPr>
          <w:vertAlign w:val="subscript"/>
        </w:rPr>
        <w:t xml:space="preserve">, ss </w:t>
      </w:r>
      <w:r>
        <w:t xml:space="preserve">and predicted </w:t>
      </w:r>
      <w:proofErr w:type="spellStart"/>
      <w:r>
        <w:t>AUC</w:t>
      </w:r>
      <w:r w:rsidRPr="0098771E">
        <w:rPr>
          <w:vertAlign w:val="subscript"/>
        </w:rPr>
        <w:t>ss</w:t>
      </w:r>
      <w:proofErr w:type="spellEnd"/>
      <w:r>
        <w:t xml:space="preserve"> are estimated to be lower for ages 6 to&lt;12 years compared to reference age of 34 years with the upper extreme lower extreme and median value all lower compared to reference age of 34 years. </w:t>
      </w:r>
      <w:r>
        <w:lastRenderedPageBreak/>
        <w:t xml:space="preserve">Simulated steady state PK parameters by age were also created using the </w:t>
      </w:r>
      <w:r w:rsidR="007B6B69">
        <w:t>sponsor</w:t>
      </w:r>
      <w:r w:rsidR="004C338D">
        <w:t>’</w:t>
      </w:r>
      <w:r>
        <w:t xml:space="preserve">s </w:t>
      </w:r>
      <w:proofErr w:type="spellStart"/>
      <w:r>
        <w:t>popPK</w:t>
      </w:r>
      <w:proofErr w:type="spellEnd"/>
      <w:r>
        <w:t xml:space="preserve"> model showing lower </w:t>
      </w:r>
      <w:r w:rsidR="00B60CE4">
        <w:t>m</w:t>
      </w:r>
      <w:r>
        <w:t xml:space="preserve">ean </w:t>
      </w:r>
      <w:proofErr w:type="spellStart"/>
      <w:r>
        <w:t>AUC</w:t>
      </w:r>
      <w:r w:rsidRPr="00960168">
        <w:rPr>
          <w:vertAlign w:val="subscript"/>
        </w:rPr>
        <w:t>ss</w:t>
      </w:r>
      <w:proofErr w:type="spellEnd"/>
      <w:r>
        <w:rPr>
          <w:vertAlign w:val="subscript"/>
        </w:rPr>
        <w:t xml:space="preserve"> </w:t>
      </w:r>
      <w:r>
        <w:t>values in both the 6 to &lt;</w:t>
      </w:r>
      <w:proofErr w:type="gramStart"/>
      <w:r>
        <w:t>12 year</w:t>
      </w:r>
      <w:proofErr w:type="gramEnd"/>
      <w:r>
        <w:t xml:space="preserve"> age group and 12 to &lt;</w:t>
      </w:r>
      <w:proofErr w:type="gramStart"/>
      <w:r>
        <w:t>16 year</w:t>
      </w:r>
      <w:proofErr w:type="gramEnd"/>
      <w:r>
        <w:t xml:space="preserve"> age group compared to the reference age of 34 years</w:t>
      </w:r>
      <w:r w:rsidR="00B60CE4">
        <w:t xml:space="preserve"> (</w:t>
      </w:r>
      <w:r w:rsidR="002E7CFE" w:rsidRPr="00977FF3">
        <w:fldChar w:fldCharType="begin"/>
      </w:r>
      <w:r w:rsidR="002E7CFE" w:rsidRPr="00977FF3">
        <w:instrText xml:space="preserve"> REF _Ref187842932 \h  \* MERGEFORMAT </w:instrText>
      </w:r>
      <w:r w:rsidR="002E7CFE" w:rsidRPr="00977FF3">
        <w:fldChar w:fldCharType="separate"/>
      </w:r>
      <w:r w:rsidR="002E7CFE" w:rsidRPr="00977FF3">
        <w:t xml:space="preserve">Table </w:t>
      </w:r>
      <w:r w:rsidR="002E7CFE">
        <w:rPr>
          <w:noProof/>
        </w:rPr>
        <w:t>5</w:t>
      </w:r>
      <w:r w:rsidR="00B124FF">
        <w:rPr>
          <w:noProof/>
        </w:rPr>
        <w:t>4</w:t>
      </w:r>
      <w:r w:rsidR="002E7CFE" w:rsidRPr="00977FF3">
        <w:fldChar w:fldCharType="end"/>
      </w:r>
      <w:r w:rsidR="0061030F">
        <w:t>)</w:t>
      </w:r>
      <w:r w:rsidRPr="00977FF3">
        <w:t>.</w:t>
      </w:r>
    </w:p>
    <w:p w14:paraId="3A785A27" w14:textId="49247F03" w:rsidR="00FE583D" w:rsidRPr="00F16923" w:rsidRDefault="00FE583D" w:rsidP="00912250">
      <w:pPr>
        <w:pStyle w:val="FigureTitle"/>
      </w:pPr>
      <w:bookmarkStart w:id="140" w:name="_Ref187842749"/>
      <w:r w:rsidRPr="00F16923">
        <w:t xml:space="preserve">Figure </w:t>
      </w:r>
      <w:bookmarkEnd w:id="140"/>
      <w:r w:rsidR="00B124FF">
        <w:fldChar w:fldCharType="begin"/>
      </w:r>
      <w:r w:rsidR="00B124FF">
        <w:instrText xml:space="preserve"> SEQ Figure \* ARABIC </w:instrText>
      </w:r>
      <w:r w:rsidR="00B124FF">
        <w:fldChar w:fldCharType="separate"/>
      </w:r>
      <w:r w:rsidR="00B124FF">
        <w:rPr>
          <w:noProof/>
        </w:rPr>
        <w:t>32</w:t>
      </w:r>
      <w:r w:rsidR="00B124FF">
        <w:rPr>
          <w:noProof/>
        </w:rPr>
        <w:fldChar w:fldCharType="end"/>
      </w:r>
      <w:r w:rsidRPr="00F16923">
        <w:t xml:space="preserve">: Predicted </w:t>
      </w:r>
      <w:proofErr w:type="spellStart"/>
      <w:proofErr w:type="gramStart"/>
      <w:r w:rsidRPr="00F16923">
        <w:t>Cmax,ss</w:t>
      </w:r>
      <w:proofErr w:type="spellEnd"/>
      <w:proofErr w:type="gramEnd"/>
      <w:r w:rsidRPr="00F16923">
        <w:t xml:space="preserve"> </w:t>
      </w:r>
      <w:r w:rsidR="002B3AE6">
        <w:t>f</w:t>
      </w:r>
      <w:r w:rsidRPr="00F16923">
        <w:t xml:space="preserve">ollowing 150 mg once daily </w:t>
      </w:r>
      <w:r w:rsidR="002B3AE6">
        <w:t>d</w:t>
      </w:r>
      <w:r w:rsidRPr="00F16923">
        <w:t xml:space="preserve">osing </w:t>
      </w:r>
      <w:r w:rsidR="002B3AE6">
        <w:t>s</w:t>
      </w:r>
      <w:r w:rsidRPr="00F16923">
        <w:t xml:space="preserve">tratified by </w:t>
      </w:r>
      <w:r w:rsidR="002B3AE6">
        <w:t>a</w:t>
      </w:r>
      <w:r w:rsidRPr="00F16923">
        <w:t xml:space="preserve">ge </w:t>
      </w:r>
      <w:r w:rsidR="002B3AE6">
        <w:t>g</w:t>
      </w:r>
      <w:r w:rsidRPr="00F16923">
        <w:t>roup</w:t>
      </w:r>
    </w:p>
    <w:p w14:paraId="36275F23" w14:textId="77777777" w:rsidR="00FE583D" w:rsidRDefault="00FE583D" w:rsidP="00FE583D">
      <w:r w:rsidRPr="00816744">
        <w:rPr>
          <w:noProof/>
        </w:rPr>
        <w:drawing>
          <wp:inline distT="0" distB="0" distL="0" distR="0" wp14:anchorId="5CE36449" wp14:editId="7AE8035E">
            <wp:extent cx="5731510" cy="3115945"/>
            <wp:effectExtent l="0" t="0" r="2540" b="8255"/>
            <wp:docPr id="1962306050" name="Picture 1" descr="Figure 31: Predicted Cmax,ss Following 150 mg once daily Dosing Stratified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06050" name="Picture 1" descr="Figure 31: Predicted Cmax,ss Following 150 mg once daily Dosing Stratified by Age Group"/>
                    <pic:cNvPicPr/>
                  </pic:nvPicPr>
                  <pic:blipFill>
                    <a:blip r:embed="rId127"/>
                    <a:stretch>
                      <a:fillRect/>
                    </a:stretch>
                  </pic:blipFill>
                  <pic:spPr>
                    <a:xfrm>
                      <a:off x="0" y="0"/>
                      <a:ext cx="5731510" cy="3115945"/>
                    </a:xfrm>
                    <a:prstGeom prst="rect">
                      <a:avLst/>
                    </a:prstGeom>
                  </pic:spPr>
                </pic:pic>
              </a:graphicData>
            </a:graphic>
          </wp:inline>
        </w:drawing>
      </w:r>
    </w:p>
    <w:p w14:paraId="1F799ACF" w14:textId="18297421" w:rsidR="00FE583D" w:rsidRPr="00AC029B" w:rsidRDefault="00FE583D" w:rsidP="00912250">
      <w:pPr>
        <w:pStyle w:val="FigureTitle"/>
      </w:pPr>
      <w:bookmarkStart w:id="141" w:name="_Ref187842755"/>
      <w:r w:rsidRPr="00AC029B">
        <w:t xml:space="preserve">Figure </w:t>
      </w:r>
      <w:bookmarkEnd w:id="141"/>
      <w:r w:rsidR="00B124FF">
        <w:fldChar w:fldCharType="begin"/>
      </w:r>
      <w:r w:rsidR="00B124FF">
        <w:instrText xml:space="preserve"> SEQ Figure \* ARABIC </w:instrText>
      </w:r>
      <w:r w:rsidR="00B124FF">
        <w:fldChar w:fldCharType="separate"/>
      </w:r>
      <w:r w:rsidR="00B124FF">
        <w:rPr>
          <w:noProof/>
        </w:rPr>
        <w:t>33</w:t>
      </w:r>
      <w:r w:rsidR="00B124FF">
        <w:rPr>
          <w:noProof/>
        </w:rPr>
        <w:fldChar w:fldCharType="end"/>
      </w:r>
      <w:r w:rsidRPr="00AC029B">
        <w:t xml:space="preserve">: Predicted </w:t>
      </w:r>
      <w:proofErr w:type="spellStart"/>
      <w:r w:rsidRPr="00AC029B">
        <w:t>AUCss</w:t>
      </w:r>
      <w:proofErr w:type="spellEnd"/>
      <w:r w:rsidRPr="00AC029B">
        <w:t xml:space="preserve"> </w:t>
      </w:r>
      <w:r w:rsidR="002B3AE6">
        <w:t>f</w:t>
      </w:r>
      <w:r w:rsidRPr="00AC029B">
        <w:t xml:space="preserve">ollowing 150 mg </w:t>
      </w:r>
      <w:r>
        <w:t>once daily</w:t>
      </w:r>
      <w:r w:rsidRPr="00AC029B">
        <w:t xml:space="preserve"> </w:t>
      </w:r>
      <w:r w:rsidR="002B3AE6">
        <w:t>d</w:t>
      </w:r>
      <w:r w:rsidRPr="00AC029B">
        <w:t xml:space="preserve">osing </w:t>
      </w:r>
      <w:r w:rsidR="002B3AE6">
        <w:t>s</w:t>
      </w:r>
      <w:r w:rsidRPr="00AC029B">
        <w:t xml:space="preserve">tratified by </w:t>
      </w:r>
      <w:r w:rsidR="002B3AE6">
        <w:t>a</w:t>
      </w:r>
      <w:r w:rsidRPr="00AC029B">
        <w:t xml:space="preserve">ge </w:t>
      </w:r>
      <w:r w:rsidR="002B3AE6">
        <w:t>g</w:t>
      </w:r>
      <w:r w:rsidRPr="00AC029B">
        <w:t>roup</w:t>
      </w:r>
    </w:p>
    <w:p w14:paraId="1734A98E" w14:textId="77777777" w:rsidR="00FE583D" w:rsidRDefault="00FE583D" w:rsidP="00FE583D">
      <w:r w:rsidRPr="00AC029B">
        <w:rPr>
          <w:noProof/>
        </w:rPr>
        <w:drawing>
          <wp:inline distT="0" distB="0" distL="0" distR="0" wp14:anchorId="65AB4602" wp14:editId="3E670AF3">
            <wp:extent cx="5731510" cy="3108325"/>
            <wp:effectExtent l="0" t="0" r="2540" b="0"/>
            <wp:docPr id="1831355499" name="Picture 1" descr="Figure 32: Predicted AUCss Following 150 mg once daily Dosing Stratified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55499" name="Picture 1" descr="Figure 32: Predicted AUCss Following 150 mg once daily Dosing Stratified by Age Group"/>
                    <pic:cNvPicPr/>
                  </pic:nvPicPr>
                  <pic:blipFill>
                    <a:blip r:embed="rId128"/>
                    <a:stretch>
                      <a:fillRect/>
                    </a:stretch>
                  </pic:blipFill>
                  <pic:spPr>
                    <a:xfrm>
                      <a:off x="0" y="0"/>
                      <a:ext cx="5731510" cy="3108325"/>
                    </a:xfrm>
                    <a:prstGeom prst="rect">
                      <a:avLst/>
                    </a:prstGeom>
                  </pic:spPr>
                </pic:pic>
              </a:graphicData>
            </a:graphic>
          </wp:inline>
        </w:drawing>
      </w:r>
    </w:p>
    <w:p w14:paraId="5A596275" w14:textId="733C3170" w:rsidR="00FE583D" w:rsidRPr="009F0BBB" w:rsidRDefault="00FE583D" w:rsidP="00593093">
      <w:pPr>
        <w:pStyle w:val="TableTitle"/>
      </w:pPr>
      <w:bookmarkStart w:id="142" w:name="_Ref187842932"/>
      <w:r w:rsidRPr="009F0BBB">
        <w:lastRenderedPageBreak/>
        <w:t xml:space="preserve">Table </w:t>
      </w:r>
      <w:bookmarkEnd w:id="142"/>
      <w:r w:rsidR="00B124FF">
        <w:fldChar w:fldCharType="begin"/>
      </w:r>
      <w:r w:rsidR="00B124FF">
        <w:instrText xml:space="preserve"> SEQ Table \* ARABIC </w:instrText>
      </w:r>
      <w:r w:rsidR="00B124FF">
        <w:fldChar w:fldCharType="separate"/>
      </w:r>
      <w:r w:rsidR="00B124FF">
        <w:rPr>
          <w:noProof/>
        </w:rPr>
        <w:t>54</w:t>
      </w:r>
      <w:r w:rsidR="00B124FF">
        <w:rPr>
          <w:noProof/>
        </w:rPr>
        <w:fldChar w:fldCharType="end"/>
      </w:r>
      <w:r w:rsidRPr="009F0BBB">
        <w:t xml:space="preserve">: Simulated </w:t>
      </w:r>
      <w:r w:rsidR="0061030F">
        <w:t>s</w:t>
      </w:r>
      <w:r w:rsidRPr="009F0BBB">
        <w:t xml:space="preserve">teady-state PK </w:t>
      </w:r>
      <w:r w:rsidR="0061030F">
        <w:t>p</w:t>
      </w:r>
      <w:r w:rsidRPr="009F0BBB">
        <w:t xml:space="preserve">arameters for </w:t>
      </w:r>
      <w:r w:rsidR="0061030F">
        <w:t>t</w:t>
      </w:r>
      <w:r w:rsidRPr="009F0BBB">
        <w:t xml:space="preserve">ypical </w:t>
      </w:r>
      <w:r w:rsidR="0061030F">
        <w:t>p</w:t>
      </w:r>
      <w:r w:rsidRPr="009F0BBB">
        <w:t xml:space="preserve">atients </w:t>
      </w:r>
      <w:r w:rsidR="0061030F">
        <w:t>r</w:t>
      </w:r>
      <w:r w:rsidRPr="009F0BBB">
        <w:t xml:space="preserve">eceiving a 150 mg </w:t>
      </w:r>
      <w:r w:rsidR="0061030F">
        <w:t>d</w:t>
      </w:r>
      <w:r w:rsidRPr="009F0BBB">
        <w:t xml:space="preserve">aily </w:t>
      </w:r>
      <w:r w:rsidR="0061030F">
        <w:t>d</w:t>
      </w:r>
      <w:r w:rsidRPr="009F0BBB">
        <w:t xml:space="preserve">ose of </w:t>
      </w:r>
      <w:proofErr w:type="spellStart"/>
      <w:r w:rsidR="0061030F">
        <w:t>o</w:t>
      </w:r>
      <w:r w:rsidRPr="009F0BBB">
        <w:t>maveloxolone</w:t>
      </w:r>
      <w:proofErr w:type="spellEnd"/>
    </w:p>
    <w:p w14:paraId="32231359" w14:textId="77777777" w:rsidR="00FE583D" w:rsidRDefault="00FE583D" w:rsidP="00FE583D">
      <w:r w:rsidRPr="009F0BBB">
        <w:rPr>
          <w:noProof/>
        </w:rPr>
        <w:drawing>
          <wp:inline distT="0" distB="0" distL="0" distR="0" wp14:anchorId="631CCBB1" wp14:editId="68E91895">
            <wp:extent cx="5731510" cy="2877185"/>
            <wp:effectExtent l="0" t="0" r="2540" b="0"/>
            <wp:docPr id="1743483223" name="Picture 1" descr="Table 53: Simulated Steady-state PK Parameters for Typical Patients Receiving a 150 mg Daily Dose of Omaveloxo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83223" name="Picture 1" descr="Table 53: Simulated Steady-state PK Parameters for Typical Patients Receiving a 150 mg Daily Dose of Omaveloxolone"/>
                    <pic:cNvPicPr/>
                  </pic:nvPicPr>
                  <pic:blipFill>
                    <a:blip r:embed="rId129"/>
                    <a:stretch>
                      <a:fillRect/>
                    </a:stretch>
                  </pic:blipFill>
                  <pic:spPr>
                    <a:xfrm>
                      <a:off x="0" y="0"/>
                      <a:ext cx="5731510" cy="2877185"/>
                    </a:xfrm>
                    <a:prstGeom prst="rect">
                      <a:avLst/>
                    </a:prstGeom>
                  </pic:spPr>
                </pic:pic>
              </a:graphicData>
            </a:graphic>
          </wp:inline>
        </w:drawing>
      </w:r>
    </w:p>
    <w:p w14:paraId="06AA05F1" w14:textId="1D72ED34" w:rsidR="00FE583D" w:rsidRDefault="00FE583D" w:rsidP="00FE583D">
      <w:r>
        <w:t xml:space="preserve">The </w:t>
      </w:r>
      <w:proofErr w:type="spellStart"/>
      <w:r>
        <w:t>popPK</w:t>
      </w:r>
      <w:proofErr w:type="spellEnd"/>
      <w:r>
        <w:t xml:space="preserve"> report REAT-PMX-OMAV-2081 states that an </w:t>
      </w:r>
      <w:r w:rsidRPr="002607A8">
        <w:t xml:space="preserve">analysis of intrinsic and extrinsic covariates on the PK of </w:t>
      </w:r>
      <w:proofErr w:type="spellStart"/>
      <w:r w:rsidRPr="002607A8">
        <w:t>omaveloxolone</w:t>
      </w:r>
      <w:proofErr w:type="spellEnd"/>
      <w:r w:rsidRPr="002607A8">
        <w:t xml:space="preserve"> suggests that healthy subject status, food effect, baseline age and baseline ALP were significant</w:t>
      </w:r>
      <w:r>
        <w:t xml:space="preserve"> covariates. The </w:t>
      </w:r>
      <w:r w:rsidR="00185508">
        <w:t>Delegate</w:t>
      </w:r>
      <w:r>
        <w:t xml:space="preserve"> has noted that weight was not mentioned as a significant covariate in the PK of </w:t>
      </w:r>
      <w:proofErr w:type="spellStart"/>
      <w:r>
        <w:t>omaveloxolone</w:t>
      </w:r>
      <w:proofErr w:type="spellEnd"/>
      <w:r>
        <w:t xml:space="preserve"> in the creation of the </w:t>
      </w:r>
      <w:proofErr w:type="spellStart"/>
      <w:r>
        <w:t>popPK</w:t>
      </w:r>
      <w:proofErr w:type="spellEnd"/>
      <w:r>
        <w:t xml:space="preserve"> model. This data gives some background regarding the predictions of </w:t>
      </w:r>
      <w:proofErr w:type="spellStart"/>
      <w:r>
        <w:t>omaveloxolone</w:t>
      </w:r>
      <w:proofErr w:type="spellEnd"/>
      <w:r>
        <w:t xml:space="preserve"> PK in patients &lt;16</w:t>
      </w:r>
      <w:r w:rsidR="000108CA">
        <w:t xml:space="preserve"> </w:t>
      </w:r>
      <w:r>
        <w:t xml:space="preserve">years, but there is currently no real-world clinical study evidence to support this. The </w:t>
      </w:r>
      <w:r w:rsidR="007B6B69">
        <w:t>sponsor</w:t>
      </w:r>
      <w:r>
        <w:t xml:space="preserve"> </w:t>
      </w:r>
      <w:r w:rsidR="005C5203">
        <w:t xml:space="preserve">has </w:t>
      </w:r>
      <w:r w:rsidR="004A4414">
        <w:t>confirmed th</w:t>
      </w:r>
      <w:r w:rsidR="005C5203">
        <w:t>ere is a study for this indication</w:t>
      </w:r>
      <w:r>
        <w:t>.</w:t>
      </w:r>
    </w:p>
    <w:p w14:paraId="17FB25F9" w14:textId="5BF1F649" w:rsidR="00D53FDE" w:rsidRDefault="00FE583D" w:rsidP="00FE583D">
      <w:r>
        <w:t xml:space="preserve">There is uncertainty regarding efficacy of </w:t>
      </w:r>
      <w:proofErr w:type="spellStart"/>
      <w:r>
        <w:t>omaveloxolone</w:t>
      </w:r>
      <w:proofErr w:type="spellEnd"/>
      <w:r>
        <w:t xml:space="preserve"> use in patients with more severe neurological manifestations who’s baseline </w:t>
      </w:r>
      <w:proofErr w:type="spellStart"/>
      <w:r>
        <w:t>mFARS</w:t>
      </w:r>
      <w:proofErr w:type="spellEnd"/>
      <w:r>
        <w:t xml:space="preserve"> score is very high. The pivotal trial 1402 part 2 required </w:t>
      </w:r>
      <w:r w:rsidR="00D53FDE">
        <w:t>a</w:t>
      </w:r>
      <w:r>
        <w:t xml:space="preserve">n </w:t>
      </w:r>
      <w:proofErr w:type="spellStart"/>
      <w:r>
        <w:t>mFARS</w:t>
      </w:r>
      <w:proofErr w:type="spellEnd"/>
      <w:r>
        <w:t xml:space="preserve"> core of between ≥20 and ≤80 for entry into the trial</w:t>
      </w:r>
      <w:r w:rsidR="00D53FDE">
        <w:t>. T</w:t>
      </w:r>
      <w:r>
        <w:t>he scale range</w:t>
      </w:r>
      <w:r w:rsidR="00D8787B">
        <w:t>d</w:t>
      </w:r>
      <w:r>
        <w:t xml:space="preserve"> from 0 to 99 with a </w:t>
      </w:r>
      <w:r w:rsidRPr="00D76CE2">
        <w:t xml:space="preserve">baseline mean (SD) </w:t>
      </w:r>
      <w:proofErr w:type="spellStart"/>
      <w:r w:rsidRPr="00D76CE2">
        <w:t>mFARS</w:t>
      </w:r>
      <w:proofErr w:type="spellEnd"/>
      <w:r w:rsidRPr="00D76CE2">
        <w:t xml:space="preserve"> score was 38.77 (</w:t>
      </w:r>
      <w:r>
        <w:t xml:space="preserve">SD </w:t>
      </w:r>
      <w:r w:rsidRPr="00D76CE2">
        <w:t>11.03) in the placebo group and 40.94</w:t>
      </w:r>
      <w:r>
        <w:t xml:space="preserve"> </w:t>
      </w:r>
      <w:r w:rsidRPr="00D76CE2">
        <w:t>(</w:t>
      </w:r>
      <w:r>
        <w:t xml:space="preserve">SD </w:t>
      </w:r>
      <w:r w:rsidRPr="00D76CE2">
        <w:t xml:space="preserve">10.39) in the </w:t>
      </w:r>
      <w:proofErr w:type="spellStart"/>
      <w:r w:rsidRPr="00D76CE2">
        <w:t>omaveloxolone</w:t>
      </w:r>
      <w:proofErr w:type="spellEnd"/>
      <w:r w:rsidRPr="00D76CE2">
        <w:t xml:space="preserve"> group</w:t>
      </w:r>
      <w:r>
        <w:t xml:space="preserve"> in study 1402 part 2. </w:t>
      </w:r>
    </w:p>
    <w:p w14:paraId="05641073" w14:textId="77777777" w:rsidR="00D91D23" w:rsidRDefault="00FE583D" w:rsidP="00FE583D">
      <w:r>
        <w:t>After consideration</w:t>
      </w:r>
      <w:r w:rsidR="00D53FDE">
        <w:t>,</w:t>
      </w:r>
      <w:r>
        <w:t xml:space="preserve"> given the lack of other available treatment options for FA</w:t>
      </w:r>
      <w:r w:rsidR="00D53FDE">
        <w:t>,</w:t>
      </w:r>
      <w:r>
        <w:t xml:space="preserve"> the </w:t>
      </w:r>
      <w:r w:rsidR="00185508">
        <w:t>Delegate</w:t>
      </w:r>
      <w:r>
        <w:t xml:space="preserve"> does not think there is sufficient reason to restrict </w:t>
      </w:r>
      <w:proofErr w:type="spellStart"/>
      <w:r>
        <w:t>omaveloxolone</w:t>
      </w:r>
      <w:proofErr w:type="spellEnd"/>
      <w:r>
        <w:t xml:space="preserve"> use in patients with severe neurological symptoms (who in clinical practice would likely have an </w:t>
      </w:r>
      <w:proofErr w:type="spellStart"/>
      <w:r>
        <w:t>mFARS</w:t>
      </w:r>
      <w:proofErr w:type="spellEnd"/>
      <w:r>
        <w:t xml:space="preserve"> score &gt;80, or baseline </w:t>
      </w:r>
      <w:proofErr w:type="spellStart"/>
      <w:r>
        <w:t>mFARS</w:t>
      </w:r>
      <w:proofErr w:type="spellEnd"/>
      <w:r>
        <w:t xml:space="preserve"> score much higher than the baseline mean </w:t>
      </w:r>
      <w:proofErr w:type="spellStart"/>
      <w:r>
        <w:t>mFARS</w:t>
      </w:r>
      <w:proofErr w:type="spellEnd"/>
      <w:r>
        <w:t xml:space="preserve"> score of participants in study 1402 part 2).  Given the main benefit of </w:t>
      </w:r>
      <w:proofErr w:type="spellStart"/>
      <w:r>
        <w:t>omaveloxolone</w:t>
      </w:r>
      <w:proofErr w:type="spellEnd"/>
      <w:r>
        <w:t xml:space="preserve"> for the proposed indication is likely to be in reducing the rate of neurological deterioration, rather than restoring function</w:t>
      </w:r>
      <w:r w:rsidR="00D91D23">
        <w:t>,</w:t>
      </w:r>
      <w:r>
        <w:t xml:space="preserve"> it could be argued that the risks of </w:t>
      </w:r>
      <w:proofErr w:type="spellStart"/>
      <w:r>
        <w:t>omaveloxolone</w:t>
      </w:r>
      <w:proofErr w:type="spellEnd"/>
      <w:r>
        <w:t xml:space="preserve"> use in patients with severe neurological disease and severe functional impairment who require assistance with most activities of daily living would outweigh the benefits of treatment (because patients with severe neurological disease and high functional impairment may have less net benefit from treatment in preserving their function if a person is already dependant on others for all care needs). </w:t>
      </w:r>
    </w:p>
    <w:p w14:paraId="43B2A267" w14:textId="2A027144" w:rsidR="00FE583D" w:rsidRDefault="00FE583D" w:rsidP="00FE583D">
      <w:r>
        <w:t>After consideration</w:t>
      </w:r>
      <w:r w:rsidR="00D91D23">
        <w:t>, the Delegate</w:t>
      </w:r>
      <w:r>
        <w:t xml:space="preserve"> think</w:t>
      </w:r>
      <w:r w:rsidR="00D91D23">
        <w:t>s</w:t>
      </w:r>
      <w:r>
        <w:t xml:space="preserve"> the prescriber is best placed to be the person to discuss with patients and their carers/families the expected benefits versus risks of </w:t>
      </w:r>
      <w:proofErr w:type="spellStart"/>
      <w:r>
        <w:t>omaveloxolone</w:t>
      </w:r>
      <w:proofErr w:type="spellEnd"/>
      <w:r>
        <w:t xml:space="preserve"> for the proposed indication in the cohort of patients who would likely have a very high baseline </w:t>
      </w:r>
      <w:proofErr w:type="spellStart"/>
      <w:r>
        <w:t>mFARS</w:t>
      </w:r>
      <w:proofErr w:type="spellEnd"/>
      <w:r>
        <w:t xml:space="preserve"> score in clinical practice (who’s baseline </w:t>
      </w:r>
      <w:proofErr w:type="spellStart"/>
      <w:r>
        <w:t>mFARS</w:t>
      </w:r>
      <w:proofErr w:type="spellEnd"/>
      <w:r>
        <w:t xml:space="preserve"> is likely much higher </w:t>
      </w:r>
      <w:r w:rsidR="00912250">
        <w:t>than</w:t>
      </w:r>
      <w:r>
        <w:t xml:space="preserve"> the baseline mean </w:t>
      </w:r>
      <w:proofErr w:type="spellStart"/>
      <w:r>
        <w:t>mFARS</w:t>
      </w:r>
      <w:proofErr w:type="spellEnd"/>
      <w:r>
        <w:t xml:space="preserve"> of participants in study 1402 part 2), rather than restricting use of </w:t>
      </w:r>
      <w:proofErr w:type="spellStart"/>
      <w:r>
        <w:t>omaveloxolone</w:t>
      </w:r>
      <w:proofErr w:type="spellEnd"/>
      <w:r>
        <w:t xml:space="preserve"> in patients with severe neurological symptoms of FA.</w:t>
      </w:r>
    </w:p>
    <w:p w14:paraId="370D1792" w14:textId="77777777" w:rsidR="00FE583D" w:rsidRDefault="00FE583D" w:rsidP="00FE583D">
      <w:pPr>
        <w:pStyle w:val="Heading4"/>
      </w:pPr>
      <w:bookmarkStart w:id="143" w:name="_Toc233964983"/>
      <w:r>
        <w:lastRenderedPageBreak/>
        <w:t>Proposed indication</w:t>
      </w:r>
      <w:bookmarkEnd w:id="143"/>
    </w:p>
    <w:p w14:paraId="3BBDB9AC" w14:textId="77777777" w:rsidR="00D91D23" w:rsidRDefault="00FE583D" w:rsidP="00FE583D">
      <w:r>
        <w:t xml:space="preserve">As discussed under headings ‘efficacy’ and ‘uncertainties and limitations of data’ </w:t>
      </w:r>
      <w:r w:rsidR="00912250">
        <w:t xml:space="preserve">the </w:t>
      </w:r>
      <w:r w:rsidR="00185508">
        <w:t>Delegate</w:t>
      </w:r>
      <w:r w:rsidR="00912250">
        <w:t xml:space="preserve"> </w:t>
      </w:r>
      <w:r>
        <w:t>consider</w:t>
      </w:r>
      <w:r w:rsidR="00912250">
        <w:t>s</w:t>
      </w:r>
      <w:r>
        <w:t xml:space="preserve"> that the </w:t>
      </w:r>
      <w:r w:rsidR="007B6B69">
        <w:t>sponsor</w:t>
      </w:r>
      <w:r>
        <w:t xml:space="preserve"> has adequately established efficacy for the proposed indication of</w:t>
      </w:r>
      <w:r w:rsidR="00D91D23">
        <w:t>:</w:t>
      </w:r>
    </w:p>
    <w:p w14:paraId="0C4E00D4" w14:textId="1F21D37B" w:rsidR="00FE583D" w:rsidRPr="002323A3" w:rsidRDefault="00D91D23" w:rsidP="00FE583D">
      <w:r>
        <w:tab/>
      </w:r>
      <w:r w:rsidR="00FE583D" w:rsidRPr="005363DD">
        <w:rPr>
          <w:i/>
        </w:rPr>
        <w:t>treatment of Friedreich’s ataxia in adults and adolescents aged 16 years and older.</w:t>
      </w:r>
    </w:p>
    <w:p w14:paraId="27826EC1" w14:textId="77777777" w:rsidR="00FE583D" w:rsidRDefault="00FE583D" w:rsidP="00FE583D">
      <w:pPr>
        <w:pStyle w:val="Heading4"/>
        <w:rPr>
          <w:i/>
        </w:rPr>
      </w:pPr>
      <w:bookmarkStart w:id="144" w:name="_Toc233964984"/>
      <w:r w:rsidRPr="00D16693">
        <w:t>Dosing</w:t>
      </w:r>
      <w:bookmarkEnd w:id="144"/>
    </w:p>
    <w:p w14:paraId="737F60E0" w14:textId="77777777" w:rsidR="00464FC8" w:rsidRDefault="00FE583D" w:rsidP="00FE583D">
      <w:r>
        <w:t xml:space="preserve">The dosing for the proposed indication is: </w:t>
      </w:r>
      <w:bookmarkStart w:id="145" w:name="AUSTRALIAN_PRODUCT_INFORMATION"/>
      <w:bookmarkStart w:id="146" w:name="1_Name_Of_The_Medicine"/>
      <w:bookmarkStart w:id="147" w:name="2_Qualitative_And_Quantitative_Compositi"/>
      <w:bookmarkStart w:id="148" w:name="3_Pharmaceutical_Form"/>
      <w:bookmarkStart w:id="149" w:name="4_Clinical_Particulars"/>
      <w:bookmarkStart w:id="150" w:name="4.1_Therapeutic_indications"/>
      <w:bookmarkStart w:id="151" w:name="4.2_Dose_and_method_of_administration"/>
      <w:bookmarkEnd w:id="145"/>
      <w:bookmarkEnd w:id="146"/>
      <w:bookmarkEnd w:id="147"/>
      <w:bookmarkEnd w:id="148"/>
      <w:bookmarkEnd w:id="149"/>
      <w:bookmarkEnd w:id="150"/>
      <w:bookmarkEnd w:id="151"/>
    </w:p>
    <w:p w14:paraId="4B4D05AF" w14:textId="77777777" w:rsidR="00464FC8" w:rsidRDefault="00FE583D" w:rsidP="00464FC8">
      <w:pPr>
        <w:ind w:left="720"/>
      </w:pPr>
      <w:r w:rsidRPr="00BA4F5C">
        <w:rPr>
          <w:i/>
          <w:iCs/>
        </w:rPr>
        <w:t xml:space="preserve">The recommended dose is 150 mg </w:t>
      </w:r>
      <w:proofErr w:type="spellStart"/>
      <w:r w:rsidRPr="00BA4F5C">
        <w:rPr>
          <w:i/>
          <w:iCs/>
        </w:rPr>
        <w:t>omaveloxolone</w:t>
      </w:r>
      <w:proofErr w:type="spellEnd"/>
      <w:r w:rsidRPr="00BA4F5C">
        <w:rPr>
          <w:i/>
          <w:iCs/>
        </w:rPr>
        <w:t xml:space="preserve"> (3 hard capsules of 50 mg each) taken orally</w:t>
      </w:r>
      <w:r>
        <w:rPr>
          <w:i/>
          <w:iCs/>
        </w:rPr>
        <w:t xml:space="preserve"> once daily </w:t>
      </w:r>
      <w:r>
        <w:t xml:space="preserve">with further instructions regarding method of administration stating </w:t>
      </w:r>
      <w:bookmarkStart w:id="152" w:name="4.3_Contraindications"/>
      <w:bookmarkStart w:id="153" w:name="4.4_Special_warnings_and_precautions_for"/>
      <w:bookmarkEnd w:id="152"/>
      <w:bookmarkEnd w:id="153"/>
      <w:proofErr w:type="spellStart"/>
      <w:r w:rsidRPr="00C700CD">
        <w:rPr>
          <w:i/>
          <w:iCs/>
        </w:rPr>
        <w:t>Omaveloxolone</w:t>
      </w:r>
      <w:proofErr w:type="spellEnd"/>
      <w:r w:rsidRPr="00C700CD">
        <w:rPr>
          <w:i/>
          <w:iCs/>
        </w:rPr>
        <w:t xml:space="preserve"> should be taken on an empty stomach at least 1 hour before or 2 hours after eating</w:t>
      </w:r>
      <w:r>
        <w:t xml:space="preserve">. </w:t>
      </w:r>
    </w:p>
    <w:p w14:paraId="51DF9C42" w14:textId="60428C7F" w:rsidR="00FE583D" w:rsidRDefault="00FE583D" w:rsidP="00464FC8">
      <w:pPr>
        <w:ind w:left="720"/>
      </w:pPr>
      <w:r>
        <w:t xml:space="preserve">For patients unable to swallow whole capsules the method of administration stated in the proposed PI is: </w:t>
      </w:r>
      <w:r w:rsidR="00464FC8" w:rsidRPr="003F00E5">
        <w:rPr>
          <w:i/>
          <w:iCs/>
        </w:rPr>
        <w:t>S</w:t>
      </w:r>
      <w:r w:rsidR="00464FC8">
        <w:rPr>
          <w:i/>
          <w:iCs/>
        </w:rPr>
        <w:t>kyclarys</w:t>
      </w:r>
      <w:r w:rsidR="00464FC8" w:rsidRPr="003F00E5">
        <w:rPr>
          <w:i/>
          <w:iCs/>
        </w:rPr>
        <w:t xml:space="preserve"> </w:t>
      </w:r>
      <w:r w:rsidRPr="003F00E5">
        <w:rPr>
          <w:i/>
          <w:iCs/>
        </w:rPr>
        <w:t>capsules may be opened, and the entire contents sprinkled onto 2 tablespoons of apple sauce. Patients should consume all the medicine/food mixture immediately on an empty stomach at least 1 hour before or 2 hours after eating.</w:t>
      </w:r>
    </w:p>
    <w:p w14:paraId="0A7A6805" w14:textId="6B212CE6" w:rsidR="00FE583D" w:rsidRDefault="00FE583D" w:rsidP="00FE583D">
      <w:r>
        <w:t>The efficacy for the 150mg daily dose has been shown in the pivotal trial 1402 part 2. This dose was chosen based on pharmacodynamic outcomes from study 1402 part 1, which showed dose dependant increase</w:t>
      </w:r>
      <w:r w:rsidR="002B6ED8">
        <w:t>s</w:t>
      </w:r>
      <w:r>
        <w:t xml:space="preserve"> in ferritin, GGT, ALT and AST at week 4</w:t>
      </w:r>
      <w:r w:rsidR="002B6ED8">
        <w:t>,</w:t>
      </w:r>
      <w:r>
        <w:t xml:space="preserve"> with dose dependant reduction in CK noted at week 4. The </w:t>
      </w:r>
      <w:r w:rsidR="007B6B69">
        <w:t>sponsor</w:t>
      </w:r>
      <w:r>
        <w:t xml:space="preserve"> has stated that these dose dependant increases at week 4 in represent induction of the Nrf2 gene and are therefore a pharmacodynamic effect which guided the </w:t>
      </w:r>
      <w:r w:rsidR="007B6B69">
        <w:t>sponsor</w:t>
      </w:r>
      <w:r w:rsidR="004C338D">
        <w:t>’</w:t>
      </w:r>
      <w:r>
        <w:t xml:space="preserve">s choice of the </w:t>
      </w:r>
      <w:proofErr w:type="spellStart"/>
      <w:r>
        <w:t>omaveloxolone</w:t>
      </w:r>
      <w:proofErr w:type="spellEnd"/>
      <w:r>
        <w:t xml:space="preserve"> dose of 150mg daily in study 1402 part 2.</w:t>
      </w:r>
    </w:p>
    <w:p w14:paraId="14F54BB4" w14:textId="0D1DF02F" w:rsidR="00FE583D" w:rsidRDefault="00FE583D" w:rsidP="00FE583D">
      <w:r>
        <w:t xml:space="preserve">Study 1703 showed that the mean </w:t>
      </w:r>
      <w:r w:rsidRPr="009F263B">
        <w:t>AUC</w:t>
      </w:r>
      <w:r w:rsidRPr="009F263B">
        <w:rPr>
          <w:vertAlign w:val="subscript"/>
        </w:rPr>
        <w:t>0-∞</w:t>
      </w:r>
      <w:r>
        <w:rPr>
          <w:vertAlign w:val="subscript"/>
        </w:rPr>
        <w:t xml:space="preserve"> </w:t>
      </w:r>
      <w:r>
        <w:t>of fasted participants in this study at doses of 50mg (545</w:t>
      </w:r>
      <w:r w:rsidRPr="00F51964">
        <w:t>h*ng/mL</w:t>
      </w:r>
      <w:r>
        <w:t>) and 100mg (1230h*ng/mL) increased in a roughly dose proportional manner, but the AUC</w:t>
      </w:r>
      <w:r w:rsidRPr="009F263B">
        <w:rPr>
          <w:vertAlign w:val="subscript"/>
        </w:rPr>
        <w:t>0-∞</w:t>
      </w:r>
      <w:r>
        <w:rPr>
          <w:vertAlign w:val="subscript"/>
        </w:rPr>
        <w:t xml:space="preserve"> </w:t>
      </w:r>
      <w:r>
        <w:t>between doses of 100mg (1230h*ng/mL) and 150mg (1230</w:t>
      </w:r>
      <w:r w:rsidRPr="000A13EC">
        <w:t xml:space="preserve"> </w:t>
      </w:r>
      <w:r>
        <w:t>h*ng/mL) were the same, indicating no dose proportional increase between these doses. This study also showed that a</w:t>
      </w:r>
      <w:r w:rsidRPr="00733CEA">
        <w:t>dministration of</w:t>
      </w:r>
      <w:r>
        <w:t xml:space="preserve"> </w:t>
      </w:r>
      <w:proofErr w:type="spellStart"/>
      <w:r w:rsidRPr="00733CEA">
        <w:t>omaveloxolone</w:t>
      </w:r>
      <w:proofErr w:type="spellEnd"/>
      <w:r>
        <w:t xml:space="preserve"> 150mg</w:t>
      </w:r>
      <w:r w:rsidRPr="00733CEA">
        <w:t xml:space="preserve"> with a high-fat meal resulted in a</w:t>
      </w:r>
      <w:r>
        <w:t xml:space="preserve">n approximately </w:t>
      </w:r>
      <w:r w:rsidR="00B20412" w:rsidRPr="00733CEA">
        <w:t>4.5-fold</w:t>
      </w:r>
      <w:r w:rsidRPr="00733CEA">
        <w:t xml:space="preserve"> increase in mean </w:t>
      </w:r>
      <w:proofErr w:type="spellStart"/>
      <w:r w:rsidRPr="00733CEA">
        <w:t>C</w:t>
      </w:r>
      <w:r w:rsidRPr="00733CEA">
        <w:rPr>
          <w:vertAlign w:val="subscript"/>
        </w:rPr>
        <w:t>max</w:t>
      </w:r>
      <w:proofErr w:type="spellEnd"/>
      <w:r w:rsidRPr="00733CEA">
        <w:t xml:space="preserve"> and a</w:t>
      </w:r>
      <w:r>
        <w:t xml:space="preserve">n approximately </w:t>
      </w:r>
      <w:r w:rsidRPr="00733CEA">
        <w:t>15%</w:t>
      </w:r>
      <w:r>
        <w:t xml:space="preserve"> </w:t>
      </w:r>
      <w:r w:rsidRPr="00733CEA">
        <w:t>increase in mean AUC</w:t>
      </w:r>
      <w:r w:rsidRPr="00733CEA">
        <w:rPr>
          <w:vertAlign w:val="subscript"/>
        </w:rPr>
        <w:t>inf</w:t>
      </w:r>
      <w:r w:rsidRPr="00733CEA">
        <w:t xml:space="preserve"> as compared to fasting conditions</w:t>
      </w:r>
      <w:r>
        <w:t xml:space="preserve"> using the same 150mg </w:t>
      </w:r>
      <w:proofErr w:type="spellStart"/>
      <w:r>
        <w:t>omaveloxolone</w:t>
      </w:r>
      <w:proofErr w:type="spellEnd"/>
      <w:r>
        <w:t xml:space="preserve"> dose. The bioavailability of </w:t>
      </w:r>
      <w:proofErr w:type="spellStart"/>
      <w:r>
        <w:t>Omaveloxolone</w:t>
      </w:r>
      <w:proofErr w:type="spellEnd"/>
      <w:r>
        <w:t xml:space="preserve"> was not formally studied during the clinical development program. As per review by EMA evaluators given the increased </w:t>
      </w:r>
      <w:proofErr w:type="spellStart"/>
      <w:r>
        <w:t>C</w:t>
      </w:r>
      <w:r w:rsidRPr="00CE58EF">
        <w:rPr>
          <w:vertAlign w:val="subscript"/>
        </w:rPr>
        <w:t>max</w:t>
      </w:r>
      <w:proofErr w:type="spellEnd"/>
      <w:r>
        <w:t xml:space="preserve"> and increased </w:t>
      </w:r>
      <w:r w:rsidRPr="009F263B">
        <w:t>AUC</w:t>
      </w:r>
      <w:r w:rsidRPr="009F263B">
        <w:rPr>
          <w:vertAlign w:val="subscript"/>
        </w:rPr>
        <w:t>0-∞</w:t>
      </w:r>
      <w:r>
        <w:rPr>
          <w:vertAlign w:val="subscript"/>
        </w:rPr>
        <w:t xml:space="preserve"> </w:t>
      </w:r>
      <w:r>
        <w:t xml:space="preserve">in the fed state it is recommended in the proposed PI that </w:t>
      </w:r>
      <w:proofErr w:type="spellStart"/>
      <w:r>
        <w:t>omaveloxolone</w:t>
      </w:r>
      <w:proofErr w:type="spellEnd"/>
      <w:r>
        <w:t xml:space="preserve"> is recommended to be taken at least</w:t>
      </w:r>
      <w:r w:rsidR="00B20412">
        <w:br/>
      </w:r>
      <w:r>
        <w:t>1 hour before or 2 hours after eating</w:t>
      </w:r>
      <w:r w:rsidR="00D758A6">
        <w:t>. G</w:t>
      </w:r>
      <w:r>
        <w:t xml:space="preserve">iven changes in the </w:t>
      </w:r>
      <w:proofErr w:type="spellStart"/>
      <w:r>
        <w:t>C</w:t>
      </w:r>
      <w:r w:rsidRPr="00C31F04">
        <w:rPr>
          <w:vertAlign w:val="subscript"/>
        </w:rPr>
        <w:t>max</w:t>
      </w:r>
      <w:proofErr w:type="spellEnd"/>
      <w:r>
        <w:t xml:space="preserve"> and </w:t>
      </w:r>
      <w:r w:rsidRPr="009F263B">
        <w:t>AUC</w:t>
      </w:r>
      <w:r w:rsidRPr="009F263B">
        <w:rPr>
          <w:vertAlign w:val="subscript"/>
        </w:rPr>
        <w:t>0-∞</w:t>
      </w:r>
      <w:r>
        <w:rPr>
          <w:vertAlign w:val="subscript"/>
        </w:rPr>
        <w:t xml:space="preserve"> </w:t>
      </w:r>
      <w:r>
        <w:t>noted in pharmacokinetic study 1703</w:t>
      </w:r>
      <w:r w:rsidR="00D758A6">
        <w:t>,</w:t>
      </w:r>
      <w:r>
        <w:t xml:space="preserve"> the </w:t>
      </w:r>
      <w:r w:rsidR="00185508">
        <w:t>Delegate</w:t>
      </w:r>
      <w:r>
        <w:t xml:space="preserve"> agrees with this recommendation.</w:t>
      </w:r>
    </w:p>
    <w:p w14:paraId="4A49A15E" w14:textId="0D547DDB" w:rsidR="002E015C" w:rsidRDefault="00FE583D" w:rsidP="00FE583D">
      <w:r>
        <w:t xml:space="preserve">Regarding </w:t>
      </w:r>
      <w:r w:rsidR="002440C1">
        <w:t xml:space="preserve">the </w:t>
      </w:r>
      <w:r>
        <w:t xml:space="preserve">recommended dose of 150mg daily, it is noted the </w:t>
      </w:r>
      <w:r w:rsidRPr="009F263B">
        <w:t>AUC</w:t>
      </w:r>
      <w:r w:rsidRPr="009F263B">
        <w:rPr>
          <w:vertAlign w:val="subscript"/>
        </w:rPr>
        <w:t>0-∞</w:t>
      </w:r>
      <w:r>
        <w:rPr>
          <w:vertAlign w:val="subscript"/>
        </w:rPr>
        <w:t xml:space="preserve"> </w:t>
      </w:r>
      <w:r>
        <w:t xml:space="preserve">in study 1703 showed that dose proportionality was not clearly established in </w:t>
      </w:r>
      <w:r w:rsidR="00933A81">
        <w:t xml:space="preserve">the </w:t>
      </w:r>
      <w:r>
        <w:t xml:space="preserve">dose range of 100mg to 150mg and that study 1402 part 1 showed mean increases in </w:t>
      </w:r>
      <w:r w:rsidR="00933A81">
        <w:t>f</w:t>
      </w:r>
      <w:r>
        <w:t xml:space="preserve">erritin, AST and ALT at week 4 compared to baseline for the </w:t>
      </w:r>
      <w:proofErr w:type="spellStart"/>
      <w:r>
        <w:t>omaveloxolone</w:t>
      </w:r>
      <w:proofErr w:type="spellEnd"/>
      <w:r>
        <w:t xml:space="preserve"> 80mg daily dose</w:t>
      </w:r>
      <w:r w:rsidR="00A70836">
        <w:t>. T</w:t>
      </w:r>
      <w:r>
        <w:t>his raises the possibility</w:t>
      </w:r>
      <w:r w:rsidR="00CB0264">
        <w:t>,</w:t>
      </w:r>
      <w:r>
        <w:t xml:space="preserve"> given systemic exposures for the 100mg and 150mg daily dose may be similar</w:t>
      </w:r>
      <w:r w:rsidR="00CB0264">
        <w:t>,</w:t>
      </w:r>
      <w:r>
        <w:t xml:space="preserve"> </w:t>
      </w:r>
      <w:r w:rsidR="005C5541">
        <w:t xml:space="preserve">that </w:t>
      </w:r>
      <w:r>
        <w:t xml:space="preserve">the 100mg daily </w:t>
      </w:r>
      <w:proofErr w:type="spellStart"/>
      <w:r>
        <w:t>omaveloxolone</w:t>
      </w:r>
      <w:proofErr w:type="spellEnd"/>
      <w:r>
        <w:t xml:space="preserve"> dose could have similar efficacy to the 150mg daily dose. But given the pivotal study 1402 part 2 only used the dose of 150mg daily</w:t>
      </w:r>
      <w:r w:rsidR="00CB0264">
        <w:t>,</w:t>
      </w:r>
      <w:r>
        <w:t xml:space="preserve"> the </w:t>
      </w:r>
      <w:r w:rsidR="00185508">
        <w:t>Delegate</w:t>
      </w:r>
      <w:r>
        <w:t xml:space="preserve"> agrees with 150mg daily being the recommended </w:t>
      </w:r>
      <w:proofErr w:type="spellStart"/>
      <w:r>
        <w:t>omaveloxolone</w:t>
      </w:r>
      <w:proofErr w:type="spellEnd"/>
      <w:r>
        <w:t xml:space="preserve"> dose for the proposed indication. </w:t>
      </w:r>
    </w:p>
    <w:p w14:paraId="21660199" w14:textId="161B83FC" w:rsidR="00FE583D" w:rsidRPr="002C67DC" w:rsidRDefault="00FE583D" w:rsidP="00FE583D">
      <w:r w:rsidRPr="00B3771D">
        <w:rPr>
          <w:i/>
          <w:iCs/>
        </w:rPr>
        <w:t>In document ‘foreign evaluation report – day 150 assessment reports – clinical’ on page 118</w:t>
      </w:r>
      <w:r>
        <w:rPr>
          <w:i/>
          <w:iCs/>
        </w:rPr>
        <w:t xml:space="preserve"> </w:t>
      </w:r>
      <w:r>
        <w:t>in response to the EMA evaluator queries regarding dose proportionality</w:t>
      </w:r>
      <w:r w:rsidR="002E015C">
        <w:t>,</w:t>
      </w:r>
      <w:r>
        <w:t xml:space="preserve"> the </w:t>
      </w:r>
      <w:r w:rsidR="007B6B69">
        <w:t>sponsor</w:t>
      </w:r>
      <w:r>
        <w:t xml:space="preserve"> has used the </w:t>
      </w:r>
      <w:proofErr w:type="spellStart"/>
      <w:r>
        <w:t>popPK</w:t>
      </w:r>
      <w:proofErr w:type="spellEnd"/>
      <w:r>
        <w:t xml:space="preserve"> </w:t>
      </w:r>
      <w:bookmarkStart w:id="154" w:name="Question_85"/>
      <w:bookmarkStart w:id="155" w:name="Applicant’s_response:"/>
      <w:bookmarkStart w:id="156" w:name="Dose_proprtionality_of_Omaveloxolone"/>
      <w:bookmarkEnd w:id="154"/>
      <w:bookmarkEnd w:id="155"/>
      <w:bookmarkEnd w:id="156"/>
      <w:r w:rsidRPr="002C67DC">
        <w:t>model (REAT-PMX-OMAV-2081) to generate a boxplot of individual post hoc clearance values vs dose</w:t>
      </w:r>
      <w:r>
        <w:t xml:space="preserve"> </w:t>
      </w:r>
      <w:r w:rsidRPr="002C67DC">
        <w:t xml:space="preserve">for healthy subjects from Studies 408-C-1703 (dose proportionality assessment), 408-C-1804 (healthy subject controls from hepatic impairment study), and 408-C-1806 </w:t>
      </w:r>
      <w:r w:rsidRPr="002C67DC">
        <w:lastRenderedPageBreak/>
        <w:t>(</w:t>
      </w:r>
      <w:proofErr w:type="spellStart"/>
      <w:r w:rsidRPr="002C67DC">
        <w:t>omaveloxolone</w:t>
      </w:r>
      <w:proofErr w:type="spellEnd"/>
      <w:r w:rsidRPr="002C67DC">
        <w:t xml:space="preserve"> administered alone from clinical drug-drug interaction [DDI] study), and patients with FA from</w:t>
      </w:r>
      <w:r>
        <w:t xml:space="preserve"> </w:t>
      </w:r>
      <w:r w:rsidRPr="002C67DC">
        <w:t>Study 1402 Part 1 and Part 2</w:t>
      </w:r>
      <w:r>
        <w:t xml:space="preserve"> shown in </w:t>
      </w:r>
      <w:r w:rsidRPr="00062987">
        <w:fldChar w:fldCharType="begin"/>
      </w:r>
      <w:r w:rsidRPr="00062987">
        <w:instrText xml:space="preserve"> REF _Ref187837354 \h  \* MERGEFORMAT </w:instrText>
      </w:r>
      <w:r w:rsidRPr="00062987">
        <w:fldChar w:fldCharType="separate"/>
      </w:r>
      <w:r w:rsidRPr="00062987">
        <w:t xml:space="preserve">Figure </w:t>
      </w:r>
      <w:r w:rsidRPr="00062987">
        <w:rPr>
          <w:noProof/>
        </w:rPr>
        <w:t>3</w:t>
      </w:r>
      <w:r w:rsidR="009826B1">
        <w:rPr>
          <w:noProof/>
        </w:rPr>
        <w:t>4</w:t>
      </w:r>
      <w:r w:rsidRPr="00062987">
        <w:fldChar w:fldCharType="end"/>
      </w:r>
      <w:r w:rsidRPr="00062987">
        <w:t>.</w:t>
      </w:r>
    </w:p>
    <w:p w14:paraId="61580FD0" w14:textId="3DAB7081" w:rsidR="00FE583D" w:rsidRPr="00062987" w:rsidRDefault="00FE583D" w:rsidP="0022418F">
      <w:pPr>
        <w:pStyle w:val="FigureTitle"/>
      </w:pPr>
      <w:bookmarkStart w:id="157" w:name="_Ref187837354"/>
      <w:r w:rsidRPr="00062987">
        <w:t xml:space="preserve">Figure </w:t>
      </w:r>
      <w:fldSimple w:instr=" SEQ Figure \* ARABIC ">
        <w:r>
          <w:rPr>
            <w:noProof/>
          </w:rPr>
          <w:t>3</w:t>
        </w:r>
        <w:r w:rsidR="00297798">
          <w:rPr>
            <w:noProof/>
          </w:rPr>
          <w:t>4</w:t>
        </w:r>
      </w:fldSimple>
      <w:bookmarkEnd w:id="157"/>
      <w:r w:rsidRPr="00062987">
        <w:t xml:space="preserve">: Post </w:t>
      </w:r>
      <w:r w:rsidR="00C02482">
        <w:t>h</w:t>
      </w:r>
      <w:r w:rsidRPr="00062987">
        <w:t xml:space="preserve">oc </w:t>
      </w:r>
      <w:r w:rsidR="00C02482">
        <w:t>c</w:t>
      </w:r>
      <w:r w:rsidRPr="00062987">
        <w:t xml:space="preserve">learance vs </w:t>
      </w:r>
      <w:r w:rsidR="00C02482">
        <w:t>d</w:t>
      </w:r>
      <w:r w:rsidRPr="00062987">
        <w:t xml:space="preserve">ose in </w:t>
      </w:r>
      <w:r w:rsidR="00C02482">
        <w:t>h</w:t>
      </w:r>
      <w:r w:rsidRPr="00062987">
        <w:t xml:space="preserve">ealthy </w:t>
      </w:r>
      <w:r w:rsidR="00C02482">
        <w:t>s</w:t>
      </w:r>
      <w:r w:rsidRPr="00062987">
        <w:t xml:space="preserve">ubjects (Studies 408-C-1703 and 408-C-1806) and FA </w:t>
      </w:r>
      <w:r w:rsidR="00C02482">
        <w:t>p</w:t>
      </w:r>
      <w:r w:rsidRPr="00062987">
        <w:t xml:space="preserve">atients from Study 1402 </w:t>
      </w:r>
      <w:r w:rsidR="00B30628">
        <w:t>p</w:t>
      </w:r>
      <w:r w:rsidRPr="00062987">
        <w:t xml:space="preserve">art 1 and </w:t>
      </w:r>
      <w:r w:rsidR="00B30628">
        <w:t>p</w:t>
      </w:r>
      <w:r w:rsidRPr="00062987">
        <w:t>art 2</w:t>
      </w:r>
    </w:p>
    <w:p w14:paraId="0A639879" w14:textId="77777777" w:rsidR="00FE583D" w:rsidRPr="002C67DC" w:rsidRDefault="00FE583D" w:rsidP="00FE583D">
      <w:r w:rsidRPr="000F4660">
        <w:rPr>
          <w:noProof/>
        </w:rPr>
        <w:drawing>
          <wp:inline distT="0" distB="0" distL="0" distR="0" wp14:anchorId="59D27179" wp14:editId="26B52394">
            <wp:extent cx="5474325" cy="4515439"/>
            <wp:effectExtent l="0" t="0" r="0" b="0"/>
            <wp:docPr id="553262019" name="Picture 1" descr="Figure 33: Post Hoc Clearance vs Dose in Healthy Subjects (Studies 408-C-1703 and 408-C-1806) and FA Patients from Study 1402 Part 1 and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62019" name="Picture 1" descr="Figure 33: Post Hoc Clearance vs Dose in Healthy Subjects (Studies 408-C-1703 and 408-C-1806) and FA Patients from Study 1402 Part 1 and Part 2"/>
                    <pic:cNvPicPr/>
                  </pic:nvPicPr>
                  <pic:blipFill>
                    <a:blip r:embed="rId130"/>
                    <a:stretch>
                      <a:fillRect/>
                    </a:stretch>
                  </pic:blipFill>
                  <pic:spPr>
                    <a:xfrm>
                      <a:off x="0" y="0"/>
                      <a:ext cx="5479310" cy="4519551"/>
                    </a:xfrm>
                    <a:prstGeom prst="rect">
                      <a:avLst/>
                    </a:prstGeom>
                  </pic:spPr>
                </pic:pic>
              </a:graphicData>
            </a:graphic>
          </wp:inline>
        </w:drawing>
      </w:r>
    </w:p>
    <w:p w14:paraId="29DD21BD" w14:textId="2688680E" w:rsidR="00FE583D" w:rsidRDefault="00FE583D" w:rsidP="00FE583D">
      <w:r>
        <w:t xml:space="preserve">The </w:t>
      </w:r>
      <w:r w:rsidR="007B6B69">
        <w:t>sponsor</w:t>
      </w:r>
      <w:r>
        <w:t xml:space="preserve"> states that consistent clearance values across doses in healthy subjects and FA patients is indicative of linear PK and dose proportional behaviour with respect to total systemic exposure as measured by AUC. The </w:t>
      </w:r>
      <w:r w:rsidR="00185508">
        <w:t>Delegate</w:t>
      </w:r>
      <w:r>
        <w:t xml:space="preserve"> accepts this data provides supportive evidence that </w:t>
      </w:r>
      <w:proofErr w:type="spellStart"/>
      <w:r>
        <w:t>omaveloxolone</w:t>
      </w:r>
      <w:proofErr w:type="spellEnd"/>
      <w:r>
        <w:t xml:space="preserve"> displays linear PK.</w:t>
      </w:r>
    </w:p>
    <w:p w14:paraId="236429F3" w14:textId="77777777" w:rsidR="00FE583D" w:rsidRDefault="00FE583D" w:rsidP="00FE583D">
      <w:r>
        <w:t xml:space="preserve">See heading </w:t>
      </w:r>
      <w:r w:rsidRPr="006C20FB">
        <w:rPr>
          <w:i/>
          <w:iCs/>
        </w:rPr>
        <w:t>‘</w:t>
      </w:r>
      <w:r w:rsidRPr="006C20FB">
        <w:rPr>
          <w:i/>
          <w:iCs/>
        </w:rPr>
        <w:fldChar w:fldCharType="begin"/>
      </w:r>
      <w:r w:rsidRPr="006C20FB">
        <w:rPr>
          <w:i/>
          <w:iCs/>
        </w:rPr>
        <w:instrText xml:space="preserve"> REF _Ref188275067 \h </w:instrText>
      </w:r>
      <w:r>
        <w:rPr>
          <w:i/>
          <w:iCs/>
        </w:rPr>
        <w:instrText xml:space="preserve"> \* MERGEFORMAT </w:instrText>
      </w:r>
      <w:r w:rsidRPr="006C20FB">
        <w:rPr>
          <w:i/>
          <w:iCs/>
        </w:rPr>
      </w:r>
      <w:r w:rsidRPr="006C20FB">
        <w:rPr>
          <w:i/>
          <w:iCs/>
        </w:rPr>
        <w:fldChar w:fldCharType="separate"/>
      </w:r>
      <w:r w:rsidRPr="006C20FB">
        <w:rPr>
          <w:i/>
          <w:iCs/>
        </w:rPr>
        <w:t>Pharmacokinetics</w:t>
      </w:r>
      <w:r w:rsidRPr="006C20FB">
        <w:rPr>
          <w:i/>
          <w:iCs/>
        </w:rPr>
        <w:fldChar w:fldCharType="end"/>
      </w:r>
      <w:r w:rsidRPr="006C20FB">
        <w:rPr>
          <w:i/>
          <w:iCs/>
        </w:rPr>
        <w:t>’</w:t>
      </w:r>
      <w:r>
        <w:t xml:space="preserve"> in discussion section for discussion of </w:t>
      </w:r>
      <w:proofErr w:type="spellStart"/>
      <w:r>
        <w:t>omaveloxolone</w:t>
      </w:r>
      <w:proofErr w:type="spellEnd"/>
      <w:r>
        <w:t xml:space="preserve"> dosing in renal and hepatic impairment, as well as drug-drug interactions.</w:t>
      </w:r>
    </w:p>
    <w:p w14:paraId="1C340C3E" w14:textId="77777777" w:rsidR="0046469F" w:rsidRPr="00A02D8B" w:rsidRDefault="0046469F" w:rsidP="0008734C">
      <w:pPr>
        <w:pStyle w:val="Heading4"/>
      </w:pPr>
      <w:bookmarkStart w:id="158" w:name="_Toc233964985"/>
      <w:r>
        <w:t>Conclusions</w:t>
      </w:r>
      <w:bookmarkEnd w:id="158"/>
    </w:p>
    <w:p w14:paraId="13C665FE" w14:textId="5045F563" w:rsidR="0046469F" w:rsidRDefault="0046469F" w:rsidP="0046469F">
      <w:pPr>
        <w:pStyle w:val="Instructions"/>
        <w:rPr>
          <w:i w:val="0"/>
          <w:iCs/>
          <w:color w:val="auto"/>
        </w:rPr>
      </w:pPr>
      <w:r w:rsidRPr="00F93B70">
        <w:rPr>
          <w:i w:val="0"/>
          <w:iCs/>
          <w:color w:val="auto"/>
        </w:rPr>
        <w:t xml:space="preserve">The submitted </w:t>
      </w:r>
      <w:r>
        <w:rPr>
          <w:i w:val="0"/>
          <w:iCs/>
          <w:color w:val="auto"/>
        </w:rPr>
        <w:t>application shows significant efficacy for the proposed indication</w:t>
      </w:r>
      <w:r w:rsidR="007421D3">
        <w:rPr>
          <w:i w:val="0"/>
          <w:iCs/>
          <w:color w:val="auto"/>
        </w:rPr>
        <w:t>:</w:t>
      </w:r>
      <w:r>
        <w:rPr>
          <w:i w:val="0"/>
          <w:iCs/>
          <w:color w:val="auto"/>
        </w:rPr>
        <w:t xml:space="preserve"> </w:t>
      </w:r>
      <w:r w:rsidRPr="00067DCA">
        <w:rPr>
          <w:color w:val="auto"/>
        </w:rPr>
        <w:t>for the treatment of Friedreich’s ataxia in adults and adolescents aged 16 years and older.</w:t>
      </w:r>
      <w:r>
        <w:rPr>
          <w:color w:val="auto"/>
        </w:rPr>
        <w:t xml:space="preserve"> </w:t>
      </w:r>
      <w:r>
        <w:rPr>
          <w:i w:val="0"/>
          <w:iCs/>
          <w:color w:val="auto"/>
        </w:rPr>
        <w:t xml:space="preserve">The primary efficacy endpoint in the pivotal study mainly relates to long term neurological outcomes, as measured by differences in the </w:t>
      </w:r>
      <w:proofErr w:type="spellStart"/>
      <w:r>
        <w:rPr>
          <w:i w:val="0"/>
          <w:iCs/>
          <w:color w:val="auto"/>
        </w:rPr>
        <w:t>mFARS</w:t>
      </w:r>
      <w:proofErr w:type="spellEnd"/>
      <w:r>
        <w:rPr>
          <w:i w:val="0"/>
          <w:iCs/>
          <w:color w:val="auto"/>
        </w:rPr>
        <w:t xml:space="preserve"> score between </w:t>
      </w:r>
      <w:proofErr w:type="spellStart"/>
      <w:r>
        <w:rPr>
          <w:i w:val="0"/>
          <w:iCs/>
          <w:color w:val="auto"/>
        </w:rPr>
        <w:t>omaveloxolone</w:t>
      </w:r>
      <w:proofErr w:type="spellEnd"/>
      <w:r>
        <w:rPr>
          <w:i w:val="0"/>
          <w:iCs/>
          <w:color w:val="auto"/>
        </w:rPr>
        <w:t xml:space="preserve"> and placebo treatment groups. Long term this may also correlate with a slowing of deterioration in a patient’s day to day activities of daily living and function. Whilst there are adverse events noted with </w:t>
      </w:r>
      <w:proofErr w:type="spellStart"/>
      <w:r>
        <w:rPr>
          <w:i w:val="0"/>
          <w:iCs/>
          <w:color w:val="auto"/>
        </w:rPr>
        <w:t>omaveloxolone</w:t>
      </w:r>
      <w:proofErr w:type="spellEnd"/>
      <w:r>
        <w:rPr>
          <w:i w:val="0"/>
          <w:iCs/>
          <w:color w:val="auto"/>
        </w:rPr>
        <w:t xml:space="preserve"> that are relatively common</w:t>
      </w:r>
      <w:r w:rsidR="007421D3">
        <w:rPr>
          <w:i w:val="0"/>
          <w:iCs/>
          <w:color w:val="auto"/>
        </w:rPr>
        <w:t>,</w:t>
      </w:r>
      <w:r>
        <w:rPr>
          <w:i w:val="0"/>
          <w:iCs/>
          <w:color w:val="auto"/>
        </w:rPr>
        <w:t xml:space="preserve"> these are adequately described in the product information. </w:t>
      </w:r>
    </w:p>
    <w:p w14:paraId="1AC0FB20" w14:textId="77777777" w:rsidR="00BB2C62" w:rsidRDefault="00BB2C62">
      <w:pPr>
        <w:rPr>
          <w:rFonts w:eastAsia="Cambria" w:cs="Times New Roman"/>
          <w:iCs/>
          <w:szCs w:val="22"/>
        </w:rPr>
      </w:pPr>
      <w:r>
        <w:rPr>
          <w:i/>
          <w:iCs/>
        </w:rPr>
        <w:br w:type="page"/>
      </w:r>
    </w:p>
    <w:p w14:paraId="3D436EFB" w14:textId="3ACB0D10" w:rsidR="0046469F" w:rsidRDefault="0046469F" w:rsidP="0046469F">
      <w:pPr>
        <w:pStyle w:val="Instructions"/>
        <w:rPr>
          <w:i w:val="0"/>
          <w:iCs/>
          <w:color w:val="auto"/>
        </w:rPr>
      </w:pPr>
      <w:r>
        <w:rPr>
          <w:i w:val="0"/>
          <w:iCs/>
          <w:color w:val="auto"/>
        </w:rPr>
        <w:lastRenderedPageBreak/>
        <w:t xml:space="preserve">Uncertainty remains regarding whether longer </w:t>
      </w:r>
      <w:proofErr w:type="spellStart"/>
      <w:r>
        <w:rPr>
          <w:i w:val="0"/>
          <w:iCs/>
          <w:color w:val="auto"/>
        </w:rPr>
        <w:t>omaveloxolone</w:t>
      </w:r>
      <w:proofErr w:type="spellEnd"/>
      <w:r>
        <w:rPr>
          <w:i w:val="0"/>
          <w:iCs/>
          <w:color w:val="auto"/>
        </w:rPr>
        <w:t xml:space="preserve"> treatment has any effect on mortality in patients with Friedreich’s ataxia. There is also uncertainty regarding whether rises in hepatic enzymes occurring after treatment with </w:t>
      </w:r>
      <w:proofErr w:type="spellStart"/>
      <w:r>
        <w:rPr>
          <w:i w:val="0"/>
          <w:iCs/>
          <w:color w:val="auto"/>
        </w:rPr>
        <w:t>omaveloxolone</w:t>
      </w:r>
      <w:proofErr w:type="spellEnd"/>
      <w:r>
        <w:rPr>
          <w:i w:val="0"/>
          <w:iCs/>
          <w:color w:val="auto"/>
        </w:rPr>
        <w:t xml:space="preserve"> are related to a pharmacodynamic effect of </w:t>
      </w:r>
      <w:proofErr w:type="spellStart"/>
      <w:r>
        <w:rPr>
          <w:i w:val="0"/>
          <w:iCs/>
          <w:color w:val="auto"/>
        </w:rPr>
        <w:t>omaveloxolone</w:t>
      </w:r>
      <w:proofErr w:type="spellEnd"/>
      <w:r>
        <w:rPr>
          <w:i w:val="0"/>
          <w:iCs/>
          <w:color w:val="auto"/>
        </w:rPr>
        <w:t xml:space="preserve"> or a result of hepatic injury. Long term effects of </w:t>
      </w:r>
      <w:proofErr w:type="spellStart"/>
      <w:r>
        <w:rPr>
          <w:i w:val="0"/>
          <w:iCs/>
          <w:color w:val="auto"/>
        </w:rPr>
        <w:t>omaveloxolone</w:t>
      </w:r>
      <w:proofErr w:type="spellEnd"/>
      <w:r>
        <w:rPr>
          <w:i w:val="0"/>
          <w:iCs/>
          <w:color w:val="auto"/>
        </w:rPr>
        <w:t xml:space="preserve"> treatment on cardiac function also remains uncertain, especially whether cardiac disorders in patients with Friedreich’s ataxia on long term </w:t>
      </w:r>
      <w:proofErr w:type="spellStart"/>
      <w:r>
        <w:rPr>
          <w:i w:val="0"/>
          <w:iCs/>
          <w:color w:val="auto"/>
        </w:rPr>
        <w:t>omaveloxolone</w:t>
      </w:r>
      <w:proofErr w:type="spellEnd"/>
      <w:r>
        <w:rPr>
          <w:i w:val="0"/>
          <w:iCs/>
          <w:color w:val="auto"/>
        </w:rPr>
        <w:t xml:space="preserve"> will increase, remain the same or be reduced compared to patients with Friedreich’s Ataxia not taking </w:t>
      </w:r>
      <w:proofErr w:type="spellStart"/>
      <w:r>
        <w:rPr>
          <w:i w:val="0"/>
          <w:iCs/>
          <w:color w:val="auto"/>
        </w:rPr>
        <w:t>omaveloxolone</w:t>
      </w:r>
      <w:proofErr w:type="spellEnd"/>
      <w:r>
        <w:rPr>
          <w:i w:val="0"/>
          <w:iCs/>
          <w:color w:val="auto"/>
        </w:rPr>
        <w:t xml:space="preserve">. </w:t>
      </w:r>
    </w:p>
    <w:p w14:paraId="3F9BFE87" w14:textId="77777777" w:rsidR="00BE28F6" w:rsidRDefault="0046469F" w:rsidP="0046469F">
      <w:pPr>
        <w:pStyle w:val="Instructions"/>
        <w:rPr>
          <w:i w:val="0"/>
          <w:iCs/>
          <w:color w:val="auto"/>
        </w:rPr>
      </w:pPr>
      <w:r>
        <w:rPr>
          <w:i w:val="0"/>
          <w:iCs/>
          <w:color w:val="auto"/>
        </w:rPr>
        <w:t xml:space="preserve">The </w:t>
      </w:r>
      <w:r w:rsidR="00185508">
        <w:rPr>
          <w:i w:val="0"/>
          <w:iCs/>
          <w:color w:val="auto"/>
        </w:rPr>
        <w:t>Delegate</w:t>
      </w:r>
      <w:r>
        <w:rPr>
          <w:i w:val="0"/>
          <w:iCs/>
          <w:color w:val="auto"/>
        </w:rPr>
        <w:t xml:space="preserve"> acknowledges that Friedreich’s ataxia is a debilitating, progressive neurological disorder (with significant cardiac manifestations) that commonly results in premature mortality and high rates of disability with no currently available effective pharmacological treatment. </w:t>
      </w:r>
    </w:p>
    <w:p w14:paraId="5F056561" w14:textId="791658D7" w:rsidR="0046469F" w:rsidRPr="00120909" w:rsidRDefault="0046469F" w:rsidP="0046469F">
      <w:pPr>
        <w:pStyle w:val="Instructions"/>
        <w:rPr>
          <w:i w:val="0"/>
          <w:iCs/>
          <w:color w:val="auto"/>
        </w:rPr>
      </w:pPr>
      <w:r>
        <w:rPr>
          <w:i w:val="0"/>
          <w:iCs/>
          <w:color w:val="auto"/>
        </w:rPr>
        <w:t xml:space="preserve">After consideration of the </w:t>
      </w:r>
      <w:r w:rsidR="007B6B69">
        <w:rPr>
          <w:i w:val="0"/>
          <w:iCs/>
          <w:color w:val="auto"/>
        </w:rPr>
        <w:t>sponsor</w:t>
      </w:r>
      <w:r w:rsidR="004C338D">
        <w:rPr>
          <w:i w:val="0"/>
          <w:iCs/>
          <w:color w:val="auto"/>
        </w:rPr>
        <w:t>’</w:t>
      </w:r>
      <w:r>
        <w:rPr>
          <w:i w:val="0"/>
          <w:iCs/>
          <w:color w:val="auto"/>
        </w:rPr>
        <w:t>s submission</w:t>
      </w:r>
      <w:r w:rsidR="00BA4A78">
        <w:rPr>
          <w:i w:val="0"/>
          <w:iCs/>
          <w:color w:val="auto"/>
        </w:rPr>
        <w:t>,</w:t>
      </w:r>
      <w:r>
        <w:rPr>
          <w:i w:val="0"/>
          <w:iCs/>
          <w:color w:val="auto"/>
        </w:rPr>
        <w:t xml:space="preserve"> the </w:t>
      </w:r>
      <w:r w:rsidR="00185508">
        <w:rPr>
          <w:i w:val="0"/>
          <w:iCs/>
          <w:color w:val="auto"/>
        </w:rPr>
        <w:t>Delegate</w:t>
      </w:r>
      <w:r>
        <w:rPr>
          <w:i w:val="0"/>
          <w:iCs/>
          <w:color w:val="auto"/>
        </w:rPr>
        <w:t xml:space="preserve"> finds that </w:t>
      </w:r>
      <w:r w:rsidR="0006236E">
        <w:rPr>
          <w:i w:val="0"/>
          <w:iCs/>
          <w:color w:val="auto"/>
        </w:rPr>
        <w:t>overall,</w:t>
      </w:r>
      <w:r>
        <w:rPr>
          <w:i w:val="0"/>
          <w:iCs/>
          <w:color w:val="auto"/>
        </w:rPr>
        <w:t xml:space="preserve"> the risk-benefit profile for Skyclarys is favourable for the proposed indication. Whilst a final decision has not been reached, I am inclined to approve the registration of Skyclarys for the proposed indication pending resolution of the outstanding issues.</w:t>
      </w:r>
    </w:p>
    <w:p w14:paraId="6450D1F6" w14:textId="77777777" w:rsidR="00EA019D" w:rsidRDefault="00EA019D" w:rsidP="005D6143">
      <w:pPr>
        <w:pStyle w:val="Heading3"/>
        <w:spacing w:before="360"/>
        <w:rPr>
          <w:lang w:eastAsia="en-AU"/>
        </w:rPr>
      </w:pPr>
      <w:bookmarkStart w:id="159" w:name="_Toc233964986"/>
      <w:bookmarkStart w:id="160" w:name="_Toc103679298"/>
      <w:r>
        <w:rPr>
          <w:lang w:eastAsia="en-AU"/>
        </w:rPr>
        <w:t>Risk management plan (RMP) evaluation</w:t>
      </w:r>
      <w:bookmarkEnd w:id="159"/>
    </w:p>
    <w:p w14:paraId="26416E6E" w14:textId="4BA97D89" w:rsidR="005D6143" w:rsidRDefault="00EA019D" w:rsidP="005D6143">
      <w:pPr>
        <w:rPr>
          <w:rFonts w:ascii="Arial" w:eastAsia="Cambria" w:hAnsi="Arial" w:cs="Times New Roman"/>
          <w:b/>
          <w:bCs/>
          <w:color w:val="001871"/>
          <w:sz w:val="28"/>
          <w:szCs w:val="26"/>
        </w:rPr>
      </w:pPr>
      <w:r w:rsidRPr="00BD5DBD">
        <w:rPr>
          <w:szCs w:val="22"/>
        </w:rPr>
        <w:t>The summary of safety concerns and their associated risk monitoring and mitigation strategies are summarised in</w:t>
      </w:r>
      <w:r>
        <w:rPr>
          <w:szCs w:val="22"/>
        </w:rPr>
        <w:t xml:space="preserve"> </w:t>
      </w:r>
      <w:r w:rsidRPr="00A7318B">
        <w:rPr>
          <w:szCs w:val="22"/>
        </w:rPr>
        <w:t xml:space="preserve">Table </w:t>
      </w:r>
      <w:r w:rsidR="004F48CB">
        <w:rPr>
          <w:szCs w:val="22"/>
        </w:rPr>
        <w:t>5</w:t>
      </w:r>
      <w:r w:rsidR="00297798">
        <w:rPr>
          <w:szCs w:val="22"/>
        </w:rPr>
        <w:t>5</w:t>
      </w:r>
      <w:r w:rsidRPr="00A7318B">
        <w:rPr>
          <w:szCs w:val="22"/>
        </w:rPr>
        <w:t xml:space="preserve">. </w:t>
      </w:r>
      <w:bookmarkStart w:id="161" w:name="_Toc247691531"/>
      <w:bookmarkStart w:id="162" w:name="_Toc314842515"/>
      <w:bookmarkStart w:id="163" w:name="_Toc103679299"/>
      <w:r w:rsidR="005D6143" w:rsidRPr="00BD5DBD">
        <w:rPr>
          <w:szCs w:val="22"/>
        </w:rPr>
        <w:t xml:space="preserve">The TGA may request an updated RMP at any stage of a product's </w:t>
      </w:r>
      <w:r w:rsidR="00BA4A78" w:rsidRPr="00BD5DBD">
        <w:rPr>
          <w:szCs w:val="22"/>
        </w:rPr>
        <w:t>life cycle</w:t>
      </w:r>
      <w:r w:rsidR="005D6143" w:rsidRPr="00BD5DBD">
        <w:rPr>
          <w:szCs w:val="22"/>
        </w:rPr>
        <w:t xml:space="preserve">, during both the pre-approval and post-approval phases. Further information regarding the TGA’s risk management approach can be found in </w:t>
      </w:r>
      <w:hyperlink r:id="rId131" w:history="1">
        <w:r w:rsidR="005D6143" w:rsidRPr="00BD5DBD">
          <w:rPr>
            <w:rStyle w:val="Hyperlink"/>
            <w:szCs w:val="22"/>
          </w:rPr>
          <w:t>risk management plans for medicines and biologicals</w:t>
        </w:r>
      </w:hyperlink>
      <w:r w:rsidR="005D6143" w:rsidRPr="00BD5DBD">
        <w:rPr>
          <w:szCs w:val="22"/>
        </w:rPr>
        <w:t xml:space="preserve"> and </w:t>
      </w:r>
      <w:hyperlink r:id="rId132" w:history="1">
        <w:r w:rsidR="005D6143" w:rsidRPr="00BD5DBD">
          <w:rPr>
            <w:rStyle w:val="Hyperlink"/>
            <w:szCs w:val="22"/>
          </w:rPr>
          <w:t>the TGA's risk management approach</w:t>
        </w:r>
      </w:hyperlink>
      <w:r w:rsidR="005D6143" w:rsidRPr="00BD5DBD">
        <w:rPr>
          <w:szCs w:val="22"/>
        </w:rPr>
        <w:t xml:space="preserve">. Information on the </w:t>
      </w:r>
      <w:hyperlink r:id="rId133" w:history="1">
        <w:r w:rsidR="005D6143" w:rsidRPr="00BD5DBD">
          <w:rPr>
            <w:rStyle w:val="Hyperlink"/>
            <w:szCs w:val="22"/>
          </w:rPr>
          <w:t>Australia</w:t>
        </w:r>
        <w:r w:rsidR="005D6143">
          <w:rPr>
            <w:rStyle w:val="Hyperlink"/>
            <w:szCs w:val="22"/>
          </w:rPr>
          <w:t>-</w:t>
        </w:r>
        <w:r w:rsidR="005D6143" w:rsidRPr="00BD5DBD">
          <w:rPr>
            <w:rStyle w:val="Hyperlink"/>
            <w:szCs w:val="22"/>
          </w:rPr>
          <w:t>specific annex</w:t>
        </w:r>
      </w:hyperlink>
      <w:r w:rsidR="005D6143" w:rsidRPr="00BD5DBD">
        <w:rPr>
          <w:szCs w:val="22"/>
        </w:rPr>
        <w:t xml:space="preserve"> (</w:t>
      </w:r>
      <w:hyperlink r:id="rId134" w:history="1">
        <w:r w:rsidR="005D6143" w:rsidRPr="00BD5DBD">
          <w:rPr>
            <w:rStyle w:val="Hyperlink"/>
            <w:szCs w:val="22"/>
          </w:rPr>
          <w:t>ASA</w:t>
        </w:r>
      </w:hyperlink>
      <w:r w:rsidR="005D6143" w:rsidRPr="00BD5DBD">
        <w:rPr>
          <w:szCs w:val="22"/>
        </w:rPr>
        <w:t>) can be found on the TGA website.</w:t>
      </w:r>
      <w:bookmarkEnd w:id="161"/>
      <w:bookmarkEnd w:id="162"/>
      <w:bookmarkEnd w:id="163"/>
    </w:p>
    <w:p w14:paraId="3F47FACA" w14:textId="48B3F489" w:rsidR="00EA019D" w:rsidRDefault="00EA019D" w:rsidP="00EA019D">
      <w:pPr>
        <w:pStyle w:val="TableTitle"/>
        <w:spacing w:before="240"/>
      </w:pPr>
      <w:r>
        <w:t xml:space="preserve">Table </w:t>
      </w:r>
      <w:r w:rsidR="004F48CB">
        <w:t>5</w:t>
      </w:r>
      <w:r w:rsidR="00297798">
        <w:t>5</w:t>
      </w:r>
      <w:r>
        <w:t>: Summary of safety concerns</w:t>
      </w:r>
    </w:p>
    <w:tbl>
      <w:tblPr>
        <w:tblStyle w:val="TableGrid"/>
        <w:tblW w:w="9091" w:type="dxa"/>
        <w:jc w:val="center"/>
        <w:tblBorders>
          <w:top w:val="single" w:sz="8" w:space="0" w:color="auto"/>
          <w:left w:val="single" w:sz="8" w:space="0" w:color="auto"/>
          <w:bottom w:val="single" w:sz="8" w:space="0" w:color="auto"/>
          <w:right w:val="single" w:sz="8" w:space="0" w:color="auto"/>
        </w:tblBorders>
        <w:tblLayout w:type="fixed"/>
        <w:tblCellMar>
          <w:left w:w="85" w:type="dxa"/>
          <w:right w:w="85" w:type="dxa"/>
        </w:tblCellMar>
        <w:tblLook w:val="04A0" w:firstRow="1" w:lastRow="0" w:firstColumn="1" w:lastColumn="0" w:noHBand="0" w:noVBand="1"/>
      </w:tblPr>
      <w:tblGrid>
        <w:gridCol w:w="1295"/>
        <w:gridCol w:w="3260"/>
        <w:gridCol w:w="1134"/>
        <w:gridCol w:w="1276"/>
        <w:gridCol w:w="918"/>
        <w:gridCol w:w="1208"/>
      </w:tblGrid>
      <w:tr w:rsidR="00EA019D" w:rsidRPr="00560546" w14:paraId="14676D92" w14:textId="77777777" w:rsidTr="00DA45F4">
        <w:trPr>
          <w:trHeight w:val="131"/>
          <w:jc w:val="center"/>
        </w:trPr>
        <w:tc>
          <w:tcPr>
            <w:tcW w:w="4555" w:type="dxa"/>
            <w:gridSpan w:val="2"/>
            <w:vMerge w:val="restart"/>
            <w:tcBorders>
              <w:top w:val="single" w:sz="8" w:space="0" w:color="auto"/>
              <w:right w:val="single" w:sz="4" w:space="0" w:color="auto"/>
            </w:tcBorders>
            <w:shd w:val="clear" w:color="auto" w:fill="D9E2F3" w:themeFill="accent1" w:themeFillTint="33"/>
          </w:tcPr>
          <w:p w14:paraId="476CF2A5" w14:textId="77777777" w:rsidR="00EA019D" w:rsidRPr="0082241E" w:rsidRDefault="00EA019D" w:rsidP="00DA45F4">
            <w:pPr>
              <w:spacing w:before="120" w:after="120"/>
              <w:rPr>
                <w:b/>
                <w:color w:val="1F3864" w:themeColor="accent1" w:themeShade="80"/>
              </w:rPr>
            </w:pPr>
            <w:r w:rsidRPr="0082241E">
              <w:rPr>
                <w:b/>
                <w:color w:val="1F3864" w:themeColor="accent1" w:themeShade="80"/>
              </w:rPr>
              <w:t>Summary of safety concerns</w:t>
            </w:r>
          </w:p>
        </w:tc>
        <w:tc>
          <w:tcPr>
            <w:tcW w:w="2410" w:type="dxa"/>
            <w:gridSpan w:val="2"/>
            <w:tcBorders>
              <w:top w:val="single" w:sz="8" w:space="0" w:color="auto"/>
              <w:left w:val="single" w:sz="4" w:space="0" w:color="auto"/>
              <w:bottom w:val="single" w:sz="4" w:space="0" w:color="auto"/>
            </w:tcBorders>
            <w:shd w:val="clear" w:color="auto" w:fill="D9E2F3" w:themeFill="accent1" w:themeFillTint="33"/>
          </w:tcPr>
          <w:p w14:paraId="39A586EC" w14:textId="77777777" w:rsidR="00EA019D" w:rsidRPr="0082241E" w:rsidRDefault="00EA019D" w:rsidP="00DA45F4">
            <w:pPr>
              <w:spacing w:before="120" w:after="120"/>
              <w:jc w:val="center"/>
              <w:rPr>
                <w:b/>
                <w:color w:val="1F3864" w:themeColor="accent1" w:themeShade="80"/>
              </w:rPr>
            </w:pPr>
            <w:r w:rsidRPr="0082241E">
              <w:rPr>
                <w:b/>
                <w:color w:val="1F3864" w:themeColor="accent1" w:themeShade="80"/>
              </w:rPr>
              <w:t>Pharmacovigilance</w:t>
            </w:r>
          </w:p>
        </w:tc>
        <w:tc>
          <w:tcPr>
            <w:tcW w:w="2126" w:type="dxa"/>
            <w:gridSpan w:val="2"/>
            <w:tcBorders>
              <w:top w:val="single" w:sz="8" w:space="0" w:color="auto"/>
              <w:left w:val="single" w:sz="4" w:space="0" w:color="auto"/>
              <w:bottom w:val="single" w:sz="4" w:space="0" w:color="auto"/>
            </w:tcBorders>
            <w:shd w:val="clear" w:color="auto" w:fill="D9E2F3" w:themeFill="accent1" w:themeFillTint="33"/>
          </w:tcPr>
          <w:p w14:paraId="1E35E38D" w14:textId="77777777" w:rsidR="00EA019D" w:rsidRPr="0082241E" w:rsidRDefault="00EA019D" w:rsidP="00DA45F4">
            <w:pPr>
              <w:spacing w:before="120" w:after="120"/>
              <w:jc w:val="center"/>
              <w:rPr>
                <w:b/>
                <w:color w:val="1F3864" w:themeColor="accent1" w:themeShade="80"/>
              </w:rPr>
            </w:pPr>
            <w:r w:rsidRPr="0082241E">
              <w:rPr>
                <w:b/>
                <w:color w:val="1F3864" w:themeColor="accent1" w:themeShade="80"/>
              </w:rPr>
              <w:t>Risk Minimisation</w:t>
            </w:r>
          </w:p>
        </w:tc>
      </w:tr>
      <w:tr w:rsidR="00EA019D" w:rsidRPr="00560546" w14:paraId="600D228A" w14:textId="77777777" w:rsidTr="00DA45F4">
        <w:trPr>
          <w:trHeight w:val="150"/>
          <w:jc w:val="center"/>
        </w:trPr>
        <w:tc>
          <w:tcPr>
            <w:tcW w:w="4555" w:type="dxa"/>
            <w:gridSpan w:val="2"/>
            <w:vMerge/>
            <w:tcBorders>
              <w:bottom w:val="single" w:sz="8" w:space="0" w:color="auto"/>
              <w:right w:val="single" w:sz="4" w:space="0" w:color="auto"/>
            </w:tcBorders>
            <w:shd w:val="clear" w:color="auto" w:fill="D9E2F3" w:themeFill="accent1" w:themeFillTint="33"/>
          </w:tcPr>
          <w:p w14:paraId="5EE3293E" w14:textId="77777777" w:rsidR="00EA019D" w:rsidRPr="0082241E" w:rsidRDefault="00EA019D" w:rsidP="00DA45F4">
            <w:pPr>
              <w:spacing w:before="120" w:after="120"/>
              <w:rPr>
                <w:b/>
                <w:color w:val="1F3864" w:themeColor="accent1" w:themeShade="80"/>
              </w:rPr>
            </w:pPr>
          </w:p>
        </w:tc>
        <w:tc>
          <w:tcPr>
            <w:tcW w:w="1134" w:type="dxa"/>
            <w:tcBorders>
              <w:top w:val="single" w:sz="4" w:space="0" w:color="auto"/>
              <w:left w:val="single" w:sz="4" w:space="0" w:color="auto"/>
              <w:bottom w:val="single" w:sz="8" w:space="0" w:color="auto"/>
              <w:right w:val="dotted" w:sz="2" w:space="0" w:color="auto"/>
            </w:tcBorders>
            <w:shd w:val="clear" w:color="auto" w:fill="D9E2F3" w:themeFill="accent1" w:themeFillTint="33"/>
          </w:tcPr>
          <w:p w14:paraId="4BB219FF" w14:textId="77777777" w:rsidR="00EA019D" w:rsidRPr="0082241E" w:rsidRDefault="00EA019D" w:rsidP="00DA45F4">
            <w:pPr>
              <w:spacing w:before="120" w:after="120"/>
              <w:jc w:val="center"/>
              <w:rPr>
                <w:color w:val="1F3864" w:themeColor="accent1" w:themeShade="80"/>
              </w:rPr>
            </w:pPr>
            <w:r w:rsidRPr="0082241E">
              <w:rPr>
                <w:color w:val="1F3864" w:themeColor="accent1" w:themeShade="80"/>
              </w:rPr>
              <w:t>Routine</w:t>
            </w:r>
          </w:p>
        </w:tc>
        <w:tc>
          <w:tcPr>
            <w:tcW w:w="1276" w:type="dxa"/>
            <w:tcBorders>
              <w:top w:val="single" w:sz="4" w:space="0" w:color="auto"/>
              <w:left w:val="dotted" w:sz="2" w:space="0" w:color="auto"/>
              <w:bottom w:val="single" w:sz="8" w:space="0" w:color="auto"/>
            </w:tcBorders>
            <w:shd w:val="clear" w:color="auto" w:fill="D9E2F3" w:themeFill="accent1" w:themeFillTint="33"/>
          </w:tcPr>
          <w:p w14:paraId="0A9C29C0" w14:textId="77777777" w:rsidR="00EA019D" w:rsidRPr="0082241E" w:rsidRDefault="00EA019D" w:rsidP="00DA45F4">
            <w:pPr>
              <w:spacing w:before="120" w:after="120"/>
              <w:jc w:val="center"/>
              <w:rPr>
                <w:color w:val="1F3864" w:themeColor="accent1" w:themeShade="80"/>
              </w:rPr>
            </w:pPr>
            <w:r w:rsidRPr="0082241E">
              <w:rPr>
                <w:color w:val="1F3864" w:themeColor="accent1" w:themeShade="80"/>
              </w:rPr>
              <w:t>Additional</w:t>
            </w:r>
          </w:p>
        </w:tc>
        <w:tc>
          <w:tcPr>
            <w:tcW w:w="918" w:type="dxa"/>
            <w:tcBorders>
              <w:top w:val="single" w:sz="4" w:space="0" w:color="auto"/>
              <w:left w:val="single" w:sz="4" w:space="0" w:color="auto"/>
              <w:bottom w:val="single" w:sz="8" w:space="0" w:color="auto"/>
              <w:right w:val="dotted" w:sz="2" w:space="0" w:color="auto"/>
            </w:tcBorders>
            <w:shd w:val="clear" w:color="auto" w:fill="D9E2F3" w:themeFill="accent1" w:themeFillTint="33"/>
          </w:tcPr>
          <w:p w14:paraId="23FA639F" w14:textId="77777777" w:rsidR="00EA019D" w:rsidRPr="0082241E" w:rsidRDefault="00EA019D" w:rsidP="00DA45F4">
            <w:pPr>
              <w:spacing w:before="120" w:after="120"/>
              <w:jc w:val="center"/>
              <w:rPr>
                <w:color w:val="1F3864" w:themeColor="accent1" w:themeShade="80"/>
              </w:rPr>
            </w:pPr>
            <w:r w:rsidRPr="0082241E">
              <w:rPr>
                <w:color w:val="1F3864" w:themeColor="accent1" w:themeShade="80"/>
              </w:rPr>
              <w:t>Routine</w:t>
            </w:r>
          </w:p>
        </w:tc>
        <w:tc>
          <w:tcPr>
            <w:tcW w:w="1208" w:type="dxa"/>
            <w:tcBorders>
              <w:top w:val="single" w:sz="4" w:space="0" w:color="auto"/>
              <w:left w:val="dotted" w:sz="2" w:space="0" w:color="auto"/>
              <w:bottom w:val="single" w:sz="8" w:space="0" w:color="auto"/>
            </w:tcBorders>
            <w:shd w:val="clear" w:color="auto" w:fill="D9E2F3" w:themeFill="accent1" w:themeFillTint="33"/>
          </w:tcPr>
          <w:p w14:paraId="57CC9F6E" w14:textId="77777777" w:rsidR="00EA019D" w:rsidRPr="0082241E" w:rsidRDefault="00EA019D" w:rsidP="00DA45F4">
            <w:pPr>
              <w:spacing w:before="120" w:after="120"/>
              <w:jc w:val="center"/>
              <w:rPr>
                <w:color w:val="1F3864" w:themeColor="accent1" w:themeShade="80"/>
              </w:rPr>
            </w:pPr>
            <w:r w:rsidRPr="0082241E">
              <w:rPr>
                <w:color w:val="1F3864" w:themeColor="accent1" w:themeShade="80"/>
              </w:rPr>
              <w:t>Additional</w:t>
            </w:r>
          </w:p>
        </w:tc>
      </w:tr>
      <w:tr w:rsidR="00EA019D" w:rsidRPr="00560546" w14:paraId="290D70CD" w14:textId="77777777" w:rsidTr="00DA45F4">
        <w:trPr>
          <w:trHeight w:val="137"/>
          <w:jc w:val="center"/>
        </w:trPr>
        <w:tc>
          <w:tcPr>
            <w:tcW w:w="1295" w:type="dxa"/>
            <w:tcBorders>
              <w:top w:val="single" w:sz="8" w:space="0" w:color="auto"/>
            </w:tcBorders>
          </w:tcPr>
          <w:p w14:paraId="72F2F154" w14:textId="77777777" w:rsidR="00EA019D" w:rsidRPr="00560546" w:rsidRDefault="00EA019D" w:rsidP="00DA45F4">
            <w:pPr>
              <w:rPr>
                <w:b/>
              </w:rPr>
            </w:pPr>
            <w:r w:rsidRPr="00560546">
              <w:rPr>
                <w:b/>
              </w:rPr>
              <w:t>Important identified risks</w:t>
            </w:r>
          </w:p>
        </w:tc>
        <w:tc>
          <w:tcPr>
            <w:tcW w:w="3260" w:type="dxa"/>
            <w:tcBorders>
              <w:top w:val="single" w:sz="8" w:space="0" w:color="auto"/>
              <w:bottom w:val="dotted" w:sz="2" w:space="0" w:color="auto"/>
              <w:right w:val="single" w:sz="4" w:space="0" w:color="auto"/>
            </w:tcBorders>
          </w:tcPr>
          <w:p w14:paraId="6D21249D" w14:textId="77777777" w:rsidR="00EA019D" w:rsidRPr="00560546" w:rsidRDefault="00EA019D" w:rsidP="00DA45F4">
            <w:r w:rsidRPr="00560546">
              <w:t>None</w:t>
            </w:r>
          </w:p>
        </w:tc>
        <w:tc>
          <w:tcPr>
            <w:tcW w:w="1134" w:type="dxa"/>
            <w:tcBorders>
              <w:top w:val="single" w:sz="8" w:space="0" w:color="auto"/>
              <w:left w:val="single" w:sz="4" w:space="0" w:color="auto"/>
              <w:bottom w:val="dotted" w:sz="2" w:space="0" w:color="auto"/>
              <w:right w:val="dotted" w:sz="2" w:space="0" w:color="auto"/>
            </w:tcBorders>
            <w:vAlign w:val="center"/>
          </w:tcPr>
          <w:p w14:paraId="2B869A0A" w14:textId="77777777" w:rsidR="00EA019D" w:rsidRPr="00560546" w:rsidRDefault="00EA019D" w:rsidP="00DA45F4">
            <w:r w:rsidRPr="00560546">
              <w:t>–</w:t>
            </w:r>
          </w:p>
        </w:tc>
        <w:tc>
          <w:tcPr>
            <w:tcW w:w="1276" w:type="dxa"/>
            <w:tcBorders>
              <w:top w:val="single" w:sz="8" w:space="0" w:color="auto"/>
              <w:left w:val="dotted" w:sz="2" w:space="0" w:color="auto"/>
              <w:bottom w:val="dotted" w:sz="2" w:space="0" w:color="auto"/>
            </w:tcBorders>
            <w:vAlign w:val="center"/>
          </w:tcPr>
          <w:p w14:paraId="65D046F9" w14:textId="77777777" w:rsidR="00EA019D" w:rsidRPr="00560546" w:rsidRDefault="00EA019D" w:rsidP="00DA45F4">
            <w:r w:rsidRPr="00560546">
              <w:t>–</w:t>
            </w:r>
          </w:p>
        </w:tc>
        <w:tc>
          <w:tcPr>
            <w:tcW w:w="918" w:type="dxa"/>
            <w:tcBorders>
              <w:top w:val="single" w:sz="8" w:space="0" w:color="auto"/>
              <w:left w:val="single" w:sz="4" w:space="0" w:color="auto"/>
              <w:bottom w:val="dotted" w:sz="2" w:space="0" w:color="auto"/>
              <w:right w:val="dotted" w:sz="2" w:space="0" w:color="auto"/>
            </w:tcBorders>
            <w:vAlign w:val="center"/>
          </w:tcPr>
          <w:p w14:paraId="023FBA64" w14:textId="77777777" w:rsidR="00EA019D" w:rsidRPr="00560546" w:rsidRDefault="00EA019D" w:rsidP="00DA45F4">
            <w:r w:rsidRPr="00560546">
              <w:t>–</w:t>
            </w:r>
          </w:p>
        </w:tc>
        <w:tc>
          <w:tcPr>
            <w:tcW w:w="1208" w:type="dxa"/>
            <w:tcBorders>
              <w:top w:val="single" w:sz="8" w:space="0" w:color="auto"/>
              <w:left w:val="dotted" w:sz="2" w:space="0" w:color="auto"/>
              <w:bottom w:val="dotted" w:sz="2" w:space="0" w:color="auto"/>
            </w:tcBorders>
            <w:vAlign w:val="center"/>
          </w:tcPr>
          <w:p w14:paraId="61DE5270" w14:textId="77777777" w:rsidR="00EA019D" w:rsidRPr="00560546" w:rsidRDefault="00EA019D" w:rsidP="00DA45F4">
            <w:r w:rsidRPr="00560546">
              <w:t>–</w:t>
            </w:r>
          </w:p>
        </w:tc>
      </w:tr>
      <w:tr w:rsidR="00EA019D" w:rsidRPr="00560546" w14:paraId="0F6D6D43" w14:textId="77777777" w:rsidTr="00DA45F4">
        <w:trPr>
          <w:trHeight w:val="159"/>
          <w:jc w:val="center"/>
        </w:trPr>
        <w:tc>
          <w:tcPr>
            <w:tcW w:w="1295" w:type="dxa"/>
            <w:vMerge w:val="restart"/>
          </w:tcPr>
          <w:p w14:paraId="03AD385A" w14:textId="77777777" w:rsidR="00EA019D" w:rsidRPr="00560546" w:rsidRDefault="00EA019D" w:rsidP="00DA45F4">
            <w:pPr>
              <w:rPr>
                <w:b/>
              </w:rPr>
            </w:pPr>
            <w:r w:rsidRPr="00560546">
              <w:rPr>
                <w:b/>
              </w:rPr>
              <w:t>Important potential risks</w:t>
            </w:r>
          </w:p>
        </w:tc>
        <w:tc>
          <w:tcPr>
            <w:tcW w:w="3260" w:type="dxa"/>
            <w:tcBorders>
              <w:bottom w:val="dotted" w:sz="2" w:space="0" w:color="auto"/>
              <w:right w:val="single" w:sz="4" w:space="0" w:color="auto"/>
            </w:tcBorders>
          </w:tcPr>
          <w:p w14:paraId="275779F0" w14:textId="77777777" w:rsidR="00EA019D" w:rsidRPr="00560546" w:rsidRDefault="00EA019D" w:rsidP="00DA45F4">
            <w:r w:rsidRPr="00560546">
              <w:t>Drug-induced liver injury</w:t>
            </w:r>
          </w:p>
        </w:tc>
        <w:tc>
          <w:tcPr>
            <w:tcW w:w="1134" w:type="dxa"/>
            <w:tcBorders>
              <w:left w:val="single" w:sz="4" w:space="0" w:color="auto"/>
              <w:bottom w:val="dotted" w:sz="2" w:space="0" w:color="auto"/>
              <w:right w:val="dotted" w:sz="2" w:space="0" w:color="auto"/>
            </w:tcBorders>
            <w:vAlign w:val="center"/>
          </w:tcPr>
          <w:p w14:paraId="61EDAA3A" w14:textId="77777777" w:rsidR="00EA019D" w:rsidRPr="00560546" w:rsidRDefault="00EA019D" w:rsidP="00DA45F4">
            <w:r w:rsidRPr="00560546">
              <w:sym w:font="Wingdings" w:char="F0FC"/>
            </w:r>
            <w:r w:rsidRPr="00560546">
              <w:t>*</w:t>
            </w:r>
          </w:p>
        </w:tc>
        <w:tc>
          <w:tcPr>
            <w:tcW w:w="1276" w:type="dxa"/>
            <w:tcBorders>
              <w:left w:val="dotted" w:sz="2" w:space="0" w:color="auto"/>
              <w:bottom w:val="dotted" w:sz="2" w:space="0" w:color="auto"/>
            </w:tcBorders>
            <w:vAlign w:val="center"/>
          </w:tcPr>
          <w:p w14:paraId="75A85C31" w14:textId="77777777" w:rsidR="00EA019D" w:rsidRPr="00560546" w:rsidRDefault="00EA019D" w:rsidP="00DA45F4">
            <w:r w:rsidRPr="00560546">
              <w:sym w:font="Wingdings" w:char="F0FC"/>
            </w:r>
            <w:r w:rsidRPr="00560546">
              <w:rPr>
                <w:vertAlign w:val="superscript"/>
              </w:rPr>
              <w:t>#</w:t>
            </w:r>
          </w:p>
        </w:tc>
        <w:tc>
          <w:tcPr>
            <w:tcW w:w="918" w:type="dxa"/>
            <w:tcBorders>
              <w:left w:val="single" w:sz="4" w:space="0" w:color="auto"/>
              <w:bottom w:val="dotted" w:sz="2" w:space="0" w:color="auto"/>
              <w:right w:val="dotted" w:sz="2" w:space="0" w:color="auto"/>
            </w:tcBorders>
            <w:vAlign w:val="center"/>
          </w:tcPr>
          <w:p w14:paraId="56E5BDEF" w14:textId="77777777" w:rsidR="00EA019D" w:rsidRPr="00560546" w:rsidRDefault="00EA019D" w:rsidP="00DA45F4">
            <w:r w:rsidRPr="00560546">
              <w:sym w:font="Wingdings" w:char="F0FC"/>
            </w:r>
          </w:p>
        </w:tc>
        <w:tc>
          <w:tcPr>
            <w:tcW w:w="1208" w:type="dxa"/>
            <w:tcBorders>
              <w:left w:val="dotted" w:sz="2" w:space="0" w:color="auto"/>
              <w:bottom w:val="dotted" w:sz="2" w:space="0" w:color="auto"/>
            </w:tcBorders>
            <w:vAlign w:val="center"/>
          </w:tcPr>
          <w:p w14:paraId="46B456A9" w14:textId="77777777" w:rsidR="00EA019D" w:rsidRPr="00560546" w:rsidRDefault="00EA019D" w:rsidP="00DA45F4">
            <w:r w:rsidRPr="00560546">
              <w:t>–</w:t>
            </w:r>
          </w:p>
        </w:tc>
      </w:tr>
      <w:tr w:rsidR="00EA019D" w:rsidRPr="00560546" w14:paraId="06A8BA41" w14:textId="77777777" w:rsidTr="00DA45F4">
        <w:trPr>
          <w:trHeight w:val="122"/>
          <w:jc w:val="center"/>
        </w:trPr>
        <w:tc>
          <w:tcPr>
            <w:tcW w:w="1295" w:type="dxa"/>
            <w:vMerge/>
          </w:tcPr>
          <w:p w14:paraId="74054AF9" w14:textId="77777777" w:rsidR="00EA019D" w:rsidRPr="00560546" w:rsidRDefault="00EA019D" w:rsidP="00DA45F4">
            <w:pPr>
              <w:rPr>
                <w:b/>
              </w:rPr>
            </w:pPr>
          </w:p>
        </w:tc>
        <w:tc>
          <w:tcPr>
            <w:tcW w:w="3260" w:type="dxa"/>
            <w:tcBorders>
              <w:top w:val="dotted" w:sz="2" w:space="0" w:color="auto"/>
              <w:bottom w:val="dotted" w:sz="2" w:space="0" w:color="auto"/>
              <w:right w:val="single" w:sz="4" w:space="0" w:color="auto"/>
            </w:tcBorders>
          </w:tcPr>
          <w:p w14:paraId="0A1A3609" w14:textId="77777777" w:rsidR="00EA019D" w:rsidRPr="00560546" w:rsidRDefault="00EA019D" w:rsidP="00DA45F4">
            <w:r w:rsidRPr="00560546">
              <w:t>Congestive heart failure</w:t>
            </w:r>
          </w:p>
        </w:tc>
        <w:tc>
          <w:tcPr>
            <w:tcW w:w="1134" w:type="dxa"/>
            <w:tcBorders>
              <w:top w:val="dotted" w:sz="2" w:space="0" w:color="auto"/>
              <w:left w:val="single" w:sz="4" w:space="0" w:color="auto"/>
              <w:bottom w:val="dotted" w:sz="2" w:space="0" w:color="auto"/>
              <w:right w:val="dotted" w:sz="2" w:space="0" w:color="auto"/>
            </w:tcBorders>
            <w:vAlign w:val="center"/>
          </w:tcPr>
          <w:p w14:paraId="2A97A940" w14:textId="77777777" w:rsidR="00EA019D" w:rsidRPr="00560546" w:rsidRDefault="00EA019D" w:rsidP="00DA45F4">
            <w:r w:rsidRPr="00560546">
              <w:sym w:font="Wingdings" w:char="F0FC"/>
            </w:r>
            <w:r w:rsidRPr="00560546">
              <w:t>*</w:t>
            </w:r>
          </w:p>
        </w:tc>
        <w:tc>
          <w:tcPr>
            <w:tcW w:w="1276" w:type="dxa"/>
            <w:tcBorders>
              <w:top w:val="dotted" w:sz="2" w:space="0" w:color="auto"/>
              <w:left w:val="dotted" w:sz="2" w:space="0" w:color="auto"/>
              <w:bottom w:val="dotted" w:sz="2" w:space="0" w:color="auto"/>
            </w:tcBorders>
            <w:vAlign w:val="center"/>
          </w:tcPr>
          <w:p w14:paraId="1744B5A6" w14:textId="77777777" w:rsidR="00EA019D" w:rsidRPr="00560546" w:rsidRDefault="00EA019D" w:rsidP="00DA45F4">
            <w:r w:rsidRPr="00560546">
              <w:sym w:font="Wingdings" w:char="F0FC"/>
            </w:r>
            <w:r w:rsidRPr="00560546">
              <w:rPr>
                <w:vertAlign w:val="superscript"/>
              </w:rPr>
              <w:t>#</w:t>
            </w:r>
          </w:p>
        </w:tc>
        <w:tc>
          <w:tcPr>
            <w:tcW w:w="918" w:type="dxa"/>
            <w:tcBorders>
              <w:top w:val="dotted" w:sz="2" w:space="0" w:color="auto"/>
              <w:left w:val="single" w:sz="4" w:space="0" w:color="auto"/>
              <w:bottom w:val="dotted" w:sz="2" w:space="0" w:color="auto"/>
              <w:right w:val="dotted" w:sz="2" w:space="0" w:color="auto"/>
            </w:tcBorders>
            <w:vAlign w:val="center"/>
          </w:tcPr>
          <w:p w14:paraId="41F95A07" w14:textId="77777777" w:rsidR="00EA019D" w:rsidRPr="00560546" w:rsidRDefault="00EA019D" w:rsidP="00DA45F4">
            <w:r w:rsidRPr="00560546">
              <w:sym w:font="Wingdings" w:char="F0FC"/>
            </w:r>
          </w:p>
        </w:tc>
        <w:tc>
          <w:tcPr>
            <w:tcW w:w="1208" w:type="dxa"/>
            <w:tcBorders>
              <w:top w:val="dotted" w:sz="2" w:space="0" w:color="auto"/>
              <w:left w:val="dotted" w:sz="2" w:space="0" w:color="auto"/>
              <w:bottom w:val="dotted" w:sz="2" w:space="0" w:color="auto"/>
            </w:tcBorders>
            <w:vAlign w:val="center"/>
          </w:tcPr>
          <w:p w14:paraId="15FF8547" w14:textId="77777777" w:rsidR="00EA019D" w:rsidRPr="00560546" w:rsidRDefault="00EA019D" w:rsidP="00DA45F4">
            <w:r w:rsidRPr="00560546">
              <w:t>–</w:t>
            </w:r>
          </w:p>
        </w:tc>
      </w:tr>
      <w:tr w:rsidR="00EA019D" w:rsidRPr="00560546" w14:paraId="7FE5639B" w14:textId="77777777" w:rsidTr="00DA45F4">
        <w:trPr>
          <w:trHeight w:val="178"/>
          <w:jc w:val="center"/>
        </w:trPr>
        <w:tc>
          <w:tcPr>
            <w:tcW w:w="1295" w:type="dxa"/>
            <w:vMerge w:val="restart"/>
          </w:tcPr>
          <w:p w14:paraId="11FE11B4" w14:textId="77777777" w:rsidR="00EA019D" w:rsidRPr="00560546" w:rsidRDefault="00EA019D" w:rsidP="00DA45F4">
            <w:pPr>
              <w:rPr>
                <w:b/>
              </w:rPr>
            </w:pPr>
            <w:r w:rsidRPr="00560546">
              <w:rPr>
                <w:b/>
              </w:rPr>
              <w:t>Missing information</w:t>
            </w:r>
          </w:p>
        </w:tc>
        <w:tc>
          <w:tcPr>
            <w:tcW w:w="3260" w:type="dxa"/>
            <w:tcBorders>
              <w:bottom w:val="dotted" w:sz="2" w:space="0" w:color="auto"/>
              <w:right w:val="single" w:sz="4" w:space="0" w:color="auto"/>
            </w:tcBorders>
          </w:tcPr>
          <w:p w14:paraId="5AF9E1CF" w14:textId="77777777" w:rsidR="00EA019D" w:rsidRPr="00560546" w:rsidRDefault="00EA019D" w:rsidP="00DA45F4">
            <w:r w:rsidRPr="00560546">
              <w:t>Use in pregnancy</w:t>
            </w:r>
          </w:p>
        </w:tc>
        <w:tc>
          <w:tcPr>
            <w:tcW w:w="1134" w:type="dxa"/>
            <w:tcBorders>
              <w:left w:val="single" w:sz="4" w:space="0" w:color="auto"/>
              <w:bottom w:val="dotted" w:sz="2" w:space="0" w:color="auto"/>
              <w:right w:val="dotted" w:sz="2" w:space="0" w:color="auto"/>
            </w:tcBorders>
            <w:vAlign w:val="center"/>
          </w:tcPr>
          <w:p w14:paraId="3F589D9D" w14:textId="77777777" w:rsidR="00EA019D" w:rsidRPr="00560546" w:rsidRDefault="00EA019D" w:rsidP="00DA45F4">
            <w:r w:rsidRPr="00560546">
              <w:sym w:font="Wingdings" w:char="F0FC"/>
            </w:r>
          </w:p>
        </w:tc>
        <w:tc>
          <w:tcPr>
            <w:tcW w:w="1276" w:type="dxa"/>
            <w:tcBorders>
              <w:left w:val="dotted" w:sz="2" w:space="0" w:color="auto"/>
              <w:bottom w:val="dotted" w:sz="2" w:space="0" w:color="auto"/>
            </w:tcBorders>
            <w:vAlign w:val="center"/>
          </w:tcPr>
          <w:p w14:paraId="45A35A97" w14:textId="77777777" w:rsidR="00EA019D" w:rsidRPr="00560546" w:rsidRDefault="00EA019D" w:rsidP="00DA45F4">
            <w:r w:rsidRPr="00560546">
              <w:t>–</w:t>
            </w:r>
          </w:p>
        </w:tc>
        <w:tc>
          <w:tcPr>
            <w:tcW w:w="918" w:type="dxa"/>
            <w:tcBorders>
              <w:left w:val="single" w:sz="4" w:space="0" w:color="auto"/>
              <w:bottom w:val="dotted" w:sz="2" w:space="0" w:color="auto"/>
              <w:right w:val="dotted" w:sz="2" w:space="0" w:color="auto"/>
            </w:tcBorders>
            <w:vAlign w:val="center"/>
          </w:tcPr>
          <w:p w14:paraId="26D7226E" w14:textId="77777777" w:rsidR="00EA019D" w:rsidRPr="00560546" w:rsidRDefault="00EA019D" w:rsidP="00DA45F4">
            <w:r w:rsidRPr="00560546">
              <w:sym w:font="Wingdings" w:char="F0FC"/>
            </w:r>
          </w:p>
        </w:tc>
        <w:tc>
          <w:tcPr>
            <w:tcW w:w="1208" w:type="dxa"/>
            <w:tcBorders>
              <w:left w:val="dotted" w:sz="2" w:space="0" w:color="auto"/>
              <w:bottom w:val="dotted" w:sz="2" w:space="0" w:color="auto"/>
            </w:tcBorders>
            <w:vAlign w:val="center"/>
          </w:tcPr>
          <w:p w14:paraId="2650AC0E" w14:textId="77777777" w:rsidR="00EA019D" w:rsidRPr="00560546" w:rsidRDefault="00EA019D" w:rsidP="00DA45F4">
            <w:r w:rsidRPr="00560546">
              <w:t>–</w:t>
            </w:r>
          </w:p>
        </w:tc>
      </w:tr>
      <w:tr w:rsidR="00EA019D" w:rsidRPr="00560546" w14:paraId="19430D84" w14:textId="77777777" w:rsidTr="00DA45F4">
        <w:trPr>
          <w:trHeight w:val="103"/>
          <w:jc w:val="center"/>
        </w:trPr>
        <w:tc>
          <w:tcPr>
            <w:tcW w:w="1295" w:type="dxa"/>
            <w:vMerge/>
          </w:tcPr>
          <w:p w14:paraId="1E2B3F4D" w14:textId="77777777" w:rsidR="00EA019D" w:rsidRPr="00560546" w:rsidRDefault="00EA019D" w:rsidP="00DA45F4"/>
        </w:tc>
        <w:tc>
          <w:tcPr>
            <w:tcW w:w="3260" w:type="dxa"/>
            <w:tcBorders>
              <w:top w:val="dotted" w:sz="2" w:space="0" w:color="auto"/>
              <w:bottom w:val="dotted" w:sz="2" w:space="0" w:color="auto"/>
              <w:right w:val="single" w:sz="4" w:space="0" w:color="auto"/>
            </w:tcBorders>
          </w:tcPr>
          <w:p w14:paraId="7C28288A" w14:textId="77777777" w:rsidR="00EA019D" w:rsidRPr="00560546" w:rsidRDefault="00EA019D" w:rsidP="00DA45F4">
            <w:r w:rsidRPr="00560546">
              <w:t>Long-term safety</w:t>
            </w:r>
          </w:p>
        </w:tc>
        <w:tc>
          <w:tcPr>
            <w:tcW w:w="1134" w:type="dxa"/>
            <w:tcBorders>
              <w:top w:val="dotted" w:sz="2" w:space="0" w:color="auto"/>
              <w:left w:val="single" w:sz="4" w:space="0" w:color="auto"/>
              <w:bottom w:val="dotted" w:sz="2" w:space="0" w:color="auto"/>
              <w:right w:val="dotted" w:sz="2" w:space="0" w:color="auto"/>
            </w:tcBorders>
            <w:vAlign w:val="center"/>
          </w:tcPr>
          <w:p w14:paraId="2BA81F7C" w14:textId="77777777" w:rsidR="00EA019D" w:rsidRPr="00560546" w:rsidRDefault="00EA019D" w:rsidP="00DA45F4">
            <w:r w:rsidRPr="00560546">
              <w:sym w:font="Wingdings" w:char="F0FC"/>
            </w:r>
          </w:p>
        </w:tc>
        <w:tc>
          <w:tcPr>
            <w:tcW w:w="1276" w:type="dxa"/>
            <w:tcBorders>
              <w:top w:val="dotted" w:sz="2" w:space="0" w:color="auto"/>
              <w:left w:val="dotted" w:sz="2" w:space="0" w:color="auto"/>
              <w:bottom w:val="dotted" w:sz="2" w:space="0" w:color="auto"/>
            </w:tcBorders>
            <w:vAlign w:val="center"/>
          </w:tcPr>
          <w:p w14:paraId="6BCC9A82" w14:textId="77777777" w:rsidR="00EA019D" w:rsidRPr="00560546" w:rsidRDefault="00EA019D" w:rsidP="00DA45F4">
            <w:r w:rsidRPr="00560546">
              <w:sym w:font="Wingdings" w:char="F0FC"/>
            </w:r>
            <w:r w:rsidRPr="00560546">
              <w:rPr>
                <w:vertAlign w:val="superscript"/>
              </w:rPr>
              <w:t>#</w:t>
            </w:r>
          </w:p>
        </w:tc>
        <w:tc>
          <w:tcPr>
            <w:tcW w:w="918" w:type="dxa"/>
            <w:tcBorders>
              <w:top w:val="dotted" w:sz="2" w:space="0" w:color="auto"/>
              <w:left w:val="single" w:sz="4" w:space="0" w:color="auto"/>
              <w:bottom w:val="dotted" w:sz="2" w:space="0" w:color="auto"/>
              <w:right w:val="dotted" w:sz="2" w:space="0" w:color="auto"/>
            </w:tcBorders>
            <w:vAlign w:val="center"/>
          </w:tcPr>
          <w:p w14:paraId="23504B7D" w14:textId="77777777" w:rsidR="00EA019D" w:rsidRPr="00560546" w:rsidRDefault="00EA019D" w:rsidP="00DA45F4">
            <w:r w:rsidRPr="00560546">
              <w:t>–</w:t>
            </w:r>
          </w:p>
        </w:tc>
        <w:tc>
          <w:tcPr>
            <w:tcW w:w="1208" w:type="dxa"/>
            <w:tcBorders>
              <w:top w:val="dotted" w:sz="2" w:space="0" w:color="auto"/>
              <w:left w:val="dotted" w:sz="2" w:space="0" w:color="auto"/>
              <w:bottom w:val="dotted" w:sz="2" w:space="0" w:color="auto"/>
            </w:tcBorders>
            <w:vAlign w:val="center"/>
          </w:tcPr>
          <w:p w14:paraId="5A6CC15E" w14:textId="77777777" w:rsidR="00EA019D" w:rsidRPr="00560546" w:rsidRDefault="00EA019D" w:rsidP="00DA45F4">
            <w:r w:rsidRPr="00560546">
              <w:t>–</w:t>
            </w:r>
          </w:p>
        </w:tc>
      </w:tr>
    </w:tbl>
    <w:p w14:paraId="3C6A36AD" w14:textId="77777777" w:rsidR="00EA019D" w:rsidRPr="00560546" w:rsidRDefault="00EA019D" w:rsidP="00EA019D">
      <w:pPr>
        <w:rPr>
          <w:sz w:val="16"/>
          <w:szCs w:val="16"/>
        </w:rPr>
      </w:pPr>
      <w:r w:rsidRPr="00560546">
        <w:t>*</w:t>
      </w:r>
      <w:r w:rsidRPr="00560546">
        <w:rPr>
          <w:sz w:val="16"/>
          <w:szCs w:val="16"/>
        </w:rPr>
        <w:t>Follow-up questionnaire</w:t>
      </w:r>
    </w:p>
    <w:p w14:paraId="51C06DC1" w14:textId="77777777" w:rsidR="00EA019D" w:rsidRDefault="00EA019D" w:rsidP="00EA019D">
      <w:r w:rsidRPr="00560546">
        <w:rPr>
          <w:sz w:val="16"/>
          <w:szCs w:val="16"/>
          <w:vertAlign w:val="superscript"/>
        </w:rPr>
        <w:t xml:space="preserve"># </w:t>
      </w:r>
      <w:r w:rsidRPr="00560546">
        <w:rPr>
          <w:sz w:val="16"/>
          <w:szCs w:val="16"/>
        </w:rPr>
        <w:t>Post-market registry (Multinational study)</w:t>
      </w:r>
    </w:p>
    <w:p w14:paraId="5E3F55F6" w14:textId="77777777" w:rsidR="00EA019D" w:rsidRPr="00560546" w:rsidRDefault="00EA019D" w:rsidP="00EA019D">
      <w:pPr>
        <w:rPr>
          <w:sz w:val="16"/>
          <w:szCs w:val="16"/>
        </w:rPr>
      </w:pPr>
      <w:r w:rsidRPr="00560546">
        <w:t>This summary of safety concerns is the same as that approved by the EMA. Subject to clinical and nonclinical evaluators’ comments on the RMP, this summary of safety concerns is acceptable from an RMP perspective.</w:t>
      </w:r>
    </w:p>
    <w:p w14:paraId="3ED197D5" w14:textId="7076B4AB" w:rsidR="00EA019D" w:rsidRPr="00560546" w:rsidRDefault="00EA019D" w:rsidP="00EA019D">
      <w:r w:rsidRPr="00560546">
        <w:t xml:space="preserve">The pharmacovigilance plan is acceptable. The </w:t>
      </w:r>
      <w:r w:rsidR="007B6B69">
        <w:t>sponsor</w:t>
      </w:r>
      <w:r w:rsidRPr="00560546">
        <w:t xml:space="preserve"> stated Australian patients will not be included in the post-market registry as the study will be fully enrolled, or close to be fully enrolled by the time Skyclarys is available in Australia. If any findings from this registry warrant updates to the RMP, the </w:t>
      </w:r>
      <w:r w:rsidR="007B6B69">
        <w:t>sponsor</w:t>
      </w:r>
      <w:r w:rsidRPr="00560546">
        <w:t xml:space="preserve"> is expected to update the RMP accordingly.  </w:t>
      </w:r>
    </w:p>
    <w:p w14:paraId="09BA9B93" w14:textId="77777777" w:rsidR="00EA019D" w:rsidRPr="009B011F" w:rsidRDefault="00EA019D" w:rsidP="00EA019D">
      <w:r w:rsidRPr="00560546">
        <w:t>Only routine risk minimisation activities are proposed. This is the same approach approved by the EMA. Routine risk minimisation measures are acceptable to mitigate the risks associated with this product.</w:t>
      </w:r>
      <w:r w:rsidRPr="00560546">
        <w:rPr>
          <w:iCs/>
        </w:rPr>
        <w:t xml:space="preserve"> </w:t>
      </w:r>
    </w:p>
    <w:p w14:paraId="0D171812" w14:textId="4A03365A" w:rsidR="00C22214" w:rsidRDefault="00C22214" w:rsidP="00431F99">
      <w:pPr>
        <w:pStyle w:val="Heading3"/>
      </w:pPr>
      <w:bookmarkStart w:id="164" w:name="_Toc233964987"/>
      <w:bookmarkEnd w:id="50"/>
      <w:bookmarkEnd w:id="160"/>
      <w:r>
        <w:lastRenderedPageBreak/>
        <w:t>Independent expert advice</w:t>
      </w:r>
      <w:bookmarkEnd w:id="164"/>
    </w:p>
    <w:p w14:paraId="4A031B64" w14:textId="2B3F06F2" w:rsidR="00C22214" w:rsidRDefault="00C22214" w:rsidP="00C22214">
      <w:pPr>
        <w:rPr>
          <w:szCs w:val="22"/>
        </w:rPr>
      </w:pPr>
      <w:r w:rsidRPr="00BD5DBD">
        <w:rPr>
          <w:szCs w:val="22"/>
        </w:rPr>
        <w:t xml:space="preserve">The </w:t>
      </w:r>
      <w:r w:rsidR="00185508">
        <w:rPr>
          <w:szCs w:val="22"/>
        </w:rPr>
        <w:t>Delegate</w:t>
      </w:r>
      <w:r w:rsidRPr="00BD5DBD">
        <w:rPr>
          <w:szCs w:val="22"/>
        </w:rPr>
        <w:t xml:space="preserve"> received the following independent expert advice.</w:t>
      </w:r>
    </w:p>
    <w:p w14:paraId="318CFABC" w14:textId="109B7C1D" w:rsidR="00C22214" w:rsidRPr="00B57393" w:rsidRDefault="00C22214" w:rsidP="00B57393">
      <w:pPr>
        <w:pStyle w:val="Heading5"/>
        <w:rPr>
          <w:i w:val="0"/>
          <w:iCs/>
        </w:rPr>
      </w:pPr>
      <w:bookmarkStart w:id="165" w:name="_Toc98931936"/>
      <w:bookmarkStart w:id="166" w:name="_Toc247691532"/>
      <w:bookmarkStart w:id="167" w:name="_Toc314842516"/>
      <w:r w:rsidRPr="00B57393">
        <w:rPr>
          <w:i w:val="0"/>
          <w:iCs/>
        </w:rPr>
        <w:t xml:space="preserve">Advisory Committee </w:t>
      </w:r>
      <w:r w:rsidR="005C303A" w:rsidRPr="00B57393">
        <w:rPr>
          <w:i w:val="0"/>
          <w:iCs/>
        </w:rPr>
        <w:t xml:space="preserve">on Medicines </w:t>
      </w:r>
      <w:r w:rsidRPr="00B57393">
        <w:rPr>
          <w:i w:val="0"/>
          <w:iCs/>
        </w:rPr>
        <w:t>considerations</w:t>
      </w:r>
      <w:bookmarkEnd w:id="165"/>
    </w:p>
    <w:p w14:paraId="087BB9CB" w14:textId="17A534F6" w:rsidR="00C22214" w:rsidRPr="00BD5DBD" w:rsidRDefault="00C22214" w:rsidP="00C22214">
      <w:pPr>
        <w:rPr>
          <w:bCs/>
          <w:szCs w:val="22"/>
        </w:rPr>
      </w:pPr>
      <w:r w:rsidRPr="00BD5DBD">
        <w:rPr>
          <w:bCs/>
          <w:szCs w:val="22"/>
        </w:rPr>
        <w:t xml:space="preserve">The </w:t>
      </w:r>
      <w:hyperlink r:id="rId135" w:history="1">
        <w:r w:rsidRPr="00BD5DBD">
          <w:rPr>
            <w:rStyle w:val="Hyperlink"/>
            <w:szCs w:val="22"/>
          </w:rPr>
          <w:t>Advisory Committee on Medicines (ACM)</w:t>
        </w:r>
      </w:hyperlink>
      <w:r w:rsidRPr="00BD5DBD">
        <w:rPr>
          <w:szCs w:val="22"/>
        </w:rPr>
        <w:t>,</w:t>
      </w:r>
      <w:r w:rsidRPr="00BD5DBD">
        <w:rPr>
          <w:bCs/>
          <w:szCs w:val="22"/>
        </w:rPr>
        <w:t xml:space="preserve"> having considered the evaluations and the </w:t>
      </w:r>
      <w:r w:rsidR="00185508">
        <w:rPr>
          <w:bCs/>
          <w:szCs w:val="22"/>
        </w:rPr>
        <w:t>Delegate</w:t>
      </w:r>
      <w:r w:rsidRPr="00BD5DBD">
        <w:rPr>
          <w:bCs/>
          <w:szCs w:val="22"/>
        </w:rPr>
        <w:t xml:space="preserve">’s overview, as well as the </w:t>
      </w:r>
      <w:r w:rsidR="007B6B69">
        <w:rPr>
          <w:bCs/>
          <w:szCs w:val="22"/>
        </w:rPr>
        <w:t>sponsor</w:t>
      </w:r>
      <w:r w:rsidRPr="00BD5DBD">
        <w:rPr>
          <w:bCs/>
          <w:szCs w:val="22"/>
        </w:rPr>
        <w:t>’s response to these documents, advised the following.</w:t>
      </w:r>
    </w:p>
    <w:p w14:paraId="0D935CC4" w14:textId="43E88E76" w:rsidR="00C22214" w:rsidRDefault="00C22214" w:rsidP="00C22214">
      <w:pPr>
        <w:pStyle w:val="Heading5"/>
      </w:pPr>
      <w:r w:rsidRPr="00F73346">
        <w:t xml:space="preserve">Specific advice to the </w:t>
      </w:r>
      <w:r w:rsidR="00185508">
        <w:t>Delegate</w:t>
      </w:r>
    </w:p>
    <w:p w14:paraId="2C39F5BE" w14:textId="720DB539" w:rsidR="00B546C0" w:rsidRPr="00B546C0" w:rsidRDefault="00B546C0" w:rsidP="00B546C0">
      <w:r w:rsidRPr="00B546C0">
        <w:t xml:space="preserve">The ACM advised the following in response to the </w:t>
      </w:r>
      <w:r w:rsidR="00185508">
        <w:t>Delegate</w:t>
      </w:r>
      <w:r w:rsidRPr="00B546C0">
        <w:t xml:space="preserve">’s specific request for advice: </w:t>
      </w:r>
    </w:p>
    <w:p w14:paraId="46954A46" w14:textId="77777777" w:rsidR="00B546C0" w:rsidRPr="00B546C0" w:rsidRDefault="00B546C0" w:rsidP="00B546C0">
      <w:pPr>
        <w:rPr>
          <w:b/>
          <w:bCs/>
        </w:rPr>
      </w:pPr>
      <w:r w:rsidRPr="00B546C0">
        <w:t xml:space="preserve">1. </w:t>
      </w:r>
      <w:r w:rsidRPr="00B546C0">
        <w:rPr>
          <w:b/>
          <w:bCs/>
        </w:rPr>
        <w:t xml:space="preserve">What is ACM opinion on risks associated with off label use of </w:t>
      </w:r>
      <w:proofErr w:type="spellStart"/>
      <w:r w:rsidRPr="00B546C0">
        <w:rPr>
          <w:b/>
          <w:bCs/>
        </w:rPr>
        <w:t>omaveloxolone</w:t>
      </w:r>
      <w:proofErr w:type="spellEnd"/>
      <w:r w:rsidRPr="00B546C0">
        <w:rPr>
          <w:b/>
          <w:bCs/>
        </w:rPr>
        <w:t xml:space="preserve"> in patients with Friedreich’s ataxia &lt;16 years of age? </w:t>
      </w:r>
    </w:p>
    <w:p w14:paraId="3FAB9C64" w14:textId="77777777" w:rsidR="00B546C0" w:rsidRPr="00B546C0" w:rsidRDefault="00B546C0" w:rsidP="00B546C0">
      <w:r w:rsidRPr="00B546C0">
        <w:t xml:space="preserve">The ACM advised that there was no data presented regarding safety and efficacy in patients under 16 years of age. </w:t>
      </w:r>
    </w:p>
    <w:p w14:paraId="359B6CF7" w14:textId="2BF8468A" w:rsidR="00B546C0" w:rsidRPr="00B546C0" w:rsidRDefault="00B546C0" w:rsidP="00B546C0">
      <w:r w:rsidRPr="00B546C0">
        <w:t xml:space="preserve">The ACM noted that the </w:t>
      </w:r>
      <w:r w:rsidR="007B6B69">
        <w:t>sponsor</w:t>
      </w:r>
      <w:r w:rsidRPr="00B546C0">
        <w:t xml:space="preserve"> has commenced a Phase 1 paediatric trial to identify the appropriate dose for the paediatric population aged from 2 years to 16 years. A subsequent Phase 3 randomised trial is currently planned to commence later in 2025. </w:t>
      </w:r>
    </w:p>
    <w:p w14:paraId="26B001E5" w14:textId="77777777" w:rsidR="00B546C0" w:rsidRPr="00B546C0" w:rsidRDefault="00B546C0" w:rsidP="00B546C0">
      <w:r w:rsidRPr="00B546C0">
        <w:t xml:space="preserve">Off-label use in younger patients would be an untested treatment. The ACM noted that symptoms usually begin from 5 to 15 years of age, so </w:t>
      </w:r>
      <w:proofErr w:type="spellStart"/>
      <w:r w:rsidRPr="00B546C0">
        <w:t>omaveloxolone</w:t>
      </w:r>
      <w:proofErr w:type="spellEnd"/>
      <w:r w:rsidRPr="00B546C0">
        <w:t xml:space="preserve"> is unlikely to be prescribed to children under the age of 5 years when pharmacokinetics can be markedly different. Management of paediatric Friedreich’s ataxia patients would typically be undertaken by multidisciplinary care teams, including neurologists, cardiologists, endocrinologists, urologists, physiotherapists, occupational and speech therapists, and social workers. </w:t>
      </w:r>
    </w:p>
    <w:p w14:paraId="49457094" w14:textId="77777777" w:rsidR="00B546C0" w:rsidRPr="00B546C0" w:rsidRDefault="00B546C0" w:rsidP="00B546C0">
      <w:r w:rsidRPr="00B546C0">
        <w:t xml:space="preserve">The ACM suggested a change to the proposed PI to help mitigate off label use, through ensuring initiation and supervision by neurologists experienced in the management of patients with Friedreich’s ataxia. </w:t>
      </w:r>
    </w:p>
    <w:p w14:paraId="7496C56D" w14:textId="77777777" w:rsidR="00880A2A" w:rsidRDefault="00880A2A" w:rsidP="00B546C0">
      <w:pPr>
        <w:rPr>
          <w:b/>
          <w:bCs/>
        </w:rPr>
      </w:pPr>
    </w:p>
    <w:p w14:paraId="07FCB510" w14:textId="6D97D36C" w:rsidR="00B546C0" w:rsidRPr="00B546C0" w:rsidRDefault="00B546C0" w:rsidP="00B546C0">
      <w:pPr>
        <w:rPr>
          <w:b/>
          <w:bCs/>
        </w:rPr>
      </w:pPr>
      <w:r w:rsidRPr="00B546C0">
        <w:rPr>
          <w:b/>
          <w:bCs/>
        </w:rPr>
        <w:t xml:space="preserve">2. What is ACM opinion on whether rises in hepatic enzymes with </w:t>
      </w:r>
      <w:proofErr w:type="spellStart"/>
      <w:r w:rsidRPr="00B546C0">
        <w:rPr>
          <w:b/>
          <w:bCs/>
        </w:rPr>
        <w:t>omaveloxolone</w:t>
      </w:r>
      <w:proofErr w:type="spellEnd"/>
      <w:r w:rsidRPr="00B546C0">
        <w:rPr>
          <w:b/>
          <w:bCs/>
        </w:rPr>
        <w:t xml:space="preserve"> use are related to a pharmacodynamic effect of </w:t>
      </w:r>
      <w:proofErr w:type="spellStart"/>
      <w:r w:rsidRPr="00B546C0">
        <w:rPr>
          <w:b/>
          <w:bCs/>
        </w:rPr>
        <w:t>omaveloxolone</w:t>
      </w:r>
      <w:proofErr w:type="spellEnd"/>
      <w:r w:rsidRPr="00B546C0">
        <w:rPr>
          <w:b/>
          <w:bCs/>
        </w:rPr>
        <w:t xml:space="preserve"> or a result of hepatic injury? </w:t>
      </w:r>
    </w:p>
    <w:p w14:paraId="0D19144B" w14:textId="77777777" w:rsidR="00B546C0" w:rsidRPr="00B546C0" w:rsidRDefault="00B546C0" w:rsidP="00B546C0">
      <w:r w:rsidRPr="00B546C0">
        <w:t xml:space="preserve">The ACM advised that raised GGT may be enzyme induction while raised ALT/AST is more likely due to hepatic injury from a toxic intermediate of drug metabolism with reversal due to adaption. </w:t>
      </w:r>
    </w:p>
    <w:p w14:paraId="162C42BC" w14:textId="77777777" w:rsidR="00B546C0" w:rsidRPr="00B546C0" w:rsidRDefault="00B546C0" w:rsidP="00B546C0">
      <w:r w:rsidRPr="00B546C0">
        <w:t xml:space="preserve">A small number of individuals may be predisposed to increased toxicity and unless liver injury is detected early by close monitoring and </w:t>
      </w:r>
      <w:proofErr w:type="spellStart"/>
      <w:r w:rsidRPr="00B546C0">
        <w:t>omaveloxolone</w:t>
      </w:r>
      <w:proofErr w:type="spellEnd"/>
      <w:r w:rsidRPr="00B546C0">
        <w:t xml:space="preserve"> promptly ceased, hepatic failure may </w:t>
      </w:r>
      <w:proofErr w:type="spellStart"/>
      <w:proofErr w:type="gramStart"/>
      <w:r w:rsidRPr="00B546C0">
        <w:t>develop.The</w:t>
      </w:r>
      <w:proofErr w:type="spellEnd"/>
      <w:proofErr w:type="gramEnd"/>
      <w:r w:rsidRPr="00B546C0">
        <w:t xml:space="preserve"> ACM noted that 2 cases of hepatic failure were documented in the Periodic Safety Update Report since the first international registration date of </w:t>
      </w:r>
      <w:proofErr w:type="spellStart"/>
      <w:r w:rsidRPr="00B546C0">
        <w:t>omaveloxolone</w:t>
      </w:r>
      <w:proofErr w:type="spellEnd"/>
      <w:r w:rsidRPr="00B546C0">
        <w:t xml:space="preserve"> of 28 February 2023. </w:t>
      </w:r>
    </w:p>
    <w:p w14:paraId="3B08F6B2" w14:textId="77777777" w:rsidR="00B546C0" w:rsidRPr="00B546C0" w:rsidRDefault="00B546C0" w:rsidP="00B546C0">
      <w:r w:rsidRPr="00B546C0">
        <w:t xml:space="preserve">Because of the limited number of subjects exposed to </w:t>
      </w:r>
      <w:proofErr w:type="spellStart"/>
      <w:r w:rsidRPr="00B546C0">
        <w:t>omaveloxolone</w:t>
      </w:r>
      <w:proofErr w:type="spellEnd"/>
      <w:r w:rsidRPr="00B546C0">
        <w:t xml:space="preserve"> so far, it is difficult to estimate the risk of severe and fatal drug induced liver injury (DILI). Provided there is close monitoring of ALT and prompt cessation of the medicine according to the stopping rules in the proposed PI, the evidence suggests severe DILI is likely to be avoidable. </w:t>
      </w:r>
    </w:p>
    <w:p w14:paraId="037B1CEA" w14:textId="2581FC13" w:rsidR="00E46D29" w:rsidRDefault="00E46D29">
      <w:pPr>
        <w:rPr>
          <w:b/>
          <w:bCs/>
        </w:rPr>
      </w:pPr>
    </w:p>
    <w:p w14:paraId="3B69B4EA" w14:textId="77777777" w:rsidR="00431F99" w:rsidRDefault="00431F99">
      <w:pPr>
        <w:rPr>
          <w:b/>
          <w:bCs/>
        </w:rPr>
      </w:pPr>
      <w:r>
        <w:rPr>
          <w:b/>
          <w:bCs/>
        </w:rPr>
        <w:br w:type="page"/>
      </w:r>
    </w:p>
    <w:p w14:paraId="61ECE0AE" w14:textId="0115C66B" w:rsidR="00B546C0" w:rsidRPr="00B546C0" w:rsidRDefault="00B546C0" w:rsidP="00B546C0">
      <w:pPr>
        <w:rPr>
          <w:b/>
          <w:bCs/>
        </w:rPr>
      </w:pPr>
      <w:r w:rsidRPr="00B546C0">
        <w:rPr>
          <w:b/>
          <w:bCs/>
        </w:rPr>
        <w:lastRenderedPageBreak/>
        <w:t xml:space="preserve">3. What is ACM opinion on the recommended monitoring of hepatic enzymes after initiation of </w:t>
      </w:r>
      <w:proofErr w:type="spellStart"/>
      <w:r w:rsidRPr="00B546C0">
        <w:rPr>
          <w:b/>
          <w:bCs/>
        </w:rPr>
        <w:t>omaveloxolone</w:t>
      </w:r>
      <w:proofErr w:type="spellEnd"/>
      <w:r w:rsidRPr="00B546C0">
        <w:rPr>
          <w:b/>
          <w:bCs/>
        </w:rPr>
        <w:t xml:space="preserve"> in the proposed PI? </w:t>
      </w:r>
    </w:p>
    <w:p w14:paraId="26BF1ABD" w14:textId="77777777" w:rsidR="00B546C0" w:rsidRPr="00B546C0" w:rsidRDefault="00B546C0" w:rsidP="00B546C0">
      <w:r w:rsidRPr="00B546C0">
        <w:t xml:space="preserve">The ACM advised that the recommended monitoring could be strengthened. Testing of ALT, AST, and bilirubin prior to initiation of </w:t>
      </w:r>
      <w:proofErr w:type="spellStart"/>
      <w:r w:rsidRPr="00B546C0">
        <w:t>omaveloxolone</w:t>
      </w:r>
      <w:proofErr w:type="spellEnd"/>
      <w:r w:rsidRPr="00B546C0">
        <w:t xml:space="preserve">, monthly testing during the first 3 months of treatment, and periodic testing thereafter as clinically indicated was appropriate. In addition, if abnormal ALT is found, monthly monitoring should continue for an additional 3 months and then at a reduced frequency of 3 months if improvement is noted. Additionally, ALT should be monitored monthly for 3 months after the introduction of another medicine which may increase levels of </w:t>
      </w:r>
      <w:proofErr w:type="spellStart"/>
      <w:r w:rsidRPr="00B546C0">
        <w:t>omaveloxolone</w:t>
      </w:r>
      <w:proofErr w:type="spellEnd"/>
      <w:r w:rsidRPr="00B546C0">
        <w:t xml:space="preserve"> (e.g. CYP3A4 inhibitors). </w:t>
      </w:r>
    </w:p>
    <w:p w14:paraId="0C717FC8" w14:textId="77777777" w:rsidR="00B546C0" w:rsidRPr="00B546C0" w:rsidRDefault="00B546C0" w:rsidP="00B546C0">
      <w:r w:rsidRPr="00B546C0">
        <w:t xml:space="preserve">The ACM agreed with the recommended dose adjustments for patients with hepatic impairment in the proposed PI, including when </w:t>
      </w:r>
      <w:proofErr w:type="spellStart"/>
      <w:r w:rsidRPr="00B546C0">
        <w:t>omaveloxolone</w:t>
      </w:r>
      <w:proofErr w:type="spellEnd"/>
      <w:r w:rsidRPr="00B546C0">
        <w:t xml:space="preserve"> should be ceased. </w:t>
      </w:r>
    </w:p>
    <w:p w14:paraId="3380E10B" w14:textId="2510E65F" w:rsidR="00B546C0" w:rsidRPr="00B546C0" w:rsidRDefault="00B546C0" w:rsidP="00B546C0">
      <w:pPr>
        <w:rPr>
          <w:b/>
          <w:bCs/>
        </w:rPr>
      </w:pPr>
      <w:r w:rsidRPr="00B546C0">
        <w:rPr>
          <w:b/>
          <w:bCs/>
        </w:rPr>
        <w:t xml:space="preserve">4. What is ACM opinion on risks of long term </w:t>
      </w:r>
      <w:proofErr w:type="spellStart"/>
      <w:r w:rsidRPr="00B546C0">
        <w:rPr>
          <w:b/>
          <w:bCs/>
        </w:rPr>
        <w:t>omaveloxolone</w:t>
      </w:r>
      <w:proofErr w:type="spellEnd"/>
      <w:r w:rsidRPr="00B546C0">
        <w:rPr>
          <w:b/>
          <w:bCs/>
        </w:rPr>
        <w:t xml:space="preserve"> use on cardiac function? </w:t>
      </w:r>
    </w:p>
    <w:p w14:paraId="0870F3C2" w14:textId="77777777" w:rsidR="00B546C0" w:rsidRPr="00B546C0" w:rsidRDefault="00B546C0" w:rsidP="00B546C0">
      <w:r w:rsidRPr="00B546C0">
        <w:t xml:space="preserve">The ACM advised that elevation of BNP suggests </w:t>
      </w:r>
      <w:proofErr w:type="spellStart"/>
      <w:r w:rsidRPr="00B546C0">
        <w:t>omaveloxolone</w:t>
      </w:r>
      <w:proofErr w:type="spellEnd"/>
      <w:r w:rsidRPr="00B546C0">
        <w:t xml:space="preserve"> may worsen or expedite cardiac dysfunction. The implications of this in a condition where cardiomyopathy is a common terminal event are unclear. The ACM noted that in the study there were no reported heart failure related admissions or deaths. It was considered that the significant improvement on functional status was likely to be a significant priority for individuals with Friedrich’s Ataxia. The ACM noted the PI acknowledges the cardiac risks. </w:t>
      </w:r>
    </w:p>
    <w:p w14:paraId="704413B1" w14:textId="77777777" w:rsidR="00B546C0" w:rsidRPr="00B546C0" w:rsidRDefault="00B546C0" w:rsidP="00B546C0">
      <w:r w:rsidRPr="00B546C0">
        <w:t xml:space="preserve">The ACM advised that the CMI should state that an increased BNP is a marker ‘of’ heart problems (not ‘for’). </w:t>
      </w:r>
    </w:p>
    <w:p w14:paraId="55A5D76B" w14:textId="7EB472AB" w:rsidR="00B546C0" w:rsidRPr="00B546C0" w:rsidRDefault="00B546C0" w:rsidP="00B546C0">
      <w:r w:rsidRPr="00B546C0">
        <w:t>The ACM noted that patients with Friedreich’s ataxia will typically be managed by multidisciplinary care teams, including cardiologists.</w:t>
      </w:r>
    </w:p>
    <w:p w14:paraId="5291EA2A" w14:textId="41383B92" w:rsidR="00C22214" w:rsidRDefault="008D56CA" w:rsidP="00C22214">
      <w:pPr>
        <w:pStyle w:val="Heading5"/>
      </w:pPr>
      <w:r>
        <w:t>A</w:t>
      </w:r>
      <w:r w:rsidR="004A45D4">
        <w:t>dvisory committee c</w:t>
      </w:r>
      <w:r w:rsidR="00C22214" w:rsidRPr="00F73346">
        <w:t>onclusion</w:t>
      </w:r>
    </w:p>
    <w:p w14:paraId="24EC6E07" w14:textId="77777777" w:rsidR="00201EF3" w:rsidRPr="00201EF3" w:rsidRDefault="00201EF3" w:rsidP="00201EF3">
      <w:r w:rsidRPr="00201EF3">
        <w:t xml:space="preserve">The ACM considered this product to have an overall positive benefit-risk profile for the indication: </w:t>
      </w:r>
    </w:p>
    <w:p w14:paraId="1D09A302" w14:textId="1D45DBEF" w:rsidR="00201EF3" w:rsidRPr="00201EF3" w:rsidRDefault="00201EF3" w:rsidP="009A2D4B">
      <w:pPr>
        <w:ind w:firstLine="720"/>
      </w:pPr>
      <w:r w:rsidRPr="00201EF3">
        <w:rPr>
          <w:i/>
          <w:iCs/>
        </w:rPr>
        <w:t>Treatment of Friedreich’s ataxia in adults and adolescents aged 16 years and older.</w:t>
      </w:r>
    </w:p>
    <w:p w14:paraId="307F236C" w14:textId="7FD19BD3" w:rsidR="00C22214" w:rsidRPr="002E238E" w:rsidRDefault="0046285C" w:rsidP="00C22214">
      <w:pPr>
        <w:pStyle w:val="Heading2"/>
      </w:pPr>
      <w:bookmarkStart w:id="168" w:name="_Toc103679300"/>
      <w:bookmarkStart w:id="169" w:name="_Toc233964988"/>
      <w:r>
        <w:t>Assessment</w:t>
      </w:r>
      <w:r w:rsidR="00190853">
        <w:t xml:space="preserve"> </w:t>
      </w:r>
      <w:r>
        <w:t>o</w:t>
      </w:r>
      <w:r w:rsidR="00C22214">
        <w:t>utcome</w:t>
      </w:r>
      <w:bookmarkEnd w:id="166"/>
      <w:bookmarkEnd w:id="167"/>
      <w:bookmarkEnd w:id="168"/>
      <w:bookmarkEnd w:id="169"/>
    </w:p>
    <w:p w14:paraId="4EF22939" w14:textId="4B9EBAC1" w:rsidR="00C22214" w:rsidRPr="0017005C" w:rsidRDefault="00C22214" w:rsidP="0006104E">
      <w:r w:rsidRPr="0017005C">
        <w:t xml:space="preserve">Based on a review of quality, safety, and efficacy, the TGA </w:t>
      </w:r>
      <w:r w:rsidR="00B46DFB">
        <w:t>decided to</w:t>
      </w:r>
      <w:r w:rsidRPr="0017005C">
        <w:t xml:space="preserve"> regist</w:t>
      </w:r>
      <w:r w:rsidR="00B46DFB">
        <w:t>er</w:t>
      </w:r>
      <w:r w:rsidRPr="0017005C">
        <w:t xml:space="preserve"> </w:t>
      </w:r>
      <w:proofErr w:type="gramStart"/>
      <w:r w:rsidR="004909C2">
        <w:t xml:space="preserve">Skyclarys </w:t>
      </w:r>
      <w:r w:rsidR="004909C2" w:rsidRPr="00460036">
        <w:t xml:space="preserve"> </w:t>
      </w:r>
      <w:proofErr w:type="spellStart"/>
      <w:r w:rsidR="004909C2">
        <w:t>omaveloxolone</w:t>
      </w:r>
      <w:proofErr w:type="spellEnd"/>
      <w:proofErr w:type="gramEnd"/>
      <w:r w:rsidR="004909C2">
        <w:t xml:space="preserve"> </w:t>
      </w:r>
      <w:r w:rsidR="00C7005E">
        <w:t>50 mg capsule bottle</w:t>
      </w:r>
      <w:r w:rsidR="00AC204D">
        <w:t>. The approved indication for this therapeutic good is:</w:t>
      </w:r>
      <w:r w:rsidRPr="0017005C">
        <w:t xml:space="preserve"> </w:t>
      </w:r>
    </w:p>
    <w:p w14:paraId="07F2153D" w14:textId="7D539895" w:rsidR="00C22214" w:rsidRPr="002066A8" w:rsidRDefault="00431F99" w:rsidP="002066A8">
      <w:pPr>
        <w:ind w:left="720"/>
        <w:rPr>
          <w:i/>
          <w:iCs/>
          <w:szCs w:val="22"/>
        </w:rPr>
      </w:pPr>
      <w:r w:rsidRPr="002066A8">
        <w:rPr>
          <w:i/>
          <w:iCs/>
        </w:rPr>
        <w:t>S</w:t>
      </w:r>
      <w:r>
        <w:rPr>
          <w:i/>
          <w:iCs/>
        </w:rPr>
        <w:t>kyclarys</w:t>
      </w:r>
      <w:r w:rsidRPr="002066A8">
        <w:rPr>
          <w:i/>
          <w:iCs/>
        </w:rPr>
        <w:t xml:space="preserve"> </w:t>
      </w:r>
      <w:r w:rsidR="002066A8" w:rsidRPr="002066A8">
        <w:rPr>
          <w:i/>
          <w:iCs/>
        </w:rPr>
        <w:t xml:space="preserve">is indicated for the treatment of Friedreich’s ataxia in adults and adolescents aged 16 years and older. </w:t>
      </w:r>
    </w:p>
    <w:p w14:paraId="5ACB0BE9" w14:textId="77777777" w:rsidR="003341CD" w:rsidRDefault="003341CD">
      <w:pPr>
        <w:rPr>
          <w:rFonts w:ascii="Arial" w:eastAsia="Cambria" w:hAnsi="Arial" w:cs="Times New Roman"/>
          <w:b/>
          <w:bCs/>
          <w:color w:val="001871"/>
          <w:sz w:val="28"/>
          <w:szCs w:val="26"/>
        </w:rPr>
      </w:pPr>
      <w:bookmarkStart w:id="170" w:name="_Toc103679301"/>
      <w:r>
        <w:br w:type="page"/>
      </w:r>
    </w:p>
    <w:p w14:paraId="0D732DA4" w14:textId="2036363A" w:rsidR="00854D98" w:rsidRPr="00D23139" w:rsidRDefault="00854D98" w:rsidP="004B2938">
      <w:pPr>
        <w:pStyle w:val="Heading4"/>
      </w:pPr>
      <w:bookmarkStart w:id="171" w:name="_Toc233964989"/>
      <w:r w:rsidRPr="00D23139">
        <w:lastRenderedPageBreak/>
        <w:t>Specific conditions of registration</w:t>
      </w:r>
      <w:bookmarkEnd w:id="171"/>
      <w:r w:rsidRPr="00D23139">
        <w:t xml:space="preserve"> </w:t>
      </w:r>
      <w:bookmarkEnd w:id="170"/>
    </w:p>
    <w:p w14:paraId="321BF62B" w14:textId="543345EE" w:rsidR="00952033" w:rsidRPr="00952033" w:rsidRDefault="00952033" w:rsidP="00952033">
      <w:pPr>
        <w:pStyle w:val="ListBullet"/>
      </w:pPr>
      <w:bookmarkStart w:id="172" w:name="_Toc196738290"/>
      <w:r w:rsidRPr="00952033">
        <w:t>Skyclarys (</w:t>
      </w:r>
      <w:proofErr w:type="spellStart"/>
      <w:r w:rsidRPr="00952033">
        <w:t>omaveloxolone</w:t>
      </w:r>
      <w:proofErr w:type="spellEnd"/>
      <w:r w:rsidRPr="00952033">
        <w:t>) is to be included in the Black Triangle Scheme. The PI and</w:t>
      </w:r>
      <w:r>
        <w:t xml:space="preserve"> </w:t>
      </w:r>
      <w:r w:rsidRPr="00952033">
        <w:t>CMI for Skyclarys must include the black triangle symbol and mandatory accompanying</w:t>
      </w:r>
      <w:r>
        <w:t xml:space="preserve"> </w:t>
      </w:r>
      <w:r w:rsidRPr="00952033">
        <w:t>text for five years, which starts from the date of first supply of the product.</w:t>
      </w:r>
    </w:p>
    <w:p w14:paraId="763C3A46" w14:textId="36D65F2D" w:rsidR="00952033" w:rsidRPr="00952033" w:rsidRDefault="00952033" w:rsidP="00AD5BBE">
      <w:pPr>
        <w:pStyle w:val="ListBullet"/>
      </w:pPr>
      <w:r w:rsidRPr="00952033">
        <w:t>The Skyclarys EU-Risk Management Plan (RMP) (version 1.0, date 12 December 2023</w:t>
      </w:r>
      <w:r>
        <w:t xml:space="preserve"> </w:t>
      </w:r>
      <w:r w:rsidRPr="00952033">
        <w:t>DLP 24 March 2022), with Australia-Specific Annex (ASA) (version 1.0, dated June</w:t>
      </w:r>
      <w:r>
        <w:t xml:space="preserve"> </w:t>
      </w:r>
      <w:r w:rsidRPr="00952033">
        <w:t xml:space="preserve">2024), </w:t>
      </w:r>
      <w:r w:rsidR="00B239F2">
        <w:t>i</w:t>
      </w:r>
      <w:r w:rsidRPr="00952033">
        <w:t>ncluded with submission PM-2024-02530-1-1, and any subsequent revisions,</w:t>
      </w:r>
      <w:r w:rsidR="00B239F2">
        <w:t xml:space="preserve"> </w:t>
      </w:r>
      <w:r w:rsidRPr="00952033">
        <w:t>as agreed with the TGA will be implemented in Australia.</w:t>
      </w:r>
    </w:p>
    <w:p w14:paraId="226DC731" w14:textId="1F0C82DC" w:rsidR="00952033" w:rsidRPr="00952033" w:rsidRDefault="00952033" w:rsidP="00B1023C">
      <w:pPr>
        <w:pStyle w:val="ListBullet"/>
      </w:pPr>
      <w:r w:rsidRPr="00952033">
        <w:t>An obligatory component of risk management plans is routine pharmacovigilance.</w:t>
      </w:r>
      <w:r w:rsidR="00B239F2">
        <w:t xml:space="preserve"> R</w:t>
      </w:r>
      <w:r w:rsidRPr="00952033">
        <w:t>outine pharmacovigilance includes the submission of periodic safety update reports</w:t>
      </w:r>
      <w:r w:rsidR="00B239F2">
        <w:t xml:space="preserve"> </w:t>
      </w:r>
      <w:r w:rsidRPr="00952033">
        <w:t>(PSURs).</w:t>
      </w:r>
    </w:p>
    <w:p w14:paraId="045F04A5" w14:textId="66B07111" w:rsidR="00886083" w:rsidRPr="00886083" w:rsidRDefault="00952033" w:rsidP="00886083">
      <w:pPr>
        <w:ind w:left="360"/>
      </w:pPr>
      <w:r w:rsidRPr="00952033">
        <w:t>Reports are to be provided in line with the current published list of EU reference dates</w:t>
      </w:r>
      <w:r w:rsidR="00830AFB">
        <w:t xml:space="preserve"> </w:t>
      </w:r>
      <w:r w:rsidRPr="00952033">
        <w:t>and frequency of submission of PSURs until the period covered by such reports is not</w:t>
      </w:r>
      <w:r w:rsidR="00830AFB">
        <w:t xml:space="preserve"> </w:t>
      </w:r>
      <w:r w:rsidRPr="00952033">
        <w:t>less than three years from the date of this approval letter. Each report must be</w:t>
      </w:r>
      <w:r w:rsidR="00830AFB">
        <w:t xml:space="preserve"> </w:t>
      </w:r>
      <w:r w:rsidRPr="00952033">
        <w:t xml:space="preserve">submitted within ninety calendar days of the data lock point for that </w:t>
      </w:r>
      <w:proofErr w:type="spellStart"/>
      <w:r w:rsidRPr="00952033">
        <w:t>report.</w:t>
      </w:r>
      <w:r w:rsidR="00886083" w:rsidRPr="00886083">
        <w:t>The</w:t>
      </w:r>
      <w:proofErr w:type="spellEnd"/>
      <w:r w:rsidR="00886083" w:rsidRPr="00886083">
        <w:t xml:space="preserve"> reports are to at least meet the requirements for PSURs as described in the</w:t>
      </w:r>
      <w:r w:rsidR="00886083">
        <w:t xml:space="preserve"> </w:t>
      </w:r>
      <w:r w:rsidR="00886083" w:rsidRPr="00886083">
        <w:t>European Medicines Agency’s Guideline on good pharmacovigilance practices (GVP)</w:t>
      </w:r>
      <w:r w:rsidR="00886083">
        <w:t xml:space="preserve"> </w:t>
      </w:r>
      <w:r w:rsidR="00886083" w:rsidRPr="00886083">
        <w:t>Module VII-periodic safety update report (Rev 1), Part VII.B Structures and processes.</w:t>
      </w:r>
      <w:r w:rsidR="00886083">
        <w:t xml:space="preserve"> </w:t>
      </w:r>
      <w:r w:rsidR="00886083" w:rsidRPr="00886083">
        <w:t>Note that submission of a PSUR does not constitute an application to vary the</w:t>
      </w:r>
      <w:r w:rsidR="00886083">
        <w:t xml:space="preserve"> </w:t>
      </w:r>
      <w:r w:rsidR="00886083" w:rsidRPr="00886083">
        <w:t>registration.</w:t>
      </w:r>
    </w:p>
    <w:p w14:paraId="68E71FA3" w14:textId="106A3EBD" w:rsidR="00830AFB" w:rsidRDefault="00886083" w:rsidP="00900B2A">
      <w:pPr>
        <w:pStyle w:val="ListBullet"/>
      </w:pPr>
      <w:r w:rsidRPr="00886083">
        <w:t xml:space="preserve">The </w:t>
      </w:r>
      <w:r w:rsidR="00476E25">
        <w:t>s</w:t>
      </w:r>
      <w:r w:rsidR="007B6B69">
        <w:t>ponsor</w:t>
      </w:r>
      <w:r w:rsidRPr="00886083">
        <w:t xml:space="preserve"> submit</w:t>
      </w:r>
      <w:r w:rsidR="00B32CC0">
        <w:t>ted</w:t>
      </w:r>
      <w:r w:rsidRPr="00886083">
        <w:t xml:space="preserve"> the final study report for the 2-year oral</w:t>
      </w:r>
      <w:r>
        <w:t xml:space="preserve"> </w:t>
      </w:r>
      <w:r w:rsidRPr="00886083">
        <w:t>carcinogenicity study in rats (RTA-P-21070) to the TGA in</w:t>
      </w:r>
      <w:r w:rsidR="007C7DEF">
        <w:t xml:space="preserve"> </w:t>
      </w:r>
      <w:r w:rsidR="003E3F09">
        <w:t>December</w:t>
      </w:r>
      <w:r w:rsidRPr="00886083">
        <w:t xml:space="preserve"> 2025.</w:t>
      </w:r>
    </w:p>
    <w:p w14:paraId="0F9C1952" w14:textId="3B94005E" w:rsidR="00BA657C" w:rsidRPr="00BA657C" w:rsidRDefault="00BA657C" w:rsidP="004B2938">
      <w:pPr>
        <w:pStyle w:val="Heading4"/>
      </w:pPr>
      <w:bookmarkStart w:id="173" w:name="_Toc233964990"/>
      <w:r w:rsidRPr="00BA657C">
        <w:t>Product Information and Consumer Medicine Information</w:t>
      </w:r>
      <w:bookmarkEnd w:id="173"/>
      <w:r w:rsidRPr="00BA657C">
        <w:t xml:space="preserve"> </w:t>
      </w:r>
      <w:bookmarkEnd w:id="172"/>
    </w:p>
    <w:p w14:paraId="5F276616" w14:textId="6667B73D" w:rsidR="004D0933" w:rsidRPr="004D0933" w:rsidRDefault="004D0933" w:rsidP="004D0933">
      <w:bookmarkStart w:id="174" w:name="_Hlk200021736"/>
      <w:r w:rsidRPr="004D0933">
        <w:t xml:space="preserve">For the most recent Product Information (PI) and Consumer Medicine Information (CMI), please refer to the TGA </w:t>
      </w:r>
      <w:hyperlink r:id="rId136" w:history="1">
        <w:r w:rsidRPr="004D0933">
          <w:rPr>
            <w:rStyle w:val="Hyperlink"/>
          </w:rPr>
          <w:t>PI/CMI search facility.</w:t>
        </w:r>
      </w:hyperlink>
    </w:p>
    <w:bookmarkEnd w:id="174"/>
    <w:p w14:paraId="40740B65" w14:textId="5819D664" w:rsidR="00C22214" w:rsidRPr="008B4DA3" w:rsidRDefault="00C22214" w:rsidP="00C22214">
      <w:pPr>
        <w:autoSpaceDE w:val="0"/>
        <w:autoSpaceDN w:val="0"/>
        <w:adjustRightInd w:val="0"/>
        <w:spacing w:after="0"/>
      </w:pPr>
    </w:p>
    <w:p w14:paraId="53357BF3" w14:textId="276457B5" w:rsidR="00C22214" w:rsidRDefault="00C22214" w:rsidP="00C22214">
      <w:pPr>
        <w:rPr>
          <w:lang w:eastAsia="ja-JP"/>
        </w:rPr>
        <w:sectPr w:rsidR="00C22214" w:rsidSect="007452E8">
          <w:headerReference w:type="default" r:id="rId137"/>
          <w:footerReference w:type="default" r:id="rId138"/>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2"/>
          <w:bookmarkEnd w:id="3"/>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3CB9479" w:rsidR="00F02AEC" w:rsidRDefault="00F02AEC">
            <w:pPr>
              <w:pStyle w:val="Address"/>
              <w:jc w:val="center"/>
              <w:rPr>
                <w:sz w:val="22"/>
                <w:szCs w:val="22"/>
              </w:rPr>
            </w:pPr>
            <w:r w:rsidRPr="00215D48">
              <w:t xml:space="preserve">Email: </w:t>
            </w:r>
            <w:hyperlink r:id="rId139"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4533D80F" w14:textId="1519D7A3" w:rsidR="00F02AEC" w:rsidRPr="000C6329" w:rsidRDefault="00F02AEC">
            <w:pPr>
              <w:pStyle w:val="Address"/>
              <w:jc w:val="center"/>
              <w:rPr>
                <w:rStyle w:val="Hyperlink"/>
                <w:color w:val="auto"/>
                <w:sz w:val="22"/>
              </w:rPr>
            </w:pPr>
            <w:hyperlink r:id="rId140" w:history="1">
              <w:r w:rsidRPr="000C6329">
                <w:rPr>
                  <w:rStyle w:val="Hyperlink"/>
                </w:rPr>
                <w:t>https://www.tga.gov.au</w:t>
              </w:r>
            </w:hyperlink>
          </w:p>
        </w:tc>
      </w:tr>
      <w:tr w:rsidR="00F02AEC" w:rsidRPr="00215D48" w14:paraId="2AD74347" w14:textId="77777777" w:rsidTr="007452E8">
        <w:trPr>
          <w:trHeight w:val="251"/>
          <w:jc w:val="center"/>
        </w:trPr>
        <w:tc>
          <w:tcPr>
            <w:tcW w:w="9145" w:type="dxa"/>
            <w:tcMar>
              <w:top w:w="28" w:type="dxa"/>
            </w:tcMar>
          </w:tcPr>
          <w:p w14:paraId="6EAAD5C1" w14:textId="4B4B009A" w:rsidR="00F02AEC" w:rsidRPr="00215D48" w:rsidRDefault="00F02AEC" w:rsidP="007452E8">
            <w:pPr>
              <w:pStyle w:val="Address"/>
              <w:jc w:val="center"/>
            </w:pPr>
          </w:p>
        </w:tc>
      </w:tr>
    </w:tbl>
    <w:p w14:paraId="788B80FD" w14:textId="77777777" w:rsidR="007452E8" w:rsidRDefault="007452E8"/>
    <w:sectPr w:rsidR="007452E8" w:rsidSect="007452E8">
      <w:headerReference w:type="first" r:id="rId141"/>
      <w:footerReference w:type="first" r:id="rId142"/>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52B7" w14:textId="77777777" w:rsidR="00C12584" w:rsidRDefault="00C12584" w:rsidP="00F02AEC">
      <w:pPr>
        <w:spacing w:after="0" w:line="240" w:lineRule="auto"/>
      </w:pPr>
      <w:r>
        <w:separator/>
      </w:r>
    </w:p>
  </w:endnote>
  <w:endnote w:type="continuationSeparator" w:id="0">
    <w:p w14:paraId="351F979A" w14:textId="77777777" w:rsidR="00C12584" w:rsidRDefault="00C12584"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ourierNewPSMT">
    <w:altName w:val="Courier Ne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2E20" w14:textId="32DF121F" w:rsidR="007E4FF8" w:rsidRDefault="007E4FF8">
    <w:pPr>
      <w:pStyle w:val="Footer"/>
    </w:pPr>
    <w:r>
      <w:rPr>
        <w:noProof/>
      </w:rPr>
      <mc:AlternateContent>
        <mc:Choice Requires="wps">
          <w:drawing>
            <wp:anchor distT="0" distB="0" distL="0" distR="0" simplePos="0" relativeHeight="251659776" behindDoc="0" locked="0" layoutInCell="1" allowOverlap="1" wp14:anchorId="32C7110B" wp14:editId="569C8F27">
              <wp:simplePos x="635" y="635"/>
              <wp:positionH relativeFrom="page">
                <wp:align>center</wp:align>
              </wp:positionH>
              <wp:positionV relativeFrom="page">
                <wp:align>bottom</wp:align>
              </wp:positionV>
              <wp:extent cx="622300" cy="391160"/>
              <wp:effectExtent l="0" t="0" r="6350" b="0"/>
              <wp:wrapNone/>
              <wp:docPr id="177436847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33EE99" w14:textId="0855600B"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C7110B"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933EE99" w14:textId="0855600B"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7DAC4767" w:rsidR="007452E8" w:rsidRDefault="007E4FF8" w:rsidP="007452E8">
          <w:pPr>
            <w:pStyle w:val="Footer"/>
          </w:pPr>
          <w:r>
            <w:rPr>
              <w:noProof/>
            </w:rPr>
            <mc:AlternateContent>
              <mc:Choice Requires="wps">
                <w:drawing>
                  <wp:anchor distT="0" distB="0" distL="0" distR="0" simplePos="0" relativeHeight="251660800" behindDoc="0" locked="0" layoutInCell="1" allowOverlap="1" wp14:anchorId="553C4243" wp14:editId="46704321">
                    <wp:simplePos x="635" y="635"/>
                    <wp:positionH relativeFrom="page">
                      <wp:align>center</wp:align>
                    </wp:positionH>
                    <wp:positionV relativeFrom="page">
                      <wp:align>bottom</wp:align>
                    </wp:positionV>
                    <wp:extent cx="622300" cy="391160"/>
                    <wp:effectExtent l="0" t="0" r="6350" b="0"/>
                    <wp:wrapNone/>
                    <wp:docPr id="97301095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E1F748" w14:textId="24D8435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3C4243"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1E1F748" w14:textId="24D8435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fldSimple w:instr=" NUMPAGES  ">
                <w:r>
                  <w:rPr>
                    <w:noProof/>
                  </w:rPr>
                  <w:t>2</w:t>
                </w:r>
              </w:fldSimple>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r w:rsidRPr="00257138">
            <w:t xml:space="preserve">V1.0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766C74AA" w:rsidR="007452E8" w:rsidRDefault="007E4FF8" w:rsidP="007452E8">
    <w:pPr>
      <w:pStyle w:val="Footer"/>
      <w:ind w:left="-1701"/>
    </w:pPr>
    <w:r>
      <w:rPr>
        <w:noProof/>
      </w:rPr>
      <mc:AlternateContent>
        <mc:Choice Requires="wps">
          <w:drawing>
            <wp:anchor distT="0" distB="0" distL="0" distR="0" simplePos="0" relativeHeight="251658752" behindDoc="0" locked="0" layoutInCell="1" allowOverlap="1" wp14:anchorId="39C48635" wp14:editId="0BB44853">
              <wp:simplePos x="635" y="635"/>
              <wp:positionH relativeFrom="page">
                <wp:align>center</wp:align>
              </wp:positionH>
              <wp:positionV relativeFrom="page">
                <wp:align>bottom</wp:align>
              </wp:positionV>
              <wp:extent cx="622300" cy="391160"/>
              <wp:effectExtent l="0" t="0" r="6350" b="0"/>
              <wp:wrapNone/>
              <wp:docPr id="38928185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33C04EA" w14:textId="00952F0C"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48635"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30.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133C04EA" w14:textId="00952F0C"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r w:rsidR="007452E8"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7452E8" w:rsidRPr="004A3084" w14:paraId="6266BC33" w14:textId="77777777" w:rsidTr="007452E8">
      <w:trPr>
        <w:trHeight w:val="423"/>
      </w:trPr>
      <w:tc>
        <w:tcPr>
          <w:tcW w:w="7338" w:type="dxa"/>
          <w:tcBorders>
            <w:top w:val="single" w:sz="4" w:space="0" w:color="auto"/>
          </w:tcBorders>
        </w:tcPr>
        <w:p w14:paraId="3C421323" w14:textId="3C4B4FAA" w:rsidR="007452E8" w:rsidRPr="004A3084" w:rsidRDefault="007E4FF8" w:rsidP="007452E8">
          <w:pPr>
            <w:pStyle w:val="Footer"/>
          </w:pPr>
          <w:r>
            <w:rPr>
              <w:noProof/>
            </w:rPr>
            <mc:AlternateContent>
              <mc:Choice Requires="wps">
                <w:drawing>
                  <wp:anchor distT="0" distB="0" distL="0" distR="0" simplePos="0" relativeHeight="251659264" behindDoc="0" locked="0" layoutInCell="1" allowOverlap="1" wp14:anchorId="17DC9217" wp14:editId="6D91AF89">
                    <wp:simplePos x="0" y="0"/>
                    <wp:positionH relativeFrom="page">
                      <wp:posOffset>2541270</wp:posOffset>
                    </wp:positionH>
                    <wp:positionV relativeFrom="page">
                      <wp:posOffset>137160</wp:posOffset>
                    </wp:positionV>
                    <wp:extent cx="622300" cy="391160"/>
                    <wp:effectExtent l="0" t="0" r="6350" b="0"/>
                    <wp:wrapNone/>
                    <wp:docPr id="84197400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5169AE7" w14:textId="1F415A19"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DC9217" id="_x0000_t202" coordsize="21600,21600" o:spt="202" path="m,l,21600r21600,l21600,xe">
                    <v:stroke joinstyle="miter"/>
                    <v:path gradientshapeok="t" o:connecttype="rect"/>
                  </v:shapetype>
                  <v:shape id="Text Box 9" o:spid="_x0000_s1033" type="#_x0000_t202" alt="OFFICIAL" style="position:absolute;margin-left:200.1pt;margin-top:10.8pt;width:49pt;height:30.8pt;z-index:25165926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" filled="f" stroked="f">
                    <v:textbox style="mso-fit-shape-to-text:t" inset="0,0,0,15pt">
                      <w:txbxContent>
                        <w:p w14:paraId="15169AE7" w14:textId="1F415A19"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r w:rsidR="007452E8" w:rsidRPr="00487162">
            <w:t>AusPA</w:t>
          </w:r>
          <w:r w:rsidR="007452E8">
            <w:t xml:space="preserve">R - </w:t>
          </w:r>
          <w:r w:rsidR="00930793">
            <w:t>Sky</w:t>
          </w:r>
          <w:r w:rsidR="00FE50D4">
            <w:t>clarys</w:t>
          </w:r>
          <w:r w:rsidR="007452E8">
            <w:t xml:space="preserve"> -</w:t>
          </w:r>
          <w:r w:rsidR="007452E8" w:rsidRPr="00460036">
            <w:t xml:space="preserve"> </w:t>
          </w:r>
          <w:proofErr w:type="spellStart"/>
          <w:r w:rsidR="00FE50D4">
            <w:t>omaveloxolone</w:t>
          </w:r>
          <w:proofErr w:type="spellEnd"/>
          <w:r w:rsidR="007452E8" w:rsidRPr="00460036">
            <w:t xml:space="preserve"> </w:t>
          </w:r>
          <w:r w:rsidR="00FE50D4">
            <w:t>–</w:t>
          </w:r>
          <w:r w:rsidR="007452E8">
            <w:t xml:space="preserve"> </w:t>
          </w:r>
          <w:r w:rsidR="00FE50D4">
            <w:t xml:space="preserve">Biogen Australia Pty Ltd </w:t>
          </w:r>
          <w:r w:rsidR="007452E8">
            <w:t xml:space="preserve">- </w:t>
          </w:r>
          <w:r w:rsidR="0057338B" w:rsidRPr="000B7091">
            <w:t>PM-2024-02530-1-1</w:t>
          </w:r>
          <w:r w:rsidR="007452E8">
            <w:br/>
          </w:r>
          <w:r w:rsidR="007452E8" w:rsidRPr="001D06F0">
            <w:t>Date of Finalisation</w:t>
          </w:r>
          <w:r w:rsidR="00F617D0" w:rsidRPr="001D06F0">
            <w:t>:</w:t>
          </w:r>
          <w:r w:rsidR="001D06F0">
            <w:t xml:space="preserve"> </w:t>
          </w:r>
          <w:r w:rsidR="002B4287">
            <w:t>30</w:t>
          </w:r>
          <w:r w:rsidR="001D06F0">
            <w:t xml:space="preserve"> June 2026</w:t>
          </w:r>
        </w:p>
      </w:tc>
      <w:tc>
        <w:tcPr>
          <w:tcW w:w="1734"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fldSimple w:instr=" NUMPAGES  ">
                <w:r w:rsidR="006D6B44">
                  <w:rPr>
                    <w:noProof/>
                  </w:rPr>
                  <w:t>17</w:t>
                </w:r>
              </w:fldSimple>
            </w:p>
          </w:sdtContent>
        </w:sdt>
      </w:tc>
    </w:tr>
  </w:tbl>
  <w:p w14:paraId="1A4EDE60" w14:textId="77777777" w:rsidR="007452E8" w:rsidRPr="00826007" w:rsidRDefault="007452E8"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26045BC3" w:rsidR="007452E8" w:rsidRPr="008E3C43" w:rsidRDefault="007E4FF8" w:rsidP="007452E8">
    <w:pPr>
      <w:pStyle w:val="Footer"/>
    </w:pPr>
    <w:r>
      <w:rPr>
        <w:noProof/>
      </w:rPr>
      <mc:AlternateContent>
        <mc:Choice Requires="wps">
          <w:drawing>
            <wp:anchor distT="0" distB="0" distL="0" distR="0" simplePos="0" relativeHeight="251658250" behindDoc="0" locked="0" layoutInCell="1" allowOverlap="1" wp14:anchorId="104118EA" wp14:editId="6897F4AA">
              <wp:simplePos x="635" y="635"/>
              <wp:positionH relativeFrom="page">
                <wp:align>center</wp:align>
              </wp:positionH>
              <wp:positionV relativeFrom="page">
                <wp:align>bottom</wp:align>
              </wp:positionV>
              <wp:extent cx="622300" cy="391160"/>
              <wp:effectExtent l="0" t="0" r="6350" b="0"/>
              <wp:wrapNone/>
              <wp:docPr id="90970088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4C2C46" w14:textId="6F4B6194"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118EA" id="_x0000_t202" coordsize="21600,21600" o:spt="202" path="m,l,21600r21600,l21600,xe">
              <v:stroke joinstyle="miter"/>
              <v:path gradientshapeok="t" o:connecttype="rect"/>
            </v:shapetype>
            <v:shape id="Text Box 10" o:spid="_x0000_s1035" type="#_x0000_t202" alt="OFFICIAL" style="position:absolute;margin-left:0;margin-top:0;width:49pt;height:30.8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QjDg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fjtOv4X6SEshnPj2Tq5aar0WPjwLJIJpWhJt&#10;eKJDG+grDmeLswbw59/8MZ9wpyhnPQmm4pYUzZn5bomPqK3RwNHYJqO4zT9HeOy+uweSYUEvwslk&#10;kheDGU2N0L2SnJexEYWEldSu4tvRvA8n5dJzkGq5TEkkIyfC2m6cjKUjXBHLl+FVoDsDHoipRxjV&#10;JMp3uJ9y403vlvtA6CdSIrQnIM+IkwQTV+fnEjX+9j9lXR/14h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AkMMQjDgIAABwE&#10;AAAOAAAAAAAAAAAAAAAAAC4CAABkcnMvZTJvRG9jLnhtbFBLAQItABQABgAIAAAAIQCCUZTX2gAA&#10;AAMBAAAPAAAAAAAAAAAAAAAAAGgEAABkcnMvZG93bnJldi54bWxQSwUGAAAAAAQABADzAAAAbwUA&#10;AAAA&#10;" filled="f" stroked="f">
              <v:textbox style="mso-fit-shape-to-text:t" inset="0,0,0,15pt">
                <w:txbxContent>
                  <w:p w14:paraId="724C2C46" w14:textId="6F4B6194"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D4B0" w14:textId="77777777" w:rsidR="00C12584" w:rsidRDefault="00C12584" w:rsidP="00F02AEC">
      <w:pPr>
        <w:spacing w:after="0" w:line="240" w:lineRule="auto"/>
      </w:pPr>
      <w:r>
        <w:separator/>
      </w:r>
    </w:p>
  </w:footnote>
  <w:footnote w:type="continuationSeparator" w:id="0">
    <w:p w14:paraId="64F5F36A" w14:textId="77777777" w:rsidR="00C12584" w:rsidRDefault="00C12584" w:rsidP="00F02AEC">
      <w:pPr>
        <w:spacing w:after="0" w:line="240" w:lineRule="auto"/>
      </w:pPr>
      <w:r>
        <w:continuationSeparator/>
      </w:r>
    </w:p>
  </w:footnote>
  <w:footnote w:id="1">
    <w:p w14:paraId="68402A9B" w14:textId="403838D7" w:rsidR="007452E8" w:rsidRPr="00A93DC6" w:rsidRDefault="007452E8">
      <w:pPr>
        <w:pStyle w:val="FootnoteText"/>
        <w:rPr>
          <w:lang w:val="en-GB"/>
        </w:rPr>
      </w:pPr>
      <w:r>
        <w:rPr>
          <w:rStyle w:val="FootnoteReference"/>
        </w:rPr>
        <w:footnoteRef/>
      </w:r>
      <w:r>
        <w:t xml:space="preserve"> </w:t>
      </w:r>
      <w:r w:rsidR="00FB236E">
        <w:t xml:space="preserve">This is the original indication proposed by the </w:t>
      </w:r>
      <w:r w:rsidR="007B6B69">
        <w:t>sponsor</w:t>
      </w:r>
      <w:r w:rsidR="00FB236E">
        <w:rPr>
          <w:lang w:val="en-GB"/>
        </w:rPr>
        <w:t xml:space="preserve"> when the TGA commenced the evaluation of this submission. It </w:t>
      </w:r>
      <w:r w:rsidRPr="007452E8">
        <w:rPr>
          <w:lang w:val="en-GB"/>
        </w:rPr>
        <w:t xml:space="preserve">may </w:t>
      </w:r>
      <w:r w:rsidR="00FB236E">
        <w:rPr>
          <w:lang w:val="en-GB"/>
        </w:rPr>
        <w:t>differ</w:t>
      </w:r>
      <w:r w:rsidRPr="007452E8">
        <w:rPr>
          <w:lang w:val="en-GB"/>
        </w:rPr>
        <w:t xml:space="preserve"> to the final indication approved by th</w:t>
      </w:r>
      <w:r w:rsidR="00FB236E">
        <w:rPr>
          <w:lang w:val="en-GB"/>
        </w:rPr>
        <w:t xml:space="preserve">e TGA and registered </w:t>
      </w:r>
      <w:r w:rsidR="005C4B46">
        <w:rPr>
          <w:lang w:val="en-GB"/>
        </w:rPr>
        <w:t xml:space="preserve">in </w:t>
      </w:r>
      <w:r w:rsidR="00FB236E">
        <w:rPr>
          <w:lang w:val="en-GB"/>
        </w:rPr>
        <w:t>the Australian Register of Therapeutic Goods.</w:t>
      </w:r>
    </w:p>
  </w:footnote>
  <w:footnote w:id="2">
    <w:p w14:paraId="7D51ED13" w14:textId="77777777" w:rsidR="00A96A68" w:rsidRDefault="00A96A68" w:rsidP="00A96A68">
      <w:pPr>
        <w:pStyle w:val="FootnoteText"/>
      </w:pPr>
      <w:r>
        <w:rPr>
          <w:rStyle w:val="FootnoteReference"/>
        </w:rPr>
        <w:footnoteRef/>
      </w:r>
      <w:r>
        <w:t>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3">
    <w:p w14:paraId="4B00E451"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4">
    <w:p w14:paraId="7C43DF59"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27</w:t>
      </w:r>
      <w:r w:rsidRPr="001C3567">
        <w:rPr>
          <w:vertAlign w:val="superscript"/>
        </w:rPr>
        <w:t>th</w:t>
      </w:r>
      <w:r>
        <w:t xml:space="preserve"> February</w:t>
      </w:r>
      <w:r w:rsidRPr="00AF10EC">
        <w:t>, 202</w:t>
      </w:r>
      <w:r>
        <w:t>5</w:t>
      </w:r>
      <w:r w:rsidRPr="00AF10EC">
        <w:t>).</w:t>
      </w:r>
    </w:p>
  </w:footnote>
  <w:footnote w:id="5">
    <w:p w14:paraId="52DC5710"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27</w:t>
      </w:r>
      <w:r w:rsidRPr="001C3567">
        <w:rPr>
          <w:vertAlign w:val="superscript"/>
        </w:rPr>
        <w:t>th</w:t>
      </w:r>
      <w:r>
        <w:t xml:space="preserve"> February</w:t>
      </w:r>
      <w:r w:rsidRPr="00AF10EC">
        <w:t>, 202</w:t>
      </w:r>
      <w:r>
        <w:t>5</w:t>
      </w:r>
      <w:r w:rsidRPr="00AF10EC">
        <w:t>).</w:t>
      </w:r>
    </w:p>
  </w:footnote>
  <w:footnote w:id="6">
    <w:p w14:paraId="6A04D2DB"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7">
    <w:p w14:paraId="561A17CA"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8">
    <w:p w14:paraId="420F805E"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9">
    <w:p w14:paraId="67BC63C6" w14:textId="77777777" w:rsidR="00A96A68" w:rsidRDefault="00A96A68" w:rsidP="00A96A68">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10">
    <w:p w14:paraId="2DBD9FEC" w14:textId="77777777" w:rsidR="00F24A99" w:rsidRDefault="00F24A99" w:rsidP="00F24A99">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11">
    <w:p w14:paraId="343F66CC" w14:textId="77777777" w:rsidR="00C3094A" w:rsidRDefault="00C3094A" w:rsidP="00C3094A">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12">
    <w:p w14:paraId="7F57796C" w14:textId="77777777" w:rsidR="00C3094A" w:rsidRDefault="00C3094A" w:rsidP="00C3094A">
      <w:pPr>
        <w:pStyle w:val="FootnoteText"/>
      </w:pPr>
      <w:r>
        <w:rPr>
          <w:rStyle w:val="FootnoteReference"/>
        </w:rPr>
        <w:footnoteRef/>
      </w:r>
      <w:r>
        <w:t xml:space="preserve"> Opal P &amp; Zoghbi H.Y</w:t>
      </w:r>
      <w:r w:rsidRPr="00AF10EC">
        <w:t xml:space="preserve">. </w:t>
      </w:r>
      <w:r>
        <w:t>Friedreich ataxia</w:t>
      </w:r>
      <w:r w:rsidRPr="00AF10EC">
        <w:t xml:space="preserve">. In: UpToDate, Connor RF (Ed), Wolters Kluwer. (Accessed on </w:t>
      </w:r>
      <w:r>
        <w:t>17</w:t>
      </w:r>
      <w:r w:rsidRPr="001C3567">
        <w:rPr>
          <w:vertAlign w:val="superscript"/>
        </w:rPr>
        <w:t>th</w:t>
      </w:r>
      <w:r>
        <w:t xml:space="preserve"> July</w:t>
      </w:r>
      <w:r w:rsidRPr="00AF10EC">
        <w:t>, 2024).</w:t>
      </w:r>
    </w:p>
  </w:footnote>
  <w:footnote w:id="13">
    <w:p w14:paraId="41FD0448" w14:textId="77777777" w:rsidR="00FE583D" w:rsidRDefault="00FE583D" w:rsidP="00FE583D">
      <w:pPr>
        <w:pStyle w:val="FootnoteText"/>
      </w:pPr>
      <w:r>
        <w:rPr>
          <w:rStyle w:val="FootnoteReference"/>
        </w:rPr>
        <w:footnoteRef/>
      </w:r>
      <w:r>
        <w:t xml:space="preserve"> </w:t>
      </w:r>
      <w:r w:rsidRPr="00FF1B92">
        <w:t>Lynch DR</w:t>
      </w:r>
      <w:r>
        <w:t xml:space="preserve"> et al. 2006. </w:t>
      </w:r>
      <w:r w:rsidRPr="00FF1B92">
        <w:t>Measuring Friedreich ataxia: complementary features of examination and performance measures. Neurology. 2006;66(11):1711-6. Epub 2006/06/14. doi: 10.1212/01.wnl.0000218155.46739.90. PubMed PMID: 16769945.</w:t>
      </w:r>
    </w:p>
  </w:footnote>
  <w:footnote w:id="14">
    <w:p w14:paraId="229A0EB5" w14:textId="77777777" w:rsidR="00FE583D" w:rsidRPr="00FF56E5" w:rsidRDefault="00FE583D" w:rsidP="00FE583D">
      <w:pPr>
        <w:pStyle w:val="FootnoteText"/>
      </w:pPr>
      <w:r>
        <w:rPr>
          <w:rStyle w:val="FootnoteReference"/>
        </w:rPr>
        <w:footnoteRef/>
      </w:r>
      <w:r>
        <w:t xml:space="preserve"> </w:t>
      </w:r>
      <w:bookmarkStart w:id="118" w:name="_bookmark15"/>
      <w:bookmarkStart w:id="119" w:name="_bookmark14"/>
      <w:bookmarkStart w:id="120" w:name="_bookmark13"/>
      <w:bookmarkStart w:id="121" w:name="_bookmark12"/>
      <w:bookmarkStart w:id="122" w:name="_bookmark5"/>
      <w:bookmarkStart w:id="123" w:name="_bookmark6"/>
      <w:bookmarkStart w:id="124" w:name="_bookmark7"/>
      <w:bookmarkStart w:id="125" w:name="_bookmark8"/>
      <w:bookmarkStart w:id="126" w:name="_bookmark9"/>
      <w:bookmarkStart w:id="127" w:name="_bookmark10"/>
      <w:bookmarkStart w:id="128" w:name="_bookmark11"/>
      <w:bookmarkEnd w:id="118"/>
      <w:bookmarkEnd w:id="119"/>
      <w:bookmarkEnd w:id="120"/>
      <w:bookmarkEnd w:id="121"/>
      <w:bookmarkEnd w:id="122"/>
      <w:bookmarkEnd w:id="123"/>
      <w:bookmarkEnd w:id="124"/>
      <w:bookmarkEnd w:id="125"/>
      <w:bookmarkEnd w:id="126"/>
      <w:bookmarkEnd w:id="127"/>
      <w:bookmarkEnd w:id="128"/>
      <w:r w:rsidRPr="00FF56E5">
        <w:t xml:space="preserve">Patel M, et al. </w:t>
      </w:r>
      <w:r>
        <w:t xml:space="preserve">2016. </w:t>
      </w:r>
      <w:r w:rsidRPr="00FF56E5">
        <w:t>Progression of Friedreich</w:t>
      </w:r>
      <w:r>
        <w:t xml:space="preserve"> </w:t>
      </w:r>
      <w:r w:rsidRPr="00FF56E5">
        <w:t>ataxia: quantitative characterization over 5 years. Ann Clin Transl Neurol. 2016;3(9):684-94.</w:t>
      </w:r>
    </w:p>
    <w:p w14:paraId="0B32F359" w14:textId="77777777" w:rsidR="00FE583D" w:rsidRDefault="00FE583D" w:rsidP="00FE583D">
      <w:pPr>
        <w:pStyle w:val="FootnoteText"/>
      </w:pPr>
    </w:p>
  </w:footnote>
  <w:footnote w:id="15">
    <w:p w14:paraId="3CAE5CA6" w14:textId="77777777" w:rsidR="00FE583D" w:rsidRPr="007050C8" w:rsidRDefault="00FE583D" w:rsidP="00FE583D">
      <w:pPr>
        <w:pStyle w:val="FootnoteText"/>
      </w:pPr>
      <w:r>
        <w:rPr>
          <w:rStyle w:val="FootnoteReference"/>
        </w:rPr>
        <w:footnoteRef/>
      </w:r>
      <w:r>
        <w:t xml:space="preserve"> </w:t>
      </w:r>
      <w:r w:rsidRPr="007050C8">
        <w:t>Wu KC, Cui JY, Klaassen CD (2012) Effect of Graded Nrf2 Activation on Phase-I and -II Drug Metabolizing Enzymes and Transporters in Mouse Liver. PLoS</w:t>
      </w:r>
      <w:r>
        <w:t xml:space="preserve"> </w:t>
      </w:r>
      <w:r w:rsidRPr="007050C8">
        <w:t>ONE 7(7): e39006. doi:10.1371/journal.pone.0039006</w:t>
      </w:r>
      <w:r>
        <w:t>.</w:t>
      </w:r>
    </w:p>
    <w:p w14:paraId="08251271" w14:textId="77777777" w:rsidR="00FE583D" w:rsidRDefault="00FE583D" w:rsidP="00FE58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CB3" w14:textId="093B1D27" w:rsidR="007E4FF8" w:rsidRDefault="007E4FF8">
    <w:pPr>
      <w:pStyle w:val="Header"/>
    </w:pPr>
    <w:r>
      <w:rPr>
        <w:noProof/>
      </w:rPr>
      <mc:AlternateContent>
        <mc:Choice Requires="wps">
          <w:drawing>
            <wp:anchor distT="0" distB="0" distL="0" distR="0" simplePos="0" relativeHeight="251652608" behindDoc="0" locked="0" layoutInCell="1" allowOverlap="1" wp14:anchorId="3BDA164B" wp14:editId="743987F4">
              <wp:simplePos x="635" y="635"/>
              <wp:positionH relativeFrom="page">
                <wp:align>center</wp:align>
              </wp:positionH>
              <wp:positionV relativeFrom="page">
                <wp:align>top</wp:align>
              </wp:positionV>
              <wp:extent cx="622300" cy="391160"/>
              <wp:effectExtent l="0" t="0" r="6350" b="8890"/>
              <wp:wrapNone/>
              <wp:docPr id="7843316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A1E6F48" w14:textId="2CA00EAD"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DA164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A1E6F48" w14:textId="2CA00EAD"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495EEAE9" w:rsidR="007452E8" w:rsidRPr="00CB0550" w:rsidRDefault="007E4FF8" w:rsidP="00CB0550">
    <w:pPr>
      <w:pStyle w:val="Header"/>
      <w:jc w:val="left"/>
    </w:pPr>
    <w:r>
      <w:rPr>
        <w:noProof/>
      </w:rPr>
      <mc:AlternateContent>
        <mc:Choice Requires="wps">
          <w:drawing>
            <wp:anchor distT="0" distB="0" distL="0" distR="0" simplePos="0" relativeHeight="251653632" behindDoc="0" locked="0" layoutInCell="1" allowOverlap="1" wp14:anchorId="5966BD6A" wp14:editId="01118435">
              <wp:simplePos x="635" y="635"/>
              <wp:positionH relativeFrom="page">
                <wp:align>center</wp:align>
              </wp:positionH>
              <wp:positionV relativeFrom="page">
                <wp:align>top</wp:align>
              </wp:positionV>
              <wp:extent cx="622300" cy="391160"/>
              <wp:effectExtent l="0" t="0" r="6350" b="8890"/>
              <wp:wrapNone/>
              <wp:docPr id="15778969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962137D" w14:textId="0292724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6BD6A"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962137D" w14:textId="0292724A"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31E19A61" w:rsidR="007452E8" w:rsidRPr="002B29B2" w:rsidRDefault="007E4FF8" w:rsidP="007452E8">
          <w:pPr>
            <w:ind w:left="-57"/>
            <w:rPr>
              <w:noProof/>
            </w:rPr>
          </w:pPr>
          <w:r>
            <w:rPr>
              <w:noProof/>
            </w:rPr>
            <mc:AlternateContent>
              <mc:Choice Requires="wps">
                <w:drawing>
                  <wp:anchor distT="0" distB="0" distL="0" distR="0" simplePos="0" relativeHeight="251651584" behindDoc="0" locked="0" layoutInCell="1" allowOverlap="1" wp14:anchorId="36EC3BC1" wp14:editId="466B87D6">
                    <wp:simplePos x="635" y="635"/>
                    <wp:positionH relativeFrom="page">
                      <wp:align>center</wp:align>
                    </wp:positionH>
                    <wp:positionV relativeFrom="page">
                      <wp:align>top</wp:align>
                    </wp:positionV>
                    <wp:extent cx="622300" cy="391160"/>
                    <wp:effectExtent l="0" t="0" r="6350" b="8890"/>
                    <wp:wrapNone/>
                    <wp:docPr id="13945743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FFCA075" w14:textId="59A4754E"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EC3BC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3FFCA075" w14:textId="59A4754E"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sdt>
            <w:sdtPr>
              <w:rPr>
                <w:noProof/>
              </w:rPr>
              <w:id w:val="1926993388"/>
              <w:showingPlcHdr/>
              <w:picture/>
            </w:sdtPr>
            <w:sdtEndPr/>
            <w:sdtContent>
              <w:r w:rsidR="007452E8" w:rsidRPr="00F71E1E">
                <w:rPr>
                  <w:noProof/>
                  <w:lang w:val="en-GB" w:eastAsia="en-GB"/>
                </w:rPr>
                <w:drawing>
                  <wp:inline distT="0" distB="0" distL="0" distR="0" wp14:anchorId="5C7F8AC9" wp14:editId="23FC1BBE">
                    <wp:extent cx="7631430" cy="5523865"/>
                    <wp:effectExtent l="0" t="0" r="7620" b="635"/>
                    <wp:docPr id="126397729" name="Picture 12639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1430" cy="5523865"/>
                            </a:xfrm>
                            <a:prstGeom prst="rect">
                              <a:avLst/>
                            </a:prstGeom>
                            <a:noFill/>
                            <a:ln w="9525">
                              <a:noFill/>
                              <a:miter lim="800000"/>
                              <a:headEnd/>
                              <a:tailEnd/>
                            </a:ln>
                          </pic:spPr>
                        </pic:pic>
                      </a:graphicData>
                    </a:graphic>
                  </wp:inline>
                </w:drawing>
              </w:r>
            </w:sdtContent>
          </w:sdt>
        </w:p>
      </w:tc>
    </w:tr>
  </w:tbl>
  <w:p w14:paraId="6402DE55" w14:textId="38802056" w:rsidR="007452E8" w:rsidRDefault="0006693A" w:rsidP="007452E8">
    <w:pPr>
      <w:rPr>
        <w:noProof/>
      </w:rPr>
    </w:pPr>
    <w:r>
      <w:rPr>
        <w:noProof/>
      </w:rPr>
      <w:drawing>
        <wp:inline distT="0" distB="0" distL="0" distR="0" wp14:anchorId="26654E9F" wp14:editId="78E105AB">
          <wp:extent cx="3344545" cy="694055"/>
          <wp:effectExtent l="0" t="0" r="8255" b="0"/>
          <wp:docPr id="152970253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50560"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280189976" name="Picture 28018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419FC1D7" w:rsidR="007452E8" w:rsidRDefault="007E4FF8" w:rsidP="007452E8">
    <w:pPr>
      <w:pStyle w:val="Header"/>
    </w:pPr>
    <w:r>
      <w:rPr>
        <w:noProof/>
      </w:rPr>
      <mc:AlternateContent>
        <mc:Choice Requires="wps">
          <w:drawing>
            <wp:anchor distT="0" distB="0" distL="0" distR="0" simplePos="0" relativeHeight="251657216" behindDoc="0" locked="0" layoutInCell="1" allowOverlap="1" wp14:anchorId="28DC3F9E" wp14:editId="3D6537B9">
              <wp:simplePos x="899770" y="365760"/>
              <wp:positionH relativeFrom="page">
                <wp:align>center</wp:align>
              </wp:positionH>
              <wp:positionV relativeFrom="page">
                <wp:align>top</wp:align>
              </wp:positionV>
              <wp:extent cx="622300" cy="391160"/>
              <wp:effectExtent l="0" t="0" r="6350" b="8890"/>
              <wp:wrapNone/>
              <wp:docPr id="17735565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74DB680" w14:textId="1B5F07C5"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C3F9E"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30.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textbox style="mso-fit-shape-to-text:t" inset="0,15pt,0,0">
                <w:txbxContent>
                  <w:p w14:paraId="174DB680" w14:textId="1B5F07C5"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r w:rsidR="007452E8"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766C0B9F" w:rsidR="007452E8" w:rsidRPr="00FE501F" w:rsidRDefault="007E4FF8" w:rsidP="007452E8">
    <w:pPr>
      <w:pStyle w:val="Headernoline"/>
    </w:pPr>
    <w:r>
      <w:rPr>
        <w:noProof/>
      </w:rPr>
      <mc:AlternateContent>
        <mc:Choice Requires="wps">
          <w:drawing>
            <wp:anchor distT="0" distB="0" distL="0" distR="0" simplePos="0" relativeHeight="251658245" behindDoc="0" locked="0" layoutInCell="1" allowOverlap="1" wp14:anchorId="2A06D344" wp14:editId="1647E18A">
              <wp:simplePos x="635" y="635"/>
              <wp:positionH relativeFrom="page">
                <wp:align>center</wp:align>
              </wp:positionH>
              <wp:positionV relativeFrom="page">
                <wp:align>top</wp:align>
              </wp:positionV>
              <wp:extent cx="622300" cy="391160"/>
              <wp:effectExtent l="0" t="0" r="6350" b="8890"/>
              <wp:wrapNone/>
              <wp:docPr id="48777718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2CFD20" w14:textId="4EF79907"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06D344"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XSCeqDQIAABwEAAAO&#10;AAAAAAAAAAAAAAAAAC4CAABkcnMvZTJvRG9jLnhtbFBLAQItABQABgAIAAAAIQBhokho2AAAAAMB&#10;AAAPAAAAAAAAAAAAAAAAAGcEAABkcnMvZG93bnJldi54bWxQSwUGAAAAAAQABADzAAAAbAUAAAAA&#10;" filled="f" stroked="f">
              <v:textbox style="mso-fit-shape-to-text:t" inset="0,15pt,0,0">
                <w:txbxContent>
                  <w:p w14:paraId="6E2CFD20" w14:textId="4EF79907" w:rsidR="007E4FF8" w:rsidRPr="007E4FF8" w:rsidRDefault="007E4FF8" w:rsidP="007E4FF8">
                    <w:pPr>
                      <w:spacing w:after="0"/>
                      <w:rPr>
                        <w:rFonts w:ascii="Aptos" w:eastAsia="Aptos" w:hAnsi="Aptos" w:cs="Aptos"/>
                        <w:noProof/>
                        <w:color w:val="FF0000"/>
                        <w:sz w:val="24"/>
                        <w:szCs w:val="24"/>
                      </w:rPr>
                    </w:pPr>
                    <w:r w:rsidRPr="007E4FF8">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692"/>
    <w:multiLevelType w:val="hybridMultilevel"/>
    <w:tmpl w:val="0E32D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AD0276"/>
    <w:multiLevelType w:val="hybridMultilevel"/>
    <w:tmpl w:val="1BD41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5851BA"/>
    <w:multiLevelType w:val="hybridMultilevel"/>
    <w:tmpl w:val="BDDE9368"/>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4FA5E3D"/>
    <w:multiLevelType w:val="hybridMultilevel"/>
    <w:tmpl w:val="E5E2B0C4"/>
    <w:lvl w:ilvl="0" w:tplc="166EFBA4">
      <w:start w:val="34"/>
      <w:numFmt w:val="bullet"/>
      <w:lvlText w:val="-"/>
      <w:lvlJc w:val="left"/>
      <w:pPr>
        <w:ind w:left="360" w:hanging="360"/>
      </w:pPr>
      <w:rPr>
        <w:rFonts w:ascii="Cambria" w:eastAsiaTheme="minorHAnsi" w:hAnsi="Cambria" w:cs="TimesNewRomanPSM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1BA255AD"/>
    <w:multiLevelType w:val="hybridMultilevel"/>
    <w:tmpl w:val="1ED2B99C"/>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5E3A54"/>
    <w:multiLevelType w:val="hybridMultilevel"/>
    <w:tmpl w:val="A8FEAC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A4074D"/>
    <w:multiLevelType w:val="hybridMultilevel"/>
    <w:tmpl w:val="98A0A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2" w15:restartNumberingAfterBreak="0">
    <w:nsid w:val="295F529E"/>
    <w:multiLevelType w:val="hybridMultilevel"/>
    <w:tmpl w:val="7E8A0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4A61D0"/>
    <w:multiLevelType w:val="hybridMultilevel"/>
    <w:tmpl w:val="5350A8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2018E4"/>
    <w:multiLevelType w:val="hybridMultilevel"/>
    <w:tmpl w:val="0D4A3F0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0D35224"/>
    <w:multiLevelType w:val="hybridMultilevel"/>
    <w:tmpl w:val="5DD639E2"/>
    <w:lvl w:ilvl="0" w:tplc="9C1C5A38">
      <w:numFmt w:val="bullet"/>
      <w:lvlText w:val="•"/>
      <w:lvlJc w:val="left"/>
      <w:pPr>
        <w:ind w:left="720" w:hanging="360"/>
      </w:pPr>
      <w:rPr>
        <w:rFonts w:ascii="Cambria" w:eastAsia="Cambria" w:hAnsi="Cambri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351136"/>
    <w:multiLevelType w:val="hybridMultilevel"/>
    <w:tmpl w:val="CFA8D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C23553"/>
    <w:multiLevelType w:val="hybridMultilevel"/>
    <w:tmpl w:val="A0EABD88"/>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9B15D7"/>
    <w:multiLevelType w:val="hybridMultilevel"/>
    <w:tmpl w:val="8F0C363C"/>
    <w:lvl w:ilvl="0" w:tplc="40B01836">
      <w:start w:val="1"/>
      <w:numFmt w:val="bullet"/>
      <w:pStyle w:val="Bulletpoint"/>
      <w:lvlText w:val=""/>
      <w:lvlJc w:val="left"/>
      <w:pPr>
        <w:tabs>
          <w:tab w:val="num" w:pos="369"/>
        </w:tabs>
        <w:ind w:left="369" w:hanging="227"/>
      </w:pPr>
      <w:rPr>
        <w:rFonts w:ascii="Symbol" w:hAnsi="Symbol" w:hint="default"/>
        <w:color w:val="auto"/>
        <w:position w:val="0"/>
        <w:sz w:val="22"/>
        <w:szCs w:val="22"/>
      </w:rPr>
    </w:lvl>
    <w:lvl w:ilvl="1" w:tplc="126867F6">
      <w:start w:val="1"/>
      <w:numFmt w:val="bullet"/>
      <w:lvlText w:val="o"/>
      <w:lvlJc w:val="left"/>
      <w:pPr>
        <w:tabs>
          <w:tab w:val="num" w:pos="1440"/>
        </w:tabs>
        <w:ind w:left="851" w:hanging="341"/>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12BAB"/>
    <w:multiLevelType w:val="hybridMultilevel"/>
    <w:tmpl w:val="162E573E"/>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1"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A005CA"/>
    <w:multiLevelType w:val="hybridMultilevel"/>
    <w:tmpl w:val="7FAE9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2A7690"/>
    <w:multiLevelType w:val="hybridMultilevel"/>
    <w:tmpl w:val="91B2E15A"/>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70033E"/>
    <w:multiLevelType w:val="hybridMultilevel"/>
    <w:tmpl w:val="1714D892"/>
    <w:lvl w:ilvl="0" w:tplc="9C1C5A38">
      <w:numFmt w:val="bullet"/>
      <w:lvlText w:val="•"/>
      <w:lvlJc w:val="left"/>
      <w:pPr>
        <w:ind w:left="720" w:hanging="360"/>
      </w:pPr>
      <w:rPr>
        <w:rFonts w:ascii="Cambria" w:eastAsia="Cambria"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E1248D"/>
    <w:multiLevelType w:val="hybridMultilevel"/>
    <w:tmpl w:val="89B67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116D37"/>
    <w:multiLevelType w:val="hybridMultilevel"/>
    <w:tmpl w:val="33CC6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B242FC"/>
    <w:multiLevelType w:val="hybridMultilevel"/>
    <w:tmpl w:val="DAEE57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2997172">
    <w:abstractNumId w:val="7"/>
  </w:num>
  <w:num w:numId="2" w16cid:durableId="1856573705">
    <w:abstractNumId w:val="4"/>
  </w:num>
  <w:num w:numId="3" w16cid:durableId="357703499">
    <w:abstractNumId w:val="6"/>
  </w:num>
  <w:num w:numId="4" w16cid:durableId="1869176708">
    <w:abstractNumId w:val="21"/>
  </w:num>
  <w:num w:numId="5" w16cid:durableId="1652950129">
    <w:abstractNumId w:val="11"/>
  </w:num>
  <w:num w:numId="6" w16cid:durableId="1053193207">
    <w:abstractNumId w:val="20"/>
  </w:num>
  <w:num w:numId="7" w16cid:durableId="729621980">
    <w:abstractNumId w:val="1"/>
  </w:num>
  <w:num w:numId="8" w16cid:durableId="1607926979">
    <w:abstractNumId w:val="27"/>
  </w:num>
  <w:num w:numId="9" w16cid:durableId="800463519">
    <w:abstractNumId w:val="18"/>
  </w:num>
  <w:num w:numId="10" w16cid:durableId="1388723070">
    <w:abstractNumId w:val="25"/>
  </w:num>
  <w:num w:numId="11" w16cid:durableId="775053356">
    <w:abstractNumId w:val="17"/>
  </w:num>
  <w:num w:numId="12" w16cid:durableId="1525904330">
    <w:abstractNumId w:val="23"/>
  </w:num>
  <w:num w:numId="13" w16cid:durableId="803078925">
    <w:abstractNumId w:val="15"/>
  </w:num>
  <w:num w:numId="14" w16cid:durableId="1986006133">
    <w:abstractNumId w:val="8"/>
  </w:num>
  <w:num w:numId="15" w16cid:durableId="1941061167">
    <w:abstractNumId w:val="19"/>
  </w:num>
  <w:num w:numId="16" w16cid:durableId="792404048">
    <w:abstractNumId w:val="24"/>
  </w:num>
  <w:num w:numId="17" w16cid:durableId="967004907">
    <w:abstractNumId w:val="16"/>
  </w:num>
  <w:num w:numId="18" w16cid:durableId="1446727253">
    <w:abstractNumId w:val="22"/>
  </w:num>
  <w:num w:numId="19" w16cid:durableId="16128818">
    <w:abstractNumId w:val="2"/>
  </w:num>
  <w:num w:numId="20" w16cid:durableId="1437017290">
    <w:abstractNumId w:val="3"/>
  </w:num>
  <w:num w:numId="21" w16cid:durableId="405808112">
    <w:abstractNumId w:val="26"/>
  </w:num>
  <w:num w:numId="22" w16cid:durableId="42994612">
    <w:abstractNumId w:val="13"/>
  </w:num>
  <w:num w:numId="23" w16cid:durableId="1931617559">
    <w:abstractNumId w:val="5"/>
  </w:num>
  <w:num w:numId="24" w16cid:durableId="319894491">
    <w:abstractNumId w:val="14"/>
  </w:num>
  <w:num w:numId="25" w16cid:durableId="2136868884">
    <w:abstractNumId w:val="9"/>
  </w:num>
  <w:num w:numId="26" w16cid:durableId="1179268974">
    <w:abstractNumId w:val="12"/>
  </w:num>
  <w:num w:numId="27" w16cid:durableId="1384599631">
    <w:abstractNumId w:val="10"/>
  </w:num>
  <w:num w:numId="28" w16cid:durableId="67507544">
    <w:abstractNumId w:val="0"/>
  </w:num>
  <w:num w:numId="29" w16cid:durableId="1200165830">
    <w:abstractNumId w:val="7"/>
  </w:num>
  <w:num w:numId="30" w16cid:durableId="2003044903">
    <w:abstractNumId w:val="7"/>
  </w:num>
  <w:num w:numId="31" w16cid:durableId="2044480722">
    <w:abstractNumId w:val="7"/>
  </w:num>
  <w:num w:numId="32" w16cid:durableId="400908359">
    <w:abstractNumId w:val="7"/>
  </w:num>
  <w:num w:numId="33" w16cid:durableId="604070124">
    <w:abstractNumId w:val="7"/>
  </w:num>
  <w:num w:numId="34" w16cid:durableId="1087310865">
    <w:abstractNumId w:val="7"/>
  </w:num>
  <w:num w:numId="35" w16cid:durableId="1401517881">
    <w:abstractNumId w:val="7"/>
  </w:num>
  <w:num w:numId="36" w16cid:durableId="1182207572">
    <w:abstractNumId w:val="7"/>
  </w:num>
  <w:num w:numId="37" w16cid:durableId="1488133925">
    <w:abstractNumId w:val="7"/>
  </w:num>
  <w:num w:numId="38" w16cid:durableId="1009941516">
    <w:abstractNumId w:val="7"/>
  </w:num>
  <w:num w:numId="39" w16cid:durableId="131001441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BB9"/>
    <w:rsid w:val="00000E6E"/>
    <w:rsid w:val="000030BE"/>
    <w:rsid w:val="0000348C"/>
    <w:rsid w:val="00004431"/>
    <w:rsid w:val="00005062"/>
    <w:rsid w:val="00005DFC"/>
    <w:rsid w:val="000079A3"/>
    <w:rsid w:val="0001064C"/>
    <w:rsid w:val="000108CA"/>
    <w:rsid w:val="0001384A"/>
    <w:rsid w:val="000147BC"/>
    <w:rsid w:val="00014A17"/>
    <w:rsid w:val="00016EB1"/>
    <w:rsid w:val="000204C2"/>
    <w:rsid w:val="00021C13"/>
    <w:rsid w:val="00027F05"/>
    <w:rsid w:val="00027FAD"/>
    <w:rsid w:val="000314B6"/>
    <w:rsid w:val="00032A0F"/>
    <w:rsid w:val="000332BC"/>
    <w:rsid w:val="000334D8"/>
    <w:rsid w:val="0003427D"/>
    <w:rsid w:val="000353C7"/>
    <w:rsid w:val="00037B8D"/>
    <w:rsid w:val="0004012D"/>
    <w:rsid w:val="00040D8D"/>
    <w:rsid w:val="00040FB7"/>
    <w:rsid w:val="00041BE1"/>
    <w:rsid w:val="00043445"/>
    <w:rsid w:val="00045489"/>
    <w:rsid w:val="00046423"/>
    <w:rsid w:val="000477AA"/>
    <w:rsid w:val="000477F5"/>
    <w:rsid w:val="0005067C"/>
    <w:rsid w:val="00051BBA"/>
    <w:rsid w:val="0005342F"/>
    <w:rsid w:val="0006103A"/>
    <w:rsid w:val="0006104E"/>
    <w:rsid w:val="0006236E"/>
    <w:rsid w:val="000640BD"/>
    <w:rsid w:val="00065839"/>
    <w:rsid w:val="00065FDF"/>
    <w:rsid w:val="0006601B"/>
    <w:rsid w:val="0006693A"/>
    <w:rsid w:val="00071812"/>
    <w:rsid w:val="000738D5"/>
    <w:rsid w:val="00073A18"/>
    <w:rsid w:val="00073B5C"/>
    <w:rsid w:val="000749D4"/>
    <w:rsid w:val="000767E9"/>
    <w:rsid w:val="00076E0D"/>
    <w:rsid w:val="000774E7"/>
    <w:rsid w:val="00077844"/>
    <w:rsid w:val="00083763"/>
    <w:rsid w:val="00084199"/>
    <w:rsid w:val="0008734C"/>
    <w:rsid w:val="000876DE"/>
    <w:rsid w:val="0009023D"/>
    <w:rsid w:val="00090510"/>
    <w:rsid w:val="00091438"/>
    <w:rsid w:val="000917AE"/>
    <w:rsid w:val="00091FAA"/>
    <w:rsid w:val="00093F5A"/>
    <w:rsid w:val="000941E1"/>
    <w:rsid w:val="00094B81"/>
    <w:rsid w:val="000953D1"/>
    <w:rsid w:val="00095C6A"/>
    <w:rsid w:val="0009715E"/>
    <w:rsid w:val="000975AA"/>
    <w:rsid w:val="000A1A6D"/>
    <w:rsid w:val="000A4144"/>
    <w:rsid w:val="000A484B"/>
    <w:rsid w:val="000A7DAC"/>
    <w:rsid w:val="000B144F"/>
    <w:rsid w:val="000B685D"/>
    <w:rsid w:val="000B6B15"/>
    <w:rsid w:val="000C206F"/>
    <w:rsid w:val="000C25A7"/>
    <w:rsid w:val="000C29AB"/>
    <w:rsid w:val="000C426C"/>
    <w:rsid w:val="000C567F"/>
    <w:rsid w:val="000C593F"/>
    <w:rsid w:val="000C6329"/>
    <w:rsid w:val="000D108F"/>
    <w:rsid w:val="000D4776"/>
    <w:rsid w:val="000D484B"/>
    <w:rsid w:val="000D572A"/>
    <w:rsid w:val="000D78EC"/>
    <w:rsid w:val="000D7934"/>
    <w:rsid w:val="000E23E6"/>
    <w:rsid w:val="000E2434"/>
    <w:rsid w:val="000E2597"/>
    <w:rsid w:val="000E291A"/>
    <w:rsid w:val="000E504E"/>
    <w:rsid w:val="000E5FE7"/>
    <w:rsid w:val="000E6746"/>
    <w:rsid w:val="000F14B6"/>
    <w:rsid w:val="000F1DB0"/>
    <w:rsid w:val="000F3123"/>
    <w:rsid w:val="000F4562"/>
    <w:rsid w:val="000F4C87"/>
    <w:rsid w:val="000F5C25"/>
    <w:rsid w:val="000F74EB"/>
    <w:rsid w:val="000F7B51"/>
    <w:rsid w:val="001004AA"/>
    <w:rsid w:val="00100878"/>
    <w:rsid w:val="001008D2"/>
    <w:rsid w:val="00101265"/>
    <w:rsid w:val="00101BEE"/>
    <w:rsid w:val="00101CE6"/>
    <w:rsid w:val="00101FB1"/>
    <w:rsid w:val="0010282A"/>
    <w:rsid w:val="00102A18"/>
    <w:rsid w:val="001033DD"/>
    <w:rsid w:val="001036E1"/>
    <w:rsid w:val="001037BB"/>
    <w:rsid w:val="0010558A"/>
    <w:rsid w:val="001101FF"/>
    <w:rsid w:val="001113AE"/>
    <w:rsid w:val="00111989"/>
    <w:rsid w:val="00113F9F"/>
    <w:rsid w:val="00114025"/>
    <w:rsid w:val="00115AC0"/>
    <w:rsid w:val="00117F2A"/>
    <w:rsid w:val="0012473C"/>
    <w:rsid w:val="001259F5"/>
    <w:rsid w:val="001279D1"/>
    <w:rsid w:val="00127A74"/>
    <w:rsid w:val="00130463"/>
    <w:rsid w:val="001305DC"/>
    <w:rsid w:val="0013132F"/>
    <w:rsid w:val="001319B8"/>
    <w:rsid w:val="00131B1B"/>
    <w:rsid w:val="0013306D"/>
    <w:rsid w:val="0013482F"/>
    <w:rsid w:val="0013528C"/>
    <w:rsid w:val="0013604E"/>
    <w:rsid w:val="00141806"/>
    <w:rsid w:val="00142A23"/>
    <w:rsid w:val="0014313D"/>
    <w:rsid w:val="001442A2"/>
    <w:rsid w:val="00145D82"/>
    <w:rsid w:val="001468CA"/>
    <w:rsid w:val="00147486"/>
    <w:rsid w:val="001500A8"/>
    <w:rsid w:val="0015138D"/>
    <w:rsid w:val="001537EF"/>
    <w:rsid w:val="001550FD"/>
    <w:rsid w:val="00155421"/>
    <w:rsid w:val="00155CC0"/>
    <w:rsid w:val="00155D85"/>
    <w:rsid w:val="00157700"/>
    <w:rsid w:val="00157C86"/>
    <w:rsid w:val="001642AA"/>
    <w:rsid w:val="00165D28"/>
    <w:rsid w:val="00167BB6"/>
    <w:rsid w:val="00167CB6"/>
    <w:rsid w:val="0017005C"/>
    <w:rsid w:val="0017015E"/>
    <w:rsid w:val="00170424"/>
    <w:rsid w:val="00170681"/>
    <w:rsid w:val="00170F8F"/>
    <w:rsid w:val="00172415"/>
    <w:rsid w:val="00174916"/>
    <w:rsid w:val="00174C0A"/>
    <w:rsid w:val="00175CD8"/>
    <w:rsid w:val="00180B84"/>
    <w:rsid w:val="00182BD8"/>
    <w:rsid w:val="00183258"/>
    <w:rsid w:val="00185508"/>
    <w:rsid w:val="001866B0"/>
    <w:rsid w:val="00186844"/>
    <w:rsid w:val="00190853"/>
    <w:rsid w:val="001927F0"/>
    <w:rsid w:val="00195919"/>
    <w:rsid w:val="001A032A"/>
    <w:rsid w:val="001A22A4"/>
    <w:rsid w:val="001A33A3"/>
    <w:rsid w:val="001A76F9"/>
    <w:rsid w:val="001A7FDC"/>
    <w:rsid w:val="001B06FF"/>
    <w:rsid w:val="001B1703"/>
    <w:rsid w:val="001C091D"/>
    <w:rsid w:val="001C1C2E"/>
    <w:rsid w:val="001C31A1"/>
    <w:rsid w:val="001C3FA2"/>
    <w:rsid w:val="001C5EE2"/>
    <w:rsid w:val="001C6552"/>
    <w:rsid w:val="001C65D8"/>
    <w:rsid w:val="001D0077"/>
    <w:rsid w:val="001D06F0"/>
    <w:rsid w:val="001D110A"/>
    <w:rsid w:val="001D20A6"/>
    <w:rsid w:val="001D20E3"/>
    <w:rsid w:val="001D2B42"/>
    <w:rsid w:val="001D51FD"/>
    <w:rsid w:val="001D5A60"/>
    <w:rsid w:val="001D635D"/>
    <w:rsid w:val="001D64CC"/>
    <w:rsid w:val="001D6A6D"/>
    <w:rsid w:val="001E1235"/>
    <w:rsid w:val="001E1BA2"/>
    <w:rsid w:val="001E2CD2"/>
    <w:rsid w:val="001E3A0A"/>
    <w:rsid w:val="001E407B"/>
    <w:rsid w:val="001E4794"/>
    <w:rsid w:val="001E49E8"/>
    <w:rsid w:val="001E57BB"/>
    <w:rsid w:val="001E5FC2"/>
    <w:rsid w:val="001E7A4E"/>
    <w:rsid w:val="001E7FC6"/>
    <w:rsid w:val="001F08E2"/>
    <w:rsid w:val="001F1151"/>
    <w:rsid w:val="001F20AE"/>
    <w:rsid w:val="001F2502"/>
    <w:rsid w:val="001F5D9F"/>
    <w:rsid w:val="001F6625"/>
    <w:rsid w:val="001F70A5"/>
    <w:rsid w:val="00201682"/>
    <w:rsid w:val="00201EF3"/>
    <w:rsid w:val="0020235D"/>
    <w:rsid w:val="00202FEA"/>
    <w:rsid w:val="0020369B"/>
    <w:rsid w:val="002066A8"/>
    <w:rsid w:val="00207B4D"/>
    <w:rsid w:val="0021078C"/>
    <w:rsid w:val="00210F9B"/>
    <w:rsid w:val="002117B1"/>
    <w:rsid w:val="002120E5"/>
    <w:rsid w:val="00212A8B"/>
    <w:rsid w:val="00214DA6"/>
    <w:rsid w:val="00215A84"/>
    <w:rsid w:val="00216BD7"/>
    <w:rsid w:val="00217CCE"/>
    <w:rsid w:val="002203B1"/>
    <w:rsid w:val="002209AA"/>
    <w:rsid w:val="00220CD3"/>
    <w:rsid w:val="00221CFC"/>
    <w:rsid w:val="00221D0F"/>
    <w:rsid w:val="002226A7"/>
    <w:rsid w:val="0022418F"/>
    <w:rsid w:val="002249E8"/>
    <w:rsid w:val="00224FA2"/>
    <w:rsid w:val="00225E13"/>
    <w:rsid w:val="00226733"/>
    <w:rsid w:val="00226F39"/>
    <w:rsid w:val="0022727B"/>
    <w:rsid w:val="00227C5B"/>
    <w:rsid w:val="00230F1E"/>
    <w:rsid w:val="002322F5"/>
    <w:rsid w:val="002334AD"/>
    <w:rsid w:val="002335C1"/>
    <w:rsid w:val="00235ADF"/>
    <w:rsid w:val="002368C2"/>
    <w:rsid w:val="00236F91"/>
    <w:rsid w:val="002376DE"/>
    <w:rsid w:val="002379DC"/>
    <w:rsid w:val="00237A65"/>
    <w:rsid w:val="00240770"/>
    <w:rsid w:val="00241B60"/>
    <w:rsid w:val="00241FD8"/>
    <w:rsid w:val="00242229"/>
    <w:rsid w:val="002440C1"/>
    <w:rsid w:val="00246667"/>
    <w:rsid w:val="002466B4"/>
    <w:rsid w:val="00247B71"/>
    <w:rsid w:val="0025126D"/>
    <w:rsid w:val="002539C2"/>
    <w:rsid w:val="00253ADC"/>
    <w:rsid w:val="0025785B"/>
    <w:rsid w:val="00257969"/>
    <w:rsid w:val="00257A4E"/>
    <w:rsid w:val="002634C1"/>
    <w:rsid w:val="00265CD1"/>
    <w:rsid w:val="00265EB4"/>
    <w:rsid w:val="00266253"/>
    <w:rsid w:val="00266C8A"/>
    <w:rsid w:val="00271718"/>
    <w:rsid w:val="0027721C"/>
    <w:rsid w:val="0027784B"/>
    <w:rsid w:val="00280048"/>
    <w:rsid w:val="0028269D"/>
    <w:rsid w:val="002836AC"/>
    <w:rsid w:val="00283737"/>
    <w:rsid w:val="0028489E"/>
    <w:rsid w:val="002848DE"/>
    <w:rsid w:val="00286FE9"/>
    <w:rsid w:val="0028794E"/>
    <w:rsid w:val="00287E71"/>
    <w:rsid w:val="002924A1"/>
    <w:rsid w:val="00294558"/>
    <w:rsid w:val="0029733B"/>
    <w:rsid w:val="0029749B"/>
    <w:rsid w:val="00297798"/>
    <w:rsid w:val="002A18C9"/>
    <w:rsid w:val="002A24D2"/>
    <w:rsid w:val="002A476F"/>
    <w:rsid w:val="002A5841"/>
    <w:rsid w:val="002A671B"/>
    <w:rsid w:val="002A67BF"/>
    <w:rsid w:val="002B1EDF"/>
    <w:rsid w:val="002B2061"/>
    <w:rsid w:val="002B3129"/>
    <w:rsid w:val="002B3204"/>
    <w:rsid w:val="002B33C3"/>
    <w:rsid w:val="002B3AE6"/>
    <w:rsid w:val="002B4287"/>
    <w:rsid w:val="002B591F"/>
    <w:rsid w:val="002B6ED8"/>
    <w:rsid w:val="002C02C4"/>
    <w:rsid w:val="002C1232"/>
    <w:rsid w:val="002C1459"/>
    <w:rsid w:val="002C1E44"/>
    <w:rsid w:val="002C4F2B"/>
    <w:rsid w:val="002C5834"/>
    <w:rsid w:val="002C5C92"/>
    <w:rsid w:val="002C5E29"/>
    <w:rsid w:val="002C74F2"/>
    <w:rsid w:val="002C7DA5"/>
    <w:rsid w:val="002D0478"/>
    <w:rsid w:val="002D20D8"/>
    <w:rsid w:val="002D56BB"/>
    <w:rsid w:val="002D7127"/>
    <w:rsid w:val="002E015C"/>
    <w:rsid w:val="002E1C54"/>
    <w:rsid w:val="002E2043"/>
    <w:rsid w:val="002E3327"/>
    <w:rsid w:val="002E335D"/>
    <w:rsid w:val="002E4A5F"/>
    <w:rsid w:val="002E4ACB"/>
    <w:rsid w:val="002E7CFE"/>
    <w:rsid w:val="002F09FB"/>
    <w:rsid w:val="002F22B4"/>
    <w:rsid w:val="002F322C"/>
    <w:rsid w:val="002F33EA"/>
    <w:rsid w:val="002F599E"/>
    <w:rsid w:val="002F66DD"/>
    <w:rsid w:val="002F7680"/>
    <w:rsid w:val="0030018B"/>
    <w:rsid w:val="003008D8"/>
    <w:rsid w:val="00301D9A"/>
    <w:rsid w:val="003029E4"/>
    <w:rsid w:val="00302D6D"/>
    <w:rsid w:val="00303959"/>
    <w:rsid w:val="00306E72"/>
    <w:rsid w:val="003109E0"/>
    <w:rsid w:val="003125A6"/>
    <w:rsid w:val="00312AC3"/>
    <w:rsid w:val="00312F28"/>
    <w:rsid w:val="003138AC"/>
    <w:rsid w:val="00314430"/>
    <w:rsid w:val="003163BC"/>
    <w:rsid w:val="003169B1"/>
    <w:rsid w:val="00316E65"/>
    <w:rsid w:val="003212D9"/>
    <w:rsid w:val="003220D6"/>
    <w:rsid w:val="0032351A"/>
    <w:rsid w:val="00324B33"/>
    <w:rsid w:val="00327041"/>
    <w:rsid w:val="00327488"/>
    <w:rsid w:val="003302FF"/>
    <w:rsid w:val="00330785"/>
    <w:rsid w:val="0033413A"/>
    <w:rsid w:val="003341CD"/>
    <w:rsid w:val="00336FE1"/>
    <w:rsid w:val="003379F7"/>
    <w:rsid w:val="00337BD8"/>
    <w:rsid w:val="00340DF1"/>
    <w:rsid w:val="003411B5"/>
    <w:rsid w:val="0034251D"/>
    <w:rsid w:val="00342D56"/>
    <w:rsid w:val="00342E06"/>
    <w:rsid w:val="00343333"/>
    <w:rsid w:val="00343742"/>
    <w:rsid w:val="00344C58"/>
    <w:rsid w:val="00344C68"/>
    <w:rsid w:val="00345494"/>
    <w:rsid w:val="003456E7"/>
    <w:rsid w:val="00346EC2"/>
    <w:rsid w:val="003477F9"/>
    <w:rsid w:val="00347ED7"/>
    <w:rsid w:val="003502F0"/>
    <w:rsid w:val="00351BA9"/>
    <w:rsid w:val="0035444D"/>
    <w:rsid w:val="00355AC9"/>
    <w:rsid w:val="00356D62"/>
    <w:rsid w:val="00357CBF"/>
    <w:rsid w:val="00363EE3"/>
    <w:rsid w:val="003644E4"/>
    <w:rsid w:val="00365A60"/>
    <w:rsid w:val="003663C1"/>
    <w:rsid w:val="00366897"/>
    <w:rsid w:val="0037265A"/>
    <w:rsid w:val="00372B0D"/>
    <w:rsid w:val="003735F3"/>
    <w:rsid w:val="00373B1F"/>
    <w:rsid w:val="00374729"/>
    <w:rsid w:val="0037664E"/>
    <w:rsid w:val="00376A08"/>
    <w:rsid w:val="00377355"/>
    <w:rsid w:val="00384414"/>
    <w:rsid w:val="00386B45"/>
    <w:rsid w:val="00387298"/>
    <w:rsid w:val="00387984"/>
    <w:rsid w:val="00390DF8"/>
    <w:rsid w:val="00391250"/>
    <w:rsid w:val="00395140"/>
    <w:rsid w:val="00396D56"/>
    <w:rsid w:val="003975EF"/>
    <w:rsid w:val="00397A32"/>
    <w:rsid w:val="003A0247"/>
    <w:rsid w:val="003A2422"/>
    <w:rsid w:val="003A2FC1"/>
    <w:rsid w:val="003A49D5"/>
    <w:rsid w:val="003A6871"/>
    <w:rsid w:val="003A7326"/>
    <w:rsid w:val="003B0334"/>
    <w:rsid w:val="003B149C"/>
    <w:rsid w:val="003B2566"/>
    <w:rsid w:val="003B38EF"/>
    <w:rsid w:val="003B5D21"/>
    <w:rsid w:val="003B5F5F"/>
    <w:rsid w:val="003C0FDB"/>
    <w:rsid w:val="003C1192"/>
    <w:rsid w:val="003C323A"/>
    <w:rsid w:val="003C4118"/>
    <w:rsid w:val="003C55E2"/>
    <w:rsid w:val="003C63D5"/>
    <w:rsid w:val="003C6C52"/>
    <w:rsid w:val="003C7AA8"/>
    <w:rsid w:val="003D0DA5"/>
    <w:rsid w:val="003D25CF"/>
    <w:rsid w:val="003D2B5B"/>
    <w:rsid w:val="003D3BB0"/>
    <w:rsid w:val="003D5050"/>
    <w:rsid w:val="003D71A1"/>
    <w:rsid w:val="003E0456"/>
    <w:rsid w:val="003E079B"/>
    <w:rsid w:val="003E3F09"/>
    <w:rsid w:val="003E4609"/>
    <w:rsid w:val="003E4920"/>
    <w:rsid w:val="003E5C06"/>
    <w:rsid w:val="003E5CD5"/>
    <w:rsid w:val="003E70F6"/>
    <w:rsid w:val="003E7DD5"/>
    <w:rsid w:val="003F349A"/>
    <w:rsid w:val="003F3E92"/>
    <w:rsid w:val="003F42B7"/>
    <w:rsid w:val="004001EA"/>
    <w:rsid w:val="00400419"/>
    <w:rsid w:val="00401752"/>
    <w:rsid w:val="00404AE7"/>
    <w:rsid w:val="0040543C"/>
    <w:rsid w:val="00410A54"/>
    <w:rsid w:val="004132C3"/>
    <w:rsid w:val="00414E88"/>
    <w:rsid w:val="0041688F"/>
    <w:rsid w:val="00421571"/>
    <w:rsid w:val="004217D1"/>
    <w:rsid w:val="00422234"/>
    <w:rsid w:val="004224F6"/>
    <w:rsid w:val="0042376F"/>
    <w:rsid w:val="004241C0"/>
    <w:rsid w:val="00424518"/>
    <w:rsid w:val="004246B8"/>
    <w:rsid w:val="00424706"/>
    <w:rsid w:val="004248F1"/>
    <w:rsid w:val="00424D97"/>
    <w:rsid w:val="00425A4B"/>
    <w:rsid w:val="00431890"/>
    <w:rsid w:val="00431F99"/>
    <w:rsid w:val="00432F98"/>
    <w:rsid w:val="00433318"/>
    <w:rsid w:val="00433C82"/>
    <w:rsid w:val="00434D06"/>
    <w:rsid w:val="00436334"/>
    <w:rsid w:val="00436C35"/>
    <w:rsid w:val="004411D9"/>
    <w:rsid w:val="00442A56"/>
    <w:rsid w:val="004439C6"/>
    <w:rsid w:val="004444B0"/>
    <w:rsid w:val="00444A3F"/>
    <w:rsid w:val="00445722"/>
    <w:rsid w:val="004468FE"/>
    <w:rsid w:val="0045060B"/>
    <w:rsid w:val="0045083F"/>
    <w:rsid w:val="00455A5B"/>
    <w:rsid w:val="004606B0"/>
    <w:rsid w:val="00460882"/>
    <w:rsid w:val="00460972"/>
    <w:rsid w:val="00460E86"/>
    <w:rsid w:val="00461E4D"/>
    <w:rsid w:val="004626FF"/>
    <w:rsid w:val="0046285C"/>
    <w:rsid w:val="0046469F"/>
    <w:rsid w:val="00464FC8"/>
    <w:rsid w:val="0046722C"/>
    <w:rsid w:val="00470A52"/>
    <w:rsid w:val="00471AF2"/>
    <w:rsid w:val="00471BD5"/>
    <w:rsid w:val="00471D90"/>
    <w:rsid w:val="00472318"/>
    <w:rsid w:val="00473D4A"/>
    <w:rsid w:val="00473FC5"/>
    <w:rsid w:val="0047478E"/>
    <w:rsid w:val="0047634F"/>
    <w:rsid w:val="00476E25"/>
    <w:rsid w:val="00476E6C"/>
    <w:rsid w:val="00477C4E"/>
    <w:rsid w:val="00477D2E"/>
    <w:rsid w:val="00477F07"/>
    <w:rsid w:val="0048133D"/>
    <w:rsid w:val="00481503"/>
    <w:rsid w:val="00481D12"/>
    <w:rsid w:val="00482D8E"/>
    <w:rsid w:val="0048375D"/>
    <w:rsid w:val="00483B54"/>
    <w:rsid w:val="00483D44"/>
    <w:rsid w:val="00484900"/>
    <w:rsid w:val="004854A6"/>
    <w:rsid w:val="00485CBF"/>
    <w:rsid w:val="0049006B"/>
    <w:rsid w:val="004906BF"/>
    <w:rsid w:val="004909C2"/>
    <w:rsid w:val="00490E0F"/>
    <w:rsid w:val="00491A55"/>
    <w:rsid w:val="00494991"/>
    <w:rsid w:val="00494C3E"/>
    <w:rsid w:val="00497DF1"/>
    <w:rsid w:val="004A0A68"/>
    <w:rsid w:val="004A0FEF"/>
    <w:rsid w:val="004A1ED8"/>
    <w:rsid w:val="004A20BC"/>
    <w:rsid w:val="004A318E"/>
    <w:rsid w:val="004A4414"/>
    <w:rsid w:val="004A45D4"/>
    <w:rsid w:val="004A57E8"/>
    <w:rsid w:val="004A5C90"/>
    <w:rsid w:val="004A6E7A"/>
    <w:rsid w:val="004A6FE5"/>
    <w:rsid w:val="004B0854"/>
    <w:rsid w:val="004B158F"/>
    <w:rsid w:val="004B2938"/>
    <w:rsid w:val="004B2956"/>
    <w:rsid w:val="004B3081"/>
    <w:rsid w:val="004B37A2"/>
    <w:rsid w:val="004B4150"/>
    <w:rsid w:val="004B4A09"/>
    <w:rsid w:val="004B51B0"/>
    <w:rsid w:val="004B7F18"/>
    <w:rsid w:val="004C037E"/>
    <w:rsid w:val="004C1048"/>
    <w:rsid w:val="004C138A"/>
    <w:rsid w:val="004C338D"/>
    <w:rsid w:val="004C41CE"/>
    <w:rsid w:val="004C555E"/>
    <w:rsid w:val="004C631B"/>
    <w:rsid w:val="004C7EBB"/>
    <w:rsid w:val="004D07FC"/>
    <w:rsid w:val="004D0933"/>
    <w:rsid w:val="004D1855"/>
    <w:rsid w:val="004D2F00"/>
    <w:rsid w:val="004D31D8"/>
    <w:rsid w:val="004D35D1"/>
    <w:rsid w:val="004D44D0"/>
    <w:rsid w:val="004D4AD5"/>
    <w:rsid w:val="004D4ED9"/>
    <w:rsid w:val="004D5388"/>
    <w:rsid w:val="004D695A"/>
    <w:rsid w:val="004E1E51"/>
    <w:rsid w:val="004E3C55"/>
    <w:rsid w:val="004E6502"/>
    <w:rsid w:val="004E7F16"/>
    <w:rsid w:val="004F1414"/>
    <w:rsid w:val="004F18EC"/>
    <w:rsid w:val="004F1F18"/>
    <w:rsid w:val="004F2476"/>
    <w:rsid w:val="004F3357"/>
    <w:rsid w:val="004F36D0"/>
    <w:rsid w:val="004F475C"/>
    <w:rsid w:val="004F48CB"/>
    <w:rsid w:val="005003E6"/>
    <w:rsid w:val="00500D68"/>
    <w:rsid w:val="00501114"/>
    <w:rsid w:val="00505F13"/>
    <w:rsid w:val="00507B7F"/>
    <w:rsid w:val="00507C86"/>
    <w:rsid w:val="00511F08"/>
    <w:rsid w:val="00512164"/>
    <w:rsid w:val="005135F1"/>
    <w:rsid w:val="00516936"/>
    <w:rsid w:val="00516B5C"/>
    <w:rsid w:val="00522299"/>
    <w:rsid w:val="0052271B"/>
    <w:rsid w:val="00523489"/>
    <w:rsid w:val="00523928"/>
    <w:rsid w:val="005254A2"/>
    <w:rsid w:val="005257FD"/>
    <w:rsid w:val="00526464"/>
    <w:rsid w:val="00527735"/>
    <w:rsid w:val="00527834"/>
    <w:rsid w:val="00527A3E"/>
    <w:rsid w:val="00532CAE"/>
    <w:rsid w:val="0053377D"/>
    <w:rsid w:val="00535DFE"/>
    <w:rsid w:val="005363F0"/>
    <w:rsid w:val="005364CF"/>
    <w:rsid w:val="00536E04"/>
    <w:rsid w:val="005373B5"/>
    <w:rsid w:val="00537765"/>
    <w:rsid w:val="00537AB7"/>
    <w:rsid w:val="0054052A"/>
    <w:rsid w:val="00541F3E"/>
    <w:rsid w:val="00543308"/>
    <w:rsid w:val="005456D1"/>
    <w:rsid w:val="0054669B"/>
    <w:rsid w:val="00547E1D"/>
    <w:rsid w:val="00551E74"/>
    <w:rsid w:val="005528BC"/>
    <w:rsid w:val="00553B18"/>
    <w:rsid w:val="005542BC"/>
    <w:rsid w:val="005557CB"/>
    <w:rsid w:val="005559BC"/>
    <w:rsid w:val="00557684"/>
    <w:rsid w:val="005579FB"/>
    <w:rsid w:val="00560D85"/>
    <w:rsid w:val="00560EC1"/>
    <w:rsid w:val="005610D1"/>
    <w:rsid w:val="00562F42"/>
    <w:rsid w:val="0056522D"/>
    <w:rsid w:val="00565739"/>
    <w:rsid w:val="00566411"/>
    <w:rsid w:val="00566D6B"/>
    <w:rsid w:val="0056766D"/>
    <w:rsid w:val="0056779A"/>
    <w:rsid w:val="0057325F"/>
    <w:rsid w:val="005732A3"/>
    <w:rsid w:val="0057338B"/>
    <w:rsid w:val="0057396C"/>
    <w:rsid w:val="00574E97"/>
    <w:rsid w:val="00575215"/>
    <w:rsid w:val="0057576E"/>
    <w:rsid w:val="005775D0"/>
    <w:rsid w:val="0058030B"/>
    <w:rsid w:val="00581138"/>
    <w:rsid w:val="00583F2C"/>
    <w:rsid w:val="0058575E"/>
    <w:rsid w:val="00585FDB"/>
    <w:rsid w:val="005872B2"/>
    <w:rsid w:val="0058783C"/>
    <w:rsid w:val="005911AE"/>
    <w:rsid w:val="005924CC"/>
    <w:rsid w:val="005926E2"/>
    <w:rsid w:val="00593093"/>
    <w:rsid w:val="0059313A"/>
    <w:rsid w:val="00593AE3"/>
    <w:rsid w:val="00593F5A"/>
    <w:rsid w:val="005945DB"/>
    <w:rsid w:val="005953FE"/>
    <w:rsid w:val="005A1072"/>
    <w:rsid w:val="005A47C5"/>
    <w:rsid w:val="005A54EA"/>
    <w:rsid w:val="005A7EB2"/>
    <w:rsid w:val="005B023F"/>
    <w:rsid w:val="005B02A2"/>
    <w:rsid w:val="005B1417"/>
    <w:rsid w:val="005B2F76"/>
    <w:rsid w:val="005B676F"/>
    <w:rsid w:val="005B69CF"/>
    <w:rsid w:val="005B70C8"/>
    <w:rsid w:val="005C303A"/>
    <w:rsid w:val="005C3F07"/>
    <w:rsid w:val="005C4B46"/>
    <w:rsid w:val="005C5203"/>
    <w:rsid w:val="005C5541"/>
    <w:rsid w:val="005C5DC5"/>
    <w:rsid w:val="005C5FB3"/>
    <w:rsid w:val="005C6463"/>
    <w:rsid w:val="005C6D47"/>
    <w:rsid w:val="005C745D"/>
    <w:rsid w:val="005D0E1E"/>
    <w:rsid w:val="005D2089"/>
    <w:rsid w:val="005D4762"/>
    <w:rsid w:val="005D5491"/>
    <w:rsid w:val="005D6143"/>
    <w:rsid w:val="005D7514"/>
    <w:rsid w:val="005E09C1"/>
    <w:rsid w:val="005E0FC6"/>
    <w:rsid w:val="005E1A7B"/>
    <w:rsid w:val="005E231F"/>
    <w:rsid w:val="005E698E"/>
    <w:rsid w:val="005E6D6E"/>
    <w:rsid w:val="005F33BC"/>
    <w:rsid w:val="005F39AB"/>
    <w:rsid w:val="005F5015"/>
    <w:rsid w:val="005F5763"/>
    <w:rsid w:val="005F5C9D"/>
    <w:rsid w:val="005F5ED9"/>
    <w:rsid w:val="005F65AF"/>
    <w:rsid w:val="005F731D"/>
    <w:rsid w:val="0060000A"/>
    <w:rsid w:val="006016FE"/>
    <w:rsid w:val="00601797"/>
    <w:rsid w:val="006017A3"/>
    <w:rsid w:val="00602351"/>
    <w:rsid w:val="00602D6E"/>
    <w:rsid w:val="006034B6"/>
    <w:rsid w:val="0060379A"/>
    <w:rsid w:val="00603ADD"/>
    <w:rsid w:val="0060435F"/>
    <w:rsid w:val="00605C05"/>
    <w:rsid w:val="006075E8"/>
    <w:rsid w:val="0061030F"/>
    <w:rsid w:val="00611351"/>
    <w:rsid w:val="0061140D"/>
    <w:rsid w:val="0061217D"/>
    <w:rsid w:val="006129AE"/>
    <w:rsid w:val="00613E2F"/>
    <w:rsid w:val="00614DE6"/>
    <w:rsid w:val="00616D8D"/>
    <w:rsid w:val="00617C34"/>
    <w:rsid w:val="00620544"/>
    <w:rsid w:val="00621FA2"/>
    <w:rsid w:val="00623D22"/>
    <w:rsid w:val="006260BF"/>
    <w:rsid w:val="006271B5"/>
    <w:rsid w:val="00627585"/>
    <w:rsid w:val="006277A1"/>
    <w:rsid w:val="006301A1"/>
    <w:rsid w:val="00633BD7"/>
    <w:rsid w:val="0063438A"/>
    <w:rsid w:val="00634580"/>
    <w:rsid w:val="00634884"/>
    <w:rsid w:val="006351D9"/>
    <w:rsid w:val="006355C0"/>
    <w:rsid w:val="00635DAD"/>
    <w:rsid w:val="00637130"/>
    <w:rsid w:val="00637E92"/>
    <w:rsid w:val="00637F0E"/>
    <w:rsid w:val="006404B3"/>
    <w:rsid w:val="00640655"/>
    <w:rsid w:val="006423F2"/>
    <w:rsid w:val="006428C5"/>
    <w:rsid w:val="0064694A"/>
    <w:rsid w:val="00647238"/>
    <w:rsid w:val="00647310"/>
    <w:rsid w:val="00650234"/>
    <w:rsid w:val="00653743"/>
    <w:rsid w:val="00657B33"/>
    <w:rsid w:val="0066044B"/>
    <w:rsid w:val="00660C62"/>
    <w:rsid w:val="00660E25"/>
    <w:rsid w:val="00660F7D"/>
    <w:rsid w:val="006624CC"/>
    <w:rsid w:val="006630AA"/>
    <w:rsid w:val="00663544"/>
    <w:rsid w:val="006648CC"/>
    <w:rsid w:val="006659A1"/>
    <w:rsid w:val="00666539"/>
    <w:rsid w:val="00666911"/>
    <w:rsid w:val="00666C5E"/>
    <w:rsid w:val="00666EAD"/>
    <w:rsid w:val="006675A2"/>
    <w:rsid w:val="00667B51"/>
    <w:rsid w:val="00672470"/>
    <w:rsid w:val="00672652"/>
    <w:rsid w:val="006734E5"/>
    <w:rsid w:val="00673FA7"/>
    <w:rsid w:val="00674728"/>
    <w:rsid w:val="006750AF"/>
    <w:rsid w:val="0067597B"/>
    <w:rsid w:val="00675F81"/>
    <w:rsid w:val="00676B92"/>
    <w:rsid w:val="00676EFD"/>
    <w:rsid w:val="00677A1D"/>
    <w:rsid w:val="00680BAB"/>
    <w:rsid w:val="0068143E"/>
    <w:rsid w:val="00682931"/>
    <w:rsid w:val="0068333D"/>
    <w:rsid w:val="00684A10"/>
    <w:rsid w:val="0068507D"/>
    <w:rsid w:val="00685130"/>
    <w:rsid w:val="006866C2"/>
    <w:rsid w:val="00687558"/>
    <w:rsid w:val="00691AF2"/>
    <w:rsid w:val="00692341"/>
    <w:rsid w:val="00692B80"/>
    <w:rsid w:val="00692CCD"/>
    <w:rsid w:val="00692D51"/>
    <w:rsid w:val="00692DF0"/>
    <w:rsid w:val="00693938"/>
    <w:rsid w:val="00694DD7"/>
    <w:rsid w:val="0069636B"/>
    <w:rsid w:val="006973F6"/>
    <w:rsid w:val="006975DA"/>
    <w:rsid w:val="006A1762"/>
    <w:rsid w:val="006A19CE"/>
    <w:rsid w:val="006A1F0B"/>
    <w:rsid w:val="006A277A"/>
    <w:rsid w:val="006A4B16"/>
    <w:rsid w:val="006A5973"/>
    <w:rsid w:val="006A7437"/>
    <w:rsid w:val="006A7845"/>
    <w:rsid w:val="006A7A80"/>
    <w:rsid w:val="006B04F3"/>
    <w:rsid w:val="006B24E6"/>
    <w:rsid w:val="006B2A50"/>
    <w:rsid w:val="006B33F4"/>
    <w:rsid w:val="006B5E64"/>
    <w:rsid w:val="006B6AE1"/>
    <w:rsid w:val="006B7126"/>
    <w:rsid w:val="006B786A"/>
    <w:rsid w:val="006C1D3B"/>
    <w:rsid w:val="006C23B5"/>
    <w:rsid w:val="006C276E"/>
    <w:rsid w:val="006C33EF"/>
    <w:rsid w:val="006C6B86"/>
    <w:rsid w:val="006D4553"/>
    <w:rsid w:val="006D4A35"/>
    <w:rsid w:val="006D6A32"/>
    <w:rsid w:val="006D6B44"/>
    <w:rsid w:val="006D7540"/>
    <w:rsid w:val="006D77C5"/>
    <w:rsid w:val="006E0384"/>
    <w:rsid w:val="006E08A8"/>
    <w:rsid w:val="006E0F71"/>
    <w:rsid w:val="006E13CC"/>
    <w:rsid w:val="006E1B66"/>
    <w:rsid w:val="006E27FE"/>
    <w:rsid w:val="006E530B"/>
    <w:rsid w:val="006E6059"/>
    <w:rsid w:val="006F0381"/>
    <w:rsid w:val="006F2725"/>
    <w:rsid w:val="006F4842"/>
    <w:rsid w:val="006F6045"/>
    <w:rsid w:val="006F6283"/>
    <w:rsid w:val="006F7DED"/>
    <w:rsid w:val="006F7F6C"/>
    <w:rsid w:val="00701110"/>
    <w:rsid w:val="00701358"/>
    <w:rsid w:val="00702E91"/>
    <w:rsid w:val="0070330F"/>
    <w:rsid w:val="00703624"/>
    <w:rsid w:val="007046ED"/>
    <w:rsid w:val="0070541F"/>
    <w:rsid w:val="0070587F"/>
    <w:rsid w:val="007072A1"/>
    <w:rsid w:val="00707A01"/>
    <w:rsid w:val="0071060C"/>
    <w:rsid w:val="00710BC5"/>
    <w:rsid w:val="00710CD9"/>
    <w:rsid w:val="007121CA"/>
    <w:rsid w:val="00712E25"/>
    <w:rsid w:val="00713451"/>
    <w:rsid w:val="00713BD9"/>
    <w:rsid w:val="0072003B"/>
    <w:rsid w:val="00720A1E"/>
    <w:rsid w:val="00720C46"/>
    <w:rsid w:val="00721059"/>
    <w:rsid w:val="007211E6"/>
    <w:rsid w:val="00721353"/>
    <w:rsid w:val="00721E69"/>
    <w:rsid w:val="007220C4"/>
    <w:rsid w:val="007235A5"/>
    <w:rsid w:val="00723AB4"/>
    <w:rsid w:val="00725CBD"/>
    <w:rsid w:val="00726E50"/>
    <w:rsid w:val="007305ED"/>
    <w:rsid w:val="00730CBA"/>
    <w:rsid w:val="007311B9"/>
    <w:rsid w:val="0073146C"/>
    <w:rsid w:val="00732361"/>
    <w:rsid w:val="007324CF"/>
    <w:rsid w:val="00735675"/>
    <w:rsid w:val="007357B9"/>
    <w:rsid w:val="00740675"/>
    <w:rsid w:val="00740AB9"/>
    <w:rsid w:val="00740FC5"/>
    <w:rsid w:val="00741AB9"/>
    <w:rsid w:val="00741D3C"/>
    <w:rsid w:val="007421D3"/>
    <w:rsid w:val="00742D03"/>
    <w:rsid w:val="00744216"/>
    <w:rsid w:val="00744221"/>
    <w:rsid w:val="007452E8"/>
    <w:rsid w:val="007461C5"/>
    <w:rsid w:val="00746990"/>
    <w:rsid w:val="00747093"/>
    <w:rsid w:val="00750D70"/>
    <w:rsid w:val="007523F0"/>
    <w:rsid w:val="007575D0"/>
    <w:rsid w:val="00760592"/>
    <w:rsid w:val="00762241"/>
    <w:rsid w:val="00762A34"/>
    <w:rsid w:val="00764993"/>
    <w:rsid w:val="00764ACE"/>
    <w:rsid w:val="007662E0"/>
    <w:rsid w:val="007672CD"/>
    <w:rsid w:val="00770010"/>
    <w:rsid w:val="00770C68"/>
    <w:rsid w:val="00774BA0"/>
    <w:rsid w:val="00774CE9"/>
    <w:rsid w:val="00775760"/>
    <w:rsid w:val="0077576D"/>
    <w:rsid w:val="007762CD"/>
    <w:rsid w:val="007763FC"/>
    <w:rsid w:val="00776573"/>
    <w:rsid w:val="00776E9C"/>
    <w:rsid w:val="00777159"/>
    <w:rsid w:val="007816D8"/>
    <w:rsid w:val="00784100"/>
    <w:rsid w:val="00784150"/>
    <w:rsid w:val="00784454"/>
    <w:rsid w:val="00785E36"/>
    <w:rsid w:val="007912CA"/>
    <w:rsid w:val="007930DA"/>
    <w:rsid w:val="00793272"/>
    <w:rsid w:val="0079499A"/>
    <w:rsid w:val="00794B64"/>
    <w:rsid w:val="007958C5"/>
    <w:rsid w:val="007967C3"/>
    <w:rsid w:val="00796FF9"/>
    <w:rsid w:val="007A0A33"/>
    <w:rsid w:val="007A150A"/>
    <w:rsid w:val="007A1667"/>
    <w:rsid w:val="007A354B"/>
    <w:rsid w:val="007A374C"/>
    <w:rsid w:val="007A5E1A"/>
    <w:rsid w:val="007A6C81"/>
    <w:rsid w:val="007A6EC9"/>
    <w:rsid w:val="007A74E6"/>
    <w:rsid w:val="007A798F"/>
    <w:rsid w:val="007B001F"/>
    <w:rsid w:val="007B04DE"/>
    <w:rsid w:val="007B0AE6"/>
    <w:rsid w:val="007B2861"/>
    <w:rsid w:val="007B3B54"/>
    <w:rsid w:val="007B5C5B"/>
    <w:rsid w:val="007B6B69"/>
    <w:rsid w:val="007B7129"/>
    <w:rsid w:val="007C0F0B"/>
    <w:rsid w:val="007C57BC"/>
    <w:rsid w:val="007C58EE"/>
    <w:rsid w:val="007C7DEF"/>
    <w:rsid w:val="007D04CA"/>
    <w:rsid w:val="007D0A2B"/>
    <w:rsid w:val="007D12A1"/>
    <w:rsid w:val="007D40E5"/>
    <w:rsid w:val="007D4138"/>
    <w:rsid w:val="007D46AE"/>
    <w:rsid w:val="007D48AA"/>
    <w:rsid w:val="007D6B53"/>
    <w:rsid w:val="007E018D"/>
    <w:rsid w:val="007E0895"/>
    <w:rsid w:val="007E0C8E"/>
    <w:rsid w:val="007E1737"/>
    <w:rsid w:val="007E2B5A"/>
    <w:rsid w:val="007E4178"/>
    <w:rsid w:val="007E48F8"/>
    <w:rsid w:val="007E4FF8"/>
    <w:rsid w:val="007E6443"/>
    <w:rsid w:val="007F0998"/>
    <w:rsid w:val="007F0A77"/>
    <w:rsid w:val="007F1E37"/>
    <w:rsid w:val="007F1E4E"/>
    <w:rsid w:val="007F3AB3"/>
    <w:rsid w:val="007F50D3"/>
    <w:rsid w:val="007F6843"/>
    <w:rsid w:val="007F6B1F"/>
    <w:rsid w:val="007F72A6"/>
    <w:rsid w:val="008013F0"/>
    <w:rsid w:val="00801E61"/>
    <w:rsid w:val="00803926"/>
    <w:rsid w:val="00804897"/>
    <w:rsid w:val="00807875"/>
    <w:rsid w:val="00807A38"/>
    <w:rsid w:val="00807FD4"/>
    <w:rsid w:val="008152C1"/>
    <w:rsid w:val="00816EB2"/>
    <w:rsid w:val="00821BD4"/>
    <w:rsid w:val="00821D2F"/>
    <w:rsid w:val="0082241E"/>
    <w:rsid w:val="00822E61"/>
    <w:rsid w:val="008235DB"/>
    <w:rsid w:val="00823D5D"/>
    <w:rsid w:val="00825B35"/>
    <w:rsid w:val="008300DC"/>
    <w:rsid w:val="00830AFB"/>
    <w:rsid w:val="008318AE"/>
    <w:rsid w:val="008329DB"/>
    <w:rsid w:val="00834F89"/>
    <w:rsid w:val="008361C5"/>
    <w:rsid w:val="0083628F"/>
    <w:rsid w:val="00836C52"/>
    <w:rsid w:val="00837AB9"/>
    <w:rsid w:val="00840ED3"/>
    <w:rsid w:val="00841A5A"/>
    <w:rsid w:val="00843B4F"/>
    <w:rsid w:val="00850015"/>
    <w:rsid w:val="00850637"/>
    <w:rsid w:val="00852478"/>
    <w:rsid w:val="00854D98"/>
    <w:rsid w:val="0085552B"/>
    <w:rsid w:val="0085751E"/>
    <w:rsid w:val="00857B7F"/>
    <w:rsid w:val="00860B29"/>
    <w:rsid w:val="00860DE2"/>
    <w:rsid w:val="00861294"/>
    <w:rsid w:val="00861694"/>
    <w:rsid w:val="00861ACB"/>
    <w:rsid w:val="008622E8"/>
    <w:rsid w:val="00863595"/>
    <w:rsid w:val="0086448E"/>
    <w:rsid w:val="008645EE"/>
    <w:rsid w:val="00864B56"/>
    <w:rsid w:val="008667B7"/>
    <w:rsid w:val="00866D51"/>
    <w:rsid w:val="00870144"/>
    <w:rsid w:val="0087072C"/>
    <w:rsid w:val="00871312"/>
    <w:rsid w:val="008739C5"/>
    <w:rsid w:val="00873D7A"/>
    <w:rsid w:val="00873F0E"/>
    <w:rsid w:val="00877CB3"/>
    <w:rsid w:val="008804CF"/>
    <w:rsid w:val="00880A2A"/>
    <w:rsid w:val="00882D58"/>
    <w:rsid w:val="00882F19"/>
    <w:rsid w:val="0088301C"/>
    <w:rsid w:val="00883607"/>
    <w:rsid w:val="008839BA"/>
    <w:rsid w:val="00883D35"/>
    <w:rsid w:val="00884569"/>
    <w:rsid w:val="00885743"/>
    <w:rsid w:val="00886083"/>
    <w:rsid w:val="008864D7"/>
    <w:rsid w:val="00887A51"/>
    <w:rsid w:val="0089038A"/>
    <w:rsid w:val="00890769"/>
    <w:rsid w:val="00890D9B"/>
    <w:rsid w:val="008915FA"/>
    <w:rsid w:val="00891C6C"/>
    <w:rsid w:val="00893980"/>
    <w:rsid w:val="00893CCD"/>
    <w:rsid w:val="00893D8D"/>
    <w:rsid w:val="008956D6"/>
    <w:rsid w:val="008964B3"/>
    <w:rsid w:val="00896D30"/>
    <w:rsid w:val="00897C4F"/>
    <w:rsid w:val="008A363E"/>
    <w:rsid w:val="008A436F"/>
    <w:rsid w:val="008A7B7B"/>
    <w:rsid w:val="008B1CB5"/>
    <w:rsid w:val="008B3B34"/>
    <w:rsid w:val="008B5056"/>
    <w:rsid w:val="008B5E4F"/>
    <w:rsid w:val="008B635C"/>
    <w:rsid w:val="008B7607"/>
    <w:rsid w:val="008C2542"/>
    <w:rsid w:val="008C2D69"/>
    <w:rsid w:val="008C4579"/>
    <w:rsid w:val="008C49AB"/>
    <w:rsid w:val="008C49C6"/>
    <w:rsid w:val="008C6941"/>
    <w:rsid w:val="008C6DA0"/>
    <w:rsid w:val="008C754C"/>
    <w:rsid w:val="008D05CD"/>
    <w:rsid w:val="008D077A"/>
    <w:rsid w:val="008D0CAC"/>
    <w:rsid w:val="008D2916"/>
    <w:rsid w:val="008D319F"/>
    <w:rsid w:val="008D434F"/>
    <w:rsid w:val="008D56C9"/>
    <w:rsid w:val="008D56CA"/>
    <w:rsid w:val="008D5BFF"/>
    <w:rsid w:val="008D6A54"/>
    <w:rsid w:val="008E0A90"/>
    <w:rsid w:val="008E2585"/>
    <w:rsid w:val="008E2D7A"/>
    <w:rsid w:val="008E33FC"/>
    <w:rsid w:val="008E3618"/>
    <w:rsid w:val="008E5D69"/>
    <w:rsid w:val="008E74EE"/>
    <w:rsid w:val="008E7DA0"/>
    <w:rsid w:val="008F134A"/>
    <w:rsid w:val="008F3215"/>
    <w:rsid w:val="008F3B04"/>
    <w:rsid w:val="008F4A62"/>
    <w:rsid w:val="008F4B16"/>
    <w:rsid w:val="008F4EB0"/>
    <w:rsid w:val="008F5186"/>
    <w:rsid w:val="008F62E2"/>
    <w:rsid w:val="008F6924"/>
    <w:rsid w:val="008F69EA"/>
    <w:rsid w:val="008F6A20"/>
    <w:rsid w:val="008F6A2E"/>
    <w:rsid w:val="008F6D6A"/>
    <w:rsid w:val="008F70A7"/>
    <w:rsid w:val="008F7256"/>
    <w:rsid w:val="008F7B39"/>
    <w:rsid w:val="00901845"/>
    <w:rsid w:val="00902607"/>
    <w:rsid w:val="00902890"/>
    <w:rsid w:val="00904154"/>
    <w:rsid w:val="0090424C"/>
    <w:rsid w:val="0090518F"/>
    <w:rsid w:val="0090605E"/>
    <w:rsid w:val="00906C74"/>
    <w:rsid w:val="00907370"/>
    <w:rsid w:val="009074F8"/>
    <w:rsid w:val="009108CE"/>
    <w:rsid w:val="00911A60"/>
    <w:rsid w:val="0091222D"/>
    <w:rsid w:val="00912250"/>
    <w:rsid w:val="00914E52"/>
    <w:rsid w:val="009153D4"/>
    <w:rsid w:val="009157D4"/>
    <w:rsid w:val="00915A9F"/>
    <w:rsid w:val="009211CC"/>
    <w:rsid w:val="00921DD2"/>
    <w:rsid w:val="009220DE"/>
    <w:rsid w:val="00930793"/>
    <w:rsid w:val="00930D58"/>
    <w:rsid w:val="009339AA"/>
    <w:rsid w:val="00933A81"/>
    <w:rsid w:val="00935AAA"/>
    <w:rsid w:val="00936C4E"/>
    <w:rsid w:val="00940233"/>
    <w:rsid w:val="00940BCB"/>
    <w:rsid w:val="00941EBD"/>
    <w:rsid w:val="00942A37"/>
    <w:rsid w:val="00942D83"/>
    <w:rsid w:val="0095031E"/>
    <w:rsid w:val="00952033"/>
    <w:rsid w:val="00954297"/>
    <w:rsid w:val="00954D7C"/>
    <w:rsid w:val="00955BD7"/>
    <w:rsid w:val="00956D8F"/>
    <w:rsid w:val="0095784C"/>
    <w:rsid w:val="009579C9"/>
    <w:rsid w:val="00960A56"/>
    <w:rsid w:val="00960CBE"/>
    <w:rsid w:val="00961538"/>
    <w:rsid w:val="00961BC9"/>
    <w:rsid w:val="0096345A"/>
    <w:rsid w:val="00963CC3"/>
    <w:rsid w:val="00966EF1"/>
    <w:rsid w:val="00967134"/>
    <w:rsid w:val="00967223"/>
    <w:rsid w:val="0096778A"/>
    <w:rsid w:val="00970195"/>
    <w:rsid w:val="009732B0"/>
    <w:rsid w:val="0097516D"/>
    <w:rsid w:val="009751F7"/>
    <w:rsid w:val="00975418"/>
    <w:rsid w:val="009769F4"/>
    <w:rsid w:val="00977105"/>
    <w:rsid w:val="00977DFD"/>
    <w:rsid w:val="0098168B"/>
    <w:rsid w:val="00982152"/>
    <w:rsid w:val="009826B1"/>
    <w:rsid w:val="00982A9A"/>
    <w:rsid w:val="00982C67"/>
    <w:rsid w:val="0098350E"/>
    <w:rsid w:val="009855BC"/>
    <w:rsid w:val="00986D3C"/>
    <w:rsid w:val="00990852"/>
    <w:rsid w:val="00990C12"/>
    <w:rsid w:val="009929C6"/>
    <w:rsid w:val="0099404F"/>
    <w:rsid w:val="00996BED"/>
    <w:rsid w:val="00996FA5"/>
    <w:rsid w:val="009A09E4"/>
    <w:rsid w:val="009A09ED"/>
    <w:rsid w:val="009A170D"/>
    <w:rsid w:val="009A2D4B"/>
    <w:rsid w:val="009A32A0"/>
    <w:rsid w:val="009A3884"/>
    <w:rsid w:val="009A6FED"/>
    <w:rsid w:val="009B002F"/>
    <w:rsid w:val="009B05D8"/>
    <w:rsid w:val="009B1730"/>
    <w:rsid w:val="009B2004"/>
    <w:rsid w:val="009B2081"/>
    <w:rsid w:val="009B436B"/>
    <w:rsid w:val="009B5662"/>
    <w:rsid w:val="009C10CB"/>
    <w:rsid w:val="009C133A"/>
    <w:rsid w:val="009C2211"/>
    <w:rsid w:val="009C40E8"/>
    <w:rsid w:val="009C45C5"/>
    <w:rsid w:val="009D1FEC"/>
    <w:rsid w:val="009D46A6"/>
    <w:rsid w:val="009D5AC3"/>
    <w:rsid w:val="009D7A6A"/>
    <w:rsid w:val="009E0580"/>
    <w:rsid w:val="009E198C"/>
    <w:rsid w:val="009E33D9"/>
    <w:rsid w:val="009E3D93"/>
    <w:rsid w:val="009E44C7"/>
    <w:rsid w:val="009E4FDF"/>
    <w:rsid w:val="009E6746"/>
    <w:rsid w:val="009E6858"/>
    <w:rsid w:val="009E6962"/>
    <w:rsid w:val="009E6F8C"/>
    <w:rsid w:val="009F2D45"/>
    <w:rsid w:val="009F405F"/>
    <w:rsid w:val="009F46E6"/>
    <w:rsid w:val="009F5BF4"/>
    <w:rsid w:val="00A01C56"/>
    <w:rsid w:val="00A02E74"/>
    <w:rsid w:val="00A04967"/>
    <w:rsid w:val="00A049F1"/>
    <w:rsid w:val="00A04D00"/>
    <w:rsid w:val="00A066F1"/>
    <w:rsid w:val="00A11648"/>
    <w:rsid w:val="00A11C4C"/>
    <w:rsid w:val="00A12663"/>
    <w:rsid w:val="00A13C62"/>
    <w:rsid w:val="00A14577"/>
    <w:rsid w:val="00A162F2"/>
    <w:rsid w:val="00A16F91"/>
    <w:rsid w:val="00A16FF6"/>
    <w:rsid w:val="00A2212F"/>
    <w:rsid w:val="00A23AB4"/>
    <w:rsid w:val="00A23BE4"/>
    <w:rsid w:val="00A2440F"/>
    <w:rsid w:val="00A24ECA"/>
    <w:rsid w:val="00A25547"/>
    <w:rsid w:val="00A26BB5"/>
    <w:rsid w:val="00A31F34"/>
    <w:rsid w:val="00A32C50"/>
    <w:rsid w:val="00A35156"/>
    <w:rsid w:val="00A358E7"/>
    <w:rsid w:val="00A35E49"/>
    <w:rsid w:val="00A42AC9"/>
    <w:rsid w:val="00A4373E"/>
    <w:rsid w:val="00A4380B"/>
    <w:rsid w:val="00A46E35"/>
    <w:rsid w:val="00A4756C"/>
    <w:rsid w:val="00A51A2D"/>
    <w:rsid w:val="00A535D7"/>
    <w:rsid w:val="00A53CED"/>
    <w:rsid w:val="00A55075"/>
    <w:rsid w:val="00A5596B"/>
    <w:rsid w:val="00A60332"/>
    <w:rsid w:val="00A614CE"/>
    <w:rsid w:val="00A629FF"/>
    <w:rsid w:val="00A63C07"/>
    <w:rsid w:val="00A63D9B"/>
    <w:rsid w:val="00A6652D"/>
    <w:rsid w:val="00A67A40"/>
    <w:rsid w:val="00A704DC"/>
    <w:rsid w:val="00A70836"/>
    <w:rsid w:val="00A70E98"/>
    <w:rsid w:val="00A70F68"/>
    <w:rsid w:val="00A71E54"/>
    <w:rsid w:val="00A7318B"/>
    <w:rsid w:val="00A738B7"/>
    <w:rsid w:val="00A76E4E"/>
    <w:rsid w:val="00A77353"/>
    <w:rsid w:val="00A77E08"/>
    <w:rsid w:val="00A80591"/>
    <w:rsid w:val="00A87172"/>
    <w:rsid w:val="00A93025"/>
    <w:rsid w:val="00A93DC6"/>
    <w:rsid w:val="00A9411A"/>
    <w:rsid w:val="00A96A68"/>
    <w:rsid w:val="00AA1E43"/>
    <w:rsid w:val="00AA4A4B"/>
    <w:rsid w:val="00AA6682"/>
    <w:rsid w:val="00AA763D"/>
    <w:rsid w:val="00AB0408"/>
    <w:rsid w:val="00AB0613"/>
    <w:rsid w:val="00AB3F3C"/>
    <w:rsid w:val="00AB6BC3"/>
    <w:rsid w:val="00AB7C5C"/>
    <w:rsid w:val="00AB7CBF"/>
    <w:rsid w:val="00AB7DB1"/>
    <w:rsid w:val="00AC116F"/>
    <w:rsid w:val="00AC1AA0"/>
    <w:rsid w:val="00AC204D"/>
    <w:rsid w:val="00AC3CFA"/>
    <w:rsid w:val="00AC4568"/>
    <w:rsid w:val="00AC465E"/>
    <w:rsid w:val="00AC61DF"/>
    <w:rsid w:val="00AC6E8A"/>
    <w:rsid w:val="00AC7D99"/>
    <w:rsid w:val="00AD0111"/>
    <w:rsid w:val="00AD089E"/>
    <w:rsid w:val="00AD0B68"/>
    <w:rsid w:val="00AD1FC9"/>
    <w:rsid w:val="00AD2ED0"/>
    <w:rsid w:val="00AD40C3"/>
    <w:rsid w:val="00AD4C72"/>
    <w:rsid w:val="00AD5451"/>
    <w:rsid w:val="00AE03F3"/>
    <w:rsid w:val="00AE1947"/>
    <w:rsid w:val="00AE31AB"/>
    <w:rsid w:val="00AE4B41"/>
    <w:rsid w:val="00AE4F51"/>
    <w:rsid w:val="00AE6509"/>
    <w:rsid w:val="00AF177A"/>
    <w:rsid w:val="00AF1C8B"/>
    <w:rsid w:val="00AF2785"/>
    <w:rsid w:val="00AF299B"/>
    <w:rsid w:val="00AF3DD4"/>
    <w:rsid w:val="00AF685B"/>
    <w:rsid w:val="00AF7E43"/>
    <w:rsid w:val="00B01AED"/>
    <w:rsid w:val="00B02AE0"/>
    <w:rsid w:val="00B03B0E"/>
    <w:rsid w:val="00B03E54"/>
    <w:rsid w:val="00B03F25"/>
    <w:rsid w:val="00B05326"/>
    <w:rsid w:val="00B07095"/>
    <w:rsid w:val="00B10541"/>
    <w:rsid w:val="00B124FF"/>
    <w:rsid w:val="00B14545"/>
    <w:rsid w:val="00B14E21"/>
    <w:rsid w:val="00B14E60"/>
    <w:rsid w:val="00B15DD9"/>
    <w:rsid w:val="00B1741E"/>
    <w:rsid w:val="00B17BA2"/>
    <w:rsid w:val="00B17DDA"/>
    <w:rsid w:val="00B20412"/>
    <w:rsid w:val="00B21614"/>
    <w:rsid w:val="00B239F2"/>
    <w:rsid w:val="00B256A4"/>
    <w:rsid w:val="00B25D39"/>
    <w:rsid w:val="00B26584"/>
    <w:rsid w:val="00B26DC3"/>
    <w:rsid w:val="00B30628"/>
    <w:rsid w:val="00B30B9D"/>
    <w:rsid w:val="00B31875"/>
    <w:rsid w:val="00B31F89"/>
    <w:rsid w:val="00B327C4"/>
    <w:rsid w:val="00B32CC0"/>
    <w:rsid w:val="00B33AE4"/>
    <w:rsid w:val="00B35843"/>
    <w:rsid w:val="00B35FF7"/>
    <w:rsid w:val="00B366AC"/>
    <w:rsid w:val="00B36D7D"/>
    <w:rsid w:val="00B418FB"/>
    <w:rsid w:val="00B43661"/>
    <w:rsid w:val="00B44357"/>
    <w:rsid w:val="00B44562"/>
    <w:rsid w:val="00B445E0"/>
    <w:rsid w:val="00B44E86"/>
    <w:rsid w:val="00B4574D"/>
    <w:rsid w:val="00B468E1"/>
    <w:rsid w:val="00B46BC0"/>
    <w:rsid w:val="00B46DFB"/>
    <w:rsid w:val="00B474F4"/>
    <w:rsid w:val="00B510AC"/>
    <w:rsid w:val="00B5141B"/>
    <w:rsid w:val="00B51953"/>
    <w:rsid w:val="00B539D2"/>
    <w:rsid w:val="00B53A72"/>
    <w:rsid w:val="00B546C0"/>
    <w:rsid w:val="00B54BA4"/>
    <w:rsid w:val="00B55681"/>
    <w:rsid w:val="00B557C8"/>
    <w:rsid w:val="00B55E70"/>
    <w:rsid w:val="00B55F6F"/>
    <w:rsid w:val="00B57393"/>
    <w:rsid w:val="00B57791"/>
    <w:rsid w:val="00B57AAD"/>
    <w:rsid w:val="00B57BA2"/>
    <w:rsid w:val="00B60CE4"/>
    <w:rsid w:val="00B610AF"/>
    <w:rsid w:val="00B6374E"/>
    <w:rsid w:val="00B66F35"/>
    <w:rsid w:val="00B7218A"/>
    <w:rsid w:val="00B72B16"/>
    <w:rsid w:val="00B73309"/>
    <w:rsid w:val="00B75ED5"/>
    <w:rsid w:val="00B7763D"/>
    <w:rsid w:val="00B77F04"/>
    <w:rsid w:val="00B80408"/>
    <w:rsid w:val="00B81397"/>
    <w:rsid w:val="00B830BA"/>
    <w:rsid w:val="00B8611E"/>
    <w:rsid w:val="00B868BF"/>
    <w:rsid w:val="00B90E10"/>
    <w:rsid w:val="00B912F1"/>
    <w:rsid w:val="00B925DB"/>
    <w:rsid w:val="00B93164"/>
    <w:rsid w:val="00B9609D"/>
    <w:rsid w:val="00B967FF"/>
    <w:rsid w:val="00B974B9"/>
    <w:rsid w:val="00BA3C49"/>
    <w:rsid w:val="00BA3F6D"/>
    <w:rsid w:val="00BA4A78"/>
    <w:rsid w:val="00BA4BE6"/>
    <w:rsid w:val="00BA4FC0"/>
    <w:rsid w:val="00BA5000"/>
    <w:rsid w:val="00BA5360"/>
    <w:rsid w:val="00BA61E0"/>
    <w:rsid w:val="00BA6537"/>
    <w:rsid w:val="00BA657C"/>
    <w:rsid w:val="00BA7362"/>
    <w:rsid w:val="00BA7788"/>
    <w:rsid w:val="00BA7F7D"/>
    <w:rsid w:val="00BB17F8"/>
    <w:rsid w:val="00BB1C14"/>
    <w:rsid w:val="00BB27D8"/>
    <w:rsid w:val="00BB2C62"/>
    <w:rsid w:val="00BB329B"/>
    <w:rsid w:val="00BB37C8"/>
    <w:rsid w:val="00BB4632"/>
    <w:rsid w:val="00BB48B3"/>
    <w:rsid w:val="00BB6847"/>
    <w:rsid w:val="00BB7F8F"/>
    <w:rsid w:val="00BC013F"/>
    <w:rsid w:val="00BC716A"/>
    <w:rsid w:val="00BC7EA9"/>
    <w:rsid w:val="00BD0309"/>
    <w:rsid w:val="00BD0348"/>
    <w:rsid w:val="00BD07DF"/>
    <w:rsid w:val="00BD15C7"/>
    <w:rsid w:val="00BD235B"/>
    <w:rsid w:val="00BD26F4"/>
    <w:rsid w:val="00BD327E"/>
    <w:rsid w:val="00BD4125"/>
    <w:rsid w:val="00BD5DBD"/>
    <w:rsid w:val="00BD5DF6"/>
    <w:rsid w:val="00BD630C"/>
    <w:rsid w:val="00BE0041"/>
    <w:rsid w:val="00BE0CA7"/>
    <w:rsid w:val="00BE13B2"/>
    <w:rsid w:val="00BE28F6"/>
    <w:rsid w:val="00BE2E26"/>
    <w:rsid w:val="00BE52DF"/>
    <w:rsid w:val="00BE54A7"/>
    <w:rsid w:val="00BE6055"/>
    <w:rsid w:val="00BE633A"/>
    <w:rsid w:val="00BE640F"/>
    <w:rsid w:val="00BE6747"/>
    <w:rsid w:val="00BE6D2A"/>
    <w:rsid w:val="00BE7AD4"/>
    <w:rsid w:val="00BF0608"/>
    <w:rsid w:val="00BF1EC1"/>
    <w:rsid w:val="00BF36FE"/>
    <w:rsid w:val="00BF4638"/>
    <w:rsid w:val="00BF4F3F"/>
    <w:rsid w:val="00BF502D"/>
    <w:rsid w:val="00BF5130"/>
    <w:rsid w:val="00BF6C73"/>
    <w:rsid w:val="00BF76D9"/>
    <w:rsid w:val="00BF7F5E"/>
    <w:rsid w:val="00C00844"/>
    <w:rsid w:val="00C00C8C"/>
    <w:rsid w:val="00C02482"/>
    <w:rsid w:val="00C059D0"/>
    <w:rsid w:val="00C07551"/>
    <w:rsid w:val="00C10880"/>
    <w:rsid w:val="00C1109F"/>
    <w:rsid w:val="00C12584"/>
    <w:rsid w:val="00C12D65"/>
    <w:rsid w:val="00C133AB"/>
    <w:rsid w:val="00C15A35"/>
    <w:rsid w:val="00C15AAE"/>
    <w:rsid w:val="00C16A9F"/>
    <w:rsid w:val="00C16E2C"/>
    <w:rsid w:val="00C170F9"/>
    <w:rsid w:val="00C172E6"/>
    <w:rsid w:val="00C2085B"/>
    <w:rsid w:val="00C20B56"/>
    <w:rsid w:val="00C21937"/>
    <w:rsid w:val="00C220E3"/>
    <w:rsid w:val="00C22214"/>
    <w:rsid w:val="00C23622"/>
    <w:rsid w:val="00C26F72"/>
    <w:rsid w:val="00C3094A"/>
    <w:rsid w:val="00C309A7"/>
    <w:rsid w:val="00C335AB"/>
    <w:rsid w:val="00C3366B"/>
    <w:rsid w:val="00C35DD0"/>
    <w:rsid w:val="00C3702A"/>
    <w:rsid w:val="00C407AB"/>
    <w:rsid w:val="00C411B5"/>
    <w:rsid w:val="00C43628"/>
    <w:rsid w:val="00C4375F"/>
    <w:rsid w:val="00C4470E"/>
    <w:rsid w:val="00C4476A"/>
    <w:rsid w:val="00C44DC2"/>
    <w:rsid w:val="00C45536"/>
    <w:rsid w:val="00C46E6A"/>
    <w:rsid w:val="00C47AE9"/>
    <w:rsid w:val="00C51769"/>
    <w:rsid w:val="00C517E2"/>
    <w:rsid w:val="00C52B7B"/>
    <w:rsid w:val="00C53089"/>
    <w:rsid w:val="00C54002"/>
    <w:rsid w:val="00C547CD"/>
    <w:rsid w:val="00C570FF"/>
    <w:rsid w:val="00C57CEA"/>
    <w:rsid w:val="00C60FEC"/>
    <w:rsid w:val="00C6282A"/>
    <w:rsid w:val="00C62B1C"/>
    <w:rsid w:val="00C63491"/>
    <w:rsid w:val="00C6491C"/>
    <w:rsid w:val="00C6574E"/>
    <w:rsid w:val="00C663D1"/>
    <w:rsid w:val="00C66C91"/>
    <w:rsid w:val="00C7005E"/>
    <w:rsid w:val="00C707FD"/>
    <w:rsid w:val="00C710BF"/>
    <w:rsid w:val="00C718F3"/>
    <w:rsid w:val="00C71A73"/>
    <w:rsid w:val="00C72DED"/>
    <w:rsid w:val="00C7390A"/>
    <w:rsid w:val="00C76B94"/>
    <w:rsid w:val="00C76DEB"/>
    <w:rsid w:val="00C811D8"/>
    <w:rsid w:val="00C816C6"/>
    <w:rsid w:val="00C81B8D"/>
    <w:rsid w:val="00C86023"/>
    <w:rsid w:val="00C863A7"/>
    <w:rsid w:val="00C870AF"/>
    <w:rsid w:val="00C912F4"/>
    <w:rsid w:val="00C9156F"/>
    <w:rsid w:val="00C92272"/>
    <w:rsid w:val="00C94E61"/>
    <w:rsid w:val="00C9581A"/>
    <w:rsid w:val="00C96D3F"/>
    <w:rsid w:val="00C97D29"/>
    <w:rsid w:val="00CA1D5E"/>
    <w:rsid w:val="00CA1E43"/>
    <w:rsid w:val="00CA4299"/>
    <w:rsid w:val="00CB0264"/>
    <w:rsid w:val="00CB0550"/>
    <w:rsid w:val="00CB1824"/>
    <w:rsid w:val="00CB3946"/>
    <w:rsid w:val="00CB5286"/>
    <w:rsid w:val="00CB6813"/>
    <w:rsid w:val="00CB6FA7"/>
    <w:rsid w:val="00CC1348"/>
    <w:rsid w:val="00CC2715"/>
    <w:rsid w:val="00CC3BD0"/>
    <w:rsid w:val="00CC62F4"/>
    <w:rsid w:val="00CD0B89"/>
    <w:rsid w:val="00CD0D5D"/>
    <w:rsid w:val="00CD15A4"/>
    <w:rsid w:val="00CD48BC"/>
    <w:rsid w:val="00CD6C7E"/>
    <w:rsid w:val="00CD6D24"/>
    <w:rsid w:val="00CD6F16"/>
    <w:rsid w:val="00CE0430"/>
    <w:rsid w:val="00CE0503"/>
    <w:rsid w:val="00CE17BF"/>
    <w:rsid w:val="00CE4B59"/>
    <w:rsid w:val="00CE79A9"/>
    <w:rsid w:val="00CF0B94"/>
    <w:rsid w:val="00CF1CCB"/>
    <w:rsid w:val="00CF3C13"/>
    <w:rsid w:val="00CF3FCA"/>
    <w:rsid w:val="00CF6A55"/>
    <w:rsid w:val="00CF6DC6"/>
    <w:rsid w:val="00CF6DCF"/>
    <w:rsid w:val="00D01DA2"/>
    <w:rsid w:val="00D01DDB"/>
    <w:rsid w:val="00D01EE4"/>
    <w:rsid w:val="00D0371E"/>
    <w:rsid w:val="00D05EF7"/>
    <w:rsid w:val="00D078BE"/>
    <w:rsid w:val="00D10673"/>
    <w:rsid w:val="00D123B0"/>
    <w:rsid w:val="00D12B04"/>
    <w:rsid w:val="00D1301E"/>
    <w:rsid w:val="00D13F8A"/>
    <w:rsid w:val="00D14B98"/>
    <w:rsid w:val="00D16B61"/>
    <w:rsid w:val="00D16F60"/>
    <w:rsid w:val="00D170CD"/>
    <w:rsid w:val="00D203E2"/>
    <w:rsid w:val="00D22981"/>
    <w:rsid w:val="00D23361"/>
    <w:rsid w:val="00D26137"/>
    <w:rsid w:val="00D30832"/>
    <w:rsid w:val="00D31356"/>
    <w:rsid w:val="00D32286"/>
    <w:rsid w:val="00D32BB6"/>
    <w:rsid w:val="00D32D97"/>
    <w:rsid w:val="00D333A8"/>
    <w:rsid w:val="00D3349B"/>
    <w:rsid w:val="00D33693"/>
    <w:rsid w:val="00D358D0"/>
    <w:rsid w:val="00D40F2E"/>
    <w:rsid w:val="00D424A8"/>
    <w:rsid w:val="00D42876"/>
    <w:rsid w:val="00D42895"/>
    <w:rsid w:val="00D43448"/>
    <w:rsid w:val="00D43DD8"/>
    <w:rsid w:val="00D46B25"/>
    <w:rsid w:val="00D471E0"/>
    <w:rsid w:val="00D4771E"/>
    <w:rsid w:val="00D47B93"/>
    <w:rsid w:val="00D505D6"/>
    <w:rsid w:val="00D506A1"/>
    <w:rsid w:val="00D53496"/>
    <w:rsid w:val="00D53927"/>
    <w:rsid w:val="00D53FDE"/>
    <w:rsid w:val="00D54789"/>
    <w:rsid w:val="00D56B6E"/>
    <w:rsid w:val="00D6036F"/>
    <w:rsid w:val="00D61A0B"/>
    <w:rsid w:val="00D62877"/>
    <w:rsid w:val="00D63760"/>
    <w:rsid w:val="00D64624"/>
    <w:rsid w:val="00D66255"/>
    <w:rsid w:val="00D6643A"/>
    <w:rsid w:val="00D6703F"/>
    <w:rsid w:val="00D6714C"/>
    <w:rsid w:val="00D705AB"/>
    <w:rsid w:val="00D734EB"/>
    <w:rsid w:val="00D758A6"/>
    <w:rsid w:val="00D763A1"/>
    <w:rsid w:val="00D76A14"/>
    <w:rsid w:val="00D801A9"/>
    <w:rsid w:val="00D810E9"/>
    <w:rsid w:val="00D813B6"/>
    <w:rsid w:val="00D81431"/>
    <w:rsid w:val="00D82713"/>
    <w:rsid w:val="00D83675"/>
    <w:rsid w:val="00D86D44"/>
    <w:rsid w:val="00D86F00"/>
    <w:rsid w:val="00D8787B"/>
    <w:rsid w:val="00D9021A"/>
    <w:rsid w:val="00D918D5"/>
    <w:rsid w:val="00D91C71"/>
    <w:rsid w:val="00D91D23"/>
    <w:rsid w:val="00D92CAD"/>
    <w:rsid w:val="00D949E5"/>
    <w:rsid w:val="00D94C8E"/>
    <w:rsid w:val="00D95532"/>
    <w:rsid w:val="00D958CE"/>
    <w:rsid w:val="00D979FF"/>
    <w:rsid w:val="00DA0B3A"/>
    <w:rsid w:val="00DA186F"/>
    <w:rsid w:val="00DA205D"/>
    <w:rsid w:val="00DA4890"/>
    <w:rsid w:val="00DA4C19"/>
    <w:rsid w:val="00DA7CBB"/>
    <w:rsid w:val="00DB036C"/>
    <w:rsid w:val="00DB114B"/>
    <w:rsid w:val="00DB1372"/>
    <w:rsid w:val="00DB156A"/>
    <w:rsid w:val="00DB192C"/>
    <w:rsid w:val="00DB1CF3"/>
    <w:rsid w:val="00DB2D00"/>
    <w:rsid w:val="00DB3271"/>
    <w:rsid w:val="00DB41F5"/>
    <w:rsid w:val="00DB5425"/>
    <w:rsid w:val="00DB5919"/>
    <w:rsid w:val="00DB62BD"/>
    <w:rsid w:val="00DB72A6"/>
    <w:rsid w:val="00DB75FD"/>
    <w:rsid w:val="00DC1F14"/>
    <w:rsid w:val="00DC33AF"/>
    <w:rsid w:val="00DC6611"/>
    <w:rsid w:val="00DC6956"/>
    <w:rsid w:val="00DC7645"/>
    <w:rsid w:val="00DC7FB8"/>
    <w:rsid w:val="00DD0CE9"/>
    <w:rsid w:val="00DD0D60"/>
    <w:rsid w:val="00DD14EC"/>
    <w:rsid w:val="00DD1B12"/>
    <w:rsid w:val="00DD1E3A"/>
    <w:rsid w:val="00DD2C08"/>
    <w:rsid w:val="00DD5AFB"/>
    <w:rsid w:val="00DD70B9"/>
    <w:rsid w:val="00DD7707"/>
    <w:rsid w:val="00DE1344"/>
    <w:rsid w:val="00DF0B61"/>
    <w:rsid w:val="00DF128D"/>
    <w:rsid w:val="00DF145D"/>
    <w:rsid w:val="00DF1CFD"/>
    <w:rsid w:val="00DF2CFF"/>
    <w:rsid w:val="00DF3669"/>
    <w:rsid w:val="00DF5BFE"/>
    <w:rsid w:val="00DF5FE6"/>
    <w:rsid w:val="00DF636F"/>
    <w:rsid w:val="00DF67CF"/>
    <w:rsid w:val="00DF6813"/>
    <w:rsid w:val="00DF6A1F"/>
    <w:rsid w:val="00E02097"/>
    <w:rsid w:val="00E03CF5"/>
    <w:rsid w:val="00E0523F"/>
    <w:rsid w:val="00E070DC"/>
    <w:rsid w:val="00E14349"/>
    <w:rsid w:val="00E14845"/>
    <w:rsid w:val="00E14B8F"/>
    <w:rsid w:val="00E23D83"/>
    <w:rsid w:val="00E23E50"/>
    <w:rsid w:val="00E258E3"/>
    <w:rsid w:val="00E26213"/>
    <w:rsid w:val="00E274DF"/>
    <w:rsid w:val="00E277FE"/>
    <w:rsid w:val="00E279D4"/>
    <w:rsid w:val="00E304B8"/>
    <w:rsid w:val="00E3074E"/>
    <w:rsid w:val="00E33C6E"/>
    <w:rsid w:val="00E34D66"/>
    <w:rsid w:val="00E35018"/>
    <w:rsid w:val="00E356AF"/>
    <w:rsid w:val="00E362C4"/>
    <w:rsid w:val="00E37409"/>
    <w:rsid w:val="00E442BD"/>
    <w:rsid w:val="00E442FE"/>
    <w:rsid w:val="00E46CC2"/>
    <w:rsid w:val="00E46D29"/>
    <w:rsid w:val="00E47B02"/>
    <w:rsid w:val="00E47DEF"/>
    <w:rsid w:val="00E47E0C"/>
    <w:rsid w:val="00E51813"/>
    <w:rsid w:val="00E5234D"/>
    <w:rsid w:val="00E52C0B"/>
    <w:rsid w:val="00E52F74"/>
    <w:rsid w:val="00E53B44"/>
    <w:rsid w:val="00E53D3F"/>
    <w:rsid w:val="00E53F3B"/>
    <w:rsid w:val="00E5579B"/>
    <w:rsid w:val="00E568B7"/>
    <w:rsid w:val="00E5694F"/>
    <w:rsid w:val="00E57FF4"/>
    <w:rsid w:val="00E63465"/>
    <w:rsid w:val="00E63DE3"/>
    <w:rsid w:val="00E64B22"/>
    <w:rsid w:val="00E6516B"/>
    <w:rsid w:val="00E65341"/>
    <w:rsid w:val="00E67489"/>
    <w:rsid w:val="00E67671"/>
    <w:rsid w:val="00E679D1"/>
    <w:rsid w:val="00E67C1C"/>
    <w:rsid w:val="00E71D0E"/>
    <w:rsid w:val="00E757BB"/>
    <w:rsid w:val="00E7589B"/>
    <w:rsid w:val="00E768B9"/>
    <w:rsid w:val="00E77511"/>
    <w:rsid w:val="00E7795D"/>
    <w:rsid w:val="00E77BDF"/>
    <w:rsid w:val="00E84A3D"/>
    <w:rsid w:val="00E84DF2"/>
    <w:rsid w:val="00E85209"/>
    <w:rsid w:val="00E853EE"/>
    <w:rsid w:val="00E858EE"/>
    <w:rsid w:val="00E86E59"/>
    <w:rsid w:val="00E91F11"/>
    <w:rsid w:val="00E921BA"/>
    <w:rsid w:val="00E969F0"/>
    <w:rsid w:val="00E9706D"/>
    <w:rsid w:val="00EA019D"/>
    <w:rsid w:val="00EA1718"/>
    <w:rsid w:val="00EA1F04"/>
    <w:rsid w:val="00EA3AF4"/>
    <w:rsid w:val="00EA3C8D"/>
    <w:rsid w:val="00EA4C46"/>
    <w:rsid w:val="00EA67B8"/>
    <w:rsid w:val="00EA6FDC"/>
    <w:rsid w:val="00EA72A7"/>
    <w:rsid w:val="00EA7BEA"/>
    <w:rsid w:val="00EB2F0B"/>
    <w:rsid w:val="00EB313D"/>
    <w:rsid w:val="00EB3CE6"/>
    <w:rsid w:val="00EB5D27"/>
    <w:rsid w:val="00EB68F4"/>
    <w:rsid w:val="00EB6E4F"/>
    <w:rsid w:val="00EC2C85"/>
    <w:rsid w:val="00EC2CD9"/>
    <w:rsid w:val="00EC3380"/>
    <w:rsid w:val="00EC4629"/>
    <w:rsid w:val="00EC4DD8"/>
    <w:rsid w:val="00EC5989"/>
    <w:rsid w:val="00EC6590"/>
    <w:rsid w:val="00EC6EFF"/>
    <w:rsid w:val="00ED0910"/>
    <w:rsid w:val="00ED09AE"/>
    <w:rsid w:val="00ED0B77"/>
    <w:rsid w:val="00ED3164"/>
    <w:rsid w:val="00ED3544"/>
    <w:rsid w:val="00ED543C"/>
    <w:rsid w:val="00ED59DC"/>
    <w:rsid w:val="00ED7A79"/>
    <w:rsid w:val="00EE0038"/>
    <w:rsid w:val="00EE1A7D"/>
    <w:rsid w:val="00EE28B7"/>
    <w:rsid w:val="00EE2DB1"/>
    <w:rsid w:val="00EE36DB"/>
    <w:rsid w:val="00EE490A"/>
    <w:rsid w:val="00EE4B01"/>
    <w:rsid w:val="00EE7AA6"/>
    <w:rsid w:val="00EF3C33"/>
    <w:rsid w:val="00EF3CD1"/>
    <w:rsid w:val="00EF3F0B"/>
    <w:rsid w:val="00EF4BE7"/>
    <w:rsid w:val="00EF5583"/>
    <w:rsid w:val="00F00EE6"/>
    <w:rsid w:val="00F0289D"/>
    <w:rsid w:val="00F02AEC"/>
    <w:rsid w:val="00F03A09"/>
    <w:rsid w:val="00F05E34"/>
    <w:rsid w:val="00F07572"/>
    <w:rsid w:val="00F07B72"/>
    <w:rsid w:val="00F120C2"/>
    <w:rsid w:val="00F148C0"/>
    <w:rsid w:val="00F157FC"/>
    <w:rsid w:val="00F15E57"/>
    <w:rsid w:val="00F24A99"/>
    <w:rsid w:val="00F24D03"/>
    <w:rsid w:val="00F25B71"/>
    <w:rsid w:val="00F3092D"/>
    <w:rsid w:val="00F309AD"/>
    <w:rsid w:val="00F30AF3"/>
    <w:rsid w:val="00F31BAA"/>
    <w:rsid w:val="00F349E8"/>
    <w:rsid w:val="00F355BC"/>
    <w:rsid w:val="00F35645"/>
    <w:rsid w:val="00F373A2"/>
    <w:rsid w:val="00F37BC9"/>
    <w:rsid w:val="00F37C09"/>
    <w:rsid w:val="00F41977"/>
    <w:rsid w:val="00F4320C"/>
    <w:rsid w:val="00F43CD1"/>
    <w:rsid w:val="00F45AE0"/>
    <w:rsid w:val="00F45C63"/>
    <w:rsid w:val="00F47BBE"/>
    <w:rsid w:val="00F50161"/>
    <w:rsid w:val="00F50540"/>
    <w:rsid w:val="00F51A9D"/>
    <w:rsid w:val="00F57421"/>
    <w:rsid w:val="00F576EE"/>
    <w:rsid w:val="00F60CD1"/>
    <w:rsid w:val="00F60CF2"/>
    <w:rsid w:val="00F617D0"/>
    <w:rsid w:val="00F63366"/>
    <w:rsid w:val="00F65451"/>
    <w:rsid w:val="00F657B4"/>
    <w:rsid w:val="00F71E4A"/>
    <w:rsid w:val="00F71F24"/>
    <w:rsid w:val="00F72725"/>
    <w:rsid w:val="00F747E7"/>
    <w:rsid w:val="00F74EB3"/>
    <w:rsid w:val="00F750E5"/>
    <w:rsid w:val="00F757DA"/>
    <w:rsid w:val="00F75C35"/>
    <w:rsid w:val="00F7649F"/>
    <w:rsid w:val="00F7696E"/>
    <w:rsid w:val="00F8083B"/>
    <w:rsid w:val="00F82219"/>
    <w:rsid w:val="00F82D1B"/>
    <w:rsid w:val="00F8300B"/>
    <w:rsid w:val="00F83249"/>
    <w:rsid w:val="00F83936"/>
    <w:rsid w:val="00F8448B"/>
    <w:rsid w:val="00F8568E"/>
    <w:rsid w:val="00F861DF"/>
    <w:rsid w:val="00F865A7"/>
    <w:rsid w:val="00F86F7F"/>
    <w:rsid w:val="00F90F69"/>
    <w:rsid w:val="00F91AF9"/>
    <w:rsid w:val="00F92E07"/>
    <w:rsid w:val="00F937F0"/>
    <w:rsid w:val="00F93F85"/>
    <w:rsid w:val="00F93FAB"/>
    <w:rsid w:val="00F94AD1"/>
    <w:rsid w:val="00F95399"/>
    <w:rsid w:val="00F96EF4"/>
    <w:rsid w:val="00FA0754"/>
    <w:rsid w:val="00FA1BC9"/>
    <w:rsid w:val="00FA357D"/>
    <w:rsid w:val="00FA49C3"/>
    <w:rsid w:val="00FA5AB6"/>
    <w:rsid w:val="00FA5C5B"/>
    <w:rsid w:val="00FB170C"/>
    <w:rsid w:val="00FB236E"/>
    <w:rsid w:val="00FB3F7B"/>
    <w:rsid w:val="00FB4C2A"/>
    <w:rsid w:val="00FB76C9"/>
    <w:rsid w:val="00FC2107"/>
    <w:rsid w:val="00FC265F"/>
    <w:rsid w:val="00FC2BA2"/>
    <w:rsid w:val="00FC48FE"/>
    <w:rsid w:val="00FC6817"/>
    <w:rsid w:val="00FC6F56"/>
    <w:rsid w:val="00FD0264"/>
    <w:rsid w:val="00FD0E10"/>
    <w:rsid w:val="00FD147B"/>
    <w:rsid w:val="00FD20E0"/>
    <w:rsid w:val="00FD2CCF"/>
    <w:rsid w:val="00FD6CC5"/>
    <w:rsid w:val="00FE040A"/>
    <w:rsid w:val="00FE087C"/>
    <w:rsid w:val="00FE0AB3"/>
    <w:rsid w:val="00FE374E"/>
    <w:rsid w:val="00FE3DE3"/>
    <w:rsid w:val="00FE50D4"/>
    <w:rsid w:val="00FE583D"/>
    <w:rsid w:val="00FE6242"/>
    <w:rsid w:val="00FE6DB7"/>
    <w:rsid w:val="00FE79A0"/>
    <w:rsid w:val="00FF0939"/>
    <w:rsid w:val="00FF3DC4"/>
    <w:rsid w:val="00FF4310"/>
    <w:rsid w:val="00FF6E62"/>
    <w:rsid w:val="00FF6F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3B7A0CE6-F5BB-4D40-8ED5-1531A62F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49C"/>
    <w:rPr>
      <w:rFonts w:ascii="Cambria" w:hAnsi="Cambria"/>
      <w:sz w:val="22"/>
    </w:rPr>
  </w:style>
  <w:style w:type="paragraph" w:styleId="Heading1">
    <w:name w:val="heading 1"/>
    <w:basedOn w:val="Heading2"/>
    <w:next w:val="Normal"/>
    <w:link w:val="Heading1Char"/>
    <w:qFormat/>
    <w:rsid w:val="00FE583D"/>
    <w:pPr>
      <w:spacing w:before="120" w:after="360"/>
      <w:outlineLvl w:val="0"/>
    </w:pPr>
    <w:rPr>
      <w:rFonts w:asciiTheme="majorHAnsi" w:hAnsiTheme="majorHAnsi" w:cstheme="majorHAnsi"/>
      <w:color w:val="auto"/>
      <w:sz w:val="64"/>
      <w:szCs w:val="64"/>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qFormat/>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qFormat/>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uiPriority w:val="9"/>
    <w:qFormat/>
    <w:rsid w:val="00FE583D"/>
    <w:pPr>
      <w:keepNext/>
      <w:spacing w:before="120" w:after="60" w:line="180" w:lineRule="atLeast"/>
      <w:outlineLvl w:val="6"/>
    </w:pPr>
    <w:rPr>
      <w:rFonts w:eastAsia="Times New Roman" w:cs="Times New Roman"/>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qFormat/>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qFormat/>
    <w:rsid w:val="0056766D"/>
  </w:style>
  <w:style w:type="paragraph" w:customStyle="1" w:styleId="LegalSubheading">
    <w:name w:val="Legal Subheading"/>
    <w:basedOn w:val="Footer"/>
    <w:qFormat/>
    <w:rsid w:val="0056766D"/>
    <w:pPr>
      <w:outlineLvl w:val="1"/>
    </w:pPr>
    <w:rPr>
      <w:b/>
    </w:rPr>
  </w:style>
  <w:style w:type="paragraph" w:styleId="ListBullet">
    <w:name w:val="List Bullet"/>
    <w:basedOn w:val="Normal"/>
    <w:uiPriority w:val="99"/>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99"/>
    <w:qFormat/>
    <w:rsid w:val="00FC6F56"/>
    <w:pPr>
      <w:numPr>
        <w:ilvl w:val="1"/>
        <w:numId w:val="1"/>
      </w:numPr>
      <w:spacing w:before="120" w:after="180" w:line="240" w:lineRule="atLeast"/>
    </w:pPr>
    <w:rPr>
      <w:rFonts w:eastAsia="Cambria" w:cs="Times New Roman"/>
      <w:color w:val="000000" w:themeColor="text1"/>
    </w:rPr>
  </w:style>
  <w:style w:type="paragraph" w:styleId="ListBullet3">
    <w:name w:val="List Bullet 3"/>
    <w:basedOn w:val="Normal"/>
    <w:uiPriority w:val="99"/>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qFormat/>
    <w:rsid w:val="00FC6F56"/>
    <w:pPr>
      <w:numPr>
        <w:numId w:val="2"/>
      </w:numPr>
    </w:pPr>
  </w:style>
  <w:style w:type="paragraph" w:customStyle="1" w:styleId="Numberbullet2">
    <w:name w:val="Number bullet 2"/>
    <w:basedOn w:val="ListBullet2"/>
    <w:qFormat/>
    <w:rsid w:val="00F02AEC"/>
    <w:pPr>
      <w:numPr>
        <w:numId w:val="2"/>
      </w:numPr>
      <w:ind w:left="850" w:hanging="425"/>
    </w:pPr>
  </w:style>
  <w:style w:type="paragraph" w:customStyle="1" w:styleId="Numberbullet3">
    <w:name w:val="Number bullet 3"/>
    <w:basedOn w:val="Normal"/>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5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qFormat/>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rsid w:val="00FE087C"/>
    <w:rPr>
      <w:rFonts w:ascii="Cambria" w:eastAsia="Cambria" w:hAnsi="Cambria" w:cs="Times New Roman"/>
      <w:color w:val="333F48"/>
      <w:sz w:val="17"/>
    </w:rPr>
  </w:style>
  <w:style w:type="character" w:styleId="FootnoteReference">
    <w:name w:val="footnote reference"/>
    <w:basedOn w:val="DefaultParagraphFont"/>
    <w:semiHidden/>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qFormat/>
    <w:rsid w:val="00324B33"/>
    <w:pPr>
      <w:keepNext/>
      <w:spacing w:before="120" w:line="240" w:lineRule="atLeast"/>
    </w:pPr>
    <w:rPr>
      <w:rFonts w:eastAsia="Cambria" w:cs="Times New Roman"/>
      <w:b/>
      <w:szCs w:val="22"/>
    </w:rPr>
  </w:style>
  <w:style w:type="paragraph" w:customStyle="1" w:styleId="TableDescription">
    <w:name w:val="Table Description"/>
    <w:basedOn w:val="Normal"/>
    <w:autoRedefine/>
    <w:qFormat/>
    <w:rsid w:val="00117F2A"/>
    <w:pPr>
      <w:spacing w:before="120" w:line="240" w:lineRule="auto"/>
      <w:contextualSpacing/>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autoRedefine/>
    <w:qFormat/>
    <w:rsid w:val="00117F2A"/>
    <w:pPr>
      <w:spacing w:before="120" w:line="240" w:lineRule="auto"/>
      <w:contextualSpacing/>
    </w:pPr>
    <w:rPr>
      <w:b w:val="0"/>
      <w:sz w:val="19"/>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paragraph" w:customStyle="1" w:styleId="Legislation-list">
    <w:name w:val="Legislation-list"/>
    <w:basedOn w:val="Numberbullet0"/>
    <w:qFormat/>
    <w:rsid w:val="00762A34"/>
    <w:pPr>
      <w:numPr>
        <w:numId w:val="7"/>
      </w:numPr>
      <w:jc w:val="center"/>
    </w:pPr>
    <w:rPr>
      <w:rFonts w:ascii="Arial" w:hAnsi="Arial"/>
      <w:i/>
      <w:color w:val="auto"/>
      <w:sz w:val="20"/>
    </w:rPr>
  </w:style>
  <w:style w:type="paragraph" w:customStyle="1" w:styleId="Standard">
    <w:name w:val="Standard"/>
    <w:basedOn w:val="Normal"/>
    <w:link w:val="StandardChar"/>
    <w:qFormat/>
    <w:rsid w:val="002634C1"/>
    <w:pPr>
      <w:spacing w:after="220" w:line="252" w:lineRule="auto"/>
    </w:pPr>
    <w:rPr>
      <w:rFonts w:eastAsia="Times New Roman" w:cs="Times New Roman"/>
      <w:snapToGrid w:val="0"/>
      <w:kern w:val="16"/>
      <w:sz w:val="23"/>
      <w:szCs w:val="24"/>
    </w:rPr>
  </w:style>
  <w:style w:type="character" w:customStyle="1" w:styleId="StandardChar">
    <w:name w:val="Standard Char"/>
    <w:basedOn w:val="DefaultParagraphFont"/>
    <w:link w:val="Standard"/>
    <w:rsid w:val="002634C1"/>
    <w:rPr>
      <w:rFonts w:ascii="Cambria" w:eastAsia="Times New Roman" w:hAnsi="Cambria" w:cs="Times New Roman"/>
      <w:snapToGrid w:val="0"/>
      <w:kern w:val="16"/>
      <w:sz w:val="23"/>
      <w:szCs w:val="24"/>
    </w:rPr>
  </w:style>
  <w:style w:type="paragraph" w:customStyle="1" w:styleId="SectionHeading">
    <w:name w:val="Section Heading"/>
    <w:basedOn w:val="Standard"/>
    <w:next w:val="Standard"/>
    <w:link w:val="SectionHeadingCharChar"/>
    <w:rsid w:val="00FE3DE3"/>
    <w:pPr>
      <w:keepNext/>
      <w:spacing w:after="180"/>
      <w:outlineLvl w:val="0"/>
    </w:pPr>
    <w:rPr>
      <w:b/>
      <w:caps/>
      <w:sz w:val="24"/>
    </w:rPr>
  </w:style>
  <w:style w:type="character" w:customStyle="1" w:styleId="SectionHeadingCharChar">
    <w:name w:val="Section Heading Char Char"/>
    <w:basedOn w:val="DefaultParagraphFont"/>
    <w:link w:val="SectionHeading"/>
    <w:rsid w:val="00FE3DE3"/>
    <w:rPr>
      <w:rFonts w:ascii="Cambria" w:eastAsia="Times New Roman" w:hAnsi="Cambria" w:cs="Times New Roman"/>
      <w:b/>
      <w:caps/>
      <w:snapToGrid w:val="0"/>
      <w:kern w:val="16"/>
      <w:sz w:val="24"/>
      <w:szCs w:val="24"/>
    </w:rPr>
  </w:style>
  <w:style w:type="paragraph" w:customStyle="1" w:styleId="Bulletpoint">
    <w:name w:val="Bullet point"/>
    <w:basedOn w:val="Standard"/>
    <w:rsid w:val="00FE3DE3"/>
    <w:pPr>
      <w:numPr>
        <w:numId w:val="9"/>
      </w:numPr>
      <w:tabs>
        <w:tab w:val="left" w:pos="397"/>
      </w:tabs>
      <w:spacing w:after="180"/>
    </w:pPr>
    <w:rPr>
      <w:sz w:val="22"/>
    </w:rPr>
  </w:style>
  <w:style w:type="character" w:customStyle="1" w:styleId="Heading1Char">
    <w:name w:val="Heading 1 Char"/>
    <w:basedOn w:val="DefaultParagraphFont"/>
    <w:link w:val="Heading1"/>
    <w:rsid w:val="00FE583D"/>
    <w:rPr>
      <w:rFonts w:asciiTheme="majorHAnsi" w:eastAsia="Times New Roman" w:hAnsiTheme="majorHAnsi" w:cstheme="majorHAnsi"/>
      <w:b/>
      <w:bCs/>
      <w:sz w:val="64"/>
      <w:szCs w:val="64"/>
    </w:rPr>
  </w:style>
  <w:style w:type="character" w:customStyle="1" w:styleId="Heading7Char">
    <w:name w:val="Heading 7 Char"/>
    <w:basedOn w:val="DefaultParagraphFont"/>
    <w:link w:val="Heading7"/>
    <w:uiPriority w:val="9"/>
    <w:rsid w:val="00FE583D"/>
    <w:rPr>
      <w:rFonts w:ascii="Cambria" w:eastAsia="Times New Roman" w:hAnsi="Cambria" w:cs="Times New Roman"/>
      <w:bCs/>
      <w:szCs w:val="24"/>
    </w:rPr>
  </w:style>
  <w:style w:type="paragraph" w:customStyle="1" w:styleId="AxisLabel">
    <w:name w:val="Axis Label"/>
    <w:basedOn w:val="Normal"/>
    <w:qFormat/>
    <w:rsid w:val="00FE583D"/>
    <w:pPr>
      <w:spacing w:before="120" w:after="0" w:line="240" w:lineRule="auto"/>
    </w:pPr>
    <w:rPr>
      <w:rFonts w:ascii="Arial" w:eastAsia="Cambria" w:hAnsi="Arial" w:cs="Times New Roman"/>
      <w:noProof/>
      <w:sz w:val="14"/>
      <w:szCs w:val="22"/>
      <w:lang w:eastAsia="en-AU"/>
    </w:rPr>
  </w:style>
  <w:style w:type="paragraph" w:customStyle="1" w:styleId="AxisTitle">
    <w:name w:val="Axis Title"/>
    <w:basedOn w:val="Normal"/>
    <w:qFormat/>
    <w:rsid w:val="00FE583D"/>
    <w:pPr>
      <w:spacing w:before="120" w:after="0" w:line="240" w:lineRule="auto"/>
    </w:pPr>
    <w:rPr>
      <w:rFonts w:ascii="Arial" w:eastAsia="Cambria" w:hAnsi="Arial" w:cs="Times New Roman"/>
      <w:sz w:val="16"/>
      <w:szCs w:val="22"/>
    </w:rPr>
  </w:style>
  <w:style w:type="paragraph" w:customStyle="1" w:styleId="Contents">
    <w:name w:val="Contents"/>
    <w:basedOn w:val="Normal"/>
    <w:rsid w:val="00FE583D"/>
    <w:pPr>
      <w:spacing w:after="0" w:line="240" w:lineRule="atLeast"/>
    </w:pPr>
    <w:rPr>
      <w:rFonts w:ascii="Arial" w:eastAsia="Cambria" w:hAnsi="Arial" w:cs="Times New Roman"/>
      <w:b/>
      <w:sz w:val="48"/>
      <w:szCs w:val="22"/>
    </w:rPr>
  </w:style>
  <w:style w:type="paragraph" w:customStyle="1" w:styleId="HeaderNoLine0">
    <w:name w:val="Header No Line"/>
    <w:basedOn w:val="Header"/>
    <w:rsid w:val="00FE583D"/>
    <w:pPr>
      <w:pBdr>
        <w:bottom w:val="none" w:sz="0" w:space="0" w:color="auto"/>
      </w:pBdr>
      <w:spacing w:before="120" w:after="240"/>
      <w:jc w:val="left"/>
    </w:pPr>
    <w:rPr>
      <w:rFonts w:ascii="Cambria" w:hAnsi="Cambria"/>
      <w:color w:val="auto"/>
      <w:szCs w:val="22"/>
    </w:rPr>
  </w:style>
  <w:style w:type="paragraph" w:customStyle="1" w:styleId="Key">
    <w:name w:val="Key"/>
    <w:basedOn w:val="Normal"/>
    <w:qFormat/>
    <w:rsid w:val="00FE583D"/>
    <w:pPr>
      <w:spacing w:before="120" w:line="240" w:lineRule="atLeast"/>
    </w:pPr>
    <w:rPr>
      <w:rFonts w:eastAsia="Cambria" w:cs="Times New Roman"/>
      <w:sz w:val="14"/>
      <w:szCs w:val="22"/>
    </w:rPr>
  </w:style>
  <w:style w:type="table" w:styleId="LightShading-Accent2">
    <w:name w:val="Light Shading Accent 2"/>
    <w:basedOn w:val="TableNormal"/>
    <w:uiPriority w:val="60"/>
    <w:rsid w:val="00FE583D"/>
    <w:pPr>
      <w:spacing w:after="0" w:line="240" w:lineRule="auto"/>
    </w:pPr>
    <w:rPr>
      <w:rFonts w:ascii="Cambria" w:eastAsia="Calibri" w:hAnsi="Cambria" w:cs="Times New Roman"/>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2-Accent5">
    <w:name w:val="Medium Grid 2 Accent 5"/>
    <w:basedOn w:val="TableNormal"/>
    <w:uiPriority w:val="68"/>
    <w:rsid w:val="00FE583D"/>
    <w:pPr>
      <w:spacing w:after="0" w:line="240" w:lineRule="auto"/>
    </w:pPr>
    <w:rPr>
      <w:rFonts w:ascii="Cambria" w:eastAsia="Times New Roman" w:hAnsi="Cambria" w:cs="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otes">
    <w:name w:val="Notes"/>
    <w:basedOn w:val="Normal"/>
    <w:qFormat/>
    <w:locked/>
    <w:rsid w:val="00FE583D"/>
    <w:pPr>
      <w:spacing w:before="120" w:after="0" w:line="240" w:lineRule="auto"/>
    </w:pPr>
    <w:rPr>
      <w:rFonts w:ascii="Arial" w:eastAsia="Cambria" w:hAnsi="Arial" w:cs="Times New Roman"/>
      <w:sz w:val="16"/>
      <w:szCs w:val="22"/>
    </w:rPr>
  </w:style>
  <w:style w:type="character" w:styleId="PlaceholderText">
    <w:name w:val="Placeholder Text"/>
    <w:basedOn w:val="DefaultParagraphFont"/>
    <w:uiPriority w:val="99"/>
    <w:semiHidden/>
    <w:rsid w:val="00FE583D"/>
    <w:rPr>
      <w:color w:val="808080"/>
    </w:rPr>
  </w:style>
  <w:style w:type="paragraph" w:customStyle="1" w:styleId="Reference">
    <w:name w:val="Reference"/>
    <w:basedOn w:val="Normal"/>
    <w:rsid w:val="00FE583D"/>
    <w:pPr>
      <w:spacing w:before="40" w:after="0" w:line="180" w:lineRule="atLeast"/>
      <w:ind w:hanging="170"/>
    </w:pPr>
    <w:rPr>
      <w:rFonts w:eastAsia="Cambria" w:cs="Times New Roman"/>
      <w:sz w:val="19"/>
      <w:szCs w:val="22"/>
    </w:rPr>
  </w:style>
  <w:style w:type="paragraph" w:customStyle="1" w:styleId="Tabletext0">
    <w:name w:val="Table text"/>
    <w:basedOn w:val="Normal"/>
    <w:rsid w:val="00FE583D"/>
    <w:pPr>
      <w:spacing w:before="120" w:line="240" w:lineRule="atLeast"/>
    </w:pPr>
    <w:rPr>
      <w:rFonts w:eastAsia="Cambria" w:cs="Times New Roman"/>
      <w:sz w:val="19"/>
      <w:szCs w:val="22"/>
    </w:rPr>
  </w:style>
  <w:style w:type="table" w:customStyle="1" w:styleId="TableTGAblack">
    <w:name w:val="Table TGA black"/>
    <w:basedOn w:val="TableNormal"/>
    <w:uiPriority w:val="99"/>
    <w:rsid w:val="00FE583D"/>
    <w:pPr>
      <w:spacing w:before="60" w:after="0" w:line="240" w:lineRule="auto"/>
      <w:ind w:left="170" w:right="170"/>
    </w:pPr>
    <w:rPr>
      <w:rFonts w:ascii="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wordWrap/>
        <w:spacing w:beforeLines="0" w:beforeAutospacing="0" w:afterLines="0" w:afterAutospacing="0"/>
      </w:pPr>
      <w:rPr>
        <w:rFonts w:ascii="Cambria" w:hAnsi="Cambria"/>
        <w:b/>
        <w:color w:val="FFFFFF" w:themeColor="background1"/>
        <w:sz w:val="22"/>
      </w:rPr>
      <w:tblPr/>
      <w:tcPr>
        <w:shd w:val="clear" w:color="auto" w:fill="000000" w:themeFill="text1"/>
      </w:tcPr>
    </w:tblStylePr>
    <w:tblStylePr w:type="lastRow">
      <w:rPr>
        <w:b w:val="0"/>
      </w:rPr>
    </w:tblStylePr>
    <w:tblStylePr w:type="neCell">
      <w:rPr>
        <w:b w:val="0"/>
        <w:i w:val="0"/>
      </w:rPr>
    </w:tblStylePr>
    <w:tblStylePr w:type="nwCell">
      <w:rPr>
        <w:rFonts w:ascii="Cambria" w:hAnsi="Cambria"/>
        <w:b/>
        <w:i w:val="0"/>
        <w:color w:val="FFFFFF"/>
        <w:sz w:val="22"/>
      </w:rPr>
    </w:tblStylePr>
  </w:style>
  <w:style w:type="paragraph" w:styleId="TOCHeading">
    <w:name w:val="TOC Heading"/>
    <w:basedOn w:val="Heading1"/>
    <w:next w:val="Normal"/>
    <w:uiPriority w:val="39"/>
    <w:semiHidden/>
    <w:unhideWhenUsed/>
    <w:qFormat/>
    <w:rsid w:val="00FE583D"/>
    <w:pPr>
      <w:framePr w:wrap="around" w:hAnchor="text"/>
      <w:spacing w:before="480" w:after="0" w:line="276" w:lineRule="auto"/>
      <w:outlineLvl w:val="9"/>
    </w:pPr>
    <w:rPr>
      <w:rFonts w:cstheme="minorBidi"/>
      <w:color w:val="002035"/>
      <w:sz w:val="28"/>
      <w:lang w:val="en-US"/>
    </w:rPr>
  </w:style>
  <w:style w:type="paragraph" w:customStyle="1" w:styleId="Quotation">
    <w:name w:val="Quotation"/>
    <w:basedOn w:val="Normal"/>
    <w:next w:val="Normal"/>
    <w:uiPriority w:val="4"/>
    <w:qFormat/>
    <w:rsid w:val="00FE583D"/>
    <w:pPr>
      <w:spacing w:before="120" w:after="180" w:line="240" w:lineRule="atLeast"/>
      <w:ind w:left="425"/>
    </w:pPr>
    <w:rPr>
      <w:rFonts w:eastAsiaTheme="minorEastAsia"/>
      <w:sz w:val="20"/>
      <w:szCs w:val="22"/>
      <w:lang w:eastAsia="zh-TW"/>
    </w:rPr>
  </w:style>
  <w:style w:type="paragraph" w:customStyle="1" w:styleId="Comment">
    <w:name w:val="Comment"/>
    <w:basedOn w:val="Normal"/>
    <w:next w:val="Normal"/>
    <w:uiPriority w:val="1"/>
    <w:qFormat/>
    <w:rsid w:val="00FE583D"/>
    <w:pPr>
      <w:spacing w:before="120" w:line="240" w:lineRule="atLeast"/>
      <w:ind w:left="992" w:hanging="992"/>
    </w:pPr>
    <w:rPr>
      <w:rFonts w:eastAsia="Cambria" w:cs="Times New Roman"/>
      <w:szCs w:val="22"/>
    </w:rPr>
  </w:style>
  <w:style w:type="paragraph" w:styleId="EndnoteText">
    <w:name w:val="endnote text"/>
    <w:basedOn w:val="Normal"/>
    <w:link w:val="EndnoteTextChar"/>
    <w:uiPriority w:val="99"/>
    <w:semiHidden/>
    <w:unhideWhenUsed/>
    <w:rsid w:val="00FE583D"/>
    <w:pPr>
      <w:spacing w:after="0" w:line="240" w:lineRule="auto"/>
    </w:pPr>
    <w:rPr>
      <w:rFonts w:eastAsia="Cambria" w:cs="Times New Roman"/>
      <w:sz w:val="20"/>
    </w:rPr>
  </w:style>
  <w:style w:type="character" w:customStyle="1" w:styleId="EndnoteTextChar">
    <w:name w:val="Endnote Text Char"/>
    <w:basedOn w:val="DefaultParagraphFont"/>
    <w:link w:val="EndnoteText"/>
    <w:uiPriority w:val="99"/>
    <w:semiHidden/>
    <w:rsid w:val="00FE583D"/>
    <w:rPr>
      <w:rFonts w:ascii="Cambria" w:eastAsia="Cambria" w:hAnsi="Cambria" w:cs="Times New Roman"/>
    </w:rPr>
  </w:style>
  <w:style w:type="character" w:styleId="EndnoteReference">
    <w:name w:val="endnote reference"/>
    <w:basedOn w:val="DefaultParagraphFont"/>
    <w:uiPriority w:val="99"/>
    <w:semiHidden/>
    <w:unhideWhenUsed/>
    <w:rsid w:val="00FE583D"/>
    <w:rPr>
      <w:vertAlign w:val="superscript"/>
    </w:rPr>
  </w:style>
  <w:style w:type="paragraph" w:customStyle="1" w:styleId="FigureCaption">
    <w:name w:val="Figure Caption"/>
    <w:basedOn w:val="Normal"/>
    <w:qFormat/>
    <w:rsid w:val="00FE583D"/>
    <w:pPr>
      <w:adjustRightInd w:val="0"/>
      <w:snapToGrid w:val="0"/>
      <w:spacing w:before="180" w:after="180" w:line="240" w:lineRule="atLeast"/>
    </w:pPr>
    <w:rPr>
      <w:rFonts w:eastAsia="MS Mincho" w:cs="Times New Roman"/>
      <w:lang w:eastAsia="ja-JP"/>
    </w:rPr>
  </w:style>
  <w:style w:type="paragraph" w:customStyle="1" w:styleId="TableCaption">
    <w:name w:val="Table Caption"/>
    <w:basedOn w:val="FigureCaption"/>
    <w:qFormat/>
    <w:rsid w:val="00FE583D"/>
    <w:pPr>
      <w:spacing w:after="240"/>
    </w:pPr>
    <w:rPr>
      <w:sz w:val="17"/>
    </w:rPr>
  </w:style>
  <w:style w:type="table" w:customStyle="1" w:styleId="TableTGA2">
    <w:name w:val="Table TGA 2"/>
    <w:basedOn w:val="TableNormal"/>
    <w:uiPriority w:val="99"/>
    <w:rsid w:val="00FE583D"/>
    <w:pPr>
      <w:spacing w:before="60" w:after="0" w:line="240" w:lineRule="auto"/>
    </w:pPr>
    <w:rPr>
      <w:rFonts w:ascii="Cambria" w:hAnsi="Cambria" w:cs="Times New Roman"/>
      <w:color w:val="000000"/>
      <w:sz w:val="22"/>
      <w:szCs w:val="21"/>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wordWrap/>
        <w:spacing w:beforeLines="0" w:beforeAutospacing="0" w:afterLines="0" w:afterAutospacing="0"/>
      </w:pPr>
      <w:rPr>
        <w:rFonts w:ascii="Cambria" w:hAnsi="Cambria"/>
        <w:b/>
        <w:color w:val="FFFFFF"/>
        <w:sz w:val="22"/>
      </w:rPr>
      <w:tblPr/>
      <w:trPr>
        <w:tblHeader/>
      </w:trPr>
      <w:tcPr>
        <w:shd w:val="clear" w:color="auto" w:fill="000000"/>
      </w:tcPr>
    </w:tblStylePr>
    <w:tblStylePr w:type="lastRow">
      <w:rPr>
        <w:b w:val="0"/>
      </w:rPr>
    </w:tblStylePr>
    <w:tblStylePr w:type="neCell">
      <w:rPr>
        <w:b w:val="0"/>
        <w:i w:val="0"/>
      </w:rPr>
    </w:tblStylePr>
    <w:tblStylePr w:type="nwCell">
      <w:rPr>
        <w:rFonts w:ascii="Cambria" w:hAnsi="Cambria"/>
        <w:b/>
        <w:i w:val="0"/>
        <w:color w:val="FFFFFF"/>
        <w:sz w:val="22"/>
      </w:rPr>
    </w:tblStylePr>
  </w:style>
  <w:style w:type="paragraph" w:customStyle="1" w:styleId="Subject">
    <w:name w:val="Subject"/>
    <w:basedOn w:val="Normal"/>
    <w:qFormat/>
    <w:rsid w:val="00FE583D"/>
    <w:pPr>
      <w:adjustRightInd w:val="0"/>
      <w:snapToGrid w:val="0"/>
      <w:spacing w:before="180" w:after="180" w:line="240" w:lineRule="atLeast"/>
    </w:pPr>
    <w:rPr>
      <w:rFonts w:eastAsia="MS Mincho" w:cs="Times New Roman"/>
      <w:b/>
      <w:lang w:eastAsia="ja-JP"/>
    </w:rPr>
  </w:style>
  <w:style w:type="paragraph" w:customStyle="1" w:styleId="Addressee">
    <w:name w:val="Addressee"/>
    <w:basedOn w:val="Normal"/>
    <w:qFormat/>
    <w:rsid w:val="00FE583D"/>
    <w:pPr>
      <w:adjustRightInd w:val="0"/>
      <w:snapToGrid w:val="0"/>
      <w:spacing w:before="180" w:after="180" w:line="240" w:lineRule="atLeast"/>
    </w:pPr>
    <w:rPr>
      <w:rFonts w:eastAsia="MS Mincho" w:cs="Times New Roman"/>
      <w:lang w:eastAsia="ja-JP"/>
    </w:rPr>
  </w:style>
  <w:style w:type="character" w:customStyle="1" w:styleId="ABN">
    <w:name w:val="ABN"/>
    <w:basedOn w:val="DefaultParagraphFont"/>
    <w:uiPriority w:val="1"/>
    <w:qFormat/>
    <w:rsid w:val="00FE583D"/>
    <w:rPr>
      <w:rFonts w:ascii="Arial" w:hAnsi="Arial"/>
      <w:color w:val="002C47"/>
      <w:sz w:val="14"/>
    </w:rPr>
  </w:style>
  <w:style w:type="paragraph" w:customStyle="1" w:styleId="BodyCopy">
    <w:name w:val="Body Copy"/>
    <w:basedOn w:val="Normal"/>
    <w:qFormat/>
    <w:rsid w:val="00FE583D"/>
    <w:pPr>
      <w:adjustRightInd w:val="0"/>
      <w:snapToGrid w:val="0"/>
      <w:spacing w:before="180" w:after="180" w:line="240" w:lineRule="atLeast"/>
    </w:pPr>
    <w:rPr>
      <w:rFonts w:eastAsia="MS Mincho" w:cs="Times New Roman"/>
      <w:lang w:eastAsia="ja-JP"/>
    </w:rPr>
  </w:style>
  <w:style w:type="paragraph" w:customStyle="1" w:styleId="PISubsection">
    <w:name w:val="PI Subsection"/>
    <w:basedOn w:val="Standard"/>
    <w:next w:val="Standard"/>
    <w:rsid w:val="00FE583D"/>
    <w:pPr>
      <w:keepNext/>
      <w:spacing w:after="120"/>
    </w:pPr>
    <w:rPr>
      <w:b/>
      <w:i/>
      <w:kern w:val="2"/>
      <w:sz w:val="22"/>
    </w:rPr>
  </w:style>
  <w:style w:type="paragraph" w:styleId="BodyText">
    <w:name w:val="Body Text"/>
    <w:basedOn w:val="Normal"/>
    <w:link w:val="BodyTextChar"/>
    <w:uiPriority w:val="99"/>
    <w:semiHidden/>
    <w:unhideWhenUsed/>
    <w:rsid w:val="00FE583D"/>
    <w:pPr>
      <w:spacing w:before="120" w:line="240" w:lineRule="atLeast"/>
    </w:pPr>
    <w:rPr>
      <w:rFonts w:eastAsia="Cambria" w:cs="Times New Roman"/>
      <w:szCs w:val="22"/>
    </w:rPr>
  </w:style>
  <w:style w:type="character" w:customStyle="1" w:styleId="BodyTextChar">
    <w:name w:val="Body Text Char"/>
    <w:basedOn w:val="DefaultParagraphFont"/>
    <w:link w:val="BodyText"/>
    <w:uiPriority w:val="99"/>
    <w:semiHidden/>
    <w:rsid w:val="00FE583D"/>
    <w:rPr>
      <w:rFonts w:ascii="Cambria" w:eastAsia="Cambria" w:hAnsi="Cambria" w:cs="Times New Roman"/>
      <w:sz w:val="22"/>
      <w:szCs w:val="22"/>
    </w:rPr>
  </w:style>
  <w:style w:type="paragraph" w:customStyle="1" w:styleId="TableParagraph">
    <w:name w:val="Table Paragraph"/>
    <w:basedOn w:val="Normal"/>
    <w:uiPriority w:val="1"/>
    <w:qFormat/>
    <w:rsid w:val="00D813B6"/>
    <w:pPr>
      <w:widowControl w:val="0"/>
      <w:autoSpaceDE w:val="0"/>
      <w:autoSpaceDN w:val="0"/>
      <w:spacing w:after="0" w:line="240" w:lineRule="auto"/>
      <w:ind w:left="107"/>
    </w:pPr>
    <w:rPr>
      <w:rFonts w:ascii="Verdana" w:eastAsia="Verdana" w:hAnsi="Verdana" w:cs="Verdana"/>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hyperlink" Target="https://www.tga.gov.au/obstetric-drug-information-services" TargetMode="External"/><Relationship Id="rId42" Type="http://schemas.openxmlformats.org/officeDocument/2006/relationships/image" Target="media/image22.pn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footer" Target="footer4.xml"/><Relationship Id="rId107" Type="http://schemas.openxmlformats.org/officeDocument/2006/relationships/image" Target="media/image87.png"/><Relationship Id="rId11" Type="http://schemas.openxmlformats.org/officeDocument/2006/relationships/footer" Target="footer2.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3.png"/><Relationship Id="rId128" Type="http://schemas.openxmlformats.org/officeDocument/2006/relationships/image" Target="media/image108.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hyperlink" Target="https://www.tga.gov.au/resources/resource/guidance/orphan-drug-designation" TargetMode="External"/><Relationship Id="rId27" Type="http://schemas.openxmlformats.org/officeDocument/2006/relationships/image" Target="media/image7.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3.png"/><Relationship Id="rId118" Type="http://schemas.openxmlformats.org/officeDocument/2006/relationships/image" Target="media/image98.png"/><Relationship Id="rId134" Type="http://schemas.openxmlformats.org/officeDocument/2006/relationships/hyperlink" Target="https://www.tga.gov.au/resources/resource/guidance/risk-management-plans-medicines-and-biologicals/australia-specific-annex-eu-rmp" TargetMode="External"/><Relationship Id="rId139" Type="http://schemas.openxmlformats.org/officeDocument/2006/relationships/hyperlink" Target="mailto:info@tga.gov.au" TargetMode="External"/><Relationship Id="rId80" Type="http://schemas.openxmlformats.org/officeDocument/2006/relationships/image" Target="media/image60.png"/><Relationship Id="rId85" Type="http://schemas.openxmlformats.org/officeDocument/2006/relationships/image" Target="media/image65.png"/><Relationship Id="rId12" Type="http://schemas.openxmlformats.org/officeDocument/2006/relationships/header" Target="header3.xml"/><Relationship Id="rId17" Type="http://schemas.openxmlformats.org/officeDocument/2006/relationships/hyperlink" Target="https://www.tga.gov.au/black-triangle-scheme" TargetMode="External"/><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3.png"/><Relationship Id="rId108" Type="http://schemas.openxmlformats.org/officeDocument/2006/relationships/image" Target="media/image88.png"/><Relationship Id="rId124" Type="http://schemas.openxmlformats.org/officeDocument/2006/relationships/image" Target="media/image104.png"/><Relationship Id="rId129" Type="http://schemas.openxmlformats.org/officeDocument/2006/relationships/image" Target="media/image109.png"/><Relationship Id="rId54" Type="http://schemas.openxmlformats.org/officeDocument/2006/relationships/image" Target="media/image34.pn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40" Type="http://schemas.openxmlformats.org/officeDocument/2006/relationships/hyperlink" Target="https://www.tga.gov.a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tga.gov.au/comparable-overseas-regulators-cors-timeframes-and-milestones" TargetMode="External"/><Relationship Id="rId28" Type="http://schemas.openxmlformats.org/officeDocument/2006/relationships/image" Target="media/image8.png"/><Relationship Id="rId49" Type="http://schemas.openxmlformats.org/officeDocument/2006/relationships/image" Target="media/image29.png"/><Relationship Id="rId114" Type="http://schemas.openxmlformats.org/officeDocument/2006/relationships/image" Target="media/image94.png"/><Relationship Id="rId119" Type="http://schemas.openxmlformats.org/officeDocument/2006/relationships/image" Target="media/image99.png"/><Relationship Id="rId44" Type="http://schemas.openxmlformats.org/officeDocument/2006/relationships/image" Target="media/image24.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image" Target="media/image110.png"/><Relationship Id="rId135" Type="http://schemas.openxmlformats.org/officeDocument/2006/relationships/hyperlink" Target="https://www.tga.gov.au/committee/advisory-committee-medicines-acm" TargetMode="External"/><Relationship Id="rId13" Type="http://schemas.openxmlformats.org/officeDocument/2006/relationships/footer" Target="footer3.xml"/><Relationship Id="rId18" Type="http://schemas.openxmlformats.org/officeDocument/2006/relationships/hyperlink" Target="https://www.tga.gov.au/resources/sponsor/biogen-australia-pty-ltd" TargetMode="External"/><Relationship Id="rId39" Type="http://schemas.openxmlformats.org/officeDocument/2006/relationships/image" Target="media/image19.png"/><Relationship Id="rId109" Type="http://schemas.openxmlformats.org/officeDocument/2006/relationships/image" Target="media/image8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100.png"/><Relationship Id="rId125" Type="http://schemas.openxmlformats.org/officeDocument/2006/relationships/image" Target="media/image105.png"/><Relationship Id="rId141"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hyperlink" Target="https://www.tga.gov.au/publication/risk-management-plans-medicines-and-biologicals" TargetMode="External"/><Relationship Id="rId136" Type="http://schemas.openxmlformats.org/officeDocument/2006/relationships/hyperlink" Target="https://www.ebs.tga.gov.au/" TargetMode="External"/><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hyperlink" Target="https://www.ebs.tga.gov.au/" TargetMode="External"/><Relationship Id="rId14" Type="http://schemas.openxmlformats.org/officeDocument/2006/relationships/hyperlink" Target="https://www.tga.gov.au/"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126" Type="http://schemas.openxmlformats.org/officeDocument/2006/relationships/image" Target="media/image106.png"/><Relationship Id="rId8" Type="http://schemas.openxmlformats.org/officeDocument/2006/relationships/header" Target="header1.xml"/><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101.png"/><Relationship Id="rId142" Type="http://schemas.openxmlformats.org/officeDocument/2006/relationships/footer" Target="footer5.xm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7.png"/><Relationship Id="rId116" Type="http://schemas.openxmlformats.org/officeDocument/2006/relationships/image" Target="media/image96.png"/><Relationship Id="rId137" Type="http://schemas.openxmlformats.org/officeDocument/2006/relationships/header" Target="header4.xml"/><Relationship Id="rId20" Type="http://schemas.openxmlformats.org/officeDocument/2006/relationships/hyperlink" Target="https://www.tga.gov.au/products/medicines/find-information-about-medicine/prescribing-medicines-pregnancy-database"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1.png"/><Relationship Id="rId132" Type="http://schemas.openxmlformats.org/officeDocument/2006/relationships/hyperlink" Target="https://www.tga.gov.au/tgas-risk-management-approach" TargetMode="External"/><Relationship Id="rId15" Type="http://schemas.openxmlformats.org/officeDocument/2006/relationships/hyperlink" Target="https://www.tga.gov.au/australian-public-assessment-report-auspar-guidance" TargetMode="Externa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86.png"/><Relationship Id="rId127" Type="http://schemas.openxmlformats.org/officeDocument/2006/relationships/image" Target="media/image107.png"/><Relationship Id="rId10" Type="http://schemas.openxmlformats.org/officeDocument/2006/relationships/footer" Target="footer1.xml"/><Relationship Id="rId31" Type="http://schemas.openxmlformats.org/officeDocument/2006/relationships/image" Target="media/image11.png"/><Relationship Id="rId52" Type="http://schemas.openxmlformats.org/officeDocument/2006/relationships/image" Target="media/image32.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png"/><Relationship Id="rId133" Type="http://schemas.openxmlformats.org/officeDocument/2006/relationships/hyperlink" Target="https://www.tga.gov.au/resources/resource/guidance/risk-management-plans-medicines-and-biologicals/australia-specific-annex-eu-rmp" TargetMode="External"/><Relationship Id="rId16" Type="http://schemas.openxmlformats.org/officeDocument/2006/relationships/hyperlink" Target="mailto:tga.copyright@tga.gov.au"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docMetadata/LabelInfo.xml><?xml version="1.0" encoding="utf-8"?>
<clbl:labelList xmlns:clbl="http://schemas.microsoft.com/office/2020/mipLabelMetadata">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122</Pages>
  <Words>30462</Words>
  <Characters>173634</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Australian public assessment report for Skyclarys</vt:lpstr>
    </vt:vector>
  </TitlesOfParts>
  <Company>Department of Health, Disability and Ageing</Company>
  <LinksUpToDate>false</LinksUpToDate>
  <CharactersWithSpaces>203689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Skyclarys</dc:title>
  <dc:subject>Prescription medicines</dc:subject>
  <dc:creator>Therapeutic Goods Administration</dc:creator>
  <cp:keywords/>
  <dc:description/>
  <cp:lastModifiedBy>LACK, Janet</cp:lastModifiedBy>
  <cp:revision>2</cp:revision>
  <dcterms:created xsi:type="dcterms:W3CDTF">2026-07-08T04:33:00Z</dcterms:created>
  <dcterms:modified xsi:type="dcterms:W3CDTF">2026-07-08T04:33:00Z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531f83f9,2ebff39c,5e0ccc27,69b65320,1d12e39c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1733f83e,69c2b6dd,39fef80f,322f80f5,3638ef13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2026-01-08T03:49:00Z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813969f0-483d-4e03-912d-ee2c69b78162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