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47C8" w14:textId="00A3AFC1" w:rsidR="00EE3DAF" w:rsidRPr="00B4451D" w:rsidRDefault="00EE3DAF" w:rsidP="00B4451D">
      <w:pPr>
        <w:pStyle w:val="blacktriangle"/>
        <w:rPr>
          <w:sz w:val="22"/>
          <w:szCs w:val="22"/>
        </w:rPr>
      </w:pPr>
      <w:r w:rsidRPr="00B4451D">
        <w:rPr>
          <w:sz w:val="22"/>
          <w:szCs w:val="22"/>
        </w:rPr>
        <w:t>This medicinal product is subject to additional monitoring in Australia. This will allow quick identification of new safety information. Healthcare professionals are asked to report any suspected adverse events at www.tga.gov.au/reporting-problems.</w:t>
      </w:r>
    </w:p>
    <w:p w14:paraId="057FBBF9" w14:textId="77777777" w:rsidR="004B42F2" w:rsidRPr="004B42F2" w:rsidRDefault="00DA3E6E" w:rsidP="004B42F2">
      <w:pPr>
        <w:pStyle w:val="Heading1"/>
        <w:numPr>
          <w:ilvl w:val="0"/>
          <w:numId w:val="0"/>
        </w:numPr>
        <w:spacing w:before="0" w:after="120"/>
      </w:pPr>
      <w:r w:rsidRPr="00675A74">
        <w:rPr>
          <w:rFonts w:eastAsia="SimSun" w:cstheme="minorHAnsi"/>
        </w:rPr>
        <w:t xml:space="preserve">Australian Product Information – </w:t>
      </w:r>
      <w:proofErr w:type="spellStart"/>
      <w:r>
        <w:rPr>
          <w:rFonts w:eastAsia="SimSun" w:cstheme="minorHAnsi"/>
        </w:rPr>
        <w:t>REDEMPLO</w:t>
      </w:r>
      <w:proofErr w:type="spellEnd"/>
      <w:r w:rsidR="007C39A3" w:rsidRPr="0011711C">
        <w:rPr>
          <w:rFonts w:eastAsia="SimSun" w:cstheme="minorHAnsi"/>
          <w:vertAlign w:val="superscript"/>
        </w:rPr>
        <w:t>®</w:t>
      </w:r>
      <w:r>
        <w:rPr>
          <w:rFonts w:eastAsia="SimSun" w:cstheme="minorHAnsi"/>
        </w:rPr>
        <w:t xml:space="preserve"> </w:t>
      </w:r>
      <w:r w:rsidRPr="00675A74">
        <w:rPr>
          <w:rFonts w:eastAsia="SimSun" w:cstheme="minorHAnsi"/>
        </w:rPr>
        <w:t>(</w:t>
      </w:r>
      <w:proofErr w:type="spellStart"/>
      <w:r>
        <w:rPr>
          <w:rFonts w:eastAsia="SimSun" w:cstheme="minorHAnsi"/>
        </w:rPr>
        <w:t>PLOZASIRAN</w:t>
      </w:r>
      <w:proofErr w:type="spellEnd"/>
      <w:r w:rsidRPr="00675A74">
        <w:rPr>
          <w:rFonts w:eastAsia="SimSun" w:cstheme="minorHAnsi"/>
        </w:rPr>
        <w:t xml:space="preserve">) </w:t>
      </w:r>
      <w:r>
        <w:rPr>
          <w:rFonts w:eastAsia="SimSun" w:cstheme="minorHAnsi"/>
        </w:rPr>
        <w:t>SOLUTION FOR INJECTION</w:t>
      </w:r>
    </w:p>
    <w:p w14:paraId="39065912" w14:textId="34503EA3" w:rsidR="00DA3E6E" w:rsidRPr="00C41BEC" w:rsidRDefault="00DA3E6E" w:rsidP="00FC71E9">
      <w:pPr>
        <w:pStyle w:val="Heading1"/>
        <w:spacing w:before="0" w:after="120"/>
        <w:ind w:left="431" w:hanging="431"/>
      </w:pPr>
      <w:r w:rsidRPr="00675A74">
        <w:rPr>
          <w:rFonts w:cstheme="minorHAnsi"/>
        </w:rPr>
        <w:t>Name of the medicine</w:t>
      </w:r>
    </w:p>
    <w:p w14:paraId="4393C6EE" w14:textId="77777777" w:rsidR="00DA3E6E" w:rsidRPr="00675A74" w:rsidRDefault="00DA3E6E" w:rsidP="00FC71E9">
      <w:proofErr w:type="spellStart"/>
      <w:r w:rsidRPr="00C41BEC">
        <w:rPr>
          <w:rFonts w:cstheme="minorHAnsi"/>
        </w:rPr>
        <w:t>Plozasiran</w:t>
      </w:r>
      <w:proofErr w:type="spellEnd"/>
    </w:p>
    <w:p w14:paraId="17437C91" w14:textId="77777777" w:rsidR="00DA3E6E" w:rsidRPr="00675A74" w:rsidRDefault="00DA3E6E">
      <w:pPr>
        <w:pStyle w:val="Heading1"/>
        <w:spacing w:before="0" w:after="120"/>
        <w:rPr>
          <w:rFonts w:cstheme="minorHAnsi"/>
        </w:rPr>
      </w:pPr>
      <w:r w:rsidRPr="00675A74">
        <w:rPr>
          <w:rFonts w:cstheme="minorHAnsi"/>
        </w:rPr>
        <w:t>Qualitative and quantitative composition</w:t>
      </w:r>
    </w:p>
    <w:p w14:paraId="130E93EE" w14:textId="77777777" w:rsidR="00DA3E6E" w:rsidRPr="00C41BEC" w:rsidRDefault="00DA3E6E" w:rsidP="00625BE0">
      <w:pPr>
        <w:rPr>
          <w:lang w:val="en-US"/>
        </w:rPr>
      </w:pPr>
      <w:r w:rsidRPr="7A83EB8D">
        <w:rPr>
          <w:lang w:val="en-US"/>
        </w:rPr>
        <w:t xml:space="preserve">Each single-dose pre-filled syringe contains </w:t>
      </w:r>
      <w:proofErr w:type="spellStart"/>
      <w:r w:rsidRPr="7A83EB8D">
        <w:rPr>
          <w:lang w:val="en-US"/>
        </w:rPr>
        <w:t>plozasiran</w:t>
      </w:r>
      <w:proofErr w:type="spellEnd"/>
      <w:r w:rsidRPr="7A83EB8D">
        <w:rPr>
          <w:lang w:val="en-US"/>
        </w:rPr>
        <w:t xml:space="preserve"> sodium equivalent to 25 mg </w:t>
      </w:r>
      <w:proofErr w:type="spellStart"/>
      <w:r w:rsidRPr="7A83EB8D">
        <w:rPr>
          <w:lang w:val="en-US"/>
        </w:rPr>
        <w:t>plozasiran</w:t>
      </w:r>
      <w:proofErr w:type="spellEnd"/>
      <w:r w:rsidRPr="7A83EB8D">
        <w:rPr>
          <w:lang w:val="en-US"/>
        </w:rPr>
        <w:t xml:space="preserve"> in 0.5 mL solution.</w:t>
      </w:r>
    </w:p>
    <w:p w14:paraId="314DCF5A" w14:textId="6ECA1D46" w:rsidR="00DA3E6E" w:rsidRPr="00675A74" w:rsidRDefault="00DA3E6E" w:rsidP="001E2006">
      <w:pPr>
        <w:rPr>
          <w:rFonts w:asciiTheme="majorHAnsi" w:hAnsiTheme="majorHAnsi" w:cstheme="minorHAnsi"/>
        </w:rPr>
      </w:pPr>
      <w:r w:rsidRPr="00C41BEC">
        <w:rPr>
          <w:rFonts w:cstheme="minorHAnsi"/>
          <w:lang w:val="en"/>
        </w:rPr>
        <w:t>For the full list of excipients, see Section</w:t>
      </w:r>
      <w:r>
        <w:rPr>
          <w:rFonts w:cstheme="minorHAnsi"/>
          <w:lang w:val="en"/>
        </w:rPr>
        <w:t xml:space="preserve"> </w:t>
      </w:r>
      <w:r w:rsidRPr="00554C24">
        <w:rPr>
          <w:rFonts w:cstheme="minorHAnsi"/>
          <w:color w:val="0000CC"/>
          <w:lang w:val="en"/>
        </w:rPr>
        <w:fldChar w:fldCharType="begin"/>
      </w:r>
      <w:r w:rsidRPr="00554C24">
        <w:rPr>
          <w:rFonts w:cstheme="minorHAnsi"/>
          <w:color w:val="0000CC"/>
          <w:lang w:val="en"/>
        </w:rPr>
        <w:instrText xml:space="preserve"> REF _Ref206090256 \r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
        </w:rPr>
        <w:t>6.1</w:t>
      </w:r>
      <w:r w:rsidRPr="00554C24">
        <w:rPr>
          <w:rFonts w:cstheme="minorHAnsi"/>
          <w:color w:val="0000CC"/>
          <w:lang w:val="en"/>
        </w:rPr>
        <w:fldChar w:fldCharType="end"/>
      </w:r>
      <w:r w:rsidRPr="00554C24">
        <w:rPr>
          <w:rFonts w:cstheme="minorHAnsi"/>
          <w:color w:val="0000CC"/>
          <w:lang w:val="en"/>
        </w:rPr>
        <w:t xml:space="preserve"> </w:t>
      </w:r>
      <w:r w:rsidRPr="00554C24">
        <w:rPr>
          <w:rFonts w:cstheme="minorHAnsi"/>
          <w:color w:val="0000CC"/>
          <w:lang w:val="en"/>
        </w:rPr>
        <w:fldChar w:fldCharType="begin"/>
      </w:r>
      <w:r w:rsidRPr="00554C24">
        <w:rPr>
          <w:rFonts w:cstheme="minorHAnsi"/>
          <w:color w:val="0000CC"/>
          <w:lang w:val="en"/>
        </w:rPr>
        <w:instrText xml:space="preserve"> REF _Ref206090256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US"/>
        </w:rPr>
        <w:t>List of excipients</w:t>
      </w:r>
      <w:r w:rsidRPr="00554C24">
        <w:rPr>
          <w:rFonts w:cstheme="minorHAnsi"/>
          <w:color w:val="0000CC"/>
          <w:lang w:val="en"/>
        </w:rPr>
        <w:fldChar w:fldCharType="end"/>
      </w:r>
      <w:r>
        <w:rPr>
          <w:rFonts w:cstheme="minorHAnsi"/>
          <w:lang w:val="en"/>
        </w:rPr>
        <w:t xml:space="preserve">. </w:t>
      </w:r>
    </w:p>
    <w:p w14:paraId="11188AE3" w14:textId="77777777" w:rsidR="00DA3E6E" w:rsidDel="001E2006" w:rsidRDefault="00DA3E6E" w:rsidP="00FC71E9">
      <w:pPr>
        <w:pStyle w:val="Heading1"/>
        <w:spacing w:before="0" w:after="120"/>
        <w:rPr>
          <w:rFonts w:cstheme="minorHAnsi"/>
          <w:lang w:val="en"/>
        </w:rPr>
      </w:pPr>
      <w:r w:rsidRPr="004F1009">
        <w:rPr>
          <w:rFonts w:cstheme="minorHAnsi"/>
        </w:rPr>
        <w:t>Pharmaceutical form</w:t>
      </w:r>
    </w:p>
    <w:p w14:paraId="7594DC1C" w14:textId="77777777" w:rsidR="00DA3E6E" w:rsidRPr="00C41BEC" w:rsidRDefault="00DA3E6E" w:rsidP="004F1009">
      <w:pPr>
        <w:rPr>
          <w:rFonts w:cstheme="minorHAnsi"/>
          <w:lang w:val="en"/>
        </w:rPr>
      </w:pPr>
      <w:r w:rsidRPr="00C41BEC">
        <w:rPr>
          <w:rFonts w:cstheme="minorHAnsi"/>
          <w:lang w:val="en"/>
        </w:rPr>
        <w:t xml:space="preserve">Solution for </w:t>
      </w:r>
      <w:proofErr w:type="gramStart"/>
      <w:r w:rsidRPr="00C41BEC">
        <w:rPr>
          <w:rFonts w:cstheme="minorHAnsi"/>
          <w:lang w:val="en"/>
        </w:rPr>
        <w:t>injection</w:t>
      </w:r>
      <w:proofErr w:type="gramEnd"/>
      <w:r w:rsidRPr="00C41BEC">
        <w:rPr>
          <w:rFonts w:cstheme="minorHAnsi"/>
          <w:lang w:val="en"/>
        </w:rPr>
        <w:t>.</w:t>
      </w:r>
    </w:p>
    <w:p w14:paraId="6ACD2078" w14:textId="77777777" w:rsidR="00DA3E6E" w:rsidRPr="00675A74" w:rsidRDefault="00DA3E6E" w:rsidP="00FC71E9">
      <w:r w:rsidRPr="7A83EB8D">
        <w:rPr>
          <w:lang w:val="en-US"/>
        </w:rPr>
        <w:t xml:space="preserve">Clear, </w:t>
      </w:r>
      <w:proofErr w:type="spellStart"/>
      <w:r w:rsidRPr="7A83EB8D">
        <w:rPr>
          <w:lang w:val="en-US"/>
        </w:rPr>
        <w:t>colourless</w:t>
      </w:r>
      <w:proofErr w:type="spellEnd"/>
      <w:r w:rsidRPr="7A83EB8D">
        <w:rPr>
          <w:lang w:val="en-US"/>
        </w:rPr>
        <w:t xml:space="preserve"> to yellow solution with a pH of approximately 4.7 – 5.6 and osmolality of 320 – 380 </w:t>
      </w:r>
      <w:proofErr w:type="spellStart"/>
      <w:r w:rsidRPr="7A83EB8D">
        <w:rPr>
          <w:lang w:val="en-US"/>
        </w:rPr>
        <w:t>mOsm</w:t>
      </w:r>
      <w:proofErr w:type="spellEnd"/>
      <w:r w:rsidRPr="7A83EB8D">
        <w:rPr>
          <w:lang w:val="en-US"/>
        </w:rPr>
        <w:t>/kg.</w:t>
      </w:r>
    </w:p>
    <w:p w14:paraId="5A639700" w14:textId="77777777" w:rsidR="00DA3E6E" w:rsidRPr="00675A74" w:rsidRDefault="00DA3E6E">
      <w:pPr>
        <w:pStyle w:val="Heading1"/>
        <w:spacing w:before="0" w:after="120"/>
        <w:rPr>
          <w:rFonts w:cstheme="minorHAnsi"/>
        </w:rPr>
      </w:pPr>
      <w:r w:rsidRPr="00675A74">
        <w:rPr>
          <w:rFonts w:cstheme="minorHAnsi"/>
        </w:rPr>
        <w:t>Clinical particulars</w:t>
      </w:r>
    </w:p>
    <w:p w14:paraId="39A4BB22" w14:textId="77777777" w:rsidR="00DA3E6E" w:rsidRPr="00300732" w:rsidRDefault="00DA3E6E" w:rsidP="00300732">
      <w:pPr>
        <w:pStyle w:val="Heading2"/>
        <w:spacing w:before="0" w:after="120"/>
        <w:rPr>
          <w:rFonts w:cstheme="minorHAnsi"/>
        </w:rPr>
      </w:pPr>
      <w:r w:rsidRPr="00675A74">
        <w:rPr>
          <w:rFonts w:cstheme="minorHAnsi"/>
        </w:rPr>
        <w:t xml:space="preserve">Therapeutic indications </w:t>
      </w:r>
    </w:p>
    <w:p w14:paraId="7FABE2E9" w14:textId="7F04D38A" w:rsidR="00DA3E6E" w:rsidRPr="00675A74" w:rsidRDefault="00DA3E6E" w:rsidP="00300732">
      <w:bookmarkStart w:id="0" w:name="_Hlk162439170"/>
      <w:proofErr w:type="spellStart"/>
      <w:r>
        <w:rPr>
          <w:rFonts w:cstheme="minorHAnsi"/>
          <w:lang w:val="en"/>
        </w:rPr>
        <w:t>REDEMPLO</w:t>
      </w:r>
      <w:proofErr w:type="spellEnd"/>
      <w:r w:rsidRPr="00C41BEC">
        <w:rPr>
          <w:rFonts w:cstheme="minorHAnsi"/>
          <w:lang w:val="en"/>
        </w:rPr>
        <w:t xml:space="preserve"> is indicated as an adjunct to diet to reduce triglyceride levels for adult patients with</w:t>
      </w:r>
      <w:r>
        <w:rPr>
          <w:rFonts w:cstheme="minorHAnsi"/>
          <w:lang w:val="en"/>
        </w:rPr>
        <w:t xml:space="preserve"> </w:t>
      </w:r>
      <w:r w:rsidRPr="00C41BEC">
        <w:rPr>
          <w:rFonts w:cstheme="minorHAnsi"/>
          <w:lang w:val="en"/>
        </w:rPr>
        <w:t xml:space="preserve">familial </w:t>
      </w:r>
      <w:proofErr w:type="spellStart"/>
      <w:r w:rsidRPr="00C41BEC">
        <w:rPr>
          <w:rFonts w:cstheme="minorHAnsi"/>
          <w:lang w:val="en"/>
        </w:rPr>
        <w:t>chylomicronaemia</w:t>
      </w:r>
      <w:proofErr w:type="spellEnd"/>
      <w:r w:rsidRPr="00C41BEC">
        <w:rPr>
          <w:rFonts w:cstheme="minorHAnsi"/>
          <w:lang w:val="en"/>
        </w:rPr>
        <w:t xml:space="preserve"> syndrome (FCS)</w:t>
      </w:r>
      <w:r>
        <w:rPr>
          <w:rFonts w:cstheme="minorHAnsi"/>
          <w:lang w:val="en"/>
        </w:rPr>
        <w:t xml:space="preserve"> for whom standard triglyceride </w:t>
      </w:r>
      <w:r w:rsidR="000E214B">
        <w:rPr>
          <w:rFonts w:cstheme="minorHAnsi"/>
          <w:lang w:val="en"/>
        </w:rPr>
        <w:t xml:space="preserve">lowering therapies have </w:t>
      </w:r>
      <w:r>
        <w:rPr>
          <w:rFonts w:cstheme="minorHAnsi"/>
          <w:lang w:val="en"/>
        </w:rPr>
        <w:t>been inadequate</w:t>
      </w:r>
      <w:bookmarkEnd w:id="0"/>
      <w:r w:rsidR="000446A8">
        <w:rPr>
          <w:rFonts w:cstheme="minorHAnsi"/>
          <w:lang w:val="en"/>
        </w:rPr>
        <w:t xml:space="preserve"> (see </w:t>
      </w:r>
      <w:r w:rsidR="00627572" w:rsidRPr="00627572">
        <w:rPr>
          <w:rFonts w:cstheme="minorHAnsi"/>
          <w:color w:val="0000CC"/>
          <w:lang w:val="en"/>
        </w:rPr>
        <w:t xml:space="preserve">Section </w:t>
      </w:r>
      <w:r w:rsidR="00627572" w:rsidRPr="00627572">
        <w:rPr>
          <w:rFonts w:cstheme="minorHAnsi"/>
          <w:color w:val="0000CC"/>
          <w:lang w:val="en"/>
        </w:rPr>
        <w:fldChar w:fldCharType="begin"/>
      </w:r>
      <w:r w:rsidR="00627572" w:rsidRPr="00627572">
        <w:rPr>
          <w:rFonts w:cstheme="minorHAnsi"/>
          <w:color w:val="0000CC"/>
          <w:lang w:val="en"/>
        </w:rPr>
        <w:instrText xml:space="preserve"> REF _Ref206089843 \w \h </w:instrText>
      </w:r>
      <w:r w:rsidR="00627572">
        <w:rPr>
          <w:rFonts w:cstheme="minorHAnsi"/>
          <w:color w:val="0000CC"/>
          <w:lang w:val="en"/>
        </w:rPr>
        <w:instrText xml:space="preserve"> \* MERGEFORMAT </w:instrText>
      </w:r>
      <w:r w:rsidR="00627572" w:rsidRPr="00627572">
        <w:rPr>
          <w:rFonts w:cstheme="minorHAnsi"/>
          <w:color w:val="0000CC"/>
          <w:lang w:val="en"/>
        </w:rPr>
      </w:r>
      <w:r w:rsidR="00627572" w:rsidRPr="00627572">
        <w:rPr>
          <w:rFonts w:cstheme="minorHAnsi"/>
          <w:color w:val="0000CC"/>
          <w:lang w:val="en"/>
        </w:rPr>
        <w:fldChar w:fldCharType="separate"/>
      </w:r>
      <w:r w:rsidR="00627572" w:rsidRPr="00627572">
        <w:rPr>
          <w:rFonts w:cstheme="minorHAnsi"/>
          <w:color w:val="0000CC"/>
          <w:lang w:val="en"/>
        </w:rPr>
        <w:t>4.2</w:t>
      </w:r>
      <w:r w:rsidR="00627572" w:rsidRPr="00627572">
        <w:rPr>
          <w:rFonts w:cstheme="minorHAnsi"/>
          <w:color w:val="0000CC"/>
          <w:lang w:val="en"/>
        </w:rPr>
        <w:fldChar w:fldCharType="end"/>
      </w:r>
      <w:r w:rsidR="0019408C">
        <w:rPr>
          <w:rFonts w:cstheme="minorHAnsi"/>
          <w:color w:val="0000CC"/>
          <w:lang w:val="en"/>
        </w:rPr>
        <w:t xml:space="preserve"> </w:t>
      </w:r>
      <w:r w:rsidR="00F84721">
        <w:rPr>
          <w:rFonts w:cstheme="minorHAnsi"/>
          <w:lang w:val="en"/>
        </w:rPr>
        <w:t>for patient selection criteria</w:t>
      </w:r>
      <w:r w:rsidR="000446A8">
        <w:rPr>
          <w:rFonts w:cstheme="minorHAnsi"/>
          <w:lang w:val="en"/>
        </w:rPr>
        <w:t>)</w:t>
      </w:r>
      <w:r w:rsidRPr="00C41BEC">
        <w:rPr>
          <w:rFonts w:cstheme="minorHAnsi"/>
          <w:lang w:val="en"/>
        </w:rPr>
        <w:t>.</w:t>
      </w:r>
    </w:p>
    <w:p w14:paraId="002D0381" w14:textId="77777777" w:rsidR="00DA3E6E" w:rsidRPr="00300732" w:rsidRDefault="00DA3E6E" w:rsidP="00300732">
      <w:pPr>
        <w:pStyle w:val="Heading2"/>
        <w:spacing w:before="0" w:after="120"/>
        <w:rPr>
          <w:rFonts w:cstheme="minorHAnsi"/>
        </w:rPr>
      </w:pPr>
      <w:bookmarkStart w:id="1" w:name="_Ref206089843"/>
      <w:r w:rsidRPr="00675A74">
        <w:rPr>
          <w:rFonts w:cstheme="minorHAnsi"/>
        </w:rPr>
        <w:t>Dose and method of administration</w:t>
      </w:r>
      <w:bookmarkEnd w:id="1"/>
      <w:r w:rsidRPr="00675A74">
        <w:rPr>
          <w:rFonts w:cstheme="minorHAnsi"/>
        </w:rPr>
        <w:t xml:space="preserve"> </w:t>
      </w:r>
    </w:p>
    <w:p w14:paraId="59EC0CE8" w14:textId="23E9D6DB" w:rsidR="00DA3E6E" w:rsidRPr="00675A74" w:rsidRDefault="00DA3E6E" w:rsidP="00300732">
      <w:r w:rsidRPr="7A83EB8D">
        <w:rPr>
          <w:lang w:val="en-US"/>
        </w:rPr>
        <w:t xml:space="preserve">Patients and/or caregivers should be trained to administer </w:t>
      </w:r>
      <w:proofErr w:type="spellStart"/>
      <w:r w:rsidRPr="7A83EB8D">
        <w:rPr>
          <w:lang w:val="en-US"/>
        </w:rPr>
        <w:t>plozasiran</w:t>
      </w:r>
      <w:proofErr w:type="spellEnd"/>
      <w:r w:rsidRPr="7A83EB8D">
        <w:rPr>
          <w:lang w:val="en-US"/>
        </w:rPr>
        <w:t xml:space="preserve"> under the supervision of a physician experienced in the treatment of patients with FCS in accordance with </w:t>
      </w:r>
      <w:r w:rsidR="00FD4D9B" w:rsidRPr="7A83EB8D">
        <w:rPr>
          <w:lang w:val="en-US"/>
        </w:rPr>
        <w:t>Consumer Medicine Information and Instructions for Use documents</w:t>
      </w:r>
      <w:r w:rsidRPr="7A83EB8D">
        <w:rPr>
          <w:lang w:val="en-US"/>
        </w:rPr>
        <w:t>.</w:t>
      </w:r>
      <w:r w:rsidR="00BB4B54" w:rsidRPr="7A83EB8D">
        <w:rPr>
          <w:lang w:val="en-US"/>
        </w:rPr>
        <w:t xml:space="preserve"> </w:t>
      </w:r>
    </w:p>
    <w:p w14:paraId="02494A2D" w14:textId="77777777" w:rsidR="00B12BE8" w:rsidRDefault="00B12BE8" w:rsidP="00B12BE8">
      <w:pPr>
        <w:pStyle w:val="Heading3"/>
      </w:pPr>
      <w:r>
        <w:t>Patient selection</w:t>
      </w:r>
    </w:p>
    <w:p w14:paraId="4BAEE0C2" w14:textId="7DDF14B3" w:rsidR="00B12BE8" w:rsidRPr="00B12BE8" w:rsidRDefault="00B12BE8" w:rsidP="00627572">
      <w:pPr>
        <w:rPr>
          <w:b/>
          <w:lang w:val="en-US"/>
        </w:rPr>
      </w:pPr>
      <w:r w:rsidRPr="7A83EB8D">
        <w:rPr>
          <w:lang w:val="en-US"/>
        </w:rPr>
        <w:t xml:space="preserve">When considering the use of </w:t>
      </w:r>
      <w:proofErr w:type="spellStart"/>
      <w:r w:rsidR="00FE4D91" w:rsidRPr="007F3DD6">
        <w:rPr>
          <w:rFonts w:eastAsiaTheme="minorEastAsia"/>
          <w:bCs/>
          <w:lang w:val="en-US"/>
        </w:rPr>
        <w:t>REDEMPLO</w:t>
      </w:r>
      <w:proofErr w:type="spellEnd"/>
      <w:r w:rsidRPr="7A83EB8D">
        <w:rPr>
          <w:lang w:val="en-US"/>
        </w:rPr>
        <w:t xml:space="preserve">, it is important that FCS diagnosis of a patient is established by either genetic testing, or by the presence of the following clinical criteria: fasting triglyceride levels ≥ 10 mmol/L (≥ 880 mg/dL) that are refractory to standard lipid-lowering therapy and at least one of the following: prior history of acute pancreatitis not caused by alcohol or cholelithiasis, history of recurrent </w:t>
      </w:r>
      <w:proofErr w:type="spellStart"/>
      <w:r w:rsidRPr="7A83EB8D">
        <w:rPr>
          <w:lang w:val="en-US"/>
        </w:rPr>
        <w:t>hospitalisations</w:t>
      </w:r>
      <w:proofErr w:type="spellEnd"/>
      <w:r w:rsidRPr="7A83EB8D">
        <w:rPr>
          <w:lang w:val="en-US"/>
        </w:rPr>
        <w:t xml:space="preserve"> for severe abdominal pain without other explainable cause, history of childhood pancreatitis, or family history of </w:t>
      </w:r>
      <w:proofErr w:type="spellStart"/>
      <w:r w:rsidRPr="7A83EB8D">
        <w:rPr>
          <w:lang w:val="en-US"/>
        </w:rPr>
        <w:t>hypertriglyceridaemia</w:t>
      </w:r>
      <w:proofErr w:type="spellEnd"/>
      <w:r w:rsidRPr="7A83EB8D">
        <w:rPr>
          <w:lang w:val="en-US"/>
        </w:rPr>
        <w:t>-induced pancreatitis.</w:t>
      </w:r>
    </w:p>
    <w:p w14:paraId="4FB7FE18" w14:textId="6CF69B40" w:rsidR="00DA3E6E" w:rsidRPr="00300732" w:rsidRDefault="00DA3E6E" w:rsidP="00300732">
      <w:pPr>
        <w:pStyle w:val="Heading3"/>
      </w:pPr>
      <w:r>
        <w:t>Dosage</w:t>
      </w:r>
    </w:p>
    <w:p w14:paraId="609BB077" w14:textId="77777777" w:rsidR="00DA3E6E" w:rsidRPr="00C41BEC" w:rsidRDefault="00DA3E6E" w:rsidP="00300732">
      <w:pPr>
        <w:rPr>
          <w:lang w:val="en-US"/>
        </w:rPr>
      </w:pPr>
      <w:r w:rsidRPr="7A83EB8D">
        <w:rPr>
          <w:lang w:val="en-US"/>
        </w:rPr>
        <w:t xml:space="preserve">The recommended dosage of </w:t>
      </w:r>
      <w:proofErr w:type="spellStart"/>
      <w:r w:rsidRPr="7A83EB8D">
        <w:rPr>
          <w:lang w:val="en-US"/>
        </w:rPr>
        <w:t>plozasiran</w:t>
      </w:r>
      <w:proofErr w:type="spellEnd"/>
      <w:r w:rsidRPr="7A83EB8D">
        <w:rPr>
          <w:lang w:val="en-US"/>
        </w:rPr>
        <w:t xml:space="preserve"> is 25 mg administered as a single subcutaneous injection every 3 months.</w:t>
      </w:r>
    </w:p>
    <w:p w14:paraId="4FCDA596" w14:textId="77777777" w:rsidR="00DA3E6E" w:rsidRPr="00300732" w:rsidRDefault="00DA3E6E" w:rsidP="00300732">
      <w:pPr>
        <w:rPr>
          <w:rFonts w:cstheme="minorHAnsi"/>
          <w:lang w:val="en"/>
        </w:rPr>
      </w:pPr>
      <w:r w:rsidRPr="00C41BEC">
        <w:rPr>
          <w:rFonts w:cstheme="minorHAnsi"/>
          <w:lang w:val="en"/>
        </w:rPr>
        <w:lastRenderedPageBreak/>
        <w:t xml:space="preserve">If a dose is missed, administer </w:t>
      </w:r>
      <w:proofErr w:type="spellStart"/>
      <w:r>
        <w:rPr>
          <w:rFonts w:cstheme="minorHAnsi"/>
          <w:lang w:val="en"/>
        </w:rPr>
        <w:t>REDEMPLO</w:t>
      </w:r>
      <w:proofErr w:type="spellEnd"/>
      <w:r w:rsidRPr="00C41BEC">
        <w:rPr>
          <w:rFonts w:cstheme="minorHAnsi"/>
          <w:lang w:val="en"/>
        </w:rPr>
        <w:t xml:space="preserve"> as soon as possible. Thereafter, </w:t>
      </w:r>
      <w:r>
        <w:rPr>
          <w:rFonts w:cstheme="minorHAnsi"/>
          <w:lang w:val="en"/>
        </w:rPr>
        <w:t xml:space="preserve">dosing should be </w:t>
      </w:r>
      <w:r w:rsidRPr="00C41BEC">
        <w:rPr>
          <w:rFonts w:cstheme="minorHAnsi"/>
          <w:lang w:val="en"/>
        </w:rPr>
        <w:t>resume</w:t>
      </w:r>
      <w:r>
        <w:rPr>
          <w:rFonts w:cstheme="minorHAnsi"/>
          <w:lang w:val="en"/>
        </w:rPr>
        <w:t>d</w:t>
      </w:r>
      <w:r w:rsidRPr="00C41BEC">
        <w:rPr>
          <w:rFonts w:cstheme="minorHAnsi"/>
          <w:lang w:val="en"/>
        </w:rPr>
        <w:t xml:space="preserve"> every 3 months from the most recently administered dose.</w:t>
      </w:r>
    </w:p>
    <w:p w14:paraId="1F565BF6" w14:textId="77777777" w:rsidR="00DA3E6E" w:rsidRPr="00300732" w:rsidRDefault="00DA3E6E" w:rsidP="00300732">
      <w:pPr>
        <w:pStyle w:val="Heading3"/>
        <w:rPr>
          <w:lang w:val="en"/>
        </w:rPr>
      </w:pPr>
      <w:r>
        <w:t>Special populations</w:t>
      </w:r>
    </w:p>
    <w:p w14:paraId="4F12B87E" w14:textId="77777777" w:rsidR="00DA3E6E" w:rsidRPr="00300732" w:rsidRDefault="00DA3E6E" w:rsidP="006C0D48">
      <w:pPr>
        <w:pStyle w:val="Heading4"/>
        <w:rPr>
          <w:rFonts w:eastAsiaTheme="minorHAnsi"/>
        </w:rPr>
      </w:pPr>
      <w:r w:rsidRPr="002D3C5E">
        <w:rPr>
          <w:rFonts w:eastAsiaTheme="minorHAnsi"/>
        </w:rPr>
        <w:t>Elderly population</w:t>
      </w:r>
    </w:p>
    <w:p w14:paraId="1C3CA898" w14:textId="44483CF8" w:rsidR="00DA3E6E" w:rsidRPr="00300732" w:rsidRDefault="00DA3E6E" w:rsidP="00300732">
      <w:pPr>
        <w:rPr>
          <w:rFonts w:cstheme="minorHAnsi"/>
          <w:lang w:val="en"/>
        </w:rPr>
      </w:pPr>
      <w:r w:rsidRPr="00C41BEC">
        <w:rPr>
          <w:rFonts w:cstheme="minorHAnsi"/>
          <w:lang w:val="en"/>
        </w:rPr>
        <w:t xml:space="preserve">No dose adjustment is necessary for elderly patients </w:t>
      </w:r>
      <w:r w:rsidRPr="008E5AC2">
        <w:rPr>
          <w:rFonts w:cstheme="minorHAnsi"/>
          <w:lang w:val="en"/>
        </w:rPr>
        <w:t>≥ 65 years of age</w:t>
      </w:r>
      <w:r>
        <w:rPr>
          <w:rFonts w:cstheme="minorHAnsi"/>
          <w:lang w:val="en"/>
        </w:rPr>
        <w:t xml:space="preserve"> (</w:t>
      </w:r>
      <w:r w:rsidRPr="008E5AC2">
        <w:rPr>
          <w:rFonts w:cstheme="minorHAnsi"/>
          <w:lang w:val="en"/>
        </w:rPr>
        <w:t xml:space="preserve">see </w:t>
      </w:r>
      <w:r>
        <w:rPr>
          <w:rFonts w:cstheme="minorHAnsi"/>
          <w:lang w:val="en"/>
        </w:rPr>
        <w:t>S</w:t>
      </w:r>
      <w:r w:rsidRPr="008E5AC2">
        <w:rPr>
          <w:rFonts w:cstheme="minorHAnsi"/>
          <w:lang w:val="en"/>
        </w:rPr>
        <w:t xml:space="preserve">ection </w:t>
      </w:r>
      <w:r w:rsidRPr="00554C24">
        <w:rPr>
          <w:rFonts w:cstheme="minorHAnsi"/>
          <w:color w:val="0000CC"/>
          <w:lang w:val="en"/>
        </w:rPr>
        <w:t xml:space="preserve">5.2 </w:t>
      </w:r>
      <w:r w:rsidRPr="00554C24">
        <w:rPr>
          <w:rFonts w:cstheme="minorHAnsi"/>
          <w:color w:val="0000CC"/>
          <w:lang w:val="en"/>
        </w:rPr>
        <w:fldChar w:fldCharType="begin"/>
      </w:r>
      <w:r w:rsidRPr="00554C24">
        <w:rPr>
          <w:rFonts w:cstheme="minorHAnsi"/>
          <w:color w:val="0000CC"/>
          <w:lang w:val="en"/>
        </w:rPr>
        <w:instrText xml:space="preserve"> REF _Ref187918483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US"/>
        </w:rPr>
        <w:t>Pharmacokinetic properties</w:t>
      </w:r>
      <w:r w:rsidRPr="00554C24">
        <w:rPr>
          <w:rFonts w:cstheme="minorHAnsi"/>
          <w:color w:val="0000CC"/>
          <w:lang w:val="en"/>
        </w:rPr>
        <w:fldChar w:fldCharType="end"/>
      </w:r>
      <w:r w:rsidRPr="008E5AC2">
        <w:rPr>
          <w:rFonts w:cstheme="minorHAnsi"/>
          <w:lang w:val="en"/>
        </w:rPr>
        <w:t>)</w:t>
      </w:r>
      <w:r>
        <w:rPr>
          <w:rFonts w:cstheme="minorHAnsi"/>
          <w:lang w:val="en"/>
        </w:rPr>
        <w:t>.</w:t>
      </w:r>
    </w:p>
    <w:p w14:paraId="5E1C9B7F" w14:textId="77777777" w:rsidR="00DA3E6E" w:rsidRPr="00300732" w:rsidRDefault="00DA3E6E" w:rsidP="006C0D48">
      <w:pPr>
        <w:pStyle w:val="Heading4"/>
        <w:rPr>
          <w:rFonts w:eastAsiaTheme="minorHAnsi"/>
        </w:rPr>
      </w:pPr>
      <w:r w:rsidRPr="002D3C5E">
        <w:rPr>
          <w:rFonts w:eastAsiaTheme="minorHAnsi"/>
        </w:rPr>
        <w:t>Renal impairment</w:t>
      </w:r>
    </w:p>
    <w:p w14:paraId="0A862D88" w14:textId="3DFF8D10" w:rsidR="00DA3E6E" w:rsidRPr="00300732" w:rsidRDefault="00DA3E6E" w:rsidP="00DC4254">
      <w:pPr>
        <w:rPr>
          <w:rFonts w:cstheme="minorHAnsi"/>
          <w:lang w:val="en"/>
        </w:rPr>
      </w:pPr>
      <w:r w:rsidRPr="00C41BEC">
        <w:rPr>
          <w:rFonts w:cstheme="minorHAnsi"/>
          <w:lang w:val="en"/>
        </w:rPr>
        <w:t>No dose adjustment</w:t>
      </w:r>
      <w:r>
        <w:rPr>
          <w:rFonts w:cstheme="minorHAnsi"/>
          <w:lang w:val="en"/>
        </w:rPr>
        <w:t xml:space="preserve"> is</w:t>
      </w:r>
      <w:r w:rsidRPr="00C41BEC">
        <w:rPr>
          <w:rFonts w:cstheme="minorHAnsi"/>
          <w:lang w:val="en"/>
        </w:rPr>
        <w:t xml:space="preserve"> necessary for patients with mild</w:t>
      </w:r>
      <w:r>
        <w:t xml:space="preserve"> </w:t>
      </w:r>
      <w:r w:rsidRPr="00A81805">
        <w:rPr>
          <w:rFonts w:cstheme="minorHAnsi"/>
          <w:lang w:val="en"/>
        </w:rPr>
        <w:t>(estimated glomerular filtration rate (eGFR</w:t>
      </w:r>
      <w:r>
        <w:rPr>
          <w:rFonts w:cstheme="minorHAnsi"/>
          <w:lang w:val="en"/>
        </w:rPr>
        <w:t>)</w:t>
      </w:r>
      <w:r w:rsidRPr="00A81805">
        <w:rPr>
          <w:rFonts w:cstheme="minorHAnsi"/>
          <w:lang w:val="en"/>
        </w:rPr>
        <w:t xml:space="preserve"> ≥</w:t>
      </w:r>
      <w:r w:rsidR="002E5B7A">
        <w:rPr>
          <w:rFonts w:cstheme="minorHAnsi"/>
          <w:lang w:val="en"/>
        </w:rPr>
        <w:t> </w:t>
      </w:r>
      <w:r w:rsidRPr="00A81805">
        <w:rPr>
          <w:rFonts w:cstheme="minorHAnsi"/>
          <w:lang w:val="en"/>
        </w:rPr>
        <w:t>60 to ˂ 90</w:t>
      </w:r>
      <w:r>
        <w:rPr>
          <w:rFonts w:cstheme="minorHAnsi"/>
          <w:lang w:val="en"/>
        </w:rPr>
        <w:t> </w:t>
      </w:r>
      <w:r w:rsidRPr="00A81805">
        <w:rPr>
          <w:rFonts w:cstheme="minorHAnsi"/>
          <w:lang w:val="en"/>
        </w:rPr>
        <w:t>mL/min)</w:t>
      </w:r>
      <w:r w:rsidRPr="00C41BEC">
        <w:rPr>
          <w:rFonts w:cstheme="minorHAnsi"/>
          <w:lang w:val="en"/>
        </w:rPr>
        <w:t xml:space="preserve"> or moderate </w:t>
      </w:r>
      <w:r w:rsidRPr="00A81805">
        <w:rPr>
          <w:rFonts w:cstheme="minorHAnsi"/>
          <w:lang w:val="en"/>
        </w:rPr>
        <w:t xml:space="preserve">(eGFR ≥ 30 to ˂ 60 mL/min) </w:t>
      </w:r>
      <w:r w:rsidRPr="00C41BEC">
        <w:rPr>
          <w:rFonts w:cstheme="minorHAnsi"/>
          <w:lang w:val="en"/>
        </w:rPr>
        <w:t xml:space="preserve">renal impairment. </w:t>
      </w:r>
      <w:proofErr w:type="spellStart"/>
      <w:r>
        <w:rPr>
          <w:rFonts w:cstheme="minorHAnsi"/>
          <w:lang w:val="en"/>
        </w:rPr>
        <w:t>REDEMPLO</w:t>
      </w:r>
      <w:proofErr w:type="spellEnd"/>
      <w:r w:rsidRPr="00C41BEC">
        <w:rPr>
          <w:rFonts w:cstheme="minorHAnsi"/>
          <w:lang w:val="en"/>
        </w:rPr>
        <w:t xml:space="preserve"> has not been studied in patients with severe renal impairment or end stage renal disease</w:t>
      </w:r>
      <w:r>
        <w:rPr>
          <w:rFonts w:cstheme="minorHAnsi"/>
          <w:lang w:val="en"/>
        </w:rPr>
        <w:t xml:space="preserve"> </w:t>
      </w:r>
      <w:r w:rsidRPr="006C6A13">
        <w:rPr>
          <w:rFonts w:cstheme="minorHAnsi"/>
          <w:lang w:val="en"/>
        </w:rPr>
        <w:t>(eGFR ˂ 30</w:t>
      </w:r>
      <w:r>
        <w:rPr>
          <w:rFonts w:cstheme="minorHAnsi"/>
          <w:lang w:val="en"/>
        </w:rPr>
        <w:t> </w:t>
      </w:r>
      <w:r w:rsidRPr="006C6A13">
        <w:rPr>
          <w:rFonts w:cstheme="minorHAnsi"/>
          <w:lang w:val="en"/>
        </w:rPr>
        <w:t>mL/min)</w:t>
      </w:r>
      <w:r>
        <w:rPr>
          <w:rFonts w:cstheme="minorHAnsi"/>
          <w:lang w:val="en"/>
        </w:rPr>
        <w:t xml:space="preserve"> and should </w:t>
      </w:r>
      <w:r w:rsidR="00EF0A4F">
        <w:rPr>
          <w:rFonts w:cstheme="minorHAnsi"/>
          <w:lang w:val="en"/>
        </w:rPr>
        <w:t xml:space="preserve">only </w:t>
      </w:r>
      <w:r>
        <w:rPr>
          <w:rFonts w:cstheme="minorHAnsi"/>
          <w:lang w:val="en"/>
        </w:rPr>
        <w:t xml:space="preserve">be used in these patients if the anticipated clinical benefit outweighs the potential risk (see Section </w:t>
      </w:r>
      <w:r w:rsidRPr="00554C24">
        <w:rPr>
          <w:rFonts w:cstheme="minorHAnsi"/>
          <w:color w:val="0000CC"/>
          <w:lang w:val="en"/>
        </w:rPr>
        <w:fldChar w:fldCharType="begin"/>
      </w:r>
      <w:r w:rsidRPr="00554C24">
        <w:rPr>
          <w:rFonts w:cstheme="minorHAnsi"/>
          <w:color w:val="0000CC"/>
          <w:lang w:val="en"/>
        </w:rPr>
        <w:instrText xml:space="preserve"> REF _Ref187918483 \w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
        </w:rPr>
        <w:t>5.2</w:t>
      </w:r>
      <w:r w:rsidRPr="00554C24">
        <w:rPr>
          <w:rFonts w:cstheme="minorHAnsi"/>
          <w:color w:val="0000CC"/>
          <w:lang w:val="en"/>
        </w:rPr>
        <w:fldChar w:fldCharType="end"/>
      </w:r>
      <w:r w:rsidRPr="00554C24">
        <w:rPr>
          <w:rFonts w:cstheme="minorHAnsi"/>
          <w:color w:val="0000CC"/>
          <w:lang w:val="en"/>
        </w:rPr>
        <w:t xml:space="preserve"> </w:t>
      </w:r>
      <w:r w:rsidRPr="00554C24">
        <w:rPr>
          <w:rFonts w:cstheme="minorHAnsi"/>
          <w:color w:val="0000CC"/>
          <w:lang w:val="en"/>
        </w:rPr>
        <w:fldChar w:fldCharType="begin"/>
      </w:r>
      <w:r w:rsidRPr="00554C24">
        <w:rPr>
          <w:rFonts w:cstheme="minorHAnsi"/>
          <w:color w:val="0000CC"/>
          <w:lang w:val="en"/>
        </w:rPr>
        <w:instrText xml:space="preserve"> REF _Ref187918483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US"/>
        </w:rPr>
        <w:t>Pharmacokinetic properties</w:t>
      </w:r>
      <w:r w:rsidRPr="00554C24">
        <w:rPr>
          <w:rFonts w:cstheme="minorHAnsi"/>
          <w:color w:val="0000CC"/>
          <w:lang w:val="en"/>
        </w:rPr>
        <w:fldChar w:fldCharType="end"/>
      </w:r>
      <w:r>
        <w:rPr>
          <w:rFonts w:cstheme="minorHAnsi"/>
          <w:lang w:val="en"/>
        </w:rPr>
        <w:t>).</w:t>
      </w:r>
    </w:p>
    <w:p w14:paraId="588D7E71" w14:textId="77777777" w:rsidR="00DA3E6E" w:rsidRPr="00300732" w:rsidRDefault="00DA3E6E" w:rsidP="006C0D48">
      <w:pPr>
        <w:pStyle w:val="Heading4"/>
        <w:rPr>
          <w:rFonts w:eastAsiaTheme="minorHAnsi"/>
        </w:rPr>
      </w:pPr>
      <w:r w:rsidRPr="002D3C5E">
        <w:rPr>
          <w:rFonts w:eastAsiaTheme="minorHAnsi"/>
        </w:rPr>
        <w:t>Hepatic impairment</w:t>
      </w:r>
    </w:p>
    <w:p w14:paraId="47388C31" w14:textId="5CA18781" w:rsidR="00DA3E6E" w:rsidRPr="00300732" w:rsidRDefault="00DA3E6E" w:rsidP="00300732">
      <w:pPr>
        <w:rPr>
          <w:rFonts w:cstheme="minorHAnsi"/>
          <w:lang w:val="en"/>
        </w:rPr>
      </w:pPr>
      <w:r w:rsidRPr="002D3C5E">
        <w:rPr>
          <w:rFonts w:cstheme="minorHAnsi"/>
        </w:rPr>
        <w:t xml:space="preserve">No dose adjustment is necessary in patients with elevation </w:t>
      </w:r>
      <w:r w:rsidR="00FE435D" w:rsidRPr="00FE435D">
        <w:rPr>
          <w:rFonts w:cstheme="minorHAnsi"/>
        </w:rPr>
        <w:t>of aspartate aminotransferase (AST) &gt; upper limit of normal (</w:t>
      </w:r>
      <w:proofErr w:type="spellStart"/>
      <w:r w:rsidR="00FE435D" w:rsidRPr="00FE435D">
        <w:rPr>
          <w:rFonts w:cstheme="minorHAnsi"/>
        </w:rPr>
        <w:t>ULN</w:t>
      </w:r>
      <w:proofErr w:type="spellEnd"/>
      <w:r w:rsidR="00FE435D" w:rsidRPr="00FE435D">
        <w:rPr>
          <w:rFonts w:cstheme="minorHAnsi"/>
        </w:rPr>
        <w:t>) and</w:t>
      </w:r>
      <w:r w:rsidRPr="002D3C5E">
        <w:rPr>
          <w:rFonts w:cstheme="minorHAnsi"/>
        </w:rPr>
        <w:t xml:space="preserve"> </w:t>
      </w:r>
      <w:r w:rsidR="000E0C28" w:rsidRPr="000E0C28">
        <w:rPr>
          <w:rFonts w:cstheme="minorHAnsi"/>
        </w:rPr>
        <w:t xml:space="preserve">total bilirubin ≤ </w:t>
      </w:r>
      <w:proofErr w:type="spellStart"/>
      <w:r w:rsidR="000E0C28" w:rsidRPr="000E0C28">
        <w:rPr>
          <w:rFonts w:cstheme="minorHAnsi"/>
        </w:rPr>
        <w:t>ULN</w:t>
      </w:r>
      <w:proofErr w:type="spellEnd"/>
      <w:r w:rsidR="000E0C28" w:rsidRPr="000E0C28">
        <w:rPr>
          <w:rFonts w:cstheme="minorHAnsi"/>
        </w:rPr>
        <w:t>, or</w:t>
      </w:r>
      <w:r w:rsidR="00282D5D">
        <w:rPr>
          <w:rFonts w:cstheme="minorHAnsi"/>
        </w:rPr>
        <w:t xml:space="preserve"> in </w:t>
      </w:r>
      <w:r w:rsidR="00F4229C">
        <w:rPr>
          <w:rFonts w:cstheme="minorHAnsi"/>
        </w:rPr>
        <w:t xml:space="preserve">total bilirubin </w:t>
      </w:r>
      <w:r w:rsidRPr="002D3C5E">
        <w:rPr>
          <w:rFonts w:cstheme="minorHAnsi"/>
        </w:rPr>
        <w:t xml:space="preserve">(total bilirubin &gt; 1.0 to </w:t>
      </w:r>
      <w:proofErr w:type="spellStart"/>
      <w:r w:rsidRPr="002D3C5E">
        <w:rPr>
          <w:rFonts w:cstheme="minorHAnsi"/>
        </w:rPr>
        <w:t>1.5×ULN</w:t>
      </w:r>
      <w:proofErr w:type="spellEnd"/>
      <w:r w:rsidRPr="002D3C5E">
        <w:rPr>
          <w:rFonts w:cstheme="minorHAnsi"/>
        </w:rPr>
        <w:t xml:space="preserve">). </w:t>
      </w:r>
      <w:proofErr w:type="spellStart"/>
      <w:r>
        <w:rPr>
          <w:rFonts w:cstheme="minorHAnsi"/>
        </w:rPr>
        <w:t>REDEMPLO</w:t>
      </w:r>
      <w:proofErr w:type="spellEnd"/>
      <w:r w:rsidRPr="002D3C5E">
        <w:rPr>
          <w:rFonts w:cstheme="minorHAnsi"/>
        </w:rPr>
        <w:t xml:space="preserve"> has not been studied in patients with moderate or severe hepatic impairment and should only be used in these patients if the anticipated clinical benefit </w:t>
      </w:r>
      <w:r w:rsidRPr="00741CC1">
        <w:rPr>
          <w:rFonts w:cstheme="minorHAnsi"/>
        </w:rPr>
        <w:t>outweighs</w:t>
      </w:r>
      <w:r w:rsidRPr="002D3C5E">
        <w:rPr>
          <w:rFonts w:cstheme="minorHAnsi"/>
        </w:rPr>
        <w:t xml:space="preserve"> the potential risk (see Section </w:t>
      </w:r>
      <w:r w:rsidRPr="00554C24">
        <w:rPr>
          <w:rFonts w:cstheme="minorHAnsi"/>
          <w:color w:val="0000CC"/>
          <w:lang w:val="en"/>
        </w:rPr>
        <w:fldChar w:fldCharType="begin"/>
      </w:r>
      <w:r w:rsidRPr="00554C24">
        <w:rPr>
          <w:rFonts w:cstheme="minorHAnsi"/>
          <w:color w:val="0000CC"/>
          <w:lang w:val="en"/>
        </w:rPr>
        <w:instrText xml:space="preserve"> REF _Ref187918483 \w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
        </w:rPr>
        <w:t>5.2</w:t>
      </w:r>
      <w:r w:rsidRPr="00554C24">
        <w:rPr>
          <w:rFonts w:cstheme="minorHAnsi"/>
          <w:color w:val="0000CC"/>
          <w:lang w:val="en"/>
        </w:rPr>
        <w:fldChar w:fldCharType="end"/>
      </w:r>
      <w:r w:rsidRPr="00554C24">
        <w:rPr>
          <w:rFonts w:cstheme="minorHAnsi"/>
          <w:color w:val="0000CC"/>
          <w:lang w:val="en"/>
        </w:rPr>
        <w:t xml:space="preserve"> </w:t>
      </w:r>
      <w:r w:rsidRPr="00554C24">
        <w:rPr>
          <w:rFonts w:cstheme="minorHAnsi"/>
          <w:color w:val="0000CC"/>
          <w:lang w:val="en"/>
        </w:rPr>
        <w:fldChar w:fldCharType="begin"/>
      </w:r>
      <w:r w:rsidRPr="00554C24">
        <w:rPr>
          <w:rFonts w:cstheme="minorHAnsi"/>
          <w:color w:val="0000CC"/>
          <w:lang w:val="en"/>
        </w:rPr>
        <w:instrText xml:space="preserve"> REF _Ref187918483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US"/>
        </w:rPr>
        <w:t>Pharmacokinetic properties</w:t>
      </w:r>
      <w:r w:rsidRPr="00554C24">
        <w:rPr>
          <w:rFonts w:cstheme="minorHAnsi"/>
          <w:color w:val="0000CC"/>
          <w:lang w:val="en"/>
        </w:rPr>
        <w:fldChar w:fldCharType="end"/>
      </w:r>
      <w:r w:rsidRPr="002D3C5E">
        <w:rPr>
          <w:rFonts w:cstheme="minorHAnsi"/>
        </w:rPr>
        <w:t>)</w:t>
      </w:r>
      <w:r w:rsidRPr="00267A6D">
        <w:rPr>
          <w:rFonts w:cstheme="minorHAnsi"/>
        </w:rPr>
        <w:t>.</w:t>
      </w:r>
    </w:p>
    <w:p w14:paraId="5F671727" w14:textId="77777777" w:rsidR="00DA3E6E" w:rsidRPr="00300732" w:rsidRDefault="00DA3E6E" w:rsidP="006C0D48">
      <w:pPr>
        <w:pStyle w:val="Heading4"/>
      </w:pPr>
      <w:proofErr w:type="spellStart"/>
      <w:r w:rsidRPr="7A83EB8D">
        <w:rPr>
          <w:lang w:val="en-US"/>
        </w:rPr>
        <w:t>Paediatric</w:t>
      </w:r>
      <w:proofErr w:type="spellEnd"/>
      <w:r w:rsidRPr="7A83EB8D">
        <w:rPr>
          <w:lang w:val="en-US"/>
        </w:rPr>
        <w:t xml:space="preserve"> population</w:t>
      </w:r>
    </w:p>
    <w:p w14:paraId="10F02DD4" w14:textId="77777777" w:rsidR="00DA3E6E" w:rsidRPr="00300732" w:rsidRDefault="00DA3E6E" w:rsidP="00300732">
      <w:pPr>
        <w:rPr>
          <w:lang w:val="en-US"/>
        </w:rPr>
      </w:pPr>
      <w:r w:rsidRPr="7A83EB8D">
        <w:rPr>
          <w:lang w:val="en-US"/>
        </w:rPr>
        <w:t xml:space="preserve">The safety and efficacy of this medicinal product in children and adolescents &lt;18 years of age have not yet been established. No data </w:t>
      </w:r>
      <w:proofErr w:type="gramStart"/>
      <w:r w:rsidRPr="7A83EB8D">
        <w:rPr>
          <w:lang w:val="en-US"/>
        </w:rPr>
        <w:t>are</w:t>
      </w:r>
      <w:proofErr w:type="gramEnd"/>
      <w:r w:rsidRPr="7A83EB8D">
        <w:rPr>
          <w:lang w:val="en-US"/>
        </w:rPr>
        <w:t xml:space="preserve"> available.</w:t>
      </w:r>
    </w:p>
    <w:p w14:paraId="691ADEC0" w14:textId="77777777" w:rsidR="00DA3E6E" w:rsidRPr="00C53815" w:rsidRDefault="00DA3E6E" w:rsidP="00C53815">
      <w:pPr>
        <w:pStyle w:val="Heading3"/>
      </w:pPr>
      <w:r>
        <w:t>Method of administration</w:t>
      </w:r>
    </w:p>
    <w:p w14:paraId="46E0698E" w14:textId="77777777" w:rsidR="00DA3E6E" w:rsidRPr="00C41BEC" w:rsidRDefault="00DA3E6E" w:rsidP="004F1009">
      <w:pPr>
        <w:rPr>
          <w:lang w:val="en"/>
        </w:rPr>
      </w:pPr>
      <w:r w:rsidRPr="00C41BEC">
        <w:rPr>
          <w:lang w:val="en"/>
        </w:rPr>
        <w:t>This medicinal product is intended for subcutaneous use only. It should not be administered</w:t>
      </w:r>
      <w:r>
        <w:rPr>
          <w:lang w:val="en"/>
        </w:rPr>
        <w:t xml:space="preserve"> </w:t>
      </w:r>
      <w:r w:rsidRPr="00C41BEC">
        <w:rPr>
          <w:lang w:val="en"/>
        </w:rPr>
        <w:t>intramuscularly or intravenously.</w:t>
      </w:r>
    </w:p>
    <w:p w14:paraId="2A3E4574" w14:textId="77777777" w:rsidR="00DA3E6E" w:rsidRPr="00C41BEC" w:rsidRDefault="00DA3E6E" w:rsidP="004F1009">
      <w:pPr>
        <w:rPr>
          <w:lang w:val="en-US"/>
        </w:rPr>
      </w:pPr>
      <w:r w:rsidRPr="7A83EB8D">
        <w:rPr>
          <w:lang w:val="en-US"/>
        </w:rPr>
        <w:t>Each pre-filled syringe is for single use only.</w:t>
      </w:r>
    </w:p>
    <w:p w14:paraId="31FB36F4" w14:textId="77777777" w:rsidR="00DA3E6E" w:rsidRPr="00C41BEC" w:rsidRDefault="00DA3E6E" w:rsidP="004F1009">
      <w:pPr>
        <w:rPr>
          <w:lang w:val="en"/>
        </w:rPr>
      </w:pPr>
      <w:r w:rsidRPr="00C41BEC">
        <w:rPr>
          <w:lang w:val="en"/>
        </w:rPr>
        <w:t xml:space="preserve">The first injection </w:t>
      </w:r>
      <w:r>
        <w:rPr>
          <w:lang w:val="en"/>
        </w:rPr>
        <w:t>a</w:t>
      </w:r>
      <w:r w:rsidRPr="00C41BEC">
        <w:rPr>
          <w:lang w:val="en"/>
        </w:rPr>
        <w:t xml:space="preserve">dministered by the patient or caregiver should be performed under the guidance of an appropriately qualified health care professional. </w:t>
      </w:r>
    </w:p>
    <w:p w14:paraId="0D77F0E1" w14:textId="77777777" w:rsidR="00DA3E6E" w:rsidRPr="003619FA" w:rsidRDefault="00DA3E6E" w:rsidP="004F1009">
      <w:pPr>
        <w:rPr>
          <w:lang w:val="en"/>
        </w:rPr>
      </w:pPr>
      <w:r w:rsidRPr="00C41BEC">
        <w:rPr>
          <w:lang w:val="en"/>
        </w:rPr>
        <w:t xml:space="preserve">Sites for </w:t>
      </w:r>
      <w:r w:rsidRPr="003619FA">
        <w:rPr>
          <w:lang w:val="en"/>
        </w:rPr>
        <w:t xml:space="preserve">injection include upper arm (when administered by caregiver), thigh, and abdomen </w:t>
      </w:r>
      <w:r w:rsidRPr="002D3C5E">
        <w:rPr>
          <w:lang w:val="en"/>
        </w:rPr>
        <w:t>(except within two inches of the navel).</w:t>
      </w:r>
      <w:r w:rsidRPr="003619FA">
        <w:rPr>
          <w:lang w:val="en"/>
        </w:rPr>
        <w:t xml:space="preserve"> This medicinal product should not be injected into an area where the skin is tender, bruised, red, hard, cut, with scars or stretch marks. This medicinal product should not be injected in the same area where other medicines are injected.</w:t>
      </w:r>
    </w:p>
    <w:p w14:paraId="4D60B118" w14:textId="20715211" w:rsidR="00DA3E6E" w:rsidRPr="002D3C5E" w:rsidRDefault="00DA3E6E" w:rsidP="004F1009">
      <w:pPr>
        <w:rPr>
          <w:lang w:val="en"/>
        </w:rPr>
      </w:pPr>
      <w:r w:rsidRPr="002D3C5E">
        <w:rPr>
          <w:lang w:val="en"/>
        </w:rPr>
        <w:t xml:space="preserve">For instructions on handling of the medicinal product before administration, see </w:t>
      </w:r>
      <w:r>
        <w:rPr>
          <w:lang w:val="en"/>
        </w:rPr>
        <w:t>S</w:t>
      </w:r>
      <w:r w:rsidRPr="002D3C5E">
        <w:rPr>
          <w:lang w:val="en"/>
        </w:rPr>
        <w:t xml:space="preserve">ection </w:t>
      </w:r>
      <w:r w:rsidRPr="00554C24">
        <w:rPr>
          <w:color w:val="0000CC"/>
          <w:lang w:val="en"/>
        </w:rPr>
        <w:fldChar w:fldCharType="begin"/>
      </w:r>
      <w:r w:rsidRPr="00554C24">
        <w:rPr>
          <w:color w:val="0000CC"/>
          <w:lang w:val="en"/>
        </w:rPr>
        <w:instrText xml:space="preserve"> REF _Ref206090298 \r \h </w:instrText>
      </w:r>
      <w:r w:rsidRPr="00554C24">
        <w:rPr>
          <w:color w:val="0000CC"/>
          <w:lang w:val="en"/>
        </w:rPr>
      </w:r>
      <w:r w:rsidRPr="00554C24">
        <w:rPr>
          <w:color w:val="0000CC"/>
          <w:lang w:val="en"/>
        </w:rPr>
        <w:fldChar w:fldCharType="separate"/>
      </w:r>
      <w:r w:rsidR="00C31D8F" w:rsidRPr="00554C24">
        <w:rPr>
          <w:color w:val="0000CC"/>
          <w:lang w:val="en"/>
        </w:rPr>
        <w:t>6.6</w:t>
      </w:r>
      <w:r w:rsidRPr="00554C24">
        <w:rPr>
          <w:color w:val="0000CC"/>
          <w:lang w:val="en"/>
        </w:rPr>
        <w:fldChar w:fldCharType="end"/>
      </w:r>
      <w:r w:rsidRPr="00554C24">
        <w:rPr>
          <w:color w:val="0000CC"/>
          <w:lang w:val="en"/>
        </w:rPr>
        <w:t xml:space="preserve"> </w:t>
      </w:r>
      <w:r w:rsidRPr="00554C24">
        <w:rPr>
          <w:color w:val="0000CC"/>
          <w:lang w:val="en"/>
        </w:rPr>
        <w:fldChar w:fldCharType="begin"/>
      </w:r>
      <w:r w:rsidRPr="00554C24">
        <w:rPr>
          <w:color w:val="0000CC"/>
          <w:lang w:val="en"/>
        </w:rPr>
        <w:instrText xml:space="preserve"> REF _Ref206090298 \h </w:instrText>
      </w:r>
      <w:r w:rsidRPr="00554C24">
        <w:rPr>
          <w:color w:val="0000CC"/>
          <w:lang w:val="en"/>
        </w:rPr>
      </w:r>
      <w:r w:rsidRPr="00554C24">
        <w:rPr>
          <w:color w:val="0000CC"/>
          <w:lang w:val="en"/>
        </w:rPr>
        <w:fldChar w:fldCharType="separate"/>
      </w:r>
      <w:r w:rsidR="00C31D8F" w:rsidRPr="00554C24">
        <w:rPr>
          <w:rFonts w:cstheme="minorHAnsi"/>
          <w:color w:val="0000CC"/>
          <w:lang w:val="en-US"/>
        </w:rPr>
        <w:t>Special precautions for disposal</w:t>
      </w:r>
      <w:r w:rsidRPr="00554C24">
        <w:rPr>
          <w:color w:val="0000CC"/>
          <w:lang w:val="en"/>
        </w:rPr>
        <w:fldChar w:fldCharType="end"/>
      </w:r>
      <w:r w:rsidRPr="002D3C5E">
        <w:rPr>
          <w:lang w:val="en"/>
        </w:rPr>
        <w:t xml:space="preserve">. </w:t>
      </w:r>
    </w:p>
    <w:p w14:paraId="1176B8E4" w14:textId="1A2AD7E0" w:rsidR="00DA3E6E" w:rsidRPr="005732B5" w:rsidRDefault="00DA3E6E" w:rsidP="004F1009">
      <w:pPr>
        <w:rPr>
          <w:rFonts w:asciiTheme="majorHAnsi" w:hAnsiTheme="majorHAnsi"/>
          <w:lang w:val="en"/>
        </w:rPr>
      </w:pPr>
      <w:r>
        <w:rPr>
          <w:lang w:val="en"/>
        </w:rPr>
        <w:t>R</w:t>
      </w:r>
      <w:r w:rsidRPr="00FF164D">
        <w:rPr>
          <w:lang w:val="en"/>
        </w:rPr>
        <w:t>efer to the Instruction</w:t>
      </w:r>
      <w:r>
        <w:rPr>
          <w:lang w:val="en"/>
        </w:rPr>
        <w:t>s</w:t>
      </w:r>
      <w:r w:rsidRPr="00FF164D">
        <w:rPr>
          <w:lang w:val="en"/>
        </w:rPr>
        <w:t xml:space="preserve"> for Use</w:t>
      </w:r>
      <w:r>
        <w:rPr>
          <w:lang w:val="en"/>
        </w:rPr>
        <w:t xml:space="preserve"> for d</w:t>
      </w:r>
      <w:r w:rsidRPr="002D3C5E">
        <w:rPr>
          <w:lang w:val="en"/>
        </w:rPr>
        <w:t>etailed instructions</w:t>
      </w:r>
      <w:r>
        <w:rPr>
          <w:lang w:val="en"/>
        </w:rPr>
        <w:t xml:space="preserve"> </w:t>
      </w:r>
      <w:r w:rsidRPr="002D3C5E">
        <w:rPr>
          <w:lang w:val="en"/>
        </w:rPr>
        <w:t>for the administration of the medicinal product</w:t>
      </w:r>
      <w:r>
        <w:rPr>
          <w:lang w:val="en"/>
        </w:rPr>
        <w:t>.</w:t>
      </w:r>
    </w:p>
    <w:p w14:paraId="129FCE22" w14:textId="77777777" w:rsidR="00DA3E6E" w:rsidRDefault="00DA3E6E" w:rsidP="00B33913">
      <w:pPr>
        <w:pStyle w:val="Heading2"/>
        <w:pageBreakBefore/>
        <w:spacing w:before="0" w:after="120"/>
        <w:rPr>
          <w:rFonts w:cstheme="minorHAnsi"/>
        </w:rPr>
      </w:pPr>
      <w:r w:rsidRPr="00675A74">
        <w:rPr>
          <w:rFonts w:cstheme="minorHAnsi"/>
        </w:rPr>
        <w:lastRenderedPageBreak/>
        <w:t>Contraindications</w:t>
      </w:r>
    </w:p>
    <w:p w14:paraId="17B3B6E3" w14:textId="255B96DA" w:rsidR="00DA3E6E" w:rsidRPr="00625BE0" w:rsidRDefault="00DA3E6E" w:rsidP="00FC3471">
      <w:r w:rsidRPr="00FC3471">
        <w:rPr>
          <w:rFonts w:cstheme="minorHAnsi"/>
          <w:lang w:val="en"/>
        </w:rPr>
        <w:t xml:space="preserve">Hypersensitivity to the active substance or to any of the excipients listed in </w:t>
      </w:r>
      <w:r>
        <w:rPr>
          <w:rFonts w:cstheme="minorHAnsi"/>
          <w:lang w:val="en"/>
        </w:rPr>
        <w:t>S</w:t>
      </w:r>
      <w:r w:rsidRPr="00FC3471">
        <w:rPr>
          <w:rFonts w:cstheme="minorHAnsi"/>
          <w:lang w:val="en"/>
        </w:rPr>
        <w:t>ection</w:t>
      </w:r>
      <w:r>
        <w:rPr>
          <w:rFonts w:cstheme="minorHAnsi"/>
          <w:lang w:val="en"/>
        </w:rPr>
        <w:t xml:space="preserve"> </w:t>
      </w:r>
      <w:r w:rsidRPr="00554C24">
        <w:rPr>
          <w:rFonts w:cstheme="minorHAnsi"/>
          <w:color w:val="0000CC"/>
          <w:lang w:val="en"/>
        </w:rPr>
        <w:fldChar w:fldCharType="begin"/>
      </w:r>
      <w:r w:rsidRPr="00554C24">
        <w:rPr>
          <w:rFonts w:cstheme="minorHAnsi"/>
          <w:color w:val="0000CC"/>
          <w:lang w:val="en"/>
        </w:rPr>
        <w:instrText xml:space="preserve"> REF _Ref206090256 \r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
        </w:rPr>
        <w:t>6.1</w:t>
      </w:r>
      <w:r w:rsidRPr="00554C24">
        <w:rPr>
          <w:rFonts w:cstheme="minorHAnsi"/>
          <w:color w:val="0000CC"/>
          <w:lang w:val="en"/>
        </w:rPr>
        <w:fldChar w:fldCharType="end"/>
      </w:r>
      <w:r w:rsidRPr="00554C24">
        <w:rPr>
          <w:rFonts w:cstheme="minorHAnsi"/>
          <w:color w:val="0000CC"/>
          <w:lang w:val="en"/>
        </w:rPr>
        <w:t xml:space="preserve"> </w:t>
      </w:r>
      <w:r w:rsidRPr="00554C24">
        <w:rPr>
          <w:rFonts w:cstheme="minorHAnsi"/>
          <w:color w:val="0000CC"/>
          <w:lang w:val="en"/>
        </w:rPr>
        <w:fldChar w:fldCharType="begin"/>
      </w:r>
      <w:r w:rsidRPr="00554C24">
        <w:rPr>
          <w:rFonts w:cstheme="minorHAnsi"/>
          <w:color w:val="0000CC"/>
          <w:lang w:val="en"/>
        </w:rPr>
        <w:instrText xml:space="preserve"> REF _Ref206090256 \h </w:instrText>
      </w:r>
      <w:r w:rsidRPr="00554C24">
        <w:rPr>
          <w:rFonts w:cstheme="minorHAnsi"/>
          <w:color w:val="0000CC"/>
          <w:lang w:val="en"/>
        </w:rPr>
      </w:r>
      <w:r w:rsidRPr="00554C24">
        <w:rPr>
          <w:rFonts w:cstheme="minorHAnsi"/>
          <w:color w:val="0000CC"/>
          <w:lang w:val="en"/>
        </w:rPr>
        <w:fldChar w:fldCharType="separate"/>
      </w:r>
      <w:r w:rsidR="00C31D8F" w:rsidRPr="00554C24">
        <w:rPr>
          <w:rFonts w:cstheme="minorHAnsi"/>
          <w:color w:val="0000CC"/>
          <w:lang w:val="en-US"/>
        </w:rPr>
        <w:t>List of excipients</w:t>
      </w:r>
      <w:r w:rsidRPr="00554C24">
        <w:rPr>
          <w:rFonts w:cstheme="minorHAnsi"/>
          <w:color w:val="0000CC"/>
          <w:lang w:val="en"/>
        </w:rPr>
        <w:fldChar w:fldCharType="end"/>
      </w:r>
      <w:r>
        <w:rPr>
          <w:rFonts w:cstheme="minorHAnsi"/>
          <w:lang w:val="en"/>
        </w:rPr>
        <w:t xml:space="preserve">. </w:t>
      </w:r>
    </w:p>
    <w:p w14:paraId="647BCF58" w14:textId="77777777" w:rsidR="00DA3E6E" w:rsidRPr="00625BE0" w:rsidRDefault="00DA3E6E" w:rsidP="00FC71E9">
      <w:pPr>
        <w:pStyle w:val="Heading2"/>
        <w:keepNext/>
        <w:spacing w:before="0" w:after="120"/>
      </w:pPr>
      <w:r w:rsidRPr="00675A74">
        <w:rPr>
          <w:rFonts w:cstheme="minorHAnsi"/>
        </w:rPr>
        <w:t>Special warnings and precautions for use</w:t>
      </w:r>
    </w:p>
    <w:p w14:paraId="7CCE5B9A" w14:textId="77777777" w:rsidR="00DA3E6E" w:rsidRPr="006C0D48" w:rsidRDefault="00DA3E6E" w:rsidP="006C0D48">
      <w:pPr>
        <w:pStyle w:val="Heading3"/>
      </w:pPr>
      <w:r w:rsidRPr="00675A74">
        <w:t>Use in the elderly</w:t>
      </w:r>
    </w:p>
    <w:p w14:paraId="139D0DB9" w14:textId="77777777" w:rsidR="00DA3E6E" w:rsidRPr="00675A74" w:rsidRDefault="00DA3E6E" w:rsidP="006C0D48">
      <w:r>
        <w:rPr>
          <w:rFonts w:cstheme="minorHAnsi"/>
          <w:lang w:val="en"/>
        </w:rPr>
        <w:t xml:space="preserve">There are no special precautions for the use of </w:t>
      </w:r>
      <w:proofErr w:type="spellStart"/>
      <w:r>
        <w:rPr>
          <w:rFonts w:cstheme="minorHAnsi"/>
          <w:lang w:val="en"/>
        </w:rPr>
        <w:t>REDEMPLO</w:t>
      </w:r>
      <w:proofErr w:type="spellEnd"/>
      <w:r>
        <w:rPr>
          <w:rFonts w:cstheme="minorHAnsi"/>
          <w:lang w:val="en"/>
        </w:rPr>
        <w:t xml:space="preserve"> in the elderly.</w:t>
      </w:r>
    </w:p>
    <w:p w14:paraId="0B241F8B" w14:textId="77777777" w:rsidR="00DA3E6E" w:rsidRPr="00625BE0" w:rsidRDefault="00DA3E6E" w:rsidP="006C0D48">
      <w:pPr>
        <w:pStyle w:val="Heading3"/>
      </w:pPr>
      <w:r w:rsidRPr="00675A74">
        <w:t>Paediatric use</w:t>
      </w:r>
    </w:p>
    <w:p w14:paraId="03DAC6DB" w14:textId="77777777" w:rsidR="00DA3E6E" w:rsidRDefault="00DA3E6E" w:rsidP="006C0D48">
      <w:pPr>
        <w:rPr>
          <w:lang w:val="en-US"/>
        </w:rPr>
      </w:pPr>
      <w:r w:rsidRPr="7A83EB8D">
        <w:rPr>
          <w:lang w:val="en-US"/>
        </w:rPr>
        <w:t>No data available.</w:t>
      </w:r>
    </w:p>
    <w:p w14:paraId="24F00440" w14:textId="46A1889C" w:rsidR="00614CEC" w:rsidRDefault="00614CEC" w:rsidP="001B5937">
      <w:pPr>
        <w:pStyle w:val="Heading3"/>
      </w:pPr>
      <w:r>
        <w:t>Endocrine and Metabolism</w:t>
      </w:r>
    </w:p>
    <w:p w14:paraId="4318A9DE" w14:textId="72B2DA39" w:rsidR="00614CEC" w:rsidRDefault="00614CEC" w:rsidP="00614CEC">
      <w:r>
        <w:t xml:space="preserve">Modest increases in </w:t>
      </w:r>
      <w:proofErr w:type="spellStart"/>
      <w:r>
        <w:t>HbA1c</w:t>
      </w:r>
      <w:proofErr w:type="spellEnd"/>
      <w:r>
        <w:t xml:space="preserve"> were observed in the Phase 3 study, particularly in </w:t>
      </w:r>
      <w:r w:rsidR="00EA58E1">
        <w:t xml:space="preserve">patients </w:t>
      </w:r>
      <w:r>
        <w:t>with prediabetes or diabetes at baseline</w:t>
      </w:r>
      <w:r w:rsidR="0005755C">
        <w:t xml:space="preserve"> (</w:t>
      </w:r>
      <w:r w:rsidR="004011DF">
        <w:t xml:space="preserve">see </w:t>
      </w:r>
      <w:r w:rsidR="0005755C" w:rsidRPr="00627572">
        <w:rPr>
          <w:color w:val="0000CC"/>
        </w:rPr>
        <w:t xml:space="preserve">Section </w:t>
      </w:r>
      <w:r w:rsidR="00627572" w:rsidRPr="00627572">
        <w:rPr>
          <w:color w:val="0000CC"/>
        </w:rPr>
        <w:fldChar w:fldCharType="begin"/>
      </w:r>
      <w:r w:rsidR="00627572" w:rsidRPr="00627572">
        <w:rPr>
          <w:color w:val="0000CC"/>
        </w:rPr>
        <w:instrText xml:space="preserve"> REF _Ref222218465 \w \h </w:instrText>
      </w:r>
      <w:r w:rsidR="00627572" w:rsidRPr="00627572">
        <w:rPr>
          <w:color w:val="0000CC"/>
        </w:rPr>
      </w:r>
      <w:r w:rsidR="00627572" w:rsidRPr="00627572">
        <w:rPr>
          <w:color w:val="0000CC"/>
        </w:rPr>
        <w:fldChar w:fldCharType="separate"/>
      </w:r>
      <w:r w:rsidR="00627572" w:rsidRPr="00627572">
        <w:rPr>
          <w:color w:val="0000CC"/>
        </w:rPr>
        <w:t>4.8</w:t>
      </w:r>
      <w:r w:rsidR="00627572" w:rsidRPr="00627572">
        <w:rPr>
          <w:color w:val="0000CC"/>
        </w:rPr>
        <w:fldChar w:fldCharType="end"/>
      </w:r>
      <w:r w:rsidR="00EE0EB6" w:rsidRPr="0050214C">
        <w:rPr>
          <w:color w:val="0000CC"/>
        </w:rPr>
        <w:t xml:space="preserve"> Adverse </w:t>
      </w:r>
      <w:r w:rsidR="0005363A">
        <w:rPr>
          <w:color w:val="0000CC"/>
        </w:rPr>
        <w:t>e</w:t>
      </w:r>
      <w:r w:rsidR="00EE0EB6" w:rsidRPr="0050214C">
        <w:rPr>
          <w:color w:val="0000CC"/>
        </w:rPr>
        <w:t>ffects</w:t>
      </w:r>
      <w:r w:rsidR="0005755C">
        <w:t>)</w:t>
      </w:r>
      <w:r>
        <w:t>. Treatment-emergent adverse events related to hyperglyc</w:t>
      </w:r>
      <w:r w:rsidR="00386594">
        <w:t>a</w:t>
      </w:r>
      <w:r>
        <w:t xml:space="preserve">emia occurred more frequently in </w:t>
      </w:r>
      <w:proofErr w:type="spellStart"/>
      <w:r>
        <w:t>plozasiran</w:t>
      </w:r>
      <w:proofErr w:type="spellEnd"/>
      <w:r>
        <w:t xml:space="preserve">-treated </w:t>
      </w:r>
      <w:r w:rsidR="00EA58E1">
        <w:t xml:space="preserve">patients </w:t>
      </w:r>
      <w:r>
        <w:t>than placebo</w:t>
      </w:r>
      <w:r w:rsidR="0005755C">
        <w:t xml:space="preserve"> </w:t>
      </w:r>
      <w:r>
        <w:t>(</w:t>
      </w:r>
      <w:r w:rsidR="00F54B9C">
        <w:t xml:space="preserve">see </w:t>
      </w:r>
      <w:r w:rsidR="006A258C" w:rsidRPr="00627572">
        <w:rPr>
          <w:color w:val="0000CC"/>
        </w:rPr>
        <w:t>S</w:t>
      </w:r>
      <w:r w:rsidR="00386594" w:rsidRPr="00627572">
        <w:rPr>
          <w:color w:val="0000CC"/>
        </w:rPr>
        <w:t xml:space="preserve">ection </w:t>
      </w:r>
      <w:r w:rsidR="00627572" w:rsidRPr="00627572">
        <w:rPr>
          <w:color w:val="0000CC"/>
        </w:rPr>
        <w:fldChar w:fldCharType="begin"/>
      </w:r>
      <w:r w:rsidR="00627572" w:rsidRPr="00627572">
        <w:rPr>
          <w:color w:val="0000CC"/>
        </w:rPr>
        <w:instrText xml:space="preserve"> REF _Ref222218465 \w \h </w:instrText>
      </w:r>
      <w:r w:rsidR="00627572" w:rsidRPr="00627572">
        <w:rPr>
          <w:color w:val="0000CC"/>
        </w:rPr>
      </w:r>
      <w:r w:rsidR="00627572" w:rsidRPr="00627572">
        <w:rPr>
          <w:color w:val="0000CC"/>
        </w:rPr>
        <w:fldChar w:fldCharType="separate"/>
      </w:r>
      <w:r w:rsidR="00627572" w:rsidRPr="00627572">
        <w:rPr>
          <w:color w:val="0000CC"/>
        </w:rPr>
        <w:t>4.8</w:t>
      </w:r>
      <w:r w:rsidR="00627572" w:rsidRPr="00627572">
        <w:rPr>
          <w:color w:val="0000CC"/>
        </w:rPr>
        <w:fldChar w:fldCharType="end"/>
      </w:r>
      <w:r w:rsidR="0050214C">
        <w:rPr>
          <w:color w:val="0000CC"/>
        </w:rPr>
        <w:t xml:space="preserve"> </w:t>
      </w:r>
      <w:r w:rsidR="00EE0EB6" w:rsidRPr="0050214C">
        <w:rPr>
          <w:color w:val="0000CC"/>
        </w:rPr>
        <w:t xml:space="preserve">Adverse </w:t>
      </w:r>
      <w:r w:rsidR="0005363A">
        <w:rPr>
          <w:color w:val="0000CC"/>
        </w:rPr>
        <w:t>e</w:t>
      </w:r>
      <w:r w:rsidR="00EE0EB6" w:rsidRPr="0050214C">
        <w:rPr>
          <w:color w:val="0000CC"/>
        </w:rPr>
        <w:t>ffects</w:t>
      </w:r>
      <w:r>
        <w:t xml:space="preserve">). </w:t>
      </w:r>
    </w:p>
    <w:p w14:paraId="4E8EB748" w14:textId="4732F716" w:rsidR="00614CEC" w:rsidRPr="00614CEC" w:rsidRDefault="00614CEC" w:rsidP="00583BAB">
      <w:r>
        <w:t>Monitor patients with or at risk of impaired glucose tolerance for changes in glyc</w:t>
      </w:r>
      <w:r w:rsidR="00386594">
        <w:t>a</w:t>
      </w:r>
      <w:r>
        <w:t>emic parameters accordingly.</w:t>
      </w:r>
    </w:p>
    <w:p w14:paraId="66619CFA" w14:textId="53D81D7C" w:rsidR="001B5937" w:rsidRPr="00625BE0" w:rsidRDefault="001B5937" w:rsidP="001B5937">
      <w:pPr>
        <w:pStyle w:val="Heading3"/>
      </w:pPr>
      <w:r>
        <w:t>Monitoring and Laboratory Tests</w:t>
      </w:r>
    </w:p>
    <w:p w14:paraId="367E3504" w14:textId="12AFB9A3" w:rsidR="001B5937" w:rsidRPr="001B4DF7" w:rsidRDefault="001B5937" w:rsidP="006C0D48">
      <w:pPr>
        <w:rPr>
          <w:noProof/>
        </w:rPr>
      </w:pPr>
      <w:r>
        <w:rPr>
          <w:noProof/>
        </w:rPr>
        <w:t xml:space="preserve">Lipid parameters should be monitored periodically during treatment with REDEMPLO, particularly in patients who demonstrate elevated </w:t>
      </w:r>
      <w:r w:rsidR="00FB4C6C">
        <w:rPr>
          <w:noProof/>
        </w:rPr>
        <w:t>low-density</w:t>
      </w:r>
      <w:r w:rsidR="000A3D94">
        <w:rPr>
          <w:noProof/>
        </w:rPr>
        <w:t xml:space="preserve"> lipoprotein-cholesterol (</w:t>
      </w:r>
      <w:r>
        <w:rPr>
          <w:noProof/>
        </w:rPr>
        <w:t>LDL-C</w:t>
      </w:r>
      <w:r w:rsidR="000A3D94">
        <w:rPr>
          <w:noProof/>
        </w:rPr>
        <w:t>)</w:t>
      </w:r>
      <w:r>
        <w:rPr>
          <w:noProof/>
        </w:rPr>
        <w:t xml:space="preserve"> while on therapy or in patients at high risk for cardiovascular disease.</w:t>
      </w:r>
    </w:p>
    <w:p w14:paraId="7B0B6B3D" w14:textId="77777777" w:rsidR="00DA3E6E" w:rsidRPr="006C0D48" w:rsidRDefault="00DA3E6E" w:rsidP="006C0D48">
      <w:pPr>
        <w:pStyle w:val="Heading2"/>
        <w:keepNext/>
        <w:keepLines/>
        <w:spacing w:before="0" w:after="120"/>
        <w:rPr>
          <w:rFonts w:cstheme="minorHAnsi"/>
        </w:rPr>
      </w:pPr>
      <w:r w:rsidRPr="00675A74">
        <w:rPr>
          <w:rFonts w:cstheme="minorHAnsi"/>
        </w:rPr>
        <w:t>Interactions with other medicines and other forms of interactions</w:t>
      </w:r>
    </w:p>
    <w:p w14:paraId="001DFF65" w14:textId="77777777" w:rsidR="00DA3E6E" w:rsidRPr="00C41BEC" w:rsidRDefault="00DA3E6E" w:rsidP="006C0D48">
      <w:pPr>
        <w:rPr>
          <w:lang w:val="en"/>
        </w:rPr>
      </w:pPr>
      <w:r w:rsidRPr="00C41BEC">
        <w:rPr>
          <w:lang w:val="en"/>
        </w:rPr>
        <w:t>No clinical drug interaction studies have been conducted.</w:t>
      </w:r>
    </w:p>
    <w:p w14:paraId="19DB7F77" w14:textId="62E5C9F1" w:rsidR="00DA3E6E" w:rsidRPr="00675A74" w:rsidRDefault="00F62808" w:rsidP="006C0D48">
      <w:proofErr w:type="spellStart"/>
      <w:r w:rsidRPr="002F1F48">
        <w:rPr>
          <w:rFonts w:eastAsia="Aptos"/>
        </w:rPr>
        <w:t>Plozasiran</w:t>
      </w:r>
      <w:proofErr w:type="spellEnd"/>
      <w:r w:rsidRPr="002F1F48">
        <w:rPr>
          <w:rFonts w:eastAsia="Aptos"/>
        </w:rPr>
        <w:t xml:space="preserve"> uptake by the liver is assisted by </w:t>
      </w:r>
      <w:proofErr w:type="spellStart"/>
      <w:r w:rsidRPr="002F1F48">
        <w:rPr>
          <w:rFonts w:eastAsia="Aptos"/>
        </w:rPr>
        <w:t>asialoglycoprotein</w:t>
      </w:r>
      <w:proofErr w:type="spellEnd"/>
      <w:r w:rsidRPr="002F1F48">
        <w:rPr>
          <w:rFonts w:eastAsia="Aptos"/>
        </w:rPr>
        <w:t xml:space="preserve"> receptor. </w:t>
      </w:r>
      <w:r w:rsidRPr="002F1F48">
        <w:rPr>
          <w:rFonts w:eastAsia="Aptos"/>
          <w:i/>
          <w:iCs/>
        </w:rPr>
        <w:t>In vitro</w:t>
      </w:r>
      <w:r w:rsidRPr="002F1F48">
        <w:rPr>
          <w:rFonts w:eastAsia="Aptos"/>
        </w:rPr>
        <w:t xml:space="preserve">, </w:t>
      </w:r>
      <w:proofErr w:type="spellStart"/>
      <w:r w:rsidRPr="002F1F48">
        <w:rPr>
          <w:rFonts w:eastAsia="Aptos"/>
        </w:rPr>
        <w:t>plozasiran</w:t>
      </w:r>
      <w:proofErr w:type="spellEnd"/>
      <w:r w:rsidRPr="002F1F48">
        <w:rPr>
          <w:rFonts w:eastAsia="Aptos"/>
        </w:rPr>
        <w:t xml:space="preserve"> is not a substrate of </w:t>
      </w:r>
      <w:r w:rsidR="007B4FF7">
        <w:rPr>
          <w:rFonts w:eastAsia="Aptos"/>
        </w:rPr>
        <w:t xml:space="preserve">cytochrome </w:t>
      </w:r>
      <w:proofErr w:type="spellStart"/>
      <w:r w:rsidR="007B4FF7">
        <w:rPr>
          <w:rFonts w:eastAsia="Aptos"/>
        </w:rPr>
        <w:t>P450</w:t>
      </w:r>
      <w:proofErr w:type="spellEnd"/>
      <w:r w:rsidR="007B4FF7">
        <w:rPr>
          <w:rFonts w:eastAsia="Aptos"/>
        </w:rPr>
        <w:t xml:space="preserve"> (</w:t>
      </w:r>
      <w:proofErr w:type="spellStart"/>
      <w:r w:rsidRPr="002F1F48">
        <w:rPr>
          <w:rFonts w:eastAsia="Aptos"/>
        </w:rPr>
        <w:t>CYP450</w:t>
      </w:r>
      <w:proofErr w:type="spellEnd"/>
      <w:r w:rsidR="007B4FF7">
        <w:rPr>
          <w:rFonts w:eastAsia="Aptos"/>
        </w:rPr>
        <w:t>)</w:t>
      </w:r>
      <w:r w:rsidRPr="002F1F48">
        <w:rPr>
          <w:rFonts w:eastAsia="Aptos"/>
        </w:rPr>
        <w:t xml:space="preserve"> enzymes or the following transporters, BCRP, P-glycoprotein, </w:t>
      </w:r>
      <w:proofErr w:type="spellStart"/>
      <w:r w:rsidRPr="002F1F48">
        <w:rPr>
          <w:rFonts w:eastAsia="Aptos"/>
        </w:rPr>
        <w:t>MATE1</w:t>
      </w:r>
      <w:proofErr w:type="spellEnd"/>
      <w:r w:rsidRPr="002F1F48">
        <w:rPr>
          <w:rFonts w:eastAsia="Aptos"/>
        </w:rPr>
        <w:t xml:space="preserve">, </w:t>
      </w:r>
      <w:proofErr w:type="spellStart"/>
      <w:r w:rsidRPr="002F1F48">
        <w:rPr>
          <w:rFonts w:eastAsia="Aptos"/>
        </w:rPr>
        <w:t>MATE2</w:t>
      </w:r>
      <w:proofErr w:type="spellEnd"/>
      <w:r w:rsidRPr="002F1F48">
        <w:rPr>
          <w:rFonts w:eastAsia="Aptos"/>
        </w:rPr>
        <w:t xml:space="preserve">-K, </w:t>
      </w:r>
      <w:proofErr w:type="spellStart"/>
      <w:r w:rsidRPr="002F1F48">
        <w:rPr>
          <w:rFonts w:eastAsia="Aptos"/>
        </w:rPr>
        <w:t>OAT1</w:t>
      </w:r>
      <w:proofErr w:type="spellEnd"/>
      <w:r w:rsidRPr="002F1F48">
        <w:rPr>
          <w:rFonts w:eastAsia="Aptos"/>
        </w:rPr>
        <w:t xml:space="preserve">, </w:t>
      </w:r>
      <w:proofErr w:type="spellStart"/>
      <w:r w:rsidRPr="002F1F48">
        <w:rPr>
          <w:rFonts w:eastAsia="Aptos"/>
        </w:rPr>
        <w:t>OAT3</w:t>
      </w:r>
      <w:proofErr w:type="spellEnd"/>
      <w:r w:rsidRPr="002F1F48">
        <w:rPr>
          <w:rFonts w:eastAsia="Aptos"/>
        </w:rPr>
        <w:t xml:space="preserve">, </w:t>
      </w:r>
      <w:proofErr w:type="spellStart"/>
      <w:r w:rsidRPr="002F1F48">
        <w:rPr>
          <w:rFonts w:eastAsia="Aptos"/>
        </w:rPr>
        <w:t>OATP1B1</w:t>
      </w:r>
      <w:proofErr w:type="spellEnd"/>
      <w:r w:rsidRPr="002F1F48">
        <w:rPr>
          <w:rFonts w:eastAsia="Aptos"/>
        </w:rPr>
        <w:t xml:space="preserve">, </w:t>
      </w:r>
      <w:proofErr w:type="spellStart"/>
      <w:r w:rsidRPr="002F1F48">
        <w:rPr>
          <w:rFonts w:eastAsia="Aptos"/>
        </w:rPr>
        <w:t>OATP1B3</w:t>
      </w:r>
      <w:proofErr w:type="spellEnd"/>
      <w:r w:rsidRPr="002F1F48">
        <w:rPr>
          <w:rFonts w:eastAsia="Aptos"/>
        </w:rPr>
        <w:t xml:space="preserve"> and </w:t>
      </w:r>
      <w:proofErr w:type="spellStart"/>
      <w:r w:rsidRPr="002F1F48">
        <w:rPr>
          <w:rFonts w:eastAsia="Aptos"/>
        </w:rPr>
        <w:t>OCT2</w:t>
      </w:r>
      <w:proofErr w:type="spellEnd"/>
      <w:r w:rsidRPr="002F1F48">
        <w:rPr>
          <w:rFonts w:eastAsia="Aptos"/>
        </w:rPr>
        <w:t xml:space="preserve">. </w:t>
      </w:r>
      <w:r w:rsidRPr="002F1F48">
        <w:rPr>
          <w:rFonts w:eastAsia="Aptos"/>
          <w:i/>
          <w:iCs/>
        </w:rPr>
        <w:t>In vitro</w:t>
      </w:r>
      <w:r w:rsidRPr="002F1F48">
        <w:rPr>
          <w:rFonts w:eastAsia="Aptos"/>
        </w:rPr>
        <w:t xml:space="preserve">, </w:t>
      </w:r>
      <w:proofErr w:type="spellStart"/>
      <w:r w:rsidRPr="002F1F48">
        <w:rPr>
          <w:rFonts w:eastAsia="Aptos"/>
        </w:rPr>
        <w:t>plozasiran</w:t>
      </w:r>
      <w:proofErr w:type="spellEnd"/>
      <w:r w:rsidRPr="002F1F48">
        <w:rPr>
          <w:rFonts w:eastAsia="Aptos"/>
        </w:rPr>
        <w:t xml:space="preserve"> was not an inhibitor of </w:t>
      </w:r>
      <w:proofErr w:type="spellStart"/>
      <w:r w:rsidRPr="002F1F48">
        <w:rPr>
          <w:rFonts w:eastAsia="Aptos"/>
        </w:rPr>
        <w:t>CYP450</w:t>
      </w:r>
      <w:proofErr w:type="spellEnd"/>
      <w:r w:rsidRPr="002F1F48">
        <w:rPr>
          <w:rFonts w:eastAsia="Aptos"/>
        </w:rPr>
        <w:t xml:space="preserve"> enzymes (</w:t>
      </w:r>
      <w:proofErr w:type="spellStart"/>
      <w:r w:rsidRPr="002F1F48">
        <w:rPr>
          <w:rFonts w:eastAsia="Aptos"/>
        </w:rPr>
        <w:t>CYP1A2</w:t>
      </w:r>
      <w:proofErr w:type="spellEnd"/>
      <w:r w:rsidRPr="002F1F48">
        <w:rPr>
          <w:rFonts w:eastAsia="Aptos"/>
        </w:rPr>
        <w:t xml:space="preserve">, </w:t>
      </w:r>
      <w:proofErr w:type="spellStart"/>
      <w:r w:rsidRPr="002F1F48">
        <w:rPr>
          <w:rFonts w:eastAsia="Aptos"/>
        </w:rPr>
        <w:t>2B6</w:t>
      </w:r>
      <w:proofErr w:type="spellEnd"/>
      <w:r w:rsidRPr="002F1F48">
        <w:rPr>
          <w:rFonts w:eastAsia="Aptos"/>
        </w:rPr>
        <w:t xml:space="preserve">, </w:t>
      </w:r>
      <w:proofErr w:type="spellStart"/>
      <w:r w:rsidRPr="002F1F48">
        <w:rPr>
          <w:rFonts w:eastAsia="Aptos"/>
        </w:rPr>
        <w:t>2C8</w:t>
      </w:r>
      <w:proofErr w:type="spellEnd"/>
      <w:r w:rsidRPr="002F1F48">
        <w:rPr>
          <w:rFonts w:eastAsia="Aptos"/>
        </w:rPr>
        <w:t xml:space="preserve">, </w:t>
      </w:r>
      <w:proofErr w:type="spellStart"/>
      <w:r w:rsidRPr="002F1F48">
        <w:rPr>
          <w:rFonts w:eastAsia="Aptos"/>
        </w:rPr>
        <w:t>2C9</w:t>
      </w:r>
      <w:proofErr w:type="spellEnd"/>
      <w:r w:rsidRPr="002F1F48">
        <w:rPr>
          <w:rFonts w:eastAsia="Aptos"/>
        </w:rPr>
        <w:t xml:space="preserve">, </w:t>
      </w:r>
      <w:proofErr w:type="spellStart"/>
      <w:r w:rsidRPr="002F1F48">
        <w:rPr>
          <w:rFonts w:eastAsia="Aptos"/>
        </w:rPr>
        <w:t>2C19</w:t>
      </w:r>
      <w:proofErr w:type="spellEnd"/>
      <w:r w:rsidRPr="002F1F48">
        <w:rPr>
          <w:rFonts w:eastAsia="Aptos"/>
        </w:rPr>
        <w:t xml:space="preserve">, </w:t>
      </w:r>
      <w:proofErr w:type="spellStart"/>
      <w:r w:rsidRPr="002F1F48">
        <w:rPr>
          <w:rFonts w:eastAsia="Aptos"/>
        </w:rPr>
        <w:t>2D6</w:t>
      </w:r>
      <w:proofErr w:type="spellEnd"/>
      <w:r w:rsidRPr="002F1F48">
        <w:rPr>
          <w:rFonts w:eastAsia="Aptos"/>
        </w:rPr>
        <w:t xml:space="preserve"> and </w:t>
      </w:r>
      <w:proofErr w:type="spellStart"/>
      <w:r w:rsidRPr="002F1F48">
        <w:rPr>
          <w:rFonts w:eastAsia="Aptos"/>
        </w:rPr>
        <w:t>3A4</w:t>
      </w:r>
      <w:proofErr w:type="spellEnd"/>
      <w:r w:rsidRPr="002F1F48">
        <w:rPr>
          <w:rFonts w:eastAsia="Aptos"/>
        </w:rPr>
        <w:t xml:space="preserve">), inducer of </w:t>
      </w:r>
      <w:proofErr w:type="spellStart"/>
      <w:r w:rsidRPr="002F1F48">
        <w:rPr>
          <w:rFonts w:eastAsia="Aptos"/>
        </w:rPr>
        <w:t>CYP1A2</w:t>
      </w:r>
      <w:proofErr w:type="spellEnd"/>
      <w:r w:rsidRPr="002F1F48">
        <w:rPr>
          <w:rFonts w:eastAsia="Aptos"/>
        </w:rPr>
        <w:t xml:space="preserve">, </w:t>
      </w:r>
      <w:proofErr w:type="spellStart"/>
      <w:r w:rsidRPr="002F1F48">
        <w:rPr>
          <w:rFonts w:eastAsia="Aptos"/>
        </w:rPr>
        <w:t>2B6</w:t>
      </w:r>
      <w:proofErr w:type="spellEnd"/>
      <w:r w:rsidRPr="002F1F48">
        <w:rPr>
          <w:rFonts w:eastAsia="Aptos"/>
        </w:rPr>
        <w:t xml:space="preserve"> or </w:t>
      </w:r>
      <w:proofErr w:type="spellStart"/>
      <w:r w:rsidRPr="002F1F48">
        <w:rPr>
          <w:rFonts w:eastAsia="Aptos"/>
        </w:rPr>
        <w:t>3A4</w:t>
      </w:r>
      <w:proofErr w:type="spellEnd"/>
      <w:r w:rsidRPr="002F1F48">
        <w:rPr>
          <w:rFonts w:eastAsia="Aptos"/>
        </w:rPr>
        <w:t xml:space="preserve"> or inhibitor of BCRP, BSEP, P-glycoprotein, </w:t>
      </w:r>
      <w:proofErr w:type="spellStart"/>
      <w:r w:rsidRPr="002F1F48">
        <w:rPr>
          <w:rFonts w:eastAsia="Aptos"/>
        </w:rPr>
        <w:t>MATE1</w:t>
      </w:r>
      <w:proofErr w:type="spellEnd"/>
      <w:r w:rsidRPr="002F1F48">
        <w:rPr>
          <w:rFonts w:eastAsia="Aptos"/>
        </w:rPr>
        <w:t xml:space="preserve">, </w:t>
      </w:r>
      <w:proofErr w:type="spellStart"/>
      <w:r w:rsidRPr="002F1F48">
        <w:rPr>
          <w:rFonts w:eastAsia="Aptos"/>
        </w:rPr>
        <w:t>MATE2</w:t>
      </w:r>
      <w:proofErr w:type="spellEnd"/>
      <w:r w:rsidRPr="002F1F48">
        <w:rPr>
          <w:rFonts w:eastAsia="Aptos"/>
        </w:rPr>
        <w:t xml:space="preserve">-K, </w:t>
      </w:r>
      <w:proofErr w:type="spellStart"/>
      <w:r w:rsidRPr="002F1F48">
        <w:rPr>
          <w:rFonts w:eastAsia="Aptos"/>
        </w:rPr>
        <w:t>OAT1</w:t>
      </w:r>
      <w:proofErr w:type="spellEnd"/>
      <w:r w:rsidRPr="002F1F48">
        <w:rPr>
          <w:rFonts w:eastAsia="Aptos"/>
        </w:rPr>
        <w:t xml:space="preserve">, </w:t>
      </w:r>
      <w:proofErr w:type="spellStart"/>
      <w:r w:rsidRPr="002F1F48">
        <w:rPr>
          <w:rFonts w:eastAsia="Aptos"/>
        </w:rPr>
        <w:t>OAT3</w:t>
      </w:r>
      <w:proofErr w:type="spellEnd"/>
      <w:r w:rsidRPr="002F1F48">
        <w:rPr>
          <w:rFonts w:eastAsia="Aptos"/>
        </w:rPr>
        <w:t xml:space="preserve">, </w:t>
      </w:r>
      <w:proofErr w:type="spellStart"/>
      <w:r w:rsidRPr="002F1F48">
        <w:rPr>
          <w:rFonts w:eastAsia="Aptos"/>
        </w:rPr>
        <w:t>OATP1B1</w:t>
      </w:r>
      <w:proofErr w:type="spellEnd"/>
      <w:r w:rsidRPr="002F1F48">
        <w:rPr>
          <w:rFonts w:eastAsia="Aptos"/>
        </w:rPr>
        <w:t xml:space="preserve">, </w:t>
      </w:r>
      <w:proofErr w:type="spellStart"/>
      <w:r w:rsidRPr="002F1F48">
        <w:rPr>
          <w:rFonts w:eastAsia="Aptos"/>
        </w:rPr>
        <w:t>OATP1B3</w:t>
      </w:r>
      <w:proofErr w:type="spellEnd"/>
      <w:r w:rsidRPr="002F1F48">
        <w:rPr>
          <w:rFonts w:eastAsia="Aptos"/>
        </w:rPr>
        <w:t xml:space="preserve">, </w:t>
      </w:r>
      <w:proofErr w:type="spellStart"/>
      <w:r w:rsidRPr="002F1F48">
        <w:rPr>
          <w:rFonts w:eastAsia="Aptos"/>
        </w:rPr>
        <w:t>OCT1</w:t>
      </w:r>
      <w:proofErr w:type="spellEnd"/>
      <w:r w:rsidRPr="002F1F48">
        <w:rPr>
          <w:rFonts w:eastAsia="Aptos"/>
        </w:rPr>
        <w:t xml:space="preserve"> and </w:t>
      </w:r>
      <w:proofErr w:type="spellStart"/>
      <w:r w:rsidRPr="002F1F48">
        <w:rPr>
          <w:rFonts w:eastAsia="Aptos"/>
        </w:rPr>
        <w:t>OCT2</w:t>
      </w:r>
      <w:proofErr w:type="spellEnd"/>
      <w:r w:rsidRPr="002F1F48">
        <w:rPr>
          <w:rFonts w:eastAsia="Aptos"/>
        </w:rPr>
        <w:t xml:space="preserve"> at clinically relevant concentrations. </w:t>
      </w:r>
      <w:r w:rsidR="00DA3E6E">
        <w:rPr>
          <w:rFonts w:eastAsia="Aptos"/>
        </w:rPr>
        <w:t>Clinically relevant pharmacokinetic interactions are</w:t>
      </w:r>
      <w:r w:rsidR="00DA3E6E" w:rsidRPr="00E009F2">
        <w:rPr>
          <w:rFonts w:eastAsia="Aptos"/>
        </w:rPr>
        <w:t xml:space="preserve"> not expected</w:t>
      </w:r>
      <w:r w:rsidR="00DA3E6E">
        <w:rPr>
          <w:rFonts w:eastAsia="Aptos"/>
        </w:rPr>
        <w:t xml:space="preserve"> between </w:t>
      </w:r>
      <w:proofErr w:type="spellStart"/>
      <w:r w:rsidR="00DA3E6E">
        <w:rPr>
          <w:rFonts w:eastAsia="Aptos"/>
        </w:rPr>
        <w:t>p</w:t>
      </w:r>
      <w:r w:rsidR="00DA3E6E" w:rsidRPr="00E009F2">
        <w:rPr>
          <w:rFonts w:eastAsia="Aptos"/>
        </w:rPr>
        <w:t>lozasiran</w:t>
      </w:r>
      <w:proofErr w:type="spellEnd"/>
      <w:r w:rsidR="00DA3E6E" w:rsidRPr="00E009F2">
        <w:rPr>
          <w:rFonts w:eastAsia="Aptos"/>
        </w:rPr>
        <w:t xml:space="preserve"> </w:t>
      </w:r>
      <w:r w:rsidR="00DA3E6E">
        <w:rPr>
          <w:rFonts w:eastAsia="Aptos"/>
        </w:rPr>
        <w:t xml:space="preserve">and concomitant medications involving inhibition or modification of </w:t>
      </w:r>
      <w:proofErr w:type="spellStart"/>
      <w:r w:rsidR="0022391F">
        <w:rPr>
          <w:rFonts w:eastAsia="Aptos"/>
        </w:rPr>
        <w:t>CY</w:t>
      </w:r>
      <w:r w:rsidR="00DA3E6E" w:rsidRPr="00E009F2">
        <w:rPr>
          <w:rFonts w:eastAsia="Aptos"/>
        </w:rPr>
        <w:t>P450</w:t>
      </w:r>
      <w:proofErr w:type="spellEnd"/>
      <w:r w:rsidR="00DA3E6E" w:rsidRPr="00E009F2">
        <w:rPr>
          <w:rFonts w:eastAsia="Aptos"/>
        </w:rPr>
        <w:t xml:space="preserve"> enzymes or </w:t>
      </w:r>
      <w:r w:rsidR="00DA3E6E">
        <w:rPr>
          <w:rFonts w:eastAsia="Aptos"/>
        </w:rPr>
        <w:t xml:space="preserve">commonly encountered drug </w:t>
      </w:r>
      <w:r w:rsidR="00DA3E6E" w:rsidRPr="00E009F2">
        <w:rPr>
          <w:rFonts w:eastAsia="Aptos"/>
        </w:rPr>
        <w:t>transporters.</w:t>
      </w:r>
      <w:r w:rsidR="00B1350F" w:rsidRPr="00B1350F">
        <w:rPr>
          <w:rFonts w:eastAsia="Aptos"/>
        </w:rPr>
        <w:t xml:space="preserve"> </w:t>
      </w:r>
    </w:p>
    <w:p w14:paraId="14B5AD6F" w14:textId="77777777" w:rsidR="00DA3E6E" w:rsidRPr="00675A74" w:rsidRDefault="00DA3E6E" w:rsidP="00FC71E9">
      <w:pPr>
        <w:pStyle w:val="Heading2"/>
        <w:keepNext/>
        <w:spacing w:before="0" w:after="120"/>
        <w:rPr>
          <w:rFonts w:cstheme="minorHAnsi"/>
        </w:rPr>
      </w:pPr>
      <w:r w:rsidRPr="00675A74">
        <w:rPr>
          <w:rFonts w:cstheme="minorHAnsi"/>
        </w:rPr>
        <w:t xml:space="preserve">Fertility, pregnancy and lactation </w:t>
      </w:r>
    </w:p>
    <w:p w14:paraId="18CB3BD2" w14:textId="77777777" w:rsidR="00DA3E6E" w:rsidRPr="00625BE0" w:rsidRDefault="00DA3E6E" w:rsidP="006C0D48">
      <w:pPr>
        <w:pStyle w:val="Heading3"/>
      </w:pPr>
      <w:r w:rsidRPr="00675A74">
        <w:t>Effects on fertility</w:t>
      </w:r>
    </w:p>
    <w:p w14:paraId="47C2B1AD" w14:textId="76B5813B" w:rsidR="00DA3E6E" w:rsidRPr="00675A74" w:rsidRDefault="00DA3E6E" w:rsidP="009A492D">
      <w:r w:rsidRPr="00C41BEC">
        <w:rPr>
          <w:rFonts w:cstheme="minorHAnsi"/>
          <w:lang w:val="en"/>
        </w:rPr>
        <w:t xml:space="preserve">No clinical data on the effect of this medicinal product on human fertility </w:t>
      </w:r>
      <w:proofErr w:type="gramStart"/>
      <w:r w:rsidRPr="00C41BEC">
        <w:rPr>
          <w:rFonts w:cstheme="minorHAnsi"/>
          <w:lang w:val="en"/>
        </w:rPr>
        <w:t>are</w:t>
      </w:r>
      <w:proofErr w:type="gramEnd"/>
      <w:r w:rsidRPr="00C41BEC">
        <w:rPr>
          <w:rFonts w:cstheme="minorHAnsi"/>
          <w:lang w:val="en"/>
        </w:rPr>
        <w:t xml:space="preserve"> available. </w:t>
      </w:r>
      <w:r w:rsidR="00907678" w:rsidRPr="006E1460">
        <w:rPr>
          <w:rFonts w:cstheme="minorHAnsi"/>
          <w:lang w:val="en"/>
        </w:rPr>
        <w:t>In a fertility and early embryonic</w:t>
      </w:r>
      <w:r w:rsidR="00BB0712">
        <w:rPr>
          <w:rFonts w:cstheme="minorHAnsi"/>
          <w:lang w:val="en"/>
        </w:rPr>
        <w:t xml:space="preserve"> </w:t>
      </w:r>
      <w:r w:rsidR="00907678" w:rsidRPr="006E1460">
        <w:rPr>
          <w:rFonts w:cstheme="minorHAnsi"/>
          <w:lang w:val="en"/>
        </w:rPr>
        <w:t xml:space="preserve">development study in rats, males and females were administered subcutaneously (SC) with vehicle or </w:t>
      </w:r>
      <w:proofErr w:type="spellStart"/>
      <w:r w:rsidR="00907678" w:rsidRPr="006E1460">
        <w:rPr>
          <w:rFonts w:cstheme="minorHAnsi"/>
          <w:lang w:val="en"/>
        </w:rPr>
        <w:t>plozasiran</w:t>
      </w:r>
      <w:proofErr w:type="spellEnd"/>
      <w:r w:rsidR="00907678" w:rsidRPr="006E1460">
        <w:rPr>
          <w:rFonts w:cstheme="minorHAnsi"/>
          <w:lang w:val="en"/>
        </w:rPr>
        <w:t xml:space="preserve"> at doses up to 50 mg/kg or rat specific surrogate at 25 mg/kg. Males were treated once weekly before and throughout cohabitation, while females received treatment once every 3 days before and throughout mating until the time of implantation. </w:t>
      </w:r>
      <w:r w:rsidR="00907678" w:rsidRPr="006E1460">
        <w:rPr>
          <w:rFonts w:cstheme="minorHAnsi"/>
          <w:lang w:val="en"/>
        </w:rPr>
        <w:lastRenderedPageBreak/>
        <w:t xml:space="preserve">There were no adverse effects on mating and fertility in males or females up to 50 mg/kg (achieving up to </w:t>
      </w:r>
      <w:r w:rsidR="0088532F">
        <w:rPr>
          <w:rFonts w:cstheme="minorHAnsi"/>
          <w:lang w:val="en"/>
        </w:rPr>
        <w:t>92</w:t>
      </w:r>
      <w:r w:rsidR="00907678" w:rsidRPr="00613380">
        <w:rPr>
          <w:rFonts w:cstheme="minorHAnsi"/>
          <w:lang w:val="en"/>
        </w:rPr>
        <w:t>-fold</w:t>
      </w:r>
      <w:r w:rsidR="0088532F">
        <w:rPr>
          <w:rFonts w:cstheme="minorHAnsi"/>
          <w:lang w:val="en"/>
        </w:rPr>
        <w:t xml:space="preserve"> in females and 130-fold in males</w:t>
      </w:r>
      <w:r w:rsidR="00907678" w:rsidRPr="00613380">
        <w:rPr>
          <w:rFonts w:cstheme="minorHAnsi"/>
          <w:lang w:val="en"/>
        </w:rPr>
        <w:t xml:space="preserve"> </w:t>
      </w:r>
      <w:r w:rsidR="00907678" w:rsidRPr="006E1460">
        <w:rPr>
          <w:rFonts w:cstheme="minorHAnsi"/>
          <w:lang w:val="en"/>
        </w:rPr>
        <w:t>the plasma AUC at a clinical dose level of 25 mg).</w:t>
      </w:r>
    </w:p>
    <w:p w14:paraId="13270356" w14:textId="77777777" w:rsidR="00DA3E6E" w:rsidRPr="00625BE0" w:rsidRDefault="00DA3E6E" w:rsidP="006C0D48">
      <w:pPr>
        <w:pStyle w:val="Heading3"/>
      </w:pPr>
      <w:r w:rsidRPr="00675A74">
        <w:t xml:space="preserve">Use in pregnancy – Pregnancy Category </w:t>
      </w:r>
      <w:proofErr w:type="spellStart"/>
      <w:r w:rsidRPr="00675A74">
        <w:t>B1</w:t>
      </w:r>
      <w:proofErr w:type="spellEnd"/>
    </w:p>
    <w:p w14:paraId="5398CCBC" w14:textId="78A87D4B" w:rsidR="00B42369" w:rsidRPr="00684778" w:rsidRDefault="00DA3E6E" w:rsidP="00202F20">
      <w:pPr>
        <w:rPr>
          <w:i/>
          <w:lang w:val="en-US"/>
        </w:rPr>
      </w:pPr>
      <w:r w:rsidRPr="7A83EB8D">
        <w:rPr>
          <w:lang w:val="en-US"/>
        </w:rPr>
        <w:t xml:space="preserve">There are no data on the effect of </w:t>
      </w:r>
      <w:proofErr w:type="spellStart"/>
      <w:r w:rsidRPr="7A83EB8D">
        <w:rPr>
          <w:lang w:val="en-US"/>
        </w:rPr>
        <w:t>plozasiran</w:t>
      </w:r>
      <w:proofErr w:type="spellEnd"/>
      <w:r w:rsidRPr="7A83EB8D">
        <w:rPr>
          <w:lang w:val="en-US"/>
        </w:rPr>
        <w:t xml:space="preserve"> in pregnant women.</w:t>
      </w:r>
    </w:p>
    <w:p w14:paraId="33240EA5" w14:textId="24AF181A" w:rsidR="00050ED0" w:rsidRPr="009A492D" w:rsidRDefault="007E4185" w:rsidP="00684778">
      <w:pPr>
        <w:pStyle w:val="C-BodyText"/>
        <w:rPr>
          <w:rFonts w:cstheme="minorBidi"/>
        </w:rPr>
      </w:pPr>
      <w:r w:rsidRPr="00E73975">
        <w:rPr>
          <w:rFonts w:asciiTheme="minorHAnsi" w:eastAsiaTheme="minorEastAsia" w:hAnsiTheme="minorHAnsi" w:cstheme="minorBidi"/>
          <w:sz w:val="22"/>
          <w:szCs w:val="22"/>
        </w:rPr>
        <w:t xml:space="preserve">In an embryofetal development study in rats, </w:t>
      </w:r>
      <w:proofErr w:type="spellStart"/>
      <w:r w:rsidRPr="00E73975">
        <w:rPr>
          <w:rFonts w:asciiTheme="minorHAnsi" w:eastAsiaTheme="minorEastAsia" w:hAnsiTheme="minorHAnsi" w:cstheme="minorBidi"/>
          <w:sz w:val="22"/>
          <w:szCs w:val="22"/>
        </w:rPr>
        <w:t>plozasiran</w:t>
      </w:r>
      <w:proofErr w:type="spellEnd"/>
      <w:r w:rsidRPr="00E73975">
        <w:rPr>
          <w:rFonts w:asciiTheme="minorHAnsi" w:eastAsiaTheme="minorEastAsia" w:hAnsiTheme="minorHAnsi" w:cstheme="minorBidi"/>
          <w:sz w:val="22"/>
          <w:szCs w:val="22"/>
        </w:rPr>
        <w:t xml:space="preserve"> was administered up to 60 mg/kg SC once daily during the period of organogenesis. Another group received 60 mg/kg/day SC rat-specific surrogate during the same period. There was no evidence of drug-related embryofetal toxicity or fetal malformations up to 60 mg/kg/day </w:t>
      </w:r>
      <w:proofErr w:type="spellStart"/>
      <w:r w:rsidRPr="00E73975">
        <w:rPr>
          <w:rFonts w:asciiTheme="minorHAnsi" w:eastAsiaTheme="minorEastAsia" w:hAnsiTheme="minorHAnsi" w:cstheme="minorBidi"/>
          <w:sz w:val="22"/>
          <w:szCs w:val="22"/>
        </w:rPr>
        <w:t>plozasiran</w:t>
      </w:r>
      <w:proofErr w:type="spellEnd"/>
      <w:r w:rsidRPr="00E73975">
        <w:rPr>
          <w:rFonts w:asciiTheme="minorHAnsi" w:eastAsiaTheme="minorEastAsia" w:hAnsiTheme="minorHAnsi" w:cstheme="minorBidi"/>
          <w:sz w:val="22"/>
          <w:szCs w:val="22"/>
        </w:rPr>
        <w:t xml:space="preserve"> (achieving </w:t>
      </w:r>
      <w:r w:rsidRPr="006A323E">
        <w:rPr>
          <w:rFonts w:asciiTheme="minorHAnsi" w:eastAsiaTheme="minorEastAsia" w:hAnsiTheme="minorHAnsi" w:cstheme="minorBidi"/>
          <w:sz w:val="22"/>
          <w:szCs w:val="22"/>
        </w:rPr>
        <w:t>83-fold</w:t>
      </w:r>
      <w:r w:rsidRPr="00E73975">
        <w:rPr>
          <w:rFonts w:asciiTheme="minorHAnsi" w:eastAsiaTheme="minorEastAsia" w:hAnsiTheme="minorHAnsi" w:cstheme="minorBidi"/>
          <w:sz w:val="22"/>
          <w:szCs w:val="22"/>
        </w:rPr>
        <w:t xml:space="preserve"> the plasma AUC at a clinical dose level of 25 mg). At maternally toxic doses there were embryofetal toxicities including increases in post-implantation loss at 60 mg/kg, lower fetal body weights, and fetal skeletal developmental variations at ≥15 mg/kg (</w:t>
      </w:r>
      <w:r w:rsidRPr="006A323E">
        <w:rPr>
          <w:rFonts w:asciiTheme="minorHAnsi" w:eastAsiaTheme="minorEastAsia" w:hAnsiTheme="minorHAnsi" w:cstheme="minorBidi"/>
          <w:sz w:val="22"/>
          <w:szCs w:val="22"/>
        </w:rPr>
        <w:t>20-fold</w:t>
      </w:r>
      <w:r w:rsidRPr="00E73975">
        <w:rPr>
          <w:rFonts w:asciiTheme="minorHAnsi" w:eastAsiaTheme="minorEastAsia" w:hAnsiTheme="minorHAnsi" w:cstheme="minorBidi"/>
          <w:sz w:val="22"/>
          <w:szCs w:val="22"/>
        </w:rPr>
        <w:t xml:space="preserve"> the plasma AUC at a clinical dose of 25 mg). No adverse embryofetal developmental effects were observed in the group that received the rat specific surrogate, where less </w:t>
      </w:r>
      <w:proofErr w:type="spellStart"/>
      <w:r w:rsidRPr="00E73975">
        <w:rPr>
          <w:rFonts w:asciiTheme="minorHAnsi" w:eastAsiaTheme="minorEastAsia" w:hAnsiTheme="minorHAnsi" w:cstheme="minorBidi"/>
          <w:sz w:val="22"/>
          <w:szCs w:val="22"/>
        </w:rPr>
        <w:t>maternotoxicity</w:t>
      </w:r>
      <w:proofErr w:type="spellEnd"/>
      <w:r w:rsidRPr="00E73975">
        <w:rPr>
          <w:rFonts w:asciiTheme="minorHAnsi" w:eastAsiaTheme="minorEastAsia" w:hAnsiTheme="minorHAnsi" w:cstheme="minorBidi"/>
          <w:sz w:val="22"/>
          <w:szCs w:val="22"/>
        </w:rPr>
        <w:t xml:space="preserve"> was observed, or in a rabbit embryofetal development study with daily SC doses of </w:t>
      </w:r>
      <w:proofErr w:type="spellStart"/>
      <w:r w:rsidRPr="00E73975">
        <w:rPr>
          <w:rFonts w:asciiTheme="minorHAnsi" w:eastAsiaTheme="minorEastAsia" w:hAnsiTheme="minorHAnsi" w:cstheme="minorBidi"/>
          <w:sz w:val="22"/>
          <w:szCs w:val="22"/>
        </w:rPr>
        <w:t>plozasiran</w:t>
      </w:r>
      <w:proofErr w:type="spellEnd"/>
      <w:r w:rsidRPr="00E73975">
        <w:rPr>
          <w:rFonts w:asciiTheme="minorHAnsi" w:eastAsiaTheme="minorEastAsia" w:hAnsiTheme="minorHAnsi" w:cstheme="minorBidi"/>
          <w:sz w:val="22"/>
          <w:szCs w:val="22"/>
        </w:rPr>
        <w:t xml:space="preserve"> up to 180 mg/kg (achieving </w:t>
      </w:r>
      <w:r w:rsidRPr="006A323E">
        <w:rPr>
          <w:rFonts w:asciiTheme="minorHAnsi" w:eastAsiaTheme="minorEastAsia" w:hAnsiTheme="minorHAnsi" w:cstheme="minorBidi"/>
          <w:sz w:val="22"/>
          <w:szCs w:val="22"/>
        </w:rPr>
        <w:t>628-</w:t>
      </w:r>
      <w:r w:rsidRPr="00E73975">
        <w:rPr>
          <w:rFonts w:asciiTheme="minorHAnsi" w:eastAsiaTheme="minorEastAsia" w:hAnsiTheme="minorHAnsi" w:cstheme="minorBidi"/>
          <w:sz w:val="22"/>
          <w:szCs w:val="22"/>
        </w:rPr>
        <w:t xml:space="preserve">fold the plasma AUC at a clinical dose of 25 mg) during the period of organogenesis. </w:t>
      </w:r>
    </w:p>
    <w:p w14:paraId="7D0DE536" w14:textId="763B1723" w:rsidR="00050ED0" w:rsidRDefault="00A37231" w:rsidP="006C0D48">
      <w:pPr>
        <w:rPr>
          <w:rFonts w:cstheme="minorHAnsi"/>
          <w:lang w:val="en"/>
        </w:rPr>
      </w:pPr>
      <w:r w:rsidRPr="00E73975">
        <w:rPr>
          <w:rFonts w:eastAsiaTheme="minorEastAsia"/>
        </w:rPr>
        <w:t xml:space="preserve">In a pre/postnatal development study in rats, </w:t>
      </w:r>
      <w:proofErr w:type="spellStart"/>
      <w:r w:rsidRPr="00E73975">
        <w:rPr>
          <w:rFonts w:eastAsiaTheme="minorEastAsia"/>
        </w:rPr>
        <w:t>plozasiran</w:t>
      </w:r>
      <w:proofErr w:type="spellEnd"/>
      <w:r w:rsidRPr="00E73975">
        <w:rPr>
          <w:rFonts w:eastAsiaTheme="minorEastAsia"/>
        </w:rPr>
        <w:t xml:space="preserve"> was administered up to 80 mg/kg SC once a week during gestation (from implantation) through lactation. There were no adverse effects on pups that could be attributed to maternal exposure of up to 24 mg/kg SC weekly (achieving 30-fold the plasma AUC at a clinical dose of 25 mg). Lower offspring body weight was seen at maternal weekly SC doses ≥24 mg/kg. No adverse effects were noted on offspring development up to 80 mg/kg SC weekly (achieving 193-fold the plasma AUC at a clinical dose of 25 mg).</w:t>
      </w:r>
    </w:p>
    <w:p w14:paraId="55D4E364" w14:textId="77777777" w:rsidR="00DA3E6E" w:rsidRPr="00675A74" w:rsidRDefault="00DA3E6E" w:rsidP="006C0D48">
      <w:r w:rsidRPr="7A83EB8D">
        <w:rPr>
          <w:lang w:val="en-US"/>
        </w:rPr>
        <w:t xml:space="preserve">As a precautionary measure, it is preferable to avoid the use of </w:t>
      </w:r>
      <w:proofErr w:type="spellStart"/>
      <w:r w:rsidRPr="7A83EB8D">
        <w:rPr>
          <w:lang w:val="en-US"/>
        </w:rPr>
        <w:t>REDEMPLO</w:t>
      </w:r>
      <w:proofErr w:type="spellEnd"/>
      <w:r w:rsidRPr="7A83EB8D">
        <w:rPr>
          <w:lang w:val="en-US"/>
        </w:rPr>
        <w:t xml:space="preserve"> during pregnancy.</w:t>
      </w:r>
    </w:p>
    <w:p w14:paraId="63245841" w14:textId="77777777" w:rsidR="00DA3E6E" w:rsidRPr="00625BE0" w:rsidRDefault="00DA3E6E" w:rsidP="006C0D48">
      <w:pPr>
        <w:pStyle w:val="Heading3"/>
      </w:pPr>
      <w:r w:rsidRPr="00675A74">
        <w:t>Use in lactation</w:t>
      </w:r>
    </w:p>
    <w:p w14:paraId="045AA928" w14:textId="4004B217" w:rsidR="00DA3E6E" w:rsidRPr="00C41BEC" w:rsidRDefault="00DA3E6E" w:rsidP="006C0D48">
      <w:pPr>
        <w:rPr>
          <w:lang w:val="en-US"/>
        </w:rPr>
      </w:pPr>
      <w:r w:rsidRPr="7A83EB8D">
        <w:rPr>
          <w:lang w:val="en-US"/>
        </w:rPr>
        <w:t xml:space="preserve">It is unknown whether </w:t>
      </w:r>
      <w:proofErr w:type="spellStart"/>
      <w:r w:rsidRPr="7A83EB8D">
        <w:rPr>
          <w:lang w:val="en-US"/>
        </w:rPr>
        <w:t>plozasiran</w:t>
      </w:r>
      <w:proofErr w:type="spellEnd"/>
      <w:r w:rsidRPr="7A83EB8D">
        <w:rPr>
          <w:lang w:val="en-US"/>
        </w:rPr>
        <w:t xml:space="preserve"> or metabolites are excreted in human milk</w:t>
      </w:r>
      <w:r w:rsidR="00832408" w:rsidRPr="00832408">
        <w:rPr>
          <w:lang w:val="en-US"/>
        </w:rPr>
        <w:t xml:space="preserve"> </w:t>
      </w:r>
      <w:r w:rsidR="00832408">
        <w:rPr>
          <w:lang w:val="en-US"/>
        </w:rPr>
        <w:t>or the effects on milk production or milk quality</w:t>
      </w:r>
      <w:r w:rsidRPr="7A83EB8D">
        <w:rPr>
          <w:lang w:val="en-US"/>
        </w:rPr>
        <w:t>.</w:t>
      </w:r>
    </w:p>
    <w:p w14:paraId="25181A75" w14:textId="3111BD02" w:rsidR="00DA3E6E" w:rsidRPr="00C41BEC" w:rsidRDefault="00DA3E6E" w:rsidP="006C0D48">
      <w:pPr>
        <w:rPr>
          <w:lang w:val="en-US"/>
        </w:rPr>
      </w:pPr>
      <w:r w:rsidRPr="7A83EB8D">
        <w:rPr>
          <w:lang w:val="en-US"/>
        </w:rPr>
        <w:t xml:space="preserve">There is no information on the excretion of </w:t>
      </w:r>
      <w:proofErr w:type="spellStart"/>
      <w:r w:rsidRPr="7A83EB8D">
        <w:rPr>
          <w:lang w:val="en-US"/>
        </w:rPr>
        <w:t>plozasiran</w:t>
      </w:r>
      <w:proofErr w:type="spellEnd"/>
      <w:r w:rsidRPr="7A83EB8D">
        <w:rPr>
          <w:lang w:val="en-US"/>
        </w:rPr>
        <w:t>/metabolites in animal milk.</w:t>
      </w:r>
      <w:r w:rsidR="00F3030C" w:rsidRPr="00F3030C">
        <w:rPr>
          <w:lang w:val="en-US"/>
        </w:rPr>
        <w:t xml:space="preserve"> </w:t>
      </w:r>
      <w:r w:rsidR="00F3030C">
        <w:rPr>
          <w:lang w:val="en-US"/>
        </w:rPr>
        <w:t xml:space="preserve">In a </w:t>
      </w:r>
      <w:r w:rsidR="00F3030C" w:rsidRPr="002274AE">
        <w:rPr>
          <w:lang w:val="en-US"/>
        </w:rPr>
        <w:t xml:space="preserve">pre/postnatal study in rats, lower weight gain was seen in breast-fed pups following maternal exposure, likely due to the pharmacology of </w:t>
      </w:r>
      <w:proofErr w:type="spellStart"/>
      <w:r w:rsidR="00F3030C" w:rsidRPr="002274AE">
        <w:rPr>
          <w:lang w:val="en-US"/>
        </w:rPr>
        <w:t>plozasiran</w:t>
      </w:r>
      <w:proofErr w:type="spellEnd"/>
      <w:r w:rsidR="00F3030C" w:rsidRPr="002274AE">
        <w:rPr>
          <w:lang w:val="en-US"/>
        </w:rPr>
        <w:t xml:space="preserve"> affecting milk quality.</w:t>
      </w:r>
    </w:p>
    <w:p w14:paraId="28BBB373" w14:textId="77777777" w:rsidR="00DA3E6E" w:rsidRPr="00C41BEC" w:rsidRDefault="00DA3E6E" w:rsidP="006C0D48">
      <w:pPr>
        <w:rPr>
          <w:rFonts w:cstheme="minorHAnsi"/>
          <w:lang w:val="en"/>
        </w:rPr>
      </w:pPr>
      <w:r w:rsidRPr="00C41BEC">
        <w:rPr>
          <w:rFonts w:cstheme="minorHAnsi"/>
          <w:lang w:val="en"/>
        </w:rPr>
        <w:t>A risk to the newborn infant cannot be excluded.</w:t>
      </w:r>
    </w:p>
    <w:p w14:paraId="43E01E6A" w14:textId="77777777" w:rsidR="00DA3E6E" w:rsidRPr="00675A74" w:rsidRDefault="00DA3E6E" w:rsidP="006C0D48">
      <w:r w:rsidRPr="7A83EB8D">
        <w:rPr>
          <w:lang w:val="en-US"/>
        </w:rPr>
        <w:t xml:space="preserve">Consider whether to discontinue breast-feeding or to discontinue/abstain from </w:t>
      </w:r>
      <w:proofErr w:type="spellStart"/>
      <w:r w:rsidRPr="7A83EB8D">
        <w:rPr>
          <w:lang w:val="en-US"/>
        </w:rPr>
        <w:t>REDEMPLO</w:t>
      </w:r>
      <w:proofErr w:type="spellEnd"/>
      <w:r w:rsidRPr="7A83EB8D">
        <w:rPr>
          <w:lang w:val="en-US"/>
        </w:rPr>
        <w:t xml:space="preserve"> therapy </w:t>
      </w:r>
      <w:proofErr w:type="gramStart"/>
      <w:r w:rsidRPr="7A83EB8D">
        <w:rPr>
          <w:lang w:val="en-US"/>
        </w:rPr>
        <w:t>taking into account</w:t>
      </w:r>
      <w:proofErr w:type="gramEnd"/>
      <w:r w:rsidRPr="7A83EB8D">
        <w:rPr>
          <w:lang w:val="en-US"/>
        </w:rPr>
        <w:t xml:space="preserve"> the benefit of breast feeding for the child and the benefit of therapy for the woman.</w:t>
      </w:r>
    </w:p>
    <w:p w14:paraId="07FBA7F8" w14:textId="77777777" w:rsidR="00DA3E6E" w:rsidRPr="00675A74" w:rsidRDefault="00DA3E6E">
      <w:pPr>
        <w:pStyle w:val="Heading2"/>
        <w:spacing w:before="0" w:after="120"/>
        <w:rPr>
          <w:rFonts w:cstheme="minorHAnsi"/>
        </w:rPr>
      </w:pPr>
      <w:r w:rsidRPr="00675A74">
        <w:rPr>
          <w:rFonts w:cstheme="minorHAnsi"/>
        </w:rPr>
        <w:t xml:space="preserve">Effects on ability to drive and use machines </w:t>
      </w:r>
    </w:p>
    <w:p w14:paraId="5C67984E" w14:textId="77777777" w:rsidR="00DA3E6E" w:rsidRPr="00C41BEC" w:rsidRDefault="00DA3E6E" w:rsidP="0004145A">
      <w:pPr>
        <w:rPr>
          <w:rFonts w:cstheme="minorHAnsi"/>
          <w:lang w:val="en"/>
        </w:rPr>
      </w:pPr>
      <w:proofErr w:type="spellStart"/>
      <w:r>
        <w:rPr>
          <w:rFonts w:cstheme="minorHAnsi"/>
          <w:lang w:val="en"/>
        </w:rPr>
        <w:t>REDEMPLO</w:t>
      </w:r>
      <w:proofErr w:type="spellEnd"/>
      <w:r w:rsidRPr="002D3C5E">
        <w:rPr>
          <w:rFonts w:cstheme="minorHAnsi"/>
          <w:lang w:val="en"/>
        </w:rPr>
        <w:t xml:space="preserve"> has no or negligible influence on the ability to drive and use machines.</w:t>
      </w:r>
    </w:p>
    <w:p w14:paraId="442A3299" w14:textId="77777777" w:rsidR="00FF6B82" w:rsidRPr="006C0D48" w:rsidDel="001E2006" w:rsidRDefault="00FF6B82" w:rsidP="00FF6B82">
      <w:pPr>
        <w:pStyle w:val="Heading2"/>
        <w:keepNext/>
        <w:keepLines/>
        <w:spacing w:before="0" w:after="120"/>
        <w:rPr>
          <w:rFonts w:cstheme="minorHAnsi"/>
        </w:rPr>
      </w:pPr>
      <w:bookmarkStart w:id="2" w:name="_Ref222218465"/>
      <w:bookmarkStart w:id="3" w:name="_Ref206088736"/>
      <w:r w:rsidRPr="002D3C5E">
        <w:rPr>
          <w:rFonts w:cstheme="minorHAnsi"/>
        </w:rPr>
        <w:t>Adverse effects (Undesirable effects)</w:t>
      </w:r>
      <w:bookmarkEnd w:id="2"/>
    </w:p>
    <w:p w14:paraId="21E40222" w14:textId="77777777" w:rsidR="00FF6B82" w:rsidRPr="006C0D48" w:rsidRDefault="00FF6B82" w:rsidP="00FF6B82">
      <w:pPr>
        <w:pStyle w:val="Heading3"/>
        <w:rPr>
          <w:lang w:val="en-US"/>
        </w:rPr>
      </w:pPr>
      <w:r w:rsidRPr="00D01D4E">
        <w:rPr>
          <w:lang w:val="en-US"/>
        </w:rPr>
        <w:t>Summary of the safety profile</w:t>
      </w:r>
    </w:p>
    <w:p w14:paraId="7D3E7E89" w14:textId="5FB27842" w:rsidR="0011151B" w:rsidRPr="006C0D48" w:rsidRDefault="00FF6B82" w:rsidP="0071718C">
      <w:pPr>
        <w:rPr>
          <w:rFonts w:cstheme="minorHAnsi"/>
          <w:bCs/>
          <w:lang w:val="en-GB"/>
        </w:rPr>
      </w:pPr>
      <w:r w:rsidRPr="003F1ABC">
        <w:rPr>
          <w:rFonts w:cstheme="minorHAnsi"/>
          <w:bCs/>
          <w:lang w:val="en-GB"/>
        </w:rPr>
        <w:t>The most common adverse reaction</w:t>
      </w:r>
      <w:r>
        <w:rPr>
          <w:rFonts w:cstheme="minorHAnsi"/>
          <w:bCs/>
          <w:lang w:val="en-GB"/>
        </w:rPr>
        <w:t xml:space="preserve"> is </w:t>
      </w:r>
      <w:r w:rsidR="00D8160C">
        <w:rPr>
          <w:rFonts w:cstheme="minorHAnsi"/>
          <w:bCs/>
          <w:lang w:val="en-GB"/>
        </w:rPr>
        <w:t>hyperglycaemia</w:t>
      </w:r>
      <w:r w:rsidR="00DA3E6E" w:rsidRPr="003F1ABC">
        <w:rPr>
          <w:rFonts w:cstheme="minorHAnsi"/>
          <w:bCs/>
          <w:lang w:val="en-GB"/>
        </w:rPr>
        <w:t xml:space="preserve"> (</w:t>
      </w:r>
      <w:r w:rsidR="00BF50B1">
        <w:rPr>
          <w:rFonts w:cstheme="minorHAnsi"/>
          <w:bCs/>
          <w:lang w:val="en-GB"/>
        </w:rPr>
        <w:t>12.8</w:t>
      </w:r>
      <w:r w:rsidRPr="003F1ABC">
        <w:rPr>
          <w:rFonts w:cstheme="minorHAnsi"/>
          <w:bCs/>
          <w:lang w:val="en-GB"/>
        </w:rPr>
        <w:t>%).</w:t>
      </w:r>
    </w:p>
    <w:p w14:paraId="05F4144B" w14:textId="18C79871" w:rsidR="00FF6B82" w:rsidRPr="006C0D48" w:rsidRDefault="00FF6B82" w:rsidP="00FF6B82">
      <w:pPr>
        <w:pStyle w:val="Heading3"/>
        <w:rPr>
          <w:lang w:val="en-US"/>
        </w:rPr>
      </w:pPr>
      <w:r w:rsidRPr="00300732">
        <w:rPr>
          <w:lang w:val="en-US"/>
        </w:rPr>
        <w:lastRenderedPageBreak/>
        <w:t xml:space="preserve">Tabulated list of </w:t>
      </w:r>
      <w:r w:rsidR="00B513C3">
        <w:rPr>
          <w:lang w:val="en-US"/>
        </w:rPr>
        <w:t>treatment</w:t>
      </w:r>
      <w:r w:rsidR="00162CEC">
        <w:rPr>
          <w:lang w:val="en-US"/>
        </w:rPr>
        <w:t>-</w:t>
      </w:r>
      <w:r w:rsidR="00B513C3">
        <w:rPr>
          <w:lang w:val="en-US"/>
        </w:rPr>
        <w:t xml:space="preserve">emergent adverse events and </w:t>
      </w:r>
      <w:r w:rsidRPr="00300732">
        <w:rPr>
          <w:lang w:val="en-US"/>
        </w:rPr>
        <w:t>adverse reactions</w:t>
      </w:r>
    </w:p>
    <w:p w14:paraId="7FBB2FEC" w14:textId="2AAC87CE" w:rsidR="00FF6B82" w:rsidRPr="00D21D95" w:rsidRDefault="00826279" w:rsidP="00FF6B82">
      <w:pPr>
        <w:rPr>
          <w:rFonts w:cstheme="minorHAnsi"/>
          <w:bCs/>
          <w:lang w:val="en-GB"/>
        </w:rPr>
      </w:pPr>
      <w:r w:rsidRPr="00C967A7">
        <w:rPr>
          <w:rFonts w:cstheme="minorHAnsi"/>
          <w:bCs/>
          <w:color w:val="0000CC"/>
          <w:lang w:val="en-GB"/>
        </w:rPr>
        <w:fldChar w:fldCharType="begin"/>
      </w:r>
      <w:r w:rsidRPr="00C967A7">
        <w:rPr>
          <w:rFonts w:cstheme="minorHAnsi"/>
          <w:bCs/>
          <w:color w:val="0000CC"/>
          <w:lang w:val="en-GB"/>
        </w:rPr>
        <w:instrText xml:space="preserve"> REF _Ref224902483 \h </w:instrText>
      </w:r>
      <w:r w:rsidR="00C967A7">
        <w:rPr>
          <w:rFonts w:cstheme="minorHAnsi"/>
          <w:bCs/>
          <w:color w:val="0000CC"/>
          <w:lang w:val="en-GB"/>
        </w:rPr>
        <w:instrText xml:space="preserve"> \* MERGEFORMAT </w:instrText>
      </w:r>
      <w:r w:rsidRPr="00C967A7">
        <w:rPr>
          <w:rFonts w:cstheme="minorHAnsi"/>
          <w:bCs/>
          <w:color w:val="0000CC"/>
          <w:lang w:val="en-GB"/>
        </w:rPr>
      </w:r>
      <w:r w:rsidRPr="00C967A7">
        <w:rPr>
          <w:rFonts w:cstheme="minorHAnsi"/>
          <w:bCs/>
          <w:color w:val="0000CC"/>
          <w:lang w:val="en-GB"/>
        </w:rPr>
        <w:fldChar w:fldCharType="separate"/>
      </w:r>
      <w:r w:rsidRPr="00C967A7">
        <w:rPr>
          <w:color w:val="0000CC"/>
        </w:rPr>
        <w:t xml:space="preserve">Table </w:t>
      </w:r>
      <w:r w:rsidRPr="00C967A7">
        <w:rPr>
          <w:noProof/>
          <w:color w:val="0000CC"/>
        </w:rPr>
        <w:t>1</w:t>
      </w:r>
      <w:r w:rsidRPr="00C967A7">
        <w:rPr>
          <w:rFonts w:cstheme="minorHAnsi"/>
          <w:bCs/>
          <w:color w:val="0000CC"/>
          <w:lang w:val="en-GB"/>
        </w:rPr>
        <w:fldChar w:fldCharType="end"/>
      </w:r>
      <w:r>
        <w:rPr>
          <w:rFonts w:cstheme="minorHAnsi"/>
          <w:bCs/>
          <w:lang w:val="en-GB"/>
        </w:rPr>
        <w:t xml:space="preserve"> </w:t>
      </w:r>
      <w:r w:rsidR="00B513C3">
        <w:rPr>
          <w:rFonts w:cstheme="minorHAnsi"/>
          <w:bCs/>
          <w:lang w:val="en-GB"/>
        </w:rPr>
        <w:t xml:space="preserve">and </w:t>
      </w:r>
      <w:r w:rsidR="00186F90" w:rsidRPr="00F761EC">
        <w:rPr>
          <w:rFonts w:cstheme="minorHAnsi"/>
          <w:bCs/>
          <w:color w:val="0000CC"/>
          <w:lang w:val="en-GB"/>
        </w:rPr>
        <w:fldChar w:fldCharType="begin"/>
      </w:r>
      <w:r w:rsidR="00186F90" w:rsidRPr="00F761EC">
        <w:rPr>
          <w:rFonts w:cstheme="minorHAnsi"/>
          <w:bCs/>
          <w:color w:val="0000CC"/>
          <w:lang w:val="en-GB"/>
        </w:rPr>
        <w:instrText xml:space="preserve"> REF _Ref221882208 \h </w:instrText>
      </w:r>
      <w:r w:rsidR="00186F90" w:rsidRPr="00F761EC">
        <w:rPr>
          <w:rFonts w:cstheme="minorHAnsi"/>
          <w:bCs/>
          <w:color w:val="0000CC"/>
          <w:lang w:val="en-GB"/>
        </w:rPr>
      </w:r>
      <w:r w:rsidR="00186F90" w:rsidRPr="00F761EC">
        <w:rPr>
          <w:rFonts w:cstheme="minorHAnsi"/>
          <w:bCs/>
          <w:color w:val="0000CC"/>
          <w:lang w:val="en-GB"/>
        </w:rPr>
        <w:fldChar w:fldCharType="separate"/>
      </w:r>
      <w:r w:rsidR="00186F90" w:rsidRPr="00F761EC">
        <w:rPr>
          <w:color w:val="0000CC"/>
        </w:rPr>
        <w:t xml:space="preserve">Table </w:t>
      </w:r>
      <w:r w:rsidR="00186F90" w:rsidRPr="00F761EC">
        <w:rPr>
          <w:noProof/>
          <w:color w:val="0000CC"/>
        </w:rPr>
        <w:t>2</w:t>
      </w:r>
      <w:r w:rsidR="00186F90" w:rsidRPr="00F761EC">
        <w:rPr>
          <w:rFonts w:cstheme="minorHAnsi"/>
          <w:bCs/>
          <w:color w:val="0000CC"/>
          <w:lang w:val="en-GB"/>
        </w:rPr>
        <w:fldChar w:fldCharType="end"/>
      </w:r>
      <w:r w:rsidR="00F761EC">
        <w:rPr>
          <w:rFonts w:cstheme="minorHAnsi"/>
          <w:bCs/>
          <w:lang w:val="en-GB"/>
        </w:rPr>
        <w:t xml:space="preserve"> </w:t>
      </w:r>
      <w:r w:rsidR="00D02CB9">
        <w:rPr>
          <w:rFonts w:cstheme="minorHAnsi"/>
          <w:bCs/>
          <w:lang w:val="en-GB"/>
        </w:rPr>
        <w:t>summarize treatment-emergent adverse events and</w:t>
      </w:r>
      <w:r w:rsidR="00FF6B82" w:rsidRPr="00D21D95">
        <w:rPr>
          <w:rFonts w:cstheme="minorHAnsi"/>
          <w:bCs/>
          <w:lang w:val="en-GB"/>
        </w:rPr>
        <w:t xml:space="preserve"> adverse reactions </w:t>
      </w:r>
      <w:r w:rsidR="00D02CB9">
        <w:rPr>
          <w:rFonts w:cstheme="minorHAnsi"/>
          <w:bCs/>
          <w:lang w:val="en-GB"/>
        </w:rPr>
        <w:t xml:space="preserve">observed </w:t>
      </w:r>
      <w:r w:rsidR="00FF6B82" w:rsidRPr="00D21D95">
        <w:rPr>
          <w:rFonts w:cstheme="minorHAnsi"/>
          <w:bCs/>
          <w:lang w:val="en-GB"/>
        </w:rPr>
        <w:t xml:space="preserve">from </w:t>
      </w:r>
      <w:r w:rsidR="00E0467F">
        <w:rPr>
          <w:rFonts w:cstheme="minorHAnsi"/>
          <w:bCs/>
          <w:lang w:val="en-GB"/>
        </w:rPr>
        <w:t>three</w:t>
      </w:r>
      <w:r w:rsidR="00FF6B82" w:rsidRPr="00D21D95">
        <w:rPr>
          <w:rFonts w:cstheme="minorHAnsi"/>
          <w:bCs/>
          <w:lang w:val="en-GB"/>
        </w:rPr>
        <w:t xml:space="preserve"> </w:t>
      </w:r>
      <w:r w:rsidR="00FF6B82" w:rsidRPr="00D21D95">
        <w:rPr>
          <w:rFonts w:cstheme="minorHAnsi"/>
          <w:lang w:val="en-GB"/>
        </w:rPr>
        <w:t xml:space="preserve">clinical trials with 25 mg </w:t>
      </w:r>
      <w:proofErr w:type="spellStart"/>
      <w:r w:rsidR="00FF6B82" w:rsidRPr="00D21D95">
        <w:rPr>
          <w:rFonts w:cstheme="minorHAnsi"/>
          <w:lang w:val="en-GB"/>
        </w:rPr>
        <w:t>plozasiran</w:t>
      </w:r>
      <w:proofErr w:type="spellEnd"/>
      <w:r w:rsidR="00FF6B82" w:rsidRPr="00D21D95">
        <w:rPr>
          <w:rFonts w:cstheme="minorHAnsi"/>
          <w:bCs/>
          <w:lang w:val="en-GB"/>
        </w:rPr>
        <w:t xml:space="preserve"> (</w:t>
      </w:r>
      <w:r w:rsidR="00FF6B82">
        <w:rPr>
          <w:rFonts w:cstheme="minorHAnsi"/>
          <w:bCs/>
          <w:lang w:val="en-GB"/>
        </w:rPr>
        <w:t>one</w:t>
      </w:r>
      <w:r w:rsidR="00FF6B82" w:rsidRPr="00D21D95">
        <w:rPr>
          <w:rFonts w:cstheme="minorHAnsi"/>
          <w:bCs/>
          <w:lang w:val="en-GB"/>
        </w:rPr>
        <w:t xml:space="preserve"> phase 3 study in patients with FCS</w:t>
      </w:r>
      <w:r w:rsidR="00FF6B82">
        <w:rPr>
          <w:rFonts w:cstheme="minorHAnsi"/>
          <w:bCs/>
          <w:lang w:val="en-GB"/>
        </w:rPr>
        <w:t xml:space="preserve"> and two</w:t>
      </w:r>
      <w:r w:rsidR="00FF6B82" w:rsidRPr="00D21D95">
        <w:rPr>
          <w:rFonts w:cstheme="minorHAnsi"/>
          <w:bCs/>
          <w:lang w:val="en-GB"/>
        </w:rPr>
        <w:t xml:space="preserve"> phase 2 studies in patients with severe </w:t>
      </w:r>
      <w:r w:rsidR="00FF6B82" w:rsidRPr="00D21D95">
        <w:rPr>
          <w:rFonts w:cstheme="minorHAnsi"/>
          <w:lang w:val="en-GB"/>
        </w:rPr>
        <w:t>hypertriglyceridemia</w:t>
      </w:r>
      <w:r w:rsidR="00FF6B82" w:rsidRPr="00D21D95">
        <w:rPr>
          <w:rFonts w:cstheme="minorHAnsi"/>
          <w:bCs/>
          <w:lang w:val="en-GB"/>
        </w:rPr>
        <w:t xml:space="preserve"> and moderate </w:t>
      </w:r>
      <w:r w:rsidR="00FF6B82" w:rsidRPr="00D21D95">
        <w:rPr>
          <w:rFonts w:cstheme="minorHAnsi"/>
          <w:lang w:val="en-GB"/>
        </w:rPr>
        <w:t>hypertriglyceridemia</w:t>
      </w:r>
      <w:r w:rsidR="00FF6B82" w:rsidRPr="00D21D95">
        <w:rPr>
          <w:rFonts w:cstheme="minorHAnsi"/>
          <w:bCs/>
          <w:lang w:val="en-GB"/>
        </w:rPr>
        <w:t>).</w:t>
      </w:r>
    </w:p>
    <w:p w14:paraId="149613CD" w14:textId="6F81DCFD" w:rsidR="00B513C3" w:rsidRPr="00A547CA" w:rsidRDefault="00186F90" w:rsidP="00186F90">
      <w:pPr>
        <w:pStyle w:val="Caption"/>
      </w:pPr>
      <w:bookmarkStart w:id="4" w:name="_Ref224902483"/>
      <w:r>
        <w:t xml:space="preserve">Table </w:t>
      </w:r>
      <w:r>
        <w:fldChar w:fldCharType="begin"/>
      </w:r>
      <w:r>
        <w:instrText xml:space="preserve"> SEQ Table \* ARABIC </w:instrText>
      </w:r>
      <w:r>
        <w:fldChar w:fldCharType="separate"/>
      </w:r>
      <w:r>
        <w:rPr>
          <w:noProof/>
        </w:rPr>
        <w:t>1</w:t>
      </w:r>
      <w:r>
        <w:fldChar w:fldCharType="end"/>
      </w:r>
      <w:bookmarkEnd w:id="4"/>
      <w:r w:rsidR="00B513C3" w:rsidRPr="00A547CA">
        <w:t>:</w:t>
      </w:r>
      <w:r w:rsidR="00B513C3">
        <w:t xml:space="preserve"> </w:t>
      </w:r>
      <w:r w:rsidR="00B513C3" w:rsidRPr="00A547CA">
        <w:t>Treatment-Emergent Adverse Events</w:t>
      </w:r>
      <w:r w:rsidR="003501CB">
        <w:t xml:space="preserve"> (</w:t>
      </w:r>
      <w:proofErr w:type="spellStart"/>
      <w:r w:rsidR="003501CB">
        <w:t>TEAEs</w:t>
      </w:r>
      <w:proofErr w:type="spellEnd"/>
      <w:r w:rsidR="003501CB">
        <w:t>)</w:t>
      </w:r>
      <w:r w:rsidR="00B513C3" w:rsidRPr="00A547CA">
        <w:t xml:space="preserve"> </w:t>
      </w:r>
      <w:r w:rsidR="0098237B">
        <w:t>Occurring in</w:t>
      </w:r>
      <w:r w:rsidR="00B513C3" w:rsidRPr="00A547CA">
        <w:t xml:space="preserve"> &gt;2% </w:t>
      </w:r>
      <w:r w:rsidR="003501CB">
        <w:t xml:space="preserve">of </w:t>
      </w:r>
      <w:r w:rsidR="00F855BD">
        <w:t xml:space="preserve">Patients </w:t>
      </w:r>
      <w:r w:rsidR="000A2750">
        <w:t xml:space="preserve">in </w:t>
      </w:r>
      <w:r w:rsidR="002B4C99">
        <w:t xml:space="preserve">Phase 2 and </w:t>
      </w:r>
      <w:r w:rsidR="00C20626">
        <w:t xml:space="preserve">Phase </w:t>
      </w:r>
      <w:r w:rsidR="002B4C99">
        <w:t xml:space="preserve">3 </w:t>
      </w:r>
      <w:r w:rsidR="000A2750">
        <w:t xml:space="preserve">Clinical Studies </w:t>
      </w:r>
      <w:r w:rsidR="00F855BD">
        <w:t xml:space="preserve">with </w:t>
      </w:r>
      <w:proofErr w:type="spellStart"/>
      <w:r w:rsidR="00B513C3" w:rsidRPr="00A547CA">
        <w:t>Plozasiran</w:t>
      </w:r>
      <w:proofErr w:type="spellEnd"/>
      <w:r w:rsidR="00B513C3" w:rsidRPr="00A547CA">
        <w:t xml:space="preserve"> 25 </w:t>
      </w:r>
      <w:proofErr w:type="spellStart"/>
      <w:r w:rsidR="00B513C3" w:rsidRPr="00A547CA">
        <w:t>mg</w:t>
      </w:r>
      <w:r w:rsidR="002222E6" w:rsidRPr="00467ACC">
        <w:rPr>
          <w:vertAlign w:val="superscript"/>
        </w:rPr>
        <w:t>a</w:t>
      </w:r>
      <w:proofErr w:type="spellEnd"/>
    </w:p>
    <w:tbl>
      <w:tblPr>
        <w:tblStyle w:val="TableGridLight"/>
        <w:tblW w:w="5000" w:type="pct"/>
        <w:tblLook w:val="04A0" w:firstRow="1" w:lastRow="0" w:firstColumn="1" w:lastColumn="0" w:noHBand="0" w:noVBand="1"/>
      </w:tblPr>
      <w:tblGrid>
        <w:gridCol w:w="3731"/>
        <w:gridCol w:w="2422"/>
        <w:gridCol w:w="2863"/>
      </w:tblGrid>
      <w:tr w:rsidR="00B513C3" w:rsidRPr="002247ED" w14:paraId="0C242F24" w14:textId="77777777" w:rsidTr="00467ACC">
        <w:trPr>
          <w:trHeight w:val="170"/>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25D96" w14:textId="77777777" w:rsidR="00B513C3" w:rsidRPr="00467ACC" w:rsidRDefault="00B513C3">
            <w:pPr>
              <w:pStyle w:val="NoSpacing"/>
              <w:rPr>
                <w:b/>
                <w:lang w:val="en-GB"/>
              </w:rPr>
            </w:pPr>
            <w:proofErr w:type="spellStart"/>
            <w:r w:rsidRPr="00467ACC">
              <w:rPr>
                <w:b/>
                <w:lang w:val="en-GB"/>
              </w:rPr>
              <w:t>TEAE</w:t>
            </w:r>
            <w:proofErr w:type="spellEnd"/>
            <w:r w:rsidRPr="00467ACC">
              <w:rPr>
                <w:b/>
                <w:lang w:val="en-GB"/>
              </w:rPr>
              <w:t>, n (%)</w:t>
            </w:r>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4D3397" w14:textId="77777777" w:rsidR="00B513C3" w:rsidRPr="00467ACC" w:rsidRDefault="00B513C3">
            <w:pPr>
              <w:pStyle w:val="NoSpacing"/>
              <w:rPr>
                <w:b/>
                <w:lang w:val="en-GB"/>
              </w:rPr>
            </w:pPr>
            <w:r w:rsidRPr="00467ACC">
              <w:rPr>
                <w:b/>
                <w:lang w:val="en-GB"/>
              </w:rPr>
              <w:t>Placebo</w:t>
            </w:r>
            <w:r w:rsidRPr="00467ACC">
              <w:rPr>
                <w:b/>
                <w:lang w:val="en-GB"/>
              </w:rPr>
              <w:br/>
              <w:t>N=173</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C0D123" w14:textId="77777777" w:rsidR="00B513C3" w:rsidRPr="00467ACC" w:rsidRDefault="00B513C3">
            <w:pPr>
              <w:pStyle w:val="NoSpacing"/>
              <w:rPr>
                <w:b/>
                <w:lang w:val="en-GB"/>
              </w:rPr>
            </w:pPr>
            <w:proofErr w:type="spellStart"/>
            <w:r w:rsidRPr="00467ACC">
              <w:rPr>
                <w:b/>
                <w:lang w:val="en-GB"/>
              </w:rPr>
              <w:t>Plozasiran</w:t>
            </w:r>
            <w:proofErr w:type="spellEnd"/>
            <w:r w:rsidRPr="00467ACC">
              <w:rPr>
                <w:b/>
                <w:lang w:val="en-GB"/>
              </w:rPr>
              <w:br/>
              <w:t>25 mg</w:t>
            </w:r>
            <w:r w:rsidRPr="00467ACC">
              <w:rPr>
                <w:b/>
                <w:lang w:val="en-GB"/>
              </w:rPr>
              <w:br/>
              <w:t>N=148</w:t>
            </w:r>
          </w:p>
        </w:tc>
      </w:tr>
      <w:tr w:rsidR="00B513C3" w:rsidRPr="002247ED" w14:paraId="360483E7" w14:textId="77777777" w:rsidTr="00467ACC">
        <w:trPr>
          <w:trHeight w:val="170"/>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42A1" w14:textId="5AB766B4" w:rsidR="00B513C3" w:rsidRPr="00467ACC" w:rsidRDefault="00B513C3">
            <w:pPr>
              <w:pStyle w:val="NoSpacing"/>
              <w:rPr>
                <w:lang w:val="en-GB"/>
              </w:rPr>
            </w:pPr>
            <w:proofErr w:type="spellStart"/>
            <w:r w:rsidRPr="00467ACC">
              <w:rPr>
                <w:lang w:val="en-GB"/>
              </w:rPr>
              <w:t>Hyperglycaemia</w:t>
            </w:r>
            <w:r w:rsidR="002222E6" w:rsidRPr="00467ACC">
              <w:rPr>
                <w:vertAlign w:val="superscript"/>
                <w:lang w:val="en-GB"/>
              </w:rPr>
              <w:t>b</w:t>
            </w:r>
            <w:proofErr w:type="spellEnd"/>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D6106C" w14:textId="77777777" w:rsidR="00B513C3" w:rsidRPr="00467ACC" w:rsidRDefault="00B513C3">
            <w:pPr>
              <w:pStyle w:val="NoSpacing"/>
              <w:rPr>
                <w:lang w:val="en-GB"/>
              </w:rPr>
            </w:pPr>
            <w:r w:rsidRPr="00467ACC">
              <w:rPr>
                <w:lang w:val="en-GB"/>
              </w:rPr>
              <w:t>17 (9.8)</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40FBB0" w14:textId="77777777" w:rsidR="00B513C3" w:rsidRPr="00467ACC" w:rsidRDefault="00B513C3">
            <w:pPr>
              <w:pStyle w:val="NoSpacing"/>
              <w:rPr>
                <w:lang w:val="en-GB"/>
              </w:rPr>
            </w:pPr>
            <w:r w:rsidRPr="00467ACC">
              <w:rPr>
                <w:lang w:val="en-GB"/>
              </w:rPr>
              <w:t>19 (12.8)</w:t>
            </w:r>
          </w:p>
        </w:tc>
      </w:tr>
      <w:tr w:rsidR="00B513C3" w:rsidRPr="002247ED" w14:paraId="0732C605" w14:textId="77777777" w:rsidTr="00467ACC">
        <w:trPr>
          <w:trHeight w:val="239"/>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644FD39" w14:textId="48EBE49A" w:rsidR="00B513C3" w:rsidRPr="00467ACC" w:rsidRDefault="00B513C3">
            <w:pPr>
              <w:pStyle w:val="NoSpacing"/>
              <w:rPr>
                <w:lang w:val="en-GB"/>
              </w:rPr>
            </w:pPr>
            <w:r w:rsidRPr="00467ACC">
              <w:rPr>
                <w:lang w:val="en-GB"/>
              </w:rPr>
              <w:t xml:space="preserve">Injection Site </w:t>
            </w:r>
            <w:proofErr w:type="spellStart"/>
            <w:r w:rsidRPr="00467ACC">
              <w:rPr>
                <w:lang w:val="en-GB"/>
              </w:rPr>
              <w:t>Reaction</w:t>
            </w:r>
            <w:r w:rsidR="002222E6" w:rsidRPr="00467ACC">
              <w:rPr>
                <w:vertAlign w:val="superscript"/>
                <w:lang w:val="en-GB"/>
              </w:rPr>
              <w:t>c</w:t>
            </w:r>
            <w:proofErr w:type="spellEnd"/>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FB35868" w14:textId="77777777" w:rsidR="00B513C3" w:rsidRPr="00467ACC" w:rsidRDefault="00B513C3">
            <w:pPr>
              <w:pStyle w:val="NoSpacing"/>
              <w:rPr>
                <w:lang w:val="en-GB"/>
              </w:rPr>
            </w:pPr>
            <w:r w:rsidRPr="00467ACC">
              <w:rPr>
                <w:lang w:val="en-GB"/>
              </w:rPr>
              <w:t>2 (1.2)</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1E5392C8" w14:textId="77777777" w:rsidR="00B513C3" w:rsidRPr="00467ACC" w:rsidRDefault="00B513C3">
            <w:pPr>
              <w:pStyle w:val="NoSpacing"/>
              <w:rPr>
                <w:lang w:val="en-GB"/>
              </w:rPr>
            </w:pPr>
            <w:r w:rsidRPr="00467ACC">
              <w:rPr>
                <w:lang w:val="en-GB"/>
              </w:rPr>
              <w:t>7 (4.7)</w:t>
            </w:r>
          </w:p>
        </w:tc>
      </w:tr>
      <w:tr w:rsidR="00B513C3" w:rsidRPr="002247ED" w14:paraId="6A7508AE" w14:textId="77777777" w:rsidTr="00467ACC">
        <w:trPr>
          <w:trHeight w:val="170"/>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E36C9B" w14:textId="77777777" w:rsidR="00B513C3" w:rsidRPr="00467ACC" w:rsidRDefault="00B513C3">
            <w:pPr>
              <w:pStyle w:val="NoSpacing"/>
              <w:rPr>
                <w:lang w:val="en-GB"/>
              </w:rPr>
            </w:pPr>
            <w:r w:rsidRPr="00467ACC">
              <w:rPr>
                <w:lang w:val="en-GB"/>
              </w:rPr>
              <w:t>COVID-19</w:t>
            </w:r>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CA5864" w14:textId="77777777" w:rsidR="00B513C3" w:rsidRPr="00467ACC" w:rsidRDefault="00B513C3">
            <w:pPr>
              <w:pStyle w:val="NoSpacing"/>
              <w:rPr>
                <w:lang w:val="en-GB"/>
              </w:rPr>
            </w:pPr>
            <w:r w:rsidRPr="00467ACC">
              <w:rPr>
                <w:lang w:val="en-GB"/>
              </w:rPr>
              <w:t>21 (12.1)</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ADC541" w14:textId="77777777" w:rsidR="00B513C3" w:rsidRPr="00467ACC" w:rsidRDefault="00B513C3">
            <w:pPr>
              <w:pStyle w:val="NoSpacing"/>
              <w:rPr>
                <w:lang w:val="en-GB"/>
              </w:rPr>
            </w:pPr>
            <w:r w:rsidRPr="00467ACC">
              <w:rPr>
                <w:lang w:val="en-GB"/>
              </w:rPr>
              <w:t>23 (15.5)</w:t>
            </w:r>
          </w:p>
        </w:tc>
      </w:tr>
      <w:tr w:rsidR="00B513C3" w:rsidRPr="002247ED" w14:paraId="5B5C4CF2" w14:textId="77777777" w:rsidTr="00467ACC">
        <w:trPr>
          <w:trHeight w:val="179"/>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AF2A6" w14:textId="77777777" w:rsidR="00B513C3" w:rsidRPr="00467ACC" w:rsidRDefault="00B513C3">
            <w:pPr>
              <w:pStyle w:val="NoSpacing"/>
              <w:rPr>
                <w:lang w:val="en-GB"/>
              </w:rPr>
            </w:pPr>
            <w:r w:rsidRPr="00467ACC">
              <w:rPr>
                <w:lang w:val="en-GB"/>
              </w:rPr>
              <w:t>Headache</w:t>
            </w:r>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9B9250" w14:textId="77777777" w:rsidR="00B513C3" w:rsidRPr="00467ACC" w:rsidRDefault="00B513C3">
            <w:pPr>
              <w:pStyle w:val="NoSpacing"/>
              <w:rPr>
                <w:lang w:val="en-GB"/>
              </w:rPr>
            </w:pPr>
            <w:r w:rsidRPr="00467ACC">
              <w:rPr>
                <w:lang w:val="en-GB"/>
              </w:rPr>
              <w:t>8 (4.6)</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48CFE5" w14:textId="77777777" w:rsidR="00B513C3" w:rsidRPr="00467ACC" w:rsidRDefault="00B513C3">
            <w:pPr>
              <w:pStyle w:val="NoSpacing"/>
              <w:rPr>
                <w:lang w:val="en-GB"/>
              </w:rPr>
            </w:pPr>
            <w:r w:rsidRPr="00467ACC">
              <w:rPr>
                <w:lang w:val="en-GB"/>
              </w:rPr>
              <w:t>10 (6.8)</w:t>
            </w:r>
          </w:p>
        </w:tc>
      </w:tr>
      <w:tr w:rsidR="00B513C3" w:rsidRPr="002247ED" w14:paraId="7E555AF7" w14:textId="77777777" w:rsidTr="00467ACC">
        <w:trPr>
          <w:trHeight w:val="170"/>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00C810" w14:textId="77777777" w:rsidR="00B513C3" w:rsidRPr="00467ACC" w:rsidRDefault="00B513C3">
            <w:pPr>
              <w:pStyle w:val="NoSpacing"/>
              <w:rPr>
                <w:lang w:val="en-GB"/>
              </w:rPr>
            </w:pPr>
            <w:r w:rsidRPr="00467ACC">
              <w:rPr>
                <w:lang w:val="en-GB"/>
              </w:rPr>
              <w:t>Nausea</w:t>
            </w:r>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07FA15" w14:textId="77777777" w:rsidR="00B513C3" w:rsidRPr="00467ACC" w:rsidRDefault="00B513C3">
            <w:pPr>
              <w:pStyle w:val="NoSpacing"/>
              <w:rPr>
                <w:lang w:val="en-GB"/>
              </w:rPr>
            </w:pPr>
            <w:r w:rsidRPr="00467ACC">
              <w:rPr>
                <w:lang w:val="en-GB"/>
              </w:rPr>
              <w:t>2 (1.2)</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11E39A" w14:textId="77777777" w:rsidR="00B513C3" w:rsidRPr="00467ACC" w:rsidRDefault="00B513C3">
            <w:pPr>
              <w:pStyle w:val="NoSpacing"/>
              <w:rPr>
                <w:lang w:val="en-GB"/>
              </w:rPr>
            </w:pPr>
            <w:r w:rsidRPr="00467ACC">
              <w:rPr>
                <w:lang w:val="en-GB"/>
              </w:rPr>
              <w:t>7 (4.7)</w:t>
            </w:r>
          </w:p>
        </w:tc>
      </w:tr>
      <w:tr w:rsidR="00B513C3" w:rsidRPr="002247ED" w14:paraId="7F30AA58" w14:textId="77777777" w:rsidTr="00467ACC">
        <w:trPr>
          <w:trHeight w:val="170"/>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8FB5A2" w14:textId="77777777" w:rsidR="00B513C3" w:rsidRPr="00467ACC" w:rsidRDefault="00B513C3">
            <w:pPr>
              <w:pStyle w:val="NoSpacing"/>
              <w:rPr>
                <w:lang w:val="en-GB"/>
              </w:rPr>
            </w:pPr>
            <w:r w:rsidRPr="00467ACC">
              <w:rPr>
                <w:lang w:val="en-GB"/>
              </w:rPr>
              <w:t>Lipase increased</w:t>
            </w:r>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37E417" w14:textId="77777777" w:rsidR="00B513C3" w:rsidRPr="00467ACC" w:rsidRDefault="00B513C3">
            <w:pPr>
              <w:pStyle w:val="NoSpacing"/>
              <w:rPr>
                <w:lang w:val="en-GB"/>
              </w:rPr>
            </w:pPr>
            <w:r w:rsidRPr="00467ACC">
              <w:rPr>
                <w:lang w:val="en-GB"/>
              </w:rPr>
              <w:t>3 (1.7)</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610D5" w14:textId="77777777" w:rsidR="00B513C3" w:rsidRPr="00467ACC" w:rsidRDefault="00B513C3">
            <w:pPr>
              <w:pStyle w:val="NoSpacing"/>
              <w:rPr>
                <w:lang w:val="en-GB"/>
              </w:rPr>
            </w:pPr>
            <w:r w:rsidRPr="00467ACC">
              <w:rPr>
                <w:lang w:val="en-GB"/>
              </w:rPr>
              <w:t>6 (4.1)</w:t>
            </w:r>
          </w:p>
        </w:tc>
      </w:tr>
      <w:tr w:rsidR="00B513C3" w:rsidRPr="002247ED" w14:paraId="5334E79F" w14:textId="77777777" w:rsidTr="00467ACC">
        <w:trPr>
          <w:trHeight w:val="179"/>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03F28D" w14:textId="77777777" w:rsidR="00B513C3" w:rsidRPr="00467ACC" w:rsidRDefault="00B513C3">
            <w:pPr>
              <w:pStyle w:val="NoSpacing"/>
              <w:rPr>
                <w:lang w:val="en-GB"/>
              </w:rPr>
            </w:pPr>
            <w:r w:rsidRPr="00467ACC">
              <w:rPr>
                <w:lang w:val="en-GB"/>
              </w:rPr>
              <w:t>Sinusitis</w:t>
            </w:r>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7CB302" w14:textId="77777777" w:rsidR="00B513C3" w:rsidRPr="00467ACC" w:rsidRDefault="00B513C3">
            <w:pPr>
              <w:pStyle w:val="NoSpacing"/>
              <w:rPr>
                <w:lang w:val="en-GB"/>
              </w:rPr>
            </w:pPr>
            <w:r w:rsidRPr="00467ACC">
              <w:rPr>
                <w:lang w:val="en-GB"/>
              </w:rPr>
              <w:t>2 (1.2)</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EC3EE1" w14:textId="77777777" w:rsidR="00B513C3" w:rsidRPr="00467ACC" w:rsidRDefault="00B513C3">
            <w:pPr>
              <w:pStyle w:val="NoSpacing"/>
              <w:rPr>
                <w:lang w:val="en-GB"/>
              </w:rPr>
            </w:pPr>
            <w:r w:rsidRPr="00467ACC">
              <w:rPr>
                <w:lang w:val="en-GB"/>
              </w:rPr>
              <w:t>6 (4.1)</w:t>
            </w:r>
          </w:p>
        </w:tc>
      </w:tr>
      <w:tr w:rsidR="00B513C3" w:rsidRPr="002247ED" w14:paraId="758EAE5E" w14:textId="77777777" w:rsidTr="00467ACC">
        <w:trPr>
          <w:trHeight w:val="170"/>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A6AD35" w14:textId="77777777" w:rsidR="00B513C3" w:rsidRPr="00467ACC" w:rsidRDefault="00B513C3">
            <w:pPr>
              <w:pStyle w:val="NoSpacing"/>
              <w:rPr>
                <w:lang w:val="en-GB"/>
              </w:rPr>
            </w:pPr>
            <w:r w:rsidRPr="00467ACC">
              <w:rPr>
                <w:lang w:val="en-GB"/>
              </w:rPr>
              <w:t>Palpitations</w:t>
            </w:r>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4F9A0E" w14:textId="77777777" w:rsidR="00B513C3" w:rsidRPr="00467ACC" w:rsidRDefault="00B513C3">
            <w:pPr>
              <w:pStyle w:val="NoSpacing"/>
              <w:rPr>
                <w:lang w:val="en-GB"/>
              </w:rPr>
            </w:pPr>
            <w:r w:rsidRPr="00467ACC">
              <w:rPr>
                <w:lang w:val="en-GB"/>
              </w:rPr>
              <w:t>0 (0.0)</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D5CFB9" w14:textId="77777777" w:rsidR="00B513C3" w:rsidRPr="00467ACC" w:rsidRDefault="00B513C3">
            <w:pPr>
              <w:pStyle w:val="NoSpacing"/>
              <w:rPr>
                <w:lang w:val="en-GB"/>
              </w:rPr>
            </w:pPr>
            <w:r w:rsidRPr="00467ACC">
              <w:rPr>
                <w:lang w:val="en-GB"/>
              </w:rPr>
              <w:t>4 (2.7)</w:t>
            </w:r>
          </w:p>
        </w:tc>
      </w:tr>
      <w:tr w:rsidR="00B513C3" w:rsidRPr="002247ED" w14:paraId="2118AD9F" w14:textId="77777777" w:rsidTr="00467ACC">
        <w:trPr>
          <w:trHeight w:val="261"/>
        </w:trPr>
        <w:tc>
          <w:tcPr>
            <w:tcW w:w="2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DC434E5" w14:textId="77777777" w:rsidR="00B513C3" w:rsidRPr="00467ACC" w:rsidRDefault="00B513C3">
            <w:pPr>
              <w:pStyle w:val="NoSpacing"/>
              <w:rPr>
                <w:lang w:val="en-GB"/>
              </w:rPr>
            </w:pPr>
            <w:r w:rsidRPr="00467ACC">
              <w:rPr>
                <w:lang w:val="en-GB"/>
              </w:rPr>
              <w:t>Blood pressure increased</w:t>
            </w:r>
          </w:p>
        </w:tc>
        <w:tc>
          <w:tcPr>
            <w:tcW w:w="13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B2E32FE" w14:textId="77777777" w:rsidR="00B513C3" w:rsidRPr="00467ACC" w:rsidRDefault="00B513C3">
            <w:pPr>
              <w:pStyle w:val="NoSpacing"/>
              <w:rPr>
                <w:lang w:val="en-GB"/>
              </w:rPr>
            </w:pPr>
            <w:r w:rsidRPr="00467ACC">
              <w:rPr>
                <w:lang w:val="en-GB"/>
              </w:rPr>
              <w:t>0 (0.0)</w:t>
            </w:r>
          </w:p>
        </w:tc>
        <w:tc>
          <w:tcPr>
            <w:tcW w:w="1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6673993" w14:textId="77777777" w:rsidR="00B513C3" w:rsidRPr="00467ACC" w:rsidRDefault="00B513C3">
            <w:pPr>
              <w:pStyle w:val="NoSpacing"/>
              <w:rPr>
                <w:lang w:val="en-GB"/>
              </w:rPr>
            </w:pPr>
            <w:r w:rsidRPr="00467ACC">
              <w:rPr>
                <w:lang w:val="en-GB"/>
              </w:rPr>
              <w:t>4 (2.7)</w:t>
            </w:r>
          </w:p>
        </w:tc>
      </w:tr>
    </w:tbl>
    <w:p w14:paraId="283A1F4A" w14:textId="77777777" w:rsidR="00B513C3" w:rsidRPr="00A547CA" w:rsidRDefault="00B513C3" w:rsidP="00B513C3">
      <w:pPr>
        <w:pStyle w:val="NoSpacing"/>
        <w:rPr>
          <w:sz w:val="20"/>
          <w:szCs w:val="20"/>
        </w:rPr>
      </w:pPr>
      <w:r w:rsidRPr="00A547CA">
        <w:rPr>
          <w:sz w:val="20"/>
          <w:szCs w:val="20"/>
        </w:rPr>
        <w:t xml:space="preserve">Abbreviation: </w:t>
      </w:r>
      <w:proofErr w:type="spellStart"/>
      <w:r w:rsidRPr="00A547CA">
        <w:rPr>
          <w:sz w:val="20"/>
          <w:szCs w:val="20"/>
        </w:rPr>
        <w:t>TEAE</w:t>
      </w:r>
      <w:proofErr w:type="spellEnd"/>
      <w:r w:rsidRPr="00A547CA">
        <w:rPr>
          <w:sz w:val="20"/>
          <w:szCs w:val="20"/>
        </w:rPr>
        <w:t xml:space="preserve">=treatment-emergent </w:t>
      </w:r>
      <w:r w:rsidR="00FF6B82" w:rsidRPr="00A547CA">
        <w:rPr>
          <w:sz w:val="20"/>
          <w:szCs w:val="20"/>
        </w:rPr>
        <w:t xml:space="preserve">adverse </w:t>
      </w:r>
      <w:r w:rsidRPr="00A547CA">
        <w:rPr>
          <w:sz w:val="20"/>
          <w:szCs w:val="20"/>
        </w:rPr>
        <w:t>event.</w:t>
      </w:r>
    </w:p>
    <w:p w14:paraId="70634236" w14:textId="1CADC04A" w:rsidR="002222E6" w:rsidRPr="00467ACC" w:rsidRDefault="002222E6" w:rsidP="00B513C3">
      <w:pPr>
        <w:pStyle w:val="NoSpacing"/>
        <w:rPr>
          <w:sz w:val="20"/>
          <w:szCs w:val="20"/>
        </w:rPr>
      </w:pPr>
      <w:r>
        <w:rPr>
          <w:sz w:val="20"/>
          <w:szCs w:val="20"/>
          <w:vertAlign w:val="superscript"/>
        </w:rPr>
        <w:t>a</w:t>
      </w:r>
      <w:r w:rsidR="007C2F1F">
        <w:rPr>
          <w:sz w:val="20"/>
          <w:szCs w:val="20"/>
          <w:vertAlign w:val="superscript"/>
        </w:rPr>
        <w:t xml:space="preserve"> </w:t>
      </w:r>
      <w:r>
        <w:rPr>
          <w:sz w:val="20"/>
          <w:szCs w:val="20"/>
        </w:rPr>
        <w:t xml:space="preserve">Frequency greater in </w:t>
      </w:r>
      <w:proofErr w:type="spellStart"/>
      <w:r>
        <w:rPr>
          <w:sz w:val="20"/>
          <w:szCs w:val="20"/>
        </w:rPr>
        <w:t>plozasiran</w:t>
      </w:r>
      <w:proofErr w:type="spellEnd"/>
      <w:r>
        <w:rPr>
          <w:sz w:val="20"/>
          <w:szCs w:val="20"/>
        </w:rPr>
        <w:t xml:space="preserve"> treated patients versus placebo treated patients</w:t>
      </w:r>
      <w:r w:rsidR="006A6605">
        <w:rPr>
          <w:sz w:val="20"/>
          <w:szCs w:val="20"/>
        </w:rPr>
        <w:t xml:space="preserve"> irrespective of causality</w:t>
      </w:r>
      <w:r>
        <w:rPr>
          <w:sz w:val="20"/>
          <w:szCs w:val="20"/>
        </w:rPr>
        <w:t>.</w:t>
      </w:r>
    </w:p>
    <w:p w14:paraId="58CF245C" w14:textId="50B69047" w:rsidR="00B513C3" w:rsidRPr="00A547CA" w:rsidRDefault="002222E6" w:rsidP="00B513C3">
      <w:pPr>
        <w:pStyle w:val="NoSpacing"/>
        <w:rPr>
          <w:sz w:val="20"/>
          <w:szCs w:val="20"/>
        </w:rPr>
      </w:pPr>
      <w:r>
        <w:rPr>
          <w:sz w:val="20"/>
          <w:szCs w:val="20"/>
          <w:vertAlign w:val="superscript"/>
        </w:rPr>
        <w:t>b</w:t>
      </w:r>
      <w:r w:rsidR="007C2F1F">
        <w:rPr>
          <w:sz w:val="20"/>
          <w:szCs w:val="20"/>
          <w:vertAlign w:val="superscript"/>
        </w:rPr>
        <w:t xml:space="preserve"> </w:t>
      </w:r>
      <w:r w:rsidR="00B513C3" w:rsidRPr="00A547CA">
        <w:rPr>
          <w:sz w:val="20"/>
          <w:szCs w:val="20"/>
        </w:rPr>
        <w:t>Hyperglycaemia included observed preferred terms: diabetes mellitus, diabetes mellitus inadequate control, glucose tolerance impaired, glucose urine present, glycosylated haemoglobin increased, haematocrit decreased, hyperglycaemia, type 2 diabetes mellitus, and blood glucose increased.</w:t>
      </w:r>
    </w:p>
    <w:p w14:paraId="1DB2CC65" w14:textId="06C9D2E1" w:rsidR="00B513C3" w:rsidRPr="00A547CA" w:rsidRDefault="002222E6" w:rsidP="00B513C3">
      <w:pPr>
        <w:pStyle w:val="NoSpacing"/>
        <w:rPr>
          <w:sz w:val="20"/>
          <w:szCs w:val="20"/>
        </w:rPr>
      </w:pPr>
      <w:r>
        <w:rPr>
          <w:sz w:val="20"/>
          <w:szCs w:val="20"/>
          <w:vertAlign w:val="superscript"/>
        </w:rPr>
        <w:t>c</w:t>
      </w:r>
      <w:r w:rsidR="007C2F1F">
        <w:rPr>
          <w:sz w:val="20"/>
          <w:szCs w:val="20"/>
          <w:vertAlign w:val="superscript"/>
        </w:rPr>
        <w:t xml:space="preserve"> </w:t>
      </w:r>
      <w:r w:rsidR="00B513C3" w:rsidRPr="00A547CA">
        <w:rPr>
          <w:sz w:val="20"/>
          <w:szCs w:val="20"/>
        </w:rPr>
        <w:t>Injection Site Reaction included observed preferred terms: injection site erythema, injection site pain, injection site pruritus, and injection site reaction.</w:t>
      </w:r>
    </w:p>
    <w:p w14:paraId="4B2A7728" w14:textId="08D9039E" w:rsidR="00FF6B82" w:rsidRPr="00D21D95" w:rsidRDefault="00FF6B82" w:rsidP="00FF6B82">
      <w:pPr>
        <w:rPr>
          <w:rFonts w:cstheme="minorHAnsi"/>
          <w:bCs/>
          <w:lang w:val="en-GB"/>
        </w:rPr>
      </w:pPr>
      <w:r w:rsidRPr="00D21D95">
        <w:rPr>
          <w:rFonts w:cstheme="minorHAnsi"/>
          <w:bCs/>
          <w:lang w:val="en-GB"/>
        </w:rPr>
        <w:t xml:space="preserve">The </w:t>
      </w:r>
      <w:r w:rsidR="00C11E64">
        <w:rPr>
          <w:rFonts w:cstheme="minorHAnsi"/>
          <w:bCs/>
          <w:lang w:val="en-GB"/>
        </w:rPr>
        <w:t xml:space="preserve">following </w:t>
      </w:r>
      <w:r w:rsidRPr="00D21D95">
        <w:rPr>
          <w:rFonts w:cstheme="minorHAnsi"/>
          <w:bCs/>
          <w:lang w:val="en-GB"/>
        </w:rPr>
        <w:t xml:space="preserve">adverse reactions </w:t>
      </w:r>
      <w:r w:rsidR="00C11E64">
        <w:rPr>
          <w:rFonts w:cstheme="minorHAnsi"/>
          <w:bCs/>
          <w:lang w:val="en-GB"/>
        </w:rPr>
        <w:t>(</w:t>
      </w:r>
      <w:r w:rsidR="0063372A" w:rsidRPr="00F761EC">
        <w:rPr>
          <w:rFonts w:cstheme="minorHAnsi"/>
          <w:bCs/>
          <w:color w:val="0000CC"/>
          <w:lang w:val="en-GB"/>
        </w:rPr>
        <w:fldChar w:fldCharType="begin"/>
      </w:r>
      <w:r w:rsidR="0063372A" w:rsidRPr="00F761EC">
        <w:rPr>
          <w:rFonts w:cstheme="minorHAnsi"/>
          <w:bCs/>
          <w:color w:val="0000CC"/>
          <w:lang w:val="en-GB"/>
        </w:rPr>
        <w:instrText xml:space="preserve"> REF _Ref221882208 \h </w:instrText>
      </w:r>
      <w:r w:rsidR="0063372A" w:rsidRPr="00F761EC">
        <w:rPr>
          <w:rFonts w:cstheme="minorHAnsi"/>
          <w:bCs/>
          <w:color w:val="0000CC"/>
          <w:lang w:val="en-GB"/>
        </w:rPr>
      </w:r>
      <w:r w:rsidR="0063372A" w:rsidRPr="00F761EC">
        <w:rPr>
          <w:rFonts w:cstheme="minorHAnsi"/>
          <w:bCs/>
          <w:color w:val="0000CC"/>
          <w:lang w:val="en-GB"/>
        </w:rPr>
        <w:fldChar w:fldCharType="separate"/>
      </w:r>
      <w:r w:rsidR="0063372A" w:rsidRPr="00F761EC">
        <w:rPr>
          <w:color w:val="0000CC"/>
        </w:rPr>
        <w:t xml:space="preserve">Table </w:t>
      </w:r>
      <w:r w:rsidR="0063372A" w:rsidRPr="00F761EC">
        <w:rPr>
          <w:noProof/>
          <w:color w:val="0000CC"/>
        </w:rPr>
        <w:t>2</w:t>
      </w:r>
      <w:r w:rsidR="0063372A" w:rsidRPr="00F761EC">
        <w:rPr>
          <w:rFonts w:cstheme="minorHAnsi"/>
          <w:bCs/>
          <w:color w:val="0000CC"/>
          <w:lang w:val="en-GB"/>
        </w:rPr>
        <w:fldChar w:fldCharType="end"/>
      </w:r>
      <w:r w:rsidR="00C11E64">
        <w:rPr>
          <w:rFonts w:cstheme="minorHAnsi"/>
          <w:bCs/>
          <w:lang w:val="en-GB"/>
        </w:rPr>
        <w:t>)</w:t>
      </w:r>
      <w:r w:rsidRPr="00D21D95">
        <w:rPr>
          <w:rFonts w:cstheme="minorHAnsi"/>
          <w:bCs/>
          <w:lang w:val="en-GB"/>
        </w:rPr>
        <w:t xml:space="preserve"> are listed according to the MedDRA system organ class and by frequency. The frequency categories are defined using the following conventions: very common (≥ 1/10), common (≥ 1/100 to &lt; 1/10), uncommon (≥ 1/1 000 to &lt; 1/100), rare (≥ 1/10 000 to &lt; 1/1 000), very rare (&lt;</w:t>
      </w:r>
      <w:r>
        <w:rPr>
          <w:rFonts w:cstheme="minorHAnsi"/>
          <w:bCs/>
          <w:lang w:val="en-GB"/>
        </w:rPr>
        <w:t> </w:t>
      </w:r>
      <w:r w:rsidRPr="00D21D95">
        <w:rPr>
          <w:rFonts w:cstheme="minorHAnsi"/>
          <w:bCs/>
          <w:lang w:val="en-GB"/>
        </w:rPr>
        <w:t>1/10 000) and not known (cannot be estimated from the available data). Within each frequency grouping, adverse reactions are presented in the order of decreasing seriousness.</w:t>
      </w:r>
    </w:p>
    <w:p w14:paraId="1F6F493D" w14:textId="79A148A9" w:rsidR="00DA3E6E" w:rsidRDefault="00DA3E6E" w:rsidP="00D42DF7">
      <w:pPr>
        <w:pStyle w:val="Caption"/>
      </w:pPr>
      <w:bookmarkStart w:id="5" w:name="_Ref221882208"/>
      <w:r>
        <w:t xml:space="preserve">Table </w:t>
      </w:r>
      <w:r>
        <w:fldChar w:fldCharType="begin"/>
      </w:r>
      <w:r>
        <w:instrText xml:space="preserve"> SEQ Table \* ARABIC </w:instrText>
      </w:r>
      <w:r>
        <w:fldChar w:fldCharType="separate"/>
      </w:r>
      <w:r w:rsidR="008670CC">
        <w:rPr>
          <w:noProof/>
        </w:rPr>
        <w:t>2</w:t>
      </w:r>
      <w:r>
        <w:fldChar w:fldCharType="end"/>
      </w:r>
      <w:bookmarkEnd w:id="3"/>
      <w:bookmarkEnd w:id="5"/>
      <w:r>
        <w:t xml:space="preserve">: </w:t>
      </w:r>
      <w:r w:rsidRPr="00FB4FBF">
        <w:t>Adverse drug reactions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934"/>
        <w:gridCol w:w="1664"/>
      </w:tblGrid>
      <w:tr w:rsidR="00DA3E6E" w:rsidRPr="00BD012F" w14:paraId="60507B27" w14:textId="77777777" w:rsidTr="00DC4254">
        <w:trPr>
          <w:trHeight w:val="300"/>
          <w:tblHeader/>
        </w:trPr>
        <w:tc>
          <w:tcPr>
            <w:tcW w:w="2450" w:type="pct"/>
            <w:hideMark/>
          </w:tcPr>
          <w:p w14:paraId="0B5959CB" w14:textId="77777777" w:rsidR="00DA3E6E" w:rsidRPr="00D21D95" w:rsidRDefault="00DA3E6E" w:rsidP="00BD012F">
            <w:pPr>
              <w:spacing w:after="0"/>
              <w:rPr>
                <w:rFonts w:cstheme="minorHAnsi"/>
                <w:b/>
                <w:lang w:val="en-GB"/>
              </w:rPr>
            </w:pPr>
            <w:r w:rsidRPr="00D21D95">
              <w:rPr>
                <w:rFonts w:cstheme="minorHAnsi"/>
                <w:b/>
                <w:lang w:val="en-GB"/>
              </w:rPr>
              <w:t>System Organ Class</w:t>
            </w:r>
          </w:p>
        </w:tc>
        <w:tc>
          <w:tcPr>
            <w:tcW w:w="1627" w:type="pct"/>
            <w:hideMark/>
          </w:tcPr>
          <w:p w14:paraId="7DD66FCC" w14:textId="77777777" w:rsidR="00DA3E6E" w:rsidRPr="00D21D95" w:rsidRDefault="00DA3E6E" w:rsidP="00BD012F">
            <w:pPr>
              <w:spacing w:after="0"/>
              <w:rPr>
                <w:rFonts w:cstheme="minorHAnsi"/>
                <w:b/>
                <w:lang w:val="en-GB"/>
              </w:rPr>
            </w:pPr>
            <w:r w:rsidRPr="00D21D95">
              <w:rPr>
                <w:rFonts w:cstheme="minorHAnsi"/>
                <w:b/>
                <w:lang w:val="en-GB"/>
              </w:rPr>
              <w:t>Adverse reaction</w:t>
            </w:r>
          </w:p>
        </w:tc>
        <w:tc>
          <w:tcPr>
            <w:tcW w:w="923" w:type="pct"/>
            <w:hideMark/>
          </w:tcPr>
          <w:p w14:paraId="268BE803" w14:textId="77777777" w:rsidR="00DA3E6E" w:rsidRPr="00D21D95" w:rsidRDefault="00DA3E6E" w:rsidP="00BD012F">
            <w:pPr>
              <w:spacing w:after="0"/>
              <w:rPr>
                <w:rFonts w:cstheme="minorHAnsi"/>
                <w:b/>
                <w:lang w:val="en-GB"/>
              </w:rPr>
            </w:pPr>
            <w:r w:rsidRPr="00D21D95">
              <w:rPr>
                <w:rFonts w:cstheme="minorHAnsi"/>
                <w:b/>
                <w:lang w:val="en-GB"/>
              </w:rPr>
              <w:t>Frequency</w:t>
            </w:r>
          </w:p>
        </w:tc>
      </w:tr>
      <w:tr w:rsidR="00DA3E6E" w:rsidRPr="00BD012F" w14:paraId="2AA84012" w14:textId="77777777" w:rsidTr="00DC4254">
        <w:trPr>
          <w:trHeight w:val="300"/>
        </w:trPr>
        <w:tc>
          <w:tcPr>
            <w:tcW w:w="2450" w:type="pct"/>
            <w:hideMark/>
          </w:tcPr>
          <w:p w14:paraId="0A916CA0" w14:textId="77777777" w:rsidR="00DA3E6E" w:rsidRPr="00D21D95" w:rsidRDefault="00DA3E6E" w:rsidP="00BD012F">
            <w:pPr>
              <w:spacing w:after="0"/>
              <w:rPr>
                <w:rFonts w:cstheme="minorHAnsi"/>
                <w:lang w:val="en-GB"/>
              </w:rPr>
            </w:pPr>
            <w:r w:rsidRPr="00D21D95">
              <w:rPr>
                <w:rFonts w:cstheme="minorHAnsi"/>
                <w:lang w:val="en-GB"/>
              </w:rPr>
              <w:t>Metabolism and nutrition disorders</w:t>
            </w:r>
          </w:p>
        </w:tc>
        <w:tc>
          <w:tcPr>
            <w:tcW w:w="1627" w:type="pct"/>
            <w:hideMark/>
          </w:tcPr>
          <w:p w14:paraId="0800E75B" w14:textId="4A5BBE8F" w:rsidR="00DA3E6E" w:rsidRPr="00D21D95" w:rsidRDefault="009965FE" w:rsidP="00BD012F">
            <w:pPr>
              <w:spacing w:after="0"/>
              <w:rPr>
                <w:rFonts w:cstheme="minorHAnsi"/>
                <w:lang w:val="en-GB"/>
              </w:rPr>
            </w:pPr>
            <w:proofErr w:type="spellStart"/>
            <w:r>
              <w:rPr>
                <w:rFonts w:cstheme="minorHAnsi"/>
                <w:lang w:val="en-GB"/>
              </w:rPr>
              <w:t>Hyperglycaemia</w:t>
            </w:r>
            <w:r w:rsidR="00DA3E6E" w:rsidRPr="00D21D95">
              <w:rPr>
                <w:rFonts w:cstheme="minorHAnsi"/>
                <w:vertAlign w:val="superscript"/>
                <w:lang w:val="en-GB"/>
              </w:rPr>
              <w:t>a</w:t>
            </w:r>
            <w:proofErr w:type="spellEnd"/>
          </w:p>
        </w:tc>
        <w:tc>
          <w:tcPr>
            <w:tcW w:w="923" w:type="pct"/>
            <w:hideMark/>
          </w:tcPr>
          <w:p w14:paraId="25B84E80" w14:textId="77777777" w:rsidR="00DA3E6E" w:rsidRPr="00D21D95" w:rsidRDefault="00DA3E6E" w:rsidP="00BD012F">
            <w:pPr>
              <w:spacing w:after="0"/>
              <w:rPr>
                <w:rFonts w:cstheme="minorHAnsi"/>
                <w:lang w:val="en-GB"/>
              </w:rPr>
            </w:pPr>
            <w:r w:rsidRPr="00D21D95">
              <w:rPr>
                <w:rFonts w:cstheme="minorHAnsi"/>
                <w:lang w:val="en-GB"/>
              </w:rPr>
              <w:t>very common</w:t>
            </w:r>
          </w:p>
        </w:tc>
      </w:tr>
      <w:tr w:rsidR="00DA3E6E" w:rsidRPr="00BD012F" w14:paraId="342EBAB0" w14:textId="77777777" w:rsidTr="00DC4254">
        <w:trPr>
          <w:trHeight w:val="300"/>
        </w:trPr>
        <w:tc>
          <w:tcPr>
            <w:tcW w:w="2450" w:type="pct"/>
          </w:tcPr>
          <w:p w14:paraId="75439958" w14:textId="77777777" w:rsidR="00DA3E6E" w:rsidRPr="00D21D95" w:rsidRDefault="00DA3E6E" w:rsidP="00BD012F">
            <w:pPr>
              <w:spacing w:after="0"/>
              <w:rPr>
                <w:rFonts w:cstheme="minorHAnsi"/>
                <w:lang w:val="en-GB"/>
              </w:rPr>
            </w:pPr>
            <w:r w:rsidRPr="00D21D95">
              <w:rPr>
                <w:rFonts w:cstheme="minorHAnsi"/>
                <w:lang w:val="en-GB"/>
              </w:rPr>
              <w:t>Nervous system disorders</w:t>
            </w:r>
          </w:p>
        </w:tc>
        <w:tc>
          <w:tcPr>
            <w:tcW w:w="1627" w:type="pct"/>
          </w:tcPr>
          <w:p w14:paraId="3D5EB057" w14:textId="77777777" w:rsidR="00DA3E6E" w:rsidRPr="00D21D95" w:rsidRDefault="00DA3E6E" w:rsidP="00BD012F">
            <w:pPr>
              <w:spacing w:after="0"/>
              <w:rPr>
                <w:rFonts w:cstheme="minorHAnsi"/>
                <w:lang w:val="en-GB"/>
              </w:rPr>
            </w:pPr>
            <w:r w:rsidRPr="00D21D95">
              <w:rPr>
                <w:rFonts w:cstheme="minorHAnsi"/>
                <w:lang w:val="en-GB"/>
              </w:rPr>
              <w:t>Headache</w:t>
            </w:r>
          </w:p>
        </w:tc>
        <w:tc>
          <w:tcPr>
            <w:tcW w:w="923" w:type="pct"/>
          </w:tcPr>
          <w:p w14:paraId="749FDEAE" w14:textId="77777777" w:rsidR="00DA3E6E" w:rsidRPr="00D21D95" w:rsidRDefault="00DA3E6E" w:rsidP="00BD012F">
            <w:pPr>
              <w:spacing w:after="0"/>
              <w:rPr>
                <w:rFonts w:cstheme="minorHAnsi"/>
                <w:lang w:val="en-GB"/>
              </w:rPr>
            </w:pPr>
            <w:r w:rsidRPr="00D21D95">
              <w:rPr>
                <w:rFonts w:cstheme="minorHAnsi"/>
                <w:lang w:val="en-GB"/>
              </w:rPr>
              <w:t>common</w:t>
            </w:r>
          </w:p>
        </w:tc>
      </w:tr>
      <w:tr w:rsidR="00DA3E6E" w:rsidRPr="00BD012F" w14:paraId="36D8E0C2" w14:textId="77777777" w:rsidTr="00DC4254">
        <w:trPr>
          <w:trHeight w:val="300"/>
        </w:trPr>
        <w:tc>
          <w:tcPr>
            <w:tcW w:w="2450" w:type="pct"/>
          </w:tcPr>
          <w:p w14:paraId="5FD5E1D3" w14:textId="77777777" w:rsidR="00DA3E6E" w:rsidRPr="00D21D95" w:rsidRDefault="00DA3E6E" w:rsidP="00BD012F">
            <w:pPr>
              <w:spacing w:after="0"/>
              <w:rPr>
                <w:rFonts w:cstheme="minorHAnsi"/>
                <w:lang w:val="en-GB"/>
              </w:rPr>
            </w:pPr>
            <w:r w:rsidRPr="00D21D95">
              <w:rPr>
                <w:rFonts w:cstheme="minorHAnsi"/>
                <w:lang w:val="en-GB"/>
              </w:rPr>
              <w:t>General disorders and administration site conditions</w:t>
            </w:r>
          </w:p>
        </w:tc>
        <w:tc>
          <w:tcPr>
            <w:tcW w:w="1627" w:type="pct"/>
          </w:tcPr>
          <w:p w14:paraId="2B453844" w14:textId="60F9B3AE" w:rsidR="00DA3E6E" w:rsidRPr="00D21D95" w:rsidRDefault="0005755C" w:rsidP="00BD012F">
            <w:pPr>
              <w:spacing w:after="0"/>
              <w:rPr>
                <w:rFonts w:cstheme="minorHAnsi"/>
                <w:lang w:val="en-GB"/>
              </w:rPr>
            </w:pPr>
            <w:r>
              <w:rPr>
                <w:rFonts w:cstheme="minorHAnsi"/>
                <w:lang w:val="en-GB"/>
              </w:rPr>
              <w:t>I</w:t>
            </w:r>
            <w:r w:rsidR="00DA3E6E" w:rsidRPr="00D21D95">
              <w:rPr>
                <w:rFonts w:cstheme="minorHAnsi"/>
                <w:lang w:val="en-GB"/>
              </w:rPr>
              <w:t xml:space="preserve">njection site </w:t>
            </w:r>
            <w:proofErr w:type="spellStart"/>
            <w:r w:rsidR="00DA3E6E" w:rsidRPr="00D21D95">
              <w:rPr>
                <w:rFonts w:cstheme="minorHAnsi"/>
                <w:lang w:val="en-GB"/>
              </w:rPr>
              <w:t>reaction</w:t>
            </w:r>
            <w:r w:rsidR="004266F2">
              <w:rPr>
                <w:rFonts w:cstheme="minorHAnsi"/>
                <w:vertAlign w:val="superscript"/>
                <w:lang w:val="en-GB"/>
              </w:rPr>
              <w:t>b</w:t>
            </w:r>
            <w:proofErr w:type="spellEnd"/>
          </w:p>
        </w:tc>
        <w:tc>
          <w:tcPr>
            <w:tcW w:w="923" w:type="pct"/>
          </w:tcPr>
          <w:p w14:paraId="198C4FAA" w14:textId="77777777" w:rsidR="00DA3E6E" w:rsidRPr="00D21D95" w:rsidRDefault="00DA3E6E" w:rsidP="00BD012F">
            <w:pPr>
              <w:spacing w:after="0"/>
              <w:rPr>
                <w:rFonts w:cstheme="minorHAnsi"/>
                <w:lang w:val="en-GB"/>
              </w:rPr>
            </w:pPr>
            <w:r w:rsidRPr="00D21D95">
              <w:rPr>
                <w:rFonts w:cstheme="minorHAnsi"/>
                <w:lang w:val="en-GB"/>
              </w:rPr>
              <w:t>common</w:t>
            </w:r>
          </w:p>
        </w:tc>
      </w:tr>
    </w:tbl>
    <w:p w14:paraId="18B8655E" w14:textId="77777777" w:rsidR="003F19D6" w:rsidRPr="003F19D6" w:rsidRDefault="003F19D6" w:rsidP="00D16E90">
      <w:pPr>
        <w:pStyle w:val="NoSpacing"/>
        <w:rPr>
          <w:sz w:val="20"/>
          <w:szCs w:val="20"/>
          <w:lang w:val="en-GB"/>
        </w:rPr>
      </w:pPr>
      <w:r w:rsidRPr="003F19D6">
        <w:rPr>
          <w:sz w:val="20"/>
          <w:szCs w:val="20"/>
          <w:vertAlign w:val="superscript"/>
          <w:lang w:val="en-GB"/>
        </w:rPr>
        <w:t xml:space="preserve">a </w:t>
      </w:r>
      <w:r w:rsidRPr="003F19D6">
        <w:rPr>
          <w:sz w:val="20"/>
          <w:szCs w:val="20"/>
          <w:lang w:val="en-GB"/>
        </w:rPr>
        <w:t>Hyperglycaemia included observed preferred terms: diabetes mellitus, diabetes mellitus inadequate control, glucose tolerance impaired, glucose urine present, glycosylated haemoglobin increased, haematocrit decreased, hyperglycaemia, type 2 diabetes mellitus, and blood glucose increased.</w:t>
      </w:r>
    </w:p>
    <w:p w14:paraId="43563BF5" w14:textId="72DBAD0A" w:rsidR="00A547CA" w:rsidRPr="00596EE7" w:rsidRDefault="003F19D6" w:rsidP="00596EE7">
      <w:pPr>
        <w:pStyle w:val="NoSpacing"/>
        <w:rPr>
          <w:sz w:val="20"/>
          <w:szCs w:val="20"/>
          <w:lang w:val="en-GB"/>
        </w:rPr>
      </w:pPr>
      <w:r w:rsidRPr="003F19D6">
        <w:rPr>
          <w:sz w:val="20"/>
          <w:szCs w:val="20"/>
          <w:vertAlign w:val="superscript"/>
          <w:lang w:val="en-GB"/>
        </w:rPr>
        <w:t>b</w:t>
      </w:r>
      <w:r w:rsidRPr="003F19D6">
        <w:rPr>
          <w:sz w:val="20"/>
          <w:szCs w:val="20"/>
          <w:lang w:val="en-GB"/>
        </w:rPr>
        <w:t xml:space="preserve"> Injection Site Reaction included observed preferred terms: </w:t>
      </w:r>
      <w:r w:rsidRPr="003F19D6" w:rsidDel="009A081D">
        <w:rPr>
          <w:sz w:val="20"/>
          <w:szCs w:val="20"/>
          <w:lang w:val="en-GB"/>
        </w:rPr>
        <w:t xml:space="preserve">injection site </w:t>
      </w:r>
      <w:r w:rsidRPr="003F19D6">
        <w:rPr>
          <w:sz w:val="20"/>
          <w:szCs w:val="20"/>
          <w:lang w:val="en-GB"/>
        </w:rPr>
        <w:t>erythema, injection site pain, injection site pruritus, and injection site reaction.</w:t>
      </w:r>
    </w:p>
    <w:p w14:paraId="0059CD39" w14:textId="77777777" w:rsidR="00DA3E6E" w:rsidRPr="00D01D4E" w:rsidRDefault="00DA3E6E" w:rsidP="00300732">
      <w:pPr>
        <w:pStyle w:val="Heading3"/>
      </w:pPr>
      <w:r w:rsidRPr="00D01D4E">
        <w:lastRenderedPageBreak/>
        <w:t>Description of selected adverse reactions</w:t>
      </w:r>
    </w:p>
    <w:p w14:paraId="1022AE32" w14:textId="092538CC" w:rsidR="00DA3E6E" w:rsidRPr="00D01D4E" w:rsidRDefault="006C0815" w:rsidP="006C0D48">
      <w:pPr>
        <w:pStyle w:val="Heading4"/>
      </w:pPr>
      <w:proofErr w:type="spellStart"/>
      <w:r>
        <w:rPr>
          <w:lang w:val="en-US"/>
        </w:rPr>
        <w:t>Hyperglycaemia</w:t>
      </w:r>
      <w:proofErr w:type="spellEnd"/>
    </w:p>
    <w:p w14:paraId="57AAAC27" w14:textId="1D74AEAD" w:rsidR="00A84F16" w:rsidRDefault="00A84F16" w:rsidP="00A84F16">
      <w:proofErr w:type="spellStart"/>
      <w:r>
        <w:t>Plozasiran</w:t>
      </w:r>
      <w:proofErr w:type="spellEnd"/>
      <w:r>
        <w:t xml:space="preserve"> was associated with small, non-progressive increases in </w:t>
      </w:r>
      <w:proofErr w:type="spellStart"/>
      <w:r>
        <w:t>HbA1c</w:t>
      </w:r>
      <w:proofErr w:type="spellEnd"/>
      <w:r>
        <w:t xml:space="preserve">. At Month 10 (after three doses), median </w:t>
      </w:r>
      <w:proofErr w:type="spellStart"/>
      <w:r>
        <w:t>HbA1c</w:t>
      </w:r>
      <w:proofErr w:type="spellEnd"/>
      <w:r>
        <w:t xml:space="preserve"> increases were +0.20% (baseline &lt;5.7%, n=31), +0.45% (baseline 5.7–&lt;6.5%, n=6) and +0.75% (baseline ≥6.5%, n=4). </w:t>
      </w:r>
      <w:proofErr w:type="spellStart"/>
      <w:r>
        <w:t>HbA1c</w:t>
      </w:r>
      <w:proofErr w:type="spellEnd"/>
      <w:r>
        <w:t xml:space="preserve"> values generally plateaued thereafter and remained stable between Months 12 and 24 in the open-label extension. </w:t>
      </w:r>
    </w:p>
    <w:p w14:paraId="499B31E7" w14:textId="0ED243DE" w:rsidR="00A84F16" w:rsidRDefault="00E55133" w:rsidP="00A84F16">
      <w:r>
        <w:t>H</w:t>
      </w:r>
      <w:r w:rsidRPr="00E55133">
        <w:t>yperglyc</w:t>
      </w:r>
      <w:r w:rsidR="008A1F65">
        <w:t>a</w:t>
      </w:r>
      <w:r w:rsidRPr="00E55133">
        <w:t xml:space="preserve">emia (e.g., diabetes mellitus, glycosylated haemoglobin increased, hyperglycaemia, type 2 diabetes mellitus, and blood glucose increased) occurred at a rate of 12.8% in patients treated with </w:t>
      </w:r>
      <w:proofErr w:type="spellStart"/>
      <w:r w:rsidRPr="00E55133">
        <w:t>plozasiran</w:t>
      </w:r>
      <w:proofErr w:type="spellEnd"/>
      <w:r w:rsidRPr="00E55133">
        <w:t xml:space="preserve"> </w:t>
      </w:r>
      <w:r w:rsidR="00780C9E" w:rsidRPr="00E55133">
        <w:t>compared</w:t>
      </w:r>
      <w:r w:rsidRPr="00E55133">
        <w:t xml:space="preserve"> with 9.8% in patients treated with placebo</w:t>
      </w:r>
      <w:r w:rsidR="00A84F16">
        <w:t xml:space="preserve">, but discontinuation due to </w:t>
      </w:r>
      <w:r w:rsidR="002B13C4">
        <w:t>hyperglycaemia</w:t>
      </w:r>
      <w:r w:rsidR="00A84F16">
        <w:t xml:space="preserve"> was uncommon (0.68%). </w:t>
      </w:r>
    </w:p>
    <w:p w14:paraId="1D816745" w14:textId="72F3A07B" w:rsidR="00DA3E6E" w:rsidRPr="002D3C5E" w:rsidRDefault="00A84F16" w:rsidP="00A84F16">
      <w:r>
        <w:t xml:space="preserve">Patients with pre-existing diabetes or impaired glycaemic control should undergo monitoring of </w:t>
      </w:r>
      <w:proofErr w:type="spellStart"/>
      <w:r>
        <w:t>HbA1c</w:t>
      </w:r>
      <w:proofErr w:type="spellEnd"/>
      <w:r>
        <w:t xml:space="preserve"> or blood glucose according to standard clinical practice.</w:t>
      </w:r>
    </w:p>
    <w:p w14:paraId="08637F45" w14:textId="33826468" w:rsidR="00DA3E6E" w:rsidRPr="006C0D48" w:rsidRDefault="00DA3E6E" w:rsidP="006C0D48">
      <w:pPr>
        <w:pStyle w:val="Heading4"/>
      </w:pPr>
      <w:r w:rsidRPr="002D3C5E">
        <w:t>Injection Site Reaction</w:t>
      </w:r>
      <w:r>
        <w:t>s</w:t>
      </w:r>
    </w:p>
    <w:p w14:paraId="6C161E67" w14:textId="784CEF0E" w:rsidR="00DA3E6E" w:rsidRPr="002D3C5E" w:rsidRDefault="008643AD" w:rsidP="00FC6549">
      <w:r>
        <w:t>I</w:t>
      </w:r>
      <w:r w:rsidR="00DA3E6E">
        <w:t xml:space="preserve">njection site reaction occurred in 4.7% and 1.2% of </w:t>
      </w:r>
      <w:proofErr w:type="spellStart"/>
      <w:r w:rsidR="00DA3E6E">
        <w:t>plozasiran</w:t>
      </w:r>
      <w:proofErr w:type="spellEnd"/>
      <w:r w:rsidR="00DA3E6E">
        <w:t xml:space="preserve"> and placebo patients, respectively, in the placebo-controlled studies. </w:t>
      </w:r>
      <w:proofErr w:type="gramStart"/>
      <w:r w:rsidR="00DA3E6E">
        <w:t>All of</w:t>
      </w:r>
      <w:proofErr w:type="gramEnd"/>
      <w:r w:rsidR="00DA3E6E">
        <w:t xml:space="preserve"> these adverse reactions were mild in severity. No patients discontinued treatment or required alterations or delays in dosing due to injection site reactions. </w:t>
      </w:r>
      <w:r>
        <w:t>I</w:t>
      </w:r>
      <w:r w:rsidR="00DA3E6E" w:rsidRPr="00660772">
        <w:t xml:space="preserve">njection site reaction events in patients treated with </w:t>
      </w:r>
      <w:proofErr w:type="spellStart"/>
      <w:r w:rsidR="00DA3E6E" w:rsidRPr="00660772">
        <w:t>plozasiran</w:t>
      </w:r>
      <w:proofErr w:type="spellEnd"/>
      <w:r w:rsidR="00DA3E6E" w:rsidRPr="00660772">
        <w:t xml:space="preserve"> included injection site erythema (0.7%), injection site pain (2.7%), and injection site reaction (1.4%).</w:t>
      </w:r>
    </w:p>
    <w:p w14:paraId="2799594B" w14:textId="77777777" w:rsidR="00DA3E6E" w:rsidRPr="006C0D48" w:rsidDel="001E2006" w:rsidRDefault="00DA3E6E" w:rsidP="00CB48D7">
      <w:pPr>
        <w:rPr>
          <w:rFonts w:asciiTheme="majorHAnsi" w:hAnsiTheme="majorHAnsi"/>
          <w:b/>
          <w:bCs/>
        </w:rPr>
      </w:pPr>
      <w:r w:rsidRPr="002D3C5E">
        <w:rPr>
          <w:rFonts w:asciiTheme="majorHAnsi" w:hAnsiTheme="majorHAnsi"/>
          <w:b/>
          <w:bCs/>
        </w:rPr>
        <w:t>Laboratory Obser</w:t>
      </w:r>
      <w:r>
        <w:rPr>
          <w:rFonts w:asciiTheme="majorHAnsi" w:hAnsiTheme="majorHAnsi"/>
          <w:b/>
          <w:bCs/>
        </w:rPr>
        <w:t>va</w:t>
      </w:r>
      <w:r w:rsidRPr="002D3C5E">
        <w:rPr>
          <w:rFonts w:asciiTheme="majorHAnsi" w:hAnsiTheme="majorHAnsi"/>
          <w:b/>
          <w:bCs/>
        </w:rPr>
        <w:t xml:space="preserve">tions </w:t>
      </w:r>
    </w:p>
    <w:p w14:paraId="41036019" w14:textId="77777777" w:rsidR="00DA3E6E" w:rsidRPr="006C0D48" w:rsidRDefault="00DA3E6E" w:rsidP="006C0D48">
      <w:pPr>
        <w:pStyle w:val="Heading4"/>
        <w:rPr>
          <w:rFonts w:asciiTheme="minorHAnsi" w:hAnsiTheme="minorHAnsi"/>
        </w:rPr>
      </w:pPr>
      <w:r w:rsidRPr="002D3C5E">
        <w:t xml:space="preserve">Increased </w:t>
      </w:r>
      <w:r>
        <w:t>H</w:t>
      </w:r>
      <w:r w:rsidRPr="002D3C5E">
        <w:t xml:space="preserve">epatic </w:t>
      </w:r>
      <w:r>
        <w:t>T</w:t>
      </w:r>
      <w:r w:rsidRPr="002D3C5E">
        <w:t xml:space="preserve">ransaminases </w:t>
      </w:r>
    </w:p>
    <w:p w14:paraId="398A6E5B" w14:textId="155D27F7" w:rsidR="00DA3E6E" w:rsidRPr="002D3C5E" w:rsidRDefault="00DA3E6E" w:rsidP="006C0D48">
      <w:r>
        <w:t>In Phase 2 and Phase 3 clinical studies, there were more frequent elevations &gt; the upper limit of normal (</w:t>
      </w:r>
      <w:proofErr w:type="spellStart"/>
      <w:r>
        <w:t>ULN</w:t>
      </w:r>
      <w:proofErr w:type="spellEnd"/>
      <w:r>
        <w:t xml:space="preserve">) of serum hepatic transaminases in patients on </w:t>
      </w:r>
      <w:proofErr w:type="spellStart"/>
      <w:r>
        <w:t>plozasiran</w:t>
      </w:r>
      <w:proofErr w:type="spellEnd"/>
      <w:r>
        <w:t xml:space="preserve"> than placebo. These elevations did not progress to exceed the clinically relevant threshold of &gt;5 × </w:t>
      </w:r>
      <w:proofErr w:type="spellStart"/>
      <w:r>
        <w:t>ULN</w:t>
      </w:r>
      <w:proofErr w:type="spellEnd"/>
      <w:r>
        <w:t xml:space="preserve"> and did not require dosage adjustment or treatment discontinuation.</w:t>
      </w:r>
    </w:p>
    <w:p w14:paraId="0EB879A5" w14:textId="77777777" w:rsidR="00DA3E6E" w:rsidRPr="006C0D48" w:rsidRDefault="00DA3E6E" w:rsidP="006C0D48">
      <w:pPr>
        <w:pStyle w:val="Heading4"/>
        <w:rPr>
          <w:noProof/>
        </w:rPr>
      </w:pPr>
      <w:r w:rsidRPr="001429F8">
        <w:rPr>
          <w:noProof/>
        </w:rPr>
        <w:t>LDL-C Levels</w:t>
      </w:r>
    </w:p>
    <w:p w14:paraId="1C241A80" w14:textId="2566DF67" w:rsidR="00596EE7" w:rsidRDefault="00947CD9" w:rsidP="00596EE7">
      <w:pPr>
        <w:rPr>
          <w:noProof/>
          <w:lang w:val="en-US"/>
        </w:rPr>
      </w:pPr>
      <w:r w:rsidRPr="00947CD9">
        <w:rPr>
          <w:noProof/>
          <w:lang w:val="en-US"/>
        </w:rPr>
        <w:t>Treatment with REDEMPLO is associated with increases in LDL-</w:t>
      </w:r>
      <w:r w:rsidR="000A3D94">
        <w:rPr>
          <w:noProof/>
          <w:lang w:val="en-US"/>
        </w:rPr>
        <w:t>C</w:t>
      </w:r>
      <w:r w:rsidRPr="00947CD9">
        <w:rPr>
          <w:noProof/>
          <w:lang w:val="en-US"/>
        </w:rPr>
        <w:t>. In clinical studies, median LDL-C increased from approximately 0.55 mmol/L at baseline to 1.0–1.1 mmol/L by Month 10, with levels generally plateauing thereafter.</w:t>
      </w:r>
    </w:p>
    <w:p w14:paraId="0DD5CB9F" w14:textId="44D78C09" w:rsidR="00DA3E6E" w:rsidRPr="00675A74" w:rsidRDefault="00DA3E6E" w:rsidP="00300732">
      <w:pPr>
        <w:pStyle w:val="Heading3"/>
      </w:pPr>
      <w:r w:rsidRPr="00675A74">
        <w:t>Reporting suspected adverse effects</w:t>
      </w:r>
    </w:p>
    <w:p w14:paraId="5DF15C57" w14:textId="77777777" w:rsidR="00DA3E6E" w:rsidRPr="00C41BEC" w:rsidRDefault="00DA3E6E">
      <w:pPr>
        <w:rPr>
          <w:rFonts w:cstheme="minorHAnsi"/>
        </w:rPr>
      </w:pPr>
      <w:r w:rsidRPr="00C41BEC">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C41BEC">
          <w:rPr>
            <w:rStyle w:val="Hyperlink"/>
            <w:rFonts w:cstheme="minorHAnsi"/>
            <w:lang w:val="en"/>
          </w:rPr>
          <w:t>www.tga.gov.au/reporting-problems</w:t>
        </w:r>
      </w:hyperlink>
      <w:r w:rsidRPr="00C41BEC">
        <w:rPr>
          <w:rFonts w:cstheme="minorHAnsi"/>
          <w:lang w:val="en"/>
        </w:rPr>
        <w:t>.</w:t>
      </w:r>
    </w:p>
    <w:p w14:paraId="0F705DAF" w14:textId="77777777" w:rsidR="00DA3E6E" w:rsidRPr="00675A74" w:rsidRDefault="00DA3E6E">
      <w:pPr>
        <w:pStyle w:val="Heading2"/>
        <w:keepNext/>
        <w:keepLines/>
        <w:spacing w:before="0" w:after="120"/>
        <w:rPr>
          <w:rFonts w:cstheme="minorHAnsi"/>
        </w:rPr>
      </w:pPr>
      <w:r w:rsidRPr="00675A74">
        <w:rPr>
          <w:rFonts w:cstheme="minorHAnsi"/>
        </w:rPr>
        <w:t>Overdose</w:t>
      </w:r>
    </w:p>
    <w:p w14:paraId="64C6C183" w14:textId="77777777" w:rsidR="00DA3E6E" w:rsidRPr="00C41BEC" w:rsidRDefault="00DA3E6E" w:rsidP="00625196">
      <w:pPr>
        <w:rPr>
          <w:rFonts w:cstheme="minorHAnsi"/>
          <w:lang w:val="en"/>
        </w:rPr>
      </w:pPr>
      <w:r w:rsidRPr="00C41BEC">
        <w:rPr>
          <w:rFonts w:cstheme="minorHAnsi"/>
          <w:lang w:val="en"/>
        </w:rPr>
        <w:t>Doses as high as 100</w:t>
      </w:r>
      <w:r>
        <w:rPr>
          <w:rFonts w:cstheme="minorHAnsi"/>
          <w:lang w:val="en"/>
        </w:rPr>
        <w:t> </w:t>
      </w:r>
      <w:r w:rsidRPr="00C41BEC">
        <w:rPr>
          <w:rFonts w:cstheme="minorHAnsi"/>
          <w:lang w:val="en"/>
        </w:rPr>
        <w:t xml:space="preserve">mg (4 times the recommended clinical dose) were administered in Phase 1 studies and did not result in any safety concerns. </w:t>
      </w:r>
      <w:r>
        <w:t xml:space="preserve"> </w:t>
      </w:r>
      <w:r w:rsidRPr="00D102BC">
        <w:t xml:space="preserve">There is no specific treatment for </w:t>
      </w:r>
      <w:proofErr w:type="spellStart"/>
      <w:r>
        <w:t>plozasiran</w:t>
      </w:r>
      <w:proofErr w:type="spellEnd"/>
      <w:r w:rsidRPr="00D102BC">
        <w:t xml:space="preserve"> overdose. In the event of an overdose, the patient should be treated symptomatically and supportive measures instituted as required.</w:t>
      </w:r>
    </w:p>
    <w:p w14:paraId="37FAAE9C" w14:textId="77777777" w:rsidR="00DA3E6E" w:rsidRPr="00675A74" w:rsidRDefault="00DA3E6E">
      <w:pPr>
        <w:rPr>
          <w:rFonts w:asciiTheme="majorHAnsi" w:hAnsiTheme="majorHAnsi" w:cstheme="minorHAnsi"/>
        </w:rPr>
      </w:pPr>
      <w:r w:rsidRPr="00C41BEC">
        <w:rPr>
          <w:rFonts w:cstheme="minorHAnsi"/>
          <w:lang w:val="en"/>
        </w:rPr>
        <w:lastRenderedPageBreak/>
        <w:t>For information on the management of overdose, contact the Poisons Information Centre on 13 11 26 (Australia).</w:t>
      </w:r>
    </w:p>
    <w:p w14:paraId="27095F5B" w14:textId="77777777" w:rsidR="00DA3E6E" w:rsidRPr="00675A74" w:rsidRDefault="00DA3E6E">
      <w:pPr>
        <w:pStyle w:val="Heading1"/>
        <w:spacing w:before="0" w:after="120"/>
        <w:rPr>
          <w:rFonts w:cstheme="minorHAnsi"/>
          <w:lang w:val="en-US"/>
        </w:rPr>
      </w:pPr>
      <w:r w:rsidRPr="00675A74">
        <w:rPr>
          <w:rFonts w:cstheme="minorHAnsi"/>
          <w:lang w:val="en-US"/>
        </w:rPr>
        <w:t>Pharmacological properties</w:t>
      </w:r>
    </w:p>
    <w:p w14:paraId="2D9BE0E1" w14:textId="77777777" w:rsidR="00DA3E6E" w:rsidRPr="006C0D48" w:rsidRDefault="00DA3E6E" w:rsidP="006C0D48">
      <w:pPr>
        <w:pStyle w:val="Heading2"/>
        <w:spacing w:before="0" w:after="120"/>
        <w:rPr>
          <w:rFonts w:cstheme="minorHAnsi"/>
          <w:lang w:val="en-US"/>
        </w:rPr>
      </w:pPr>
      <w:bookmarkStart w:id="6" w:name="_Ref187918362"/>
      <w:r w:rsidRPr="00675A74">
        <w:rPr>
          <w:rFonts w:cstheme="minorHAnsi"/>
          <w:lang w:val="en-US"/>
        </w:rPr>
        <w:t>Pharmacodynamic properties</w:t>
      </w:r>
      <w:bookmarkEnd w:id="6"/>
      <w:r w:rsidRPr="00675A74">
        <w:rPr>
          <w:rFonts w:cstheme="minorHAnsi"/>
          <w:lang w:val="en-US"/>
        </w:rPr>
        <w:t xml:space="preserve"> </w:t>
      </w:r>
    </w:p>
    <w:p w14:paraId="500EE1C4" w14:textId="0F68C202" w:rsidR="00DA3E6E" w:rsidRPr="00675A74" w:rsidRDefault="00DA3E6E" w:rsidP="006C0D48">
      <w:pPr>
        <w:rPr>
          <w:lang w:val="en-US"/>
        </w:rPr>
      </w:pPr>
      <w:r w:rsidRPr="003F6B13">
        <w:rPr>
          <w:lang w:val="en-US"/>
        </w:rPr>
        <w:t xml:space="preserve">Pharmacotherapeutic group: </w:t>
      </w:r>
      <w:r w:rsidR="00CB3CE0">
        <w:rPr>
          <w:lang w:val="en-US"/>
        </w:rPr>
        <w:t>lipid modifying agent</w:t>
      </w:r>
      <w:r w:rsidR="00AD274D">
        <w:rPr>
          <w:lang w:val="en-US"/>
        </w:rPr>
        <w:t>s</w:t>
      </w:r>
      <w:r w:rsidR="00CB3CE0">
        <w:rPr>
          <w:lang w:val="en-US"/>
        </w:rPr>
        <w:t>, other lipid modifying agent</w:t>
      </w:r>
      <w:r w:rsidR="00AD274D">
        <w:rPr>
          <w:lang w:val="en-US"/>
        </w:rPr>
        <w:t>s,</w:t>
      </w:r>
      <w:r w:rsidR="00CB3CE0">
        <w:rPr>
          <w:lang w:val="en-US"/>
        </w:rPr>
        <w:t xml:space="preserve"> </w:t>
      </w:r>
      <w:r w:rsidR="0068594C">
        <w:rPr>
          <w:lang w:val="en-US"/>
        </w:rPr>
        <w:t>p</w:t>
      </w:r>
      <w:r w:rsidR="00CB13C7">
        <w:rPr>
          <w:lang w:val="en-US"/>
        </w:rPr>
        <w:t>roposed</w:t>
      </w:r>
      <w:r w:rsidRPr="003F6B13">
        <w:rPr>
          <w:lang w:val="en-US"/>
        </w:rPr>
        <w:t xml:space="preserve"> ATC code:</w:t>
      </w:r>
      <w:r>
        <w:rPr>
          <w:lang w:val="en-US"/>
        </w:rPr>
        <w:t xml:space="preserve"> </w:t>
      </w:r>
      <w:proofErr w:type="spellStart"/>
      <w:r>
        <w:rPr>
          <w:lang w:val="en-US"/>
        </w:rPr>
        <w:t>C10AX20</w:t>
      </w:r>
      <w:proofErr w:type="spellEnd"/>
      <w:r>
        <w:rPr>
          <w:lang w:val="en-US"/>
        </w:rPr>
        <w:t xml:space="preserve"> </w:t>
      </w:r>
      <w:proofErr w:type="spellStart"/>
      <w:r>
        <w:rPr>
          <w:lang w:val="en-US"/>
        </w:rPr>
        <w:t>plozasiran</w:t>
      </w:r>
      <w:proofErr w:type="spellEnd"/>
      <w:r>
        <w:rPr>
          <w:lang w:val="en-US"/>
        </w:rPr>
        <w:t xml:space="preserve">. </w:t>
      </w:r>
    </w:p>
    <w:p w14:paraId="65F807B9" w14:textId="77777777" w:rsidR="00DA3E6E" w:rsidRPr="006C0D48" w:rsidRDefault="00DA3E6E" w:rsidP="006C0D48">
      <w:pPr>
        <w:pStyle w:val="Heading3"/>
      </w:pPr>
      <w:r w:rsidRPr="00675A74">
        <w:t>Mechanism of action</w:t>
      </w:r>
    </w:p>
    <w:p w14:paraId="774D3725" w14:textId="77777777" w:rsidR="00DA3E6E" w:rsidRPr="00675A74" w:rsidRDefault="00DA3E6E" w:rsidP="006C0D48">
      <w:pPr>
        <w:autoSpaceDE w:val="0"/>
        <w:autoSpaceDN w:val="0"/>
        <w:adjustRightInd w:val="0"/>
      </w:pPr>
      <w:proofErr w:type="spellStart"/>
      <w:r w:rsidRPr="00E009F2">
        <w:t>Plozasiran</w:t>
      </w:r>
      <w:proofErr w:type="spellEnd"/>
      <w:r w:rsidRPr="00E009F2">
        <w:t xml:space="preserve"> is a </w:t>
      </w:r>
      <w:r>
        <w:t>small interfering RNA (</w:t>
      </w:r>
      <w:r w:rsidRPr="00E009F2">
        <w:t>siRNA</w:t>
      </w:r>
      <w:r>
        <w:t>,</w:t>
      </w:r>
      <w:r w:rsidRPr="00E009F2">
        <w:t xml:space="preserve"> double-stranded </w:t>
      </w:r>
      <w:r>
        <w:t xml:space="preserve">oligonucleotide) </w:t>
      </w:r>
      <w:r w:rsidRPr="00E009F2">
        <w:t>conjugated with N</w:t>
      </w:r>
      <w:r>
        <w:noBreakHyphen/>
      </w:r>
      <w:proofErr w:type="spellStart"/>
      <w:r w:rsidRPr="00E009F2">
        <w:t>acetylgala</w:t>
      </w:r>
      <w:r>
        <w:t>c</w:t>
      </w:r>
      <w:r w:rsidRPr="00E009F2">
        <w:t>tosamine</w:t>
      </w:r>
      <w:proofErr w:type="spellEnd"/>
      <w:r w:rsidRPr="00E009F2">
        <w:t xml:space="preserve"> to facilitate </w:t>
      </w:r>
      <w:r>
        <w:t xml:space="preserve">delivery to and </w:t>
      </w:r>
      <w:r w:rsidRPr="00E009F2">
        <w:t xml:space="preserve">uptake by hepatocytes. In hepatocytes, </w:t>
      </w:r>
      <w:proofErr w:type="spellStart"/>
      <w:r w:rsidRPr="00E009F2">
        <w:t>plozasiran</w:t>
      </w:r>
      <w:proofErr w:type="spellEnd"/>
      <w:r w:rsidRPr="00E009F2">
        <w:t xml:space="preserve"> selectively degrades the mRNA for apolipoprotein </w:t>
      </w:r>
      <w:proofErr w:type="spellStart"/>
      <w:r w:rsidRPr="00E009F2">
        <w:t>C3</w:t>
      </w:r>
      <w:proofErr w:type="spellEnd"/>
      <w:r w:rsidRPr="00E009F2">
        <w:t xml:space="preserve"> (</w:t>
      </w:r>
      <w:proofErr w:type="spellStart"/>
      <w:r w:rsidRPr="00E009F2">
        <w:t>APOC3</w:t>
      </w:r>
      <w:proofErr w:type="spellEnd"/>
      <w:r w:rsidRPr="00E009F2">
        <w:t xml:space="preserve">) through the RNA interference mechanism resulting in reduced levels of hepatic and serum </w:t>
      </w:r>
      <w:proofErr w:type="spellStart"/>
      <w:r w:rsidRPr="00E009F2">
        <w:t>APOC3</w:t>
      </w:r>
      <w:proofErr w:type="spellEnd"/>
      <w:r w:rsidRPr="00E009F2">
        <w:t xml:space="preserve"> protein. This</w:t>
      </w:r>
      <w:r>
        <w:t>,</w:t>
      </w:r>
      <w:r w:rsidRPr="00E009F2">
        <w:t xml:space="preserve"> in turn</w:t>
      </w:r>
      <w:r>
        <w:t>,</w:t>
      </w:r>
      <w:r w:rsidRPr="00E009F2">
        <w:t xml:space="preserve"> enhances the activity of lipoprotein lipase and hepatocyte uptake of triglyceride-rich lipoprotein remnants leading to decreases in serum triglycerides.</w:t>
      </w:r>
    </w:p>
    <w:p w14:paraId="684978B4" w14:textId="77777777" w:rsidR="00DA3E6E" w:rsidRPr="00E009F2" w:rsidRDefault="00DA3E6E" w:rsidP="006C0D48">
      <w:pPr>
        <w:pStyle w:val="Heading3"/>
      </w:pPr>
      <w:r w:rsidRPr="00300732">
        <w:t>Pharmacodynamic effects</w:t>
      </w:r>
    </w:p>
    <w:p w14:paraId="65A891BE" w14:textId="0C578FC1" w:rsidR="00DA3E6E" w:rsidRPr="001B4691" w:rsidRDefault="00DA3E6E" w:rsidP="006C0D48">
      <w:pPr>
        <w:rPr>
          <w:rFonts w:cstheme="minorHAnsi"/>
          <w:lang w:val="en"/>
        </w:rPr>
      </w:pPr>
      <w:r w:rsidRPr="002D3C5E">
        <w:rPr>
          <w:rFonts w:cstheme="minorHAnsi"/>
          <w:lang w:val="en-US"/>
        </w:rPr>
        <w:t xml:space="preserve">In </w:t>
      </w:r>
      <w:r>
        <w:rPr>
          <w:rFonts w:cstheme="minorHAnsi"/>
          <w:lang w:val="en-US"/>
        </w:rPr>
        <w:t xml:space="preserve">the </w:t>
      </w:r>
      <w:r w:rsidRPr="002D3C5E">
        <w:rPr>
          <w:rFonts w:cstheme="minorHAnsi"/>
          <w:lang w:val="en-US"/>
        </w:rPr>
        <w:t>PALISADE</w:t>
      </w:r>
      <w:r>
        <w:rPr>
          <w:rFonts w:cstheme="minorHAnsi"/>
          <w:lang w:val="en-US"/>
        </w:rPr>
        <w:t xml:space="preserve"> study</w:t>
      </w:r>
      <w:r w:rsidRPr="002D3C5E">
        <w:rPr>
          <w:rFonts w:cstheme="minorHAnsi"/>
          <w:lang w:val="en-US"/>
        </w:rPr>
        <w:t>, 25</w:t>
      </w:r>
      <w:r>
        <w:rPr>
          <w:rFonts w:cstheme="minorHAnsi"/>
          <w:lang w:val="en-US"/>
        </w:rPr>
        <w:t> </w:t>
      </w:r>
      <w:r w:rsidRPr="002D3C5E">
        <w:rPr>
          <w:rFonts w:cstheme="minorHAnsi"/>
          <w:lang w:val="en-US"/>
        </w:rPr>
        <w:t xml:space="preserve">mg </w:t>
      </w:r>
      <w:proofErr w:type="spellStart"/>
      <w:r w:rsidRPr="002D3C5E">
        <w:rPr>
          <w:rFonts w:cstheme="minorHAnsi"/>
          <w:lang w:val="en-US"/>
        </w:rPr>
        <w:t>plozasiran</w:t>
      </w:r>
      <w:proofErr w:type="spellEnd"/>
      <w:r w:rsidRPr="002D3C5E">
        <w:rPr>
          <w:rFonts w:cstheme="minorHAnsi"/>
          <w:lang w:val="en-US"/>
        </w:rPr>
        <w:t xml:space="preserve"> administered every 3 months in patients with FCS decreases </w:t>
      </w:r>
      <w:proofErr w:type="spellStart"/>
      <w:r w:rsidRPr="002D3C5E">
        <w:rPr>
          <w:rFonts w:cstheme="minorHAnsi"/>
          <w:lang w:val="en-US"/>
        </w:rPr>
        <w:t>APOC3</w:t>
      </w:r>
      <w:proofErr w:type="spellEnd"/>
      <w:r w:rsidRPr="002D3C5E">
        <w:rPr>
          <w:rFonts w:cstheme="minorHAnsi"/>
          <w:lang w:val="en-US"/>
        </w:rPr>
        <w:t xml:space="preserve">, </w:t>
      </w:r>
      <w:r w:rsidR="0070042B">
        <w:rPr>
          <w:rFonts w:cstheme="minorHAnsi"/>
          <w:lang w:val="en-US"/>
        </w:rPr>
        <w:t>triglyceride (</w:t>
      </w:r>
      <w:r w:rsidRPr="002D3C5E">
        <w:rPr>
          <w:rFonts w:cstheme="minorHAnsi"/>
          <w:lang w:val="en-US"/>
        </w:rPr>
        <w:t>TG</w:t>
      </w:r>
      <w:r w:rsidR="0070042B">
        <w:rPr>
          <w:rFonts w:cstheme="minorHAnsi"/>
          <w:lang w:val="en-US"/>
        </w:rPr>
        <w:t>)</w:t>
      </w:r>
      <w:r w:rsidRPr="002D3C5E">
        <w:rPr>
          <w:rFonts w:cstheme="minorHAnsi"/>
          <w:lang w:val="en-US"/>
        </w:rPr>
        <w:t>, non-</w:t>
      </w:r>
      <w:r w:rsidR="0070042B">
        <w:rPr>
          <w:rFonts w:cstheme="minorHAnsi"/>
          <w:lang w:val="en-US"/>
        </w:rPr>
        <w:t>high density lipoprotein cholesterol (</w:t>
      </w:r>
      <w:r w:rsidRPr="002D3C5E">
        <w:rPr>
          <w:rFonts w:cstheme="minorHAnsi"/>
          <w:lang w:val="en-US"/>
        </w:rPr>
        <w:t>non-HDL-C</w:t>
      </w:r>
      <w:r w:rsidR="0070042B">
        <w:rPr>
          <w:rFonts w:cstheme="minorHAnsi"/>
          <w:lang w:val="en-US"/>
        </w:rPr>
        <w:t>)</w:t>
      </w:r>
      <w:r w:rsidRPr="002D3C5E">
        <w:rPr>
          <w:rFonts w:cstheme="minorHAnsi"/>
          <w:lang w:val="en-US"/>
        </w:rPr>
        <w:t xml:space="preserve">, </w:t>
      </w:r>
      <w:r w:rsidR="001936BB">
        <w:rPr>
          <w:rFonts w:cstheme="minorHAnsi"/>
          <w:lang w:val="en-US"/>
        </w:rPr>
        <w:t xml:space="preserve">and </w:t>
      </w:r>
      <w:r w:rsidR="0070042B">
        <w:rPr>
          <w:rFonts w:cstheme="minorHAnsi"/>
          <w:lang w:val="en-US"/>
        </w:rPr>
        <w:t>very low-density lipoprotein cholesterol (</w:t>
      </w:r>
      <w:r w:rsidRPr="002D3C5E">
        <w:rPr>
          <w:rFonts w:cstheme="minorHAnsi"/>
          <w:lang w:val="en-US"/>
        </w:rPr>
        <w:t>VLDL-C</w:t>
      </w:r>
      <w:r w:rsidR="0070042B">
        <w:rPr>
          <w:rFonts w:cstheme="minorHAnsi"/>
          <w:lang w:val="en-US"/>
        </w:rPr>
        <w:t>)</w:t>
      </w:r>
      <w:r w:rsidR="001936BB">
        <w:rPr>
          <w:rFonts w:cstheme="minorHAnsi"/>
          <w:lang w:val="en-US"/>
        </w:rPr>
        <w:t>,</w:t>
      </w:r>
      <w:r w:rsidRPr="002D3C5E">
        <w:rPr>
          <w:rFonts w:cstheme="minorHAnsi"/>
          <w:lang w:val="en-US"/>
        </w:rPr>
        <w:t xml:space="preserve"> and increases HDL-C and LDL-C. The median reductions in fasting serum </w:t>
      </w:r>
      <w:proofErr w:type="spellStart"/>
      <w:r w:rsidRPr="002D3C5E">
        <w:rPr>
          <w:rFonts w:cstheme="minorHAnsi"/>
          <w:lang w:val="en-US"/>
        </w:rPr>
        <w:t>APOC3</w:t>
      </w:r>
      <w:proofErr w:type="spellEnd"/>
      <w:r w:rsidRPr="002D3C5E">
        <w:rPr>
          <w:rFonts w:cstheme="minorHAnsi"/>
          <w:lang w:val="en-US"/>
        </w:rPr>
        <w:t xml:space="preserve"> protein and TG at Month 1 were 95% and 85%, respectively, suggesting pharmacodynamic </w:t>
      </w:r>
      <w:proofErr w:type="gramStart"/>
      <w:r w:rsidRPr="002D3C5E">
        <w:rPr>
          <w:rFonts w:cstheme="minorHAnsi"/>
          <w:lang w:val="en-US"/>
        </w:rPr>
        <w:t>steady-state</w:t>
      </w:r>
      <w:proofErr w:type="gramEnd"/>
      <w:r w:rsidRPr="002D3C5E">
        <w:rPr>
          <w:rFonts w:cstheme="minorHAnsi"/>
          <w:lang w:val="en-US"/>
        </w:rPr>
        <w:t xml:space="preserve"> is achieved following the first dose.</w:t>
      </w:r>
    </w:p>
    <w:p w14:paraId="0EEC05A3" w14:textId="77777777" w:rsidR="00DA3E6E" w:rsidRPr="001B4691" w:rsidRDefault="00DA3E6E" w:rsidP="001B4691">
      <w:pPr>
        <w:pStyle w:val="Heading4"/>
      </w:pPr>
      <w:r w:rsidRPr="006C0D48">
        <w:t>Cardiac electrophysiology</w:t>
      </w:r>
    </w:p>
    <w:p w14:paraId="0FA0E901" w14:textId="488F22D9" w:rsidR="00DA3E6E" w:rsidRPr="006C0D48" w:rsidRDefault="008D1EE7" w:rsidP="001B4691">
      <w:r>
        <w:rPr>
          <w:rFonts w:cstheme="minorHAnsi"/>
          <w:lang w:val="en-US"/>
        </w:rPr>
        <w:t>A dose</w:t>
      </w:r>
      <w:r w:rsidR="00DA3E6E" w:rsidRPr="00E127DF">
        <w:rPr>
          <w:rFonts w:cstheme="minorHAnsi"/>
          <w:lang w:val="en-US"/>
        </w:rPr>
        <w:t xml:space="preserve"> of 100</w:t>
      </w:r>
      <w:r w:rsidR="00DA3E6E">
        <w:rPr>
          <w:rFonts w:cstheme="minorHAnsi"/>
          <w:lang w:val="en-US"/>
        </w:rPr>
        <w:t> </w:t>
      </w:r>
      <w:r w:rsidR="00DA3E6E" w:rsidRPr="00E127DF">
        <w:rPr>
          <w:rFonts w:cstheme="minorHAnsi"/>
          <w:lang w:val="en-US"/>
        </w:rPr>
        <w:t xml:space="preserve">mg </w:t>
      </w:r>
      <w:proofErr w:type="spellStart"/>
      <w:r w:rsidR="00DA3E6E" w:rsidRPr="00E127DF">
        <w:rPr>
          <w:rFonts w:cstheme="minorHAnsi"/>
          <w:lang w:val="en-US"/>
        </w:rPr>
        <w:t>plozasiran</w:t>
      </w:r>
      <w:proofErr w:type="spellEnd"/>
      <w:r w:rsidR="00DA3E6E" w:rsidRPr="00E127DF">
        <w:rPr>
          <w:rFonts w:cstheme="minorHAnsi"/>
          <w:lang w:val="en-US"/>
        </w:rPr>
        <w:t xml:space="preserve"> (4 times the recommended dose) </w:t>
      </w:r>
      <w:r w:rsidR="00DA3E6E" w:rsidRPr="00C41BEC">
        <w:rPr>
          <w:rFonts w:cstheme="minorHAnsi"/>
          <w:lang w:val="en"/>
        </w:rPr>
        <w:t>did not prolong the QT interval to any clinically relevant extent.</w:t>
      </w:r>
    </w:p>
    <w:p w14:paraId="2B1773FA" w14:textId="77777777" w:rsidR="00DA3E6E" w:rsidRPr="001B4691" w:rsidRDefault="00DA3E6E" w:rsidP="00250124">
      <w:pPr>
        <w:pStyle w:val="Heading3"/>
        <w:keepLines w:val="0"/>
        <w:rPr>
          <w:lang w:val="en-US"/>
        </w:rPr>
      </w:pPr>
      <w:r w:rsidRPr="00675A74">
        <w:t>Clinical</w:t>
      </w:r>
      <w:r w:rsidRPr="00675A74">
        <w:rPr>
          <w:lang w:val="en-US"/>
        </w:rPr>
        <w:t xml:space="preserve"> trials</w:t>
      </w:r>
    </w:p>
    <w:p w14:paraId="3DC90288" w14:textId="77777777" w:rsidR="00DA3E6E" w:rsidRPr="001B4691" w:rsidRDefault="00DA3E6E" w:rsidP="00250124">
      <w:pPr>
        <w:pStyle w:val="Heading4"/>
        <w:rPr>
          <w:b/>
          <w:bCs/>
          <w:i/>
          <w:iCs/>
        </w:rPr>
      </w:pPr>
      <w:r w:rsidRPr="002D3C5E">
        <w:t xml:space="preserve">PALISADE </w:t>
      </w:r>
      <w:r>
        <w:t xml:space="preserve">phase 3 </w:t>
      </w:r>
      <w:r w:rsidRPr="002D3C5E">
        <w:t>study in patients with FCS</w:t>
      </w:r>
    </w:p>
    <w:p w14:paraId="6372E489" w14:textId="0ECB4BCF" w:rsidR="00DA3E6E" w:rsidRPr="00F37A8F" w:rsidRDefault="00DA3E6E" w:rsidP="00250124">
      <w:pPr>
        <w:autoSpaceDE w:val="0"/>
        <w:autoSpaceDN w:val="0"/>
        <w:adjustRightInd w:val="0"/>
        <w:rPr>
          <w:rFonts w:cstheme="minorHAnsi"/>
        </w:rPr>
      </w:pPr>
      <w:r w:rsidRPr="003867B6">
        <w:rPr>
          <w:rFonts w:cstheme="minorHAnsi"/>
          <w:lang w:val="en-US"/>
        </w:rPr>
        <w:t xml:space="preserve">PALISADE is a </w:t>
      </w:r>
      <w:proofErr w:type="spellStart"/>
      <w:r w:rsidR="003B7ED1" w:rsidRPr="003867B6">
        <w:rPr>
          <w:rFonts w:cstheme="minorHAnsi"/>
          <w:lang w:val="en-US"/>
        </w:rPr>
        <w:t>randomi</w:t>
      </w:r>
      <w:r w:rsidR="003B7ED1">
        <w:rPr>
          <w:rFonts w:cstheme="minorHAnsi"/>
          <w:lang w:val="en-US"/>
        </w:rPr>
        <w:t>s</w:t>
      </w:r>
      <w:r w:rsidR="003B7ED1" w:rsidRPr="003867B6">
        <w:rPr>
          <w:rFonts w:cstheme="minorHAnsi"/>
          <w:lang w:val="en-US"/>
        </w:rPr>
        <w:t>ed</w:t>
      </w:r>
      <w:proofErr w:type="spellEnd"/>
      <w:r w:rsidRPr="003867B6">
        <w:rPr>
          <w:rFonts w:cstheme="minorHAnsi"/>
          <w:lang w:val="en-US"/>
        </w:rPr>
        <w:t>, double-blind, placebo-controlled study in 75 adult patients with FCS maintained on a low-fat diet</w:t>
      </w:r>
      <w:r w:rsidRPr="00F37A8F">
        <w:rPr>
          <w:rFonts w:cstheme="minorHAnsi"/>
          <w:lang w:val="en-US"/>
        </w:rPr>
        <w:t xml:space="preserve">. Patients ≥ 18 years of age received 4 single subcutaneous injections of either 25 mg </w:t>
      </w:r>
      <w:proofErr w:type="spellStart"/>
      <w:r w:rsidRPr="00F37A8F">
        <w:rPr>
          <w:rFonts w:cstheme="minorHAnsi"/>
          <w:lang w:val="en-US"/>
        </w:rPr>
        <w:t>plozasiran</w:t>
      </w:r>
      <w:proofErr w:type="spellEnd"/>
      <w:r w:rsidRPr="00F37A8F">
        <w:rPr>
          <w:rFonts w:cstheme="minorHAnsi"/>
          <w:lang w:val="en-US"/>
        </w:rPr>
        <w:t xml:space="preserve"> (N=26), 50</w:t>
      </w:r>
      <w:r>
        <w:rPr>
          <w:rFonts w:cstheme="minorHAnsi"/>
          <w:lang w:val="en-US"/>
        </w:rPr>
        <w:t> </w:t>
      </w:r>
      <w:r w:rsidRPr="00F37A8F">
        <w:rPr>
          <w:rFonts w:cstheme="minorHAnsi"/>
          <w:lang w:val="en-US"/>
        </w:rPr>
        <w:t xml:space="preserve">mg </w:t>
      </w:r>
      <w:proofErr w:type="spellStart"/>
      <w:r w:rsidRPr="00F37A8F">
        <w:rPr>
          <w:rFonts w:cstheme="minorHAnsi"/>
          <w:lang w:val="en-US"/>
        </w:rPr>
        <w:t>plozasiran</w:t>
      </w:r>
      <w:proofErr w:type="spellEnd"/>
      <w:r w:rsidRPr="00F37A8F">
        <w:rPr>
          <w:rFonts w:cstheme="minorHAnsi"/>
          <w:lang w:val="en-US"/>
        </w:rPr>
        <w:t xml:space="preserve"> (N=24) or placebo (N=25) administered every three months. </w:t>
      </w:r>
      <w:proofErr w:type="spellStart"/>
      <w:r w:rsidR="00732959" w:rsidRPr="00732959">
        <w:rPr>
          <w:rFonts w:cstheme="minorHAnsi"/>
          <w:lang w:val="en-US"/>
        </w:rPr>
        <w:t>Plozasiran</w:t>
      </w:r>
      <w:proofErr w:type="spellEnd"/>
      <w:r w:rsidR="00732959" w:rsidRPr="00732959">
        <w:rPr>
          <w:rFonts w:cstheme="minorHAnsi"/>
          <w:lang w:val="en-US"/>
        </w:rPr>
        <w:t xml:space="preserve"> 50 mg is not an approved dosage regimen for FCS</w:t>
      </w:r>
      <w:r w:rsidR="00732959">
        <w:rPr>
          <w:rFonts w:cstheme="minorHAnsi"/>
          <w:lang w:val="en-US"/>
        </w:rPr>
        <w:t xml:space="preserve">. </w:t>
      </w:r>
      <w:r w:rsidRPr="00F37A8F">
        <w:rPr>
          <w:rFonts w:cstheme="minorHAnsi"/>
          <w:lang w:val="en-US"/>
        </w:rPr>
        <w:t>Patients with a diagnosis of FCS and fasting triglycerides ≥ 10</w:t>
      </w:r>
      <w:r>
        <w:rPr>
          <w:rFonts w:cstheme="minorHAnsi"/>
          <w:lang w:val="en-US"/>
        </w:rPr>
        <w:t> </w:t>
      </w:r>
      <w:r w:rsidRPr="00F37A8F">
        <w:rPr>
          <w:rFonts w:cstheme="minorHAnsi"/>
          <w:lang w:val="en-US"/>
        </w:rPr>
        <w:t>mmol/L (≥ 880 mg/dL) that were refractory to standard lipid-lowering therapy were included.</w:t>
      </w:r>
    </w:p>
    <w:p w14:paraId="49B64066" w14:textId="77777777" w:rsidR="00DA3E6E" w:rsidRDefault="00DA3E6E" w:rsidP="00250124">
      <w:pPr>
        <w:rPr>
          <w:rFonts w:cstheme="minorHAnsi"/>
          <w:lang w:val="en"/>
        </w:rPr>
      </w:pPr>
      <w:r w:rsidRPr="00F37A8F">
        <w:rPr>
          <w:rFonts w:cstheme="minorHAnsi"/>
          <w:lang w:val="en"/>
        </w:rPr>
        <w:t>A diagnosis of FCS was defined as patients with a history of fasting triglycerides &gt; 11.3 mmol/L (&gt;1000 mg/dL) and eithe</w:t>
      </w:r>
      <w:r>
        <w:rPr>
          <w:rFonts w:cstheme="minorHAnsi"/>
          <w:lang w:val="en"/>
        </w:rPr>
        <w:t>r:</w:t>
      </w:r>
    </w:p>
    <w:p w14:paraId="6FD160B8" w14:textId="2992019A" w:rsidR="00DA3E6E" w:rsidRDefault="00DA3E6E" w:rsidP="00250124">
      <w:pPr>
        <w:pStyle w:val="NoSpacing"/>
        <w:numPr>
          <w:ilvl w:val="0"/>
          <w:numId w:val="26"/>
        </w:numPr>
        <w:rPr>
          <w:lang w:val="en-US"/>
        </w:rPr>
      </w:pPr>
      <w:r>
        <w:rPr>
          <w:lang w:val="en-US"/>
        </w:rPr>
        <w:t xml:space="preserve">A </w:t>
      </w:r>
      <w:r w:rsidRPr="009644D1">
        <w:rPr>
          <w:lang w:val="en-US"/>
        </w:rPr>
        <w:t>supportive genetic test (N=41 [54.7%])</w:t>
      </w:r>
      <w:r>
        <w:rPr>
          <w:lang w:val="en-US"/>
        </w:rPr>
        <w:t>,</w:t>
      </w:r>
      <w:r w:rsidRPr="009644D1">
        <w:rPr>
          <w:lang w:val="en-US"/>
        </w:rPr>
        <w:t xml:space="preserve"> or evidence of low </w:t>
      </w:r>
      <w:r w:rsidR="00606D41">
        <w:rPr>
          <w:lang w:val="en-US"/>
        </w:rPr>
        <w:t>lipoprotein lipase (</w:t>
      </w:r>
      <w:r w:rsidRPr="009644D1">
        <w:rPr>
          <w:lang w:val="en-US"/>
        </w:rPr>
        <w:t>LPL</w:t>
      </w:r>
      <w:r w:rsidR="00606D41">
        <w:rPr>
          <w:lang w:val="en-US"/>
        </w:rPr>
        <w:t>)</w:t>
      </w:r>
      <w:r w:rsidRPr="009644D1">
        <w:rPr>
          <w:lang w:val="en-US"/>
        </w:rPr>
        <w:t xml:space="preserve"> activity</w:t>
      </w:r>
      <w:r>
        <w:rPr>
          <w:lang w:val="en-US"/>
        </w:rPr>
        <w:t>,</w:t>
      </w:r>
      <w:r w:rsidRPr="009644D1">
        <w:rPr>
          <w:lang w:val="en-US"/>
        </w:rPr>
        <w:t xml:space="preserve"> or </w:t>
      </w:r>
    </w:p>
    <w:p w14:paraId="4E78609D" w14:textId="77777777" w:rsidR="00DA3E6E" w:rsidRDefault="00DA3E6E" w:rsidP="00250124">
      <w:pPr>
        <w:pStyle w:val="NoSpacing"/>
        <w:numPr>
          <w:ilvl w:val="0"/>
          <w:numId w:val="26"/>
        </w:numPr>
        <w:rPr>
          <w:lang w:val="en-US"/>
        </w:rPr>
      </w:pPr>
      <w:r>
        <w:rPr>
          <w:lang w:val="en-US"/>
        </w:rPr>
        <w:t>C</w:t>
      </w:r>
      <w:r w:rsidRPr="009644D1">
        <w:rPr>
          <w:lang w:val="en-US"/>
        </w:rPr>
        <w:t>linically diagnosed FCS (N=34 [45.3%])</w:t>
      </w:r>
      <w:r>
        <w:rPr>
          <w:lang w:val="en-US"/>
        </w:rPr>
        <w:t xml:space="preserve"> further defined as: </w:t>
      </w:r>
    </w:p>
    <w:p w14:paraId="7B1F44EB" w14:textId="77777777" w:rsidR="00DA3E6E" w:rsidRDefault="00DA3E6E" w:rsidP="00250124">
      <w:pPr>
        <w:pStyle w:val="NoSpacing"/>
        <w:numPr>
          <w:ilvl w:val="0"/>
          <w:numId w:val="27"/>
        </w:numPr>
        <w:rPr>
          <w:lang w:val="en-US"/>
        </w:rPr>
      </w:pPr>
      <w:r w:rsidRPr="009644D1">
        <w:rPr>
          <w:lang w:val="en-US"/>
        </w:rPr>
        <w:t>with either recurrent episodes of acute pancreatitis not caused by</w:t>
      </w:r>
      <w:r>
        <w:rPr>
          <w:lang w:val="en-US"/>
        </w:rPr>
        <w:t xml:space="preserve"> </w:t>
      </w:r>
      <w:r w:rsidRPr="009644D1">
        <w:rPr>
          <w:lang w:val="en-US"/>
        </w:rPr>
        <w:t xml:space="preserve">alcohol or cholelithiasis, </w:t>
      </w:r>
      <w:r>
        <w:rPr>
          <w:lang w:val="en-US"/>
        </w:rPr>
        <w:t>or</w:t>
      </w:r>
    </w:p>
    <w:p w14:paraId="79A3DC0F" w14:textId="77777777" w:rsidR="00DA3E6E" w:rsidRDefault="00DA3E6E" w:rsidP="00250124">
      <w:pPr>
        <w:pStyle w:val="NoSpacing"/>
        <w:numPr>
          <w:ilvl w:val="0"/>
          <w:numId w:val="27"/>
        </w:numPr>
        <w:rPr>
          <w:lang w:val="en-US"/>
        </w:rPr>
      </w:pPr>
      <w:r w:rsidRPr="009644D1">
        <w:rPr>
          <w:lang w:val="en-US"/>
        </w:rPr>
        <w:t xml:space="preserve">history of childhood pancreatitis, </w:t>
      </w:r>
      <w:r>
        <w:rPr>
          <w:lang w:val="en-US"/>
        </w:rPr>
        <w:t>or</w:t>
      </w:r>
    </w:p>
    <w:p w14:paraId="1E3E32D9" w14:textId="77777777" w:rsidR="00DA3E6E" w:rsidRPr="009644D1" w:rsidRDefault="00DA3E6E" w:rsidP="00250124">
      <w:pPr>
        <w:pStyle w:val="NoSpacing"/>
        <w:numPr>
          <w:ilvl w:val="0"/>
          <w:numId w:val="27"/>
        </w:numPr>
        <w:rPr>
          <w:lang w:val="en-US"/>
        </w:rPr>
      </w:pPr>
      <w:r w:rsidRPr="009644D1">
        <w:rPr>
          <w:lang w:val="en-US"/>
        </w:rPr>
        <w:t xml:space="preserve">family history of </w:t>
      </w:r>
      <w:proofErr w:type="spellStart"/>
      <w:r w:rsidRPr="009644D1">
        <w:rPr>
          <w:lang w:val="en-US"/>
        </w:rPr>
        <w:t>hypertriglyceridaemia</w:t>
      </w:r>
      <w:proofErr w:type="spellEnd"/>
      <w:r w:rsidRPr="009644D1">
        <w:rPr>
          <w:lang w:val="en-US"/>
        </w:rPr>
        <w:t>-induced pancreatitis</w:t>
      </w:r>
      <w:r>
        <w:rPr>
          <w:lang w:val="en-US"/>
        </w:rPr>
        <w:t>, or</w:t>
      </w:r>
    </w:p>
    <w:p w14:paraId="53316B00" w14:textId="1BD8EED2" w:rsidR="00DA3E6E" w:rsidRDefault="00DA3E6E" w:rsidP="00250124">
      <w:pPr>
        <w:pStyle w:val="NoSpacing"/>
        <w:numPr>
          <w:ilvl w:val="0"/>
          <w:numId w:val="27"/>
        </w:numPr>
        <w:rPr>
          <w:lang w:val="en-US"/>
        </w:rPr>
      </w:pPr>
      <w:r w:rsidRPr="009644D1">
        <w:rPr>
          <w:lang w:val="en-US"/>
        </w:rPr>
        <w:lastRenderedPageBreak/>
        <w:t xml:space="preserve">history of recurrent </w:t>
      </w:r>
      <w:proofErr w:type="spellStart"/>
      <w:r w:rsidRPr="009644D1">
        <w:rPr>
          <w:lang w:val="en-US"/>
        </w:rPr>
        <w:t>hospitali</w:t>
      </w:r>
      <w:r w:rsidR="00722EA3">
        <w:rPr>
          <w:lang w:val="en-US"/>
        </w:rPr>
        <w:t>s</w:t>
      </w:r>
      <w:r w:rsidRPr="009644D1">
        <w:rPr>
          <w:lang w:val="en-US"/>
        </w:rPr>
        <w:t>ations</w:t>
      </w:r>
      <w:proofErr w:type="spellEnd"/>
      <w:r w:rsidRPr="009644D1">
        <w:rPr>
          <w:lang w:val="en-US"/>
        </w:rPr>
        <w:t xml:space="preserve"> for severe abdominal pain without other explainable cause</w:t>
      </w:r>
      <w:r>
        <w:rPr>
          <w:lang w:val="en-US"/>
        </w:rPr>
        <w:t>.</w:t>
      </w:r>
      <w:r w:rsidRPr="009644D1">
        <w:rPr>
          <w:lang w:val="en-US"/>
        </w:rPr>
        <w:t xml:space="preserve"> </w:t>
      </w:r>
    </w:p>
    <w:p w14:paraId="29E2B35F" w14:textId="3638B714" w:rsidR="00DA3E6E" w:rsidRPr="009D6B62" w:rsidRDefault="00DA3E6E" w:rsidP="00250124">
      <w:pPr>
        <w:rPr>
          <w:rFonts w:cstheme="minorHAnsi"/>
        </w:rPr>
      </w:pPr>
      <w:r w:rsidRPr="002D3C5E">
        <w:rPr>
          <w:rFonts w:cstheme="minorHAnsi"/>
        </w:rPr>
        <w:t>Mean age was 46.0 years with more patients in the 50</w:t>
      </w:r>
      <w:r>
        <w:rPr>
          <w:rFonts w:cstheme="minorHAnsi"/>
        </w:rPr>
        <w:t> </w:t>
      </w:r>
      <w:r w:rsidRPr="002D3C5E">
        <w:rPr>
          <w:rFonts w:cstheme="minorHAnsi"/>
        </w:rPr>
        <w:t xml:space="preserve">mg </w:t>
      </w:r>
      <w:proofErr w:type="spellStart"/>
      <w:r w:rsidRPr="002D3C5E">
        <w:rPr>
          <w:rFonts w:cstheme="minorHAnsi"/>
        </w:rPr>
        <w:t>plozasiran</w:t>
      </w:r>
      <w:proofErr w:type="spellEnd"/>
      <w:r w:rsidRPr="002D3C5E">
        <w:rPr>
          <w:rFonts w:cstheme="minorHAnsi"/>
        </w:rPr>
        <w:t xml:space="preserve"> group being &lt; 50 years of age (83.3%) than </w:t>
      </w:r>
      <w:r w:rsidRPr="009D6B62">
        <w:rPr>
          <w:rFonts w:cstheme="minorHAnsi"/>
        </w:rPr>
        <w:t xml:space="preserve">in the 25 mg </w:t>
      </w:r>
      <w:proofErr w:type="spellStart"/>
      <w:r w:rsidRPr="009D6B62">
        <w:rPr>
          <w:rFonts w:cstheme="minorHAnsi"/>
        </w:rPr>
        <w:t>plozasiran</w:t>
      </w:r>
      <w:proofErr w:type="spellEnd"/>
      <w:r w:rsidRPr="009D6B62">
        <w:rPr>
          <w:rFonts w:cstheme="minorHAnsi"/>
        </w:rPr>
        <w:t xml:space="preserve"> or placebo groups (57.7% and 56.0%, respectively). The number of patients ≥ 65 years of age was 9 (12%), and those ≥ 75 years of age was 2 (3%). </w:t>
      </w:r>
      <w:r w:rsidR="00675DCF" w:rsidRPr="009D6B62">
        <w:rPr>
          <w:rFonts w:cstheme="minorHAnsi"/>
        </w:rPr>
        <w:t>T</w:t>
      </w:r>
      <w:r w:rsidRPr="009D6B62">
        <w:rPr>
          <w:rFonts w:cstheme="minorHAnsi"/>
        </w:rPr>
        <w:t xml:space="preserve">he five prototypical variants </w:t>
      </w:r>
      <w:r w:rsidR="00143793" w:rsidRPr="009D6B62">
        <w:rPr>
          <w:rFonts w:cstheme="minorHAnsi"/>
        </w:rPr>
        <w:t xml:space="preserve">(all study participants) </w:t>
      </w:r>
      <w:r w:rsidRPr="009D6B62">
        <w:rPr>
          <w:rFonts w:cstheme="minorHAnsi"/>
        </w:rPr>
        <w:t xml:space="preserve">were represented: </w:t>
      </w:r>
      <w:proofErr w:type="spellStart"/>
      <w:r w:rsidRPr="009D6B62">
        <w:rPr>
          <w:rFonts w:cstheme="minorHAnsi"/>
        </w:rPr>
        <w:t>APOA5</w:t>
      </w:r>
      <w:proofErr w:type="spellEnd"/>
      <w:r w:rsidRPr="009D6B62">
        <w:rPr>
          <w:rFonts w:cstheme="minorHAnsi"/>
        </w:rPr>
        <w:t xml:space="preserve"> – 2.3%, </w:t>
      </w:r>
      <w:proofErr w:type="spellStart"/>
      <w:r w:rsidRPr="009D6B62">
        <w:rPr>
          <w:rFonts w:cstheme="minorHAnsi"/>
        </w:rPr>
        <w:t>APOC2</w:t>
      </w:r>
      <w:proofErr w:type="spellEnd"/>
      <w:r w:rsidRPr="009D6B62">
        <w:rPr>
          <w:rFonts w:cstheme="minorHAnsi"/>
        </w:rPr>
        <w:t xml:space="preserve"> - 2.3%, </w:t>
      </w:r>
      <w:proofErr w:type="spellStart"/>
      <w:r w:rsidRPr="009D6B62">
        <w:rPr>
          <w:rFonts w:cstheme="minorHAnsi"/>
        </w:rPr>
        <w:t>GPIHBP1</w:t>
      </w:r>
      <w:proofErr w:type="spellEnd"/>
      <w:r w:rsidRPr="009D6B62">
        <w:rPr>
          <w:rFonts w:cstheme="minorHAnsi"/>
        </w:rPr>
        <w:t xml:space="preserve"> – 9.1%, </w:t>
      </w:r>
      <w:proofErr w:type="spellStart"/>
      <w:r w:rsidRPr="009D6B62">
        <w:rPr>
          <w:rFonts w:cstheme="minorHAnsi"/>
        </w:rPr>
        <w:t>LMF1</w:t>
      </w:r>
      <w:proofErr w:type="spellEnd"/>
      <w:r w:rsidRPr="009D6B62">
        <w:rPr>
          <w:rFonts w:cstheme="minorHAnsi"/>
        </w:rPr>
        <w:t xml:space="preserve"> – 6.8%, LPL – 81.8%. </w:t>
      </w:r>
    </w:p>
    <w:p w14:paraId="79080B37" w14:textId="77777777" w:rsidR="00DA3E6E" w:rsidRPr="009D6B62" w:rsidRDefault="00DA3E6E" w:rsidP="00250124">
      <w:pPr>
        <w:rPr>
          <w:rFonts w:cstheme="minorHAnsi"/>
          <w:lang w:val="en-GB"/>
        </w:rPr>
      </w:pPr>
      <w:r w:rsidRPr="009D6B62">
        <w:rPr>
          <w:rFonts w:cstheme="minorHAnsi"/>
          <w:lang w:val="en-GB"/>
        </w:rPr>
        <w:t>Approximately half of the patients in each treatment group were male. Most patients were white (73.3%) or Asian (21.3%). Mean body mass index (BMI) was 25.5 kg/</w:t>
      </w:r>
      <w:proofErr w:type="spellStart"/>
      <w:r w:rsidRPr="009D6B62">
        <w:rPr>
          <w:rFonts w:cstheme="minorHAnsi"/>
          <w:lang w:val="en-GB"/>
        </w:rPr>
        <w:t>m</w:t>
      </w:r>
      <w:r w:rsidRPr="009D6B62">
        <w:rPr>
          <w:rFonts w:cstheme="minorHAnsi"/>
          <w:vertAlign w:val="superscript"/>
          <w:lang w:val="en-GB"/>
        </w:rPr>
        <w:t>2</w:t>
      </w:r>
      <w:proofErr w:type="spellEnd"/>
      <w:r w:rsidRPr="009D6B62">
        <w:rPr>
          <w:rFonts w:cstheme="minorHAnsi"/>
          <w:lang w:val="en-GB"/>
        </w:rPr>
        <w:t>; 53.3% of subjects were overweight (BMI ≥ 25 kg/</w:t>
      </w:r>
      <w:proofErr w:type="spellStart"/>
      <w:r w:rsidRPr="009D6B62">
        <w:rPr>
          <w:rFonts w:cstheme="minorHAnsi"/>
          <w:lang w:val="en-GB"/>
        </w:rPr>
        <w:t>m</w:t>
      </w:r>
      <w:r w:rsidRPr="009D6B62">
        <w:rPr>
          <w:rFonts w:cstheme="minorHAnsi"/>
          <w:vertAlign w:val="superscript"/>
          <w:lang w:val="en-GB"/>
        </w:rPr>
        <w:t>2</w:t>
      </w:r>
      <w:proofErr w:type="spellEnd"/>
      <w:r w:rsidRPr="009D6B62">
        <w:rPr>
          <w:rFonts w:cstheme="minorHAnsi"/>
          <w:lang w:val="en-GB"/>
        </w:rPr>
        <w:t>).</w:t>
      </w:r>
    </w:p>
    <w:p w14:paraId="44A336AA" w14:textId="15E12A1E" w:rsidR="00DA3E6E" w:rsidRPr="009D6B62" w:rsidRDefault="00DA3E6E" w:rsidP="00250124">
      <w:pPr>
        <w:rPr>
          <w:rFonts w:cstheme="minorHAnsi"/>
          <w:lang w:val="en"/>
        </w:rPr>
      </w:pPr>
      <w:r w:rsidRPr="009D6B62">
        <w:rPr>
          <w:rFonts w:cstheme="minorHAnsi"/>
        </w:rPr>
        <w:t xml:space="preserve">A total of 89.3% of the patients had experienced a prior episode of pancreatitis. Percentages of patients on triglyceride lowering therapies at baseline were: 66.7% on </w:t>
      </w:r>
      <w:r w:rsidR="007573FC" w:rsidRPr="009D6B62">
        <w:rPr>
          <w:rFonts w:cstheme="minorHAnsi"/>
        </w:rPr>
        <w:t>f</w:t>
      </w:r>
      <w:r w:rsidRPr="009D6B62">
        <w:rPr>
          <w:rFonts w:cstheme="minorHAnsi"/>
        </w:rPr>
        <w:t xml:space="preserve">ibrates, 29.3% on </w:t>
      </w:r>
      <w:proofErr w:type="spellStart"/>
      <w:r w:rsidR="00937667" w:rsidRPr="009D6B62">
        <w:rPr>
          <w:rFonts w:cstheme="minorHAnsi"/>
        </w:rPr>
        <w:t>icosapent</w:t>
      </w:r>
      <w:proofErr w:type="spellEnd"/>
      <w:r w:rsidR="00937667" w:rsidRPr="009D6B62">
        <w:rPr>
          <w:rFonts w:cstheme="minorHAnsi"/>
        </w:rPr>
        <w:t xml:space="preserve"> e</w:t>
      </w:r>
      <w:r w:rsidR="00D7682A" w:rsidRPr="009D6B62">
        <w:rPr>
          <w:rFonts w:cstheme="minorHAnsi"/>
        </w:rPr>
        <w:t>thyl</w:t>
      </w:r>
      <w:r w:rsidRPr="009D6B62">
        <w:rPr>
          <w:rFonts w:cstheme="minorHAnsi"/>
        </w:rPr>
        <w:t>, omega-3 fatty acid or fish oil, and 45.3% were on statins.</w:t>
      </w:r>
      <w:r w:rsidR="00975569">
        <w:rPr>
          <w:rFonts w:cstheme="minorHAnsi"/>
        </w:rPr>
        <w:t xml:space="preserve"> </w:t>
      </w:r>
      <w:r w:rsidR="00975569" w:rsidRPr="00975569">
        <w:rPr>
          <w:rFonts w:cstheme="minorHAnsi"/>
        </w:rPr>
        <w:t>At study entry, 26.7% of patients were not using background TG lowering therapies</w:t>
      </w:r>
      <w:r w:rsidR="00975569">
        <w:rPr>
          <w:rFonts w:cstheme="minorHAnsi"/>
        </w:rPr>
        <w:t>.</w:t>
      </w:r>
    </w:p>
    <w:p w14:paraId="4474F0FF" w14:textId="0879C9D8" w:rsidR="00DA3E6E" w:rsidRPr="0006047E" w:rsidRDefault="00DA3E6E" w:rsidP="00250124">
      <w:pPr>
        <w:shd w:val="clear" w:color="auto" w:fill="FFFFFF" w:themeFill="background1"/>
      </w:pPr>
      <w:proofErr w:type="gramStart"/>
      <w:r w:rsidRPr="009D6B62">
        <w:t>The majority of</w:t>
      </w:r>
      <w:proofErr w:type="gramEnd"/>
      <w:r w:rsidRPr="009D6B62">
        <w:t xml:space="preserve"> patients received all four planned doses: 2</w:t>
      </w:r>
      <w:r w:rsidR="004E114C" w:rsidRPr="009D6B62">
        <w:t>3</w:t>
      </w:r>
      <w:r w:rsidRPr="009D6B62">
        <w:t> (</w:t>
      </w:r>
      <w:r w:rsidR="004E114C" w:rsidRPr="009D6B62">
        <w:t>88.5</w:t>
      </w:r>
      <w:r w:rsidRPr="009D6B62">
        <w:t xml:space="preserve">%) patients in the 25 mg </w:t>
      </w:r>
      <w:proofErr w:type="spellStart"/>
      <w:r w:rsidRPr="009D6B62">
        <w:t>plozasiran</w:t>
      </w:r>
      <w:proofErr w:type="spellEnd"/>
      <w:r w:rsidRPr="009D6B62">
        <w:t xml:space="preserve"> group, 22 (91.7%) patients in the 50 mg </w:t>
      </w:r>
      <w:proofErr w:type="spellStart"/>
      <w:r w:rsidRPr="009D6B62">
        <w:t>plozasiran</w:t>
      </w:r>
      <w:proofErr w:type="spellEnd"/>
      <w:r w:rsidRPr="009D6B62">
        <w:t xml:space="preserve"> group and 19 (76.0%)</w:t>
      </w:r>
      <w:r w:rsidRPr="0006047E">
        <w:t xml:space="preserve"> patients in the placebo group. </w:t>
      </w:r>
    </w:p>
    <w:p w14:paraId="37F7E3E1" w14:textId="7EE2CDE5" w:rsidR="00DA3E6E" w:rsidRPr="00FD5A3A" w:rsidRDefault="00DA3E6E" w:rsidP="00250124">
      <w:pPr>
        <w:autoSpaceDE w:val="0"/>
        <w:autoSpaceDN w:val="0"/>
        <w:adjustRightInd w:val="0"/>
        <w:rPr>
          <w:rFonts w:cstheme="minorHAnsi"/>
          <w:color w:val="000000"/>
          <w:lang w:val="en-US"/>
        </w:rPr>
      </w:pPr>
      <w:r w:rsidRPr="00FD5A3A">
        <w:rPr>
          <w:rFonts w:cstheme="minorHAnsi"/>
          <w:color w:val="000000"/>
          <w:lang w:val="en-US"/>
        </w:rPr>
        <w:t xml:space="preserve">The primary efficacy endpoint was median percent change from baseline at month 10 in fasting triglycerides. At month 10, </w:t>
      </w:r>
      <w:proofErr w:type="spellStart"/>
      <w:r w:rsidRPr="00FD5A3A">
        <w:rPr>
          <w:rFonts w:cstheme="minorHAnsi"/>
          <w:color w:val="000000"/>
          <w:lang w:val="en-US"/>
        </w:rPr>
        <w:t>Plozasiran</w:t>
      </w:r>
      <w:proofErr w:type="spellEnd"/>
      <w:r w:rsidRPr="00FD5A3A">
        <w:rPr>
          <w:rFonts w:cstheme="minorHAnsi"/>
          <w:color w:val="000000"/>
          <w:lang w:val="en-US"/>
        </w:rPr>
        <w:t xml:space="preserve"> statistically significantly reduced median fasting triglyceride levels at the 25</w:t>
      </w:r>
      <w:r>
        <w:rPr>
          <w:rFonts w:cstheme="minorHAnsi"/>
          <w:color w:val="000000"/>
          <w:lang w:val="en-US"/>
        </w:rPr>
        <w:t> </w:t>
      </w:r>
      <w:r w:rsidRPr="00FD5A3A">
        <w:rPr>
          <w:rFonts w:cstheme="minorHAnsi"/>
          <w:color w:val="000000"/>
          <w:lang w:val="en-US"/>
        </w:rPr>
        <w:t xml:space="preserve">mg recommended dose (see </w:t>
      </w:r>
      <w:r w:rsidRPr="00554C24">
        <w:rPr>
          <w:rFonts w:cstheme="minorHAnsi"/>
          <w:color w:val="0000CC"/>
          <w:lang w:val="en-US"/>
        </w:rPr>
        <w:fldChar w:fldCharType="begin"/>
      </w:r>
      <w:r w:rsidRPr="00554C24">
        <w:rPr>
          <w:rFonts w:cstheme="minorHAnsi"/>
          <w:color w:val="0000CC"/>
          <w:lang w:val="en-US"/>
        </w:rPr>
        <w:instrText xml:space="preserve"> REF _Ref206088802 \h  \* MERGEFORMAT </w:instrText>
      </w:r>
      <w:r w:rsidRPr="00554C24">
        <w:rPr>
          <w:rFonts w:cstheme="minorHAnsi"/>
          <w:color w:val="0000CC"/>
          <w:lang w:val="en-US"/>
        </w:rPr>
      </w:r>
      <w:r w:rsidRPr="00554C24">
        <w:rPr>
          <w:rFonts w:cstheme="minorHAnsi"/>
          <w:color w:val="0000CC"/>
          <w:lang w:val="en-US"/>
        </w:rPr>
        <w:fldChar w:fldCharType="separate"/>
      </w:r>
      <w:r w:rsidR="00414B5F" w:rsidRPr="00975E76">
        <w:rPr>
          <w:color w:val="0000CC"/>
          <w:lang w:val="en"/>
        </w:rPr>
        <w:t>Table 3</w:t>
      </w:r>
      <w:r w:rsidRPr="00554C24">
        <w:rPr>
          <w:rFonts w:cstheme="minorHAnsi"/>
          <w:color w:val="0000CC"/>
          <w:lang w:val="en-US"/>
        </w:rPr>
        <w:fldChar w:fldCharType="end"/>
      </w:r>
      <w:r w:rsidRPr="00FD5A3A">
        <w:rPr>
          <w:rFonts w:cstheme="minorHAnsi"/>
          <w:color w:val="000000"/>
          <w:lang w:val="en-US"/>
        </w:rPr>
        <w:t>). The triglyceride lowering effects of 50</w:t>
      </w:r>
      <w:r>
        <w:rPr>
          <w:rFonts w:cstheme="minorHAnsi"/>
          <w:color w:val="000000"/>
          <w:lang w:val="en-US"/>
        </w:rPr>
        <w:t> </w:t>
      </w:r>
      <w:r w:rsidRPr="00FD5A3A">
        <w:rPr>
          <w:rFonts w:cstheme="minorHAnsi"/>
          <w:color w:val="000000"/>
          <w:lang w:val="en-US"/>
        </w:rPr>
        <w:t xml:space="preserve">mg </w:t>
      </w:r>
      <w:proofErr w:type="spellStart"/>
      <w:r w:rsidRPr="00FD5A3A">
        <w:rPr>
          <w:rFonts w:cstheme="minorHAnsi"/>
          <w:color w:val="000000"/>
          <w:lang w:val="en-US"/>
        </w:rPr>
        <w:t>plozasiran</w:t>
      </w:r>
      <w:proofErr w:type="spellEnd"/>
      <w:r w:rsidRPr="00FD5A3A">
        <w:rPr>
          <w:rFonts w:cstheme="minorHAnsi"/>
          <w:color w:val="000000"/>
          <w:lang w:val="en-US"/>
        </w:rPr>
        <w:t xml:space="preserve"> did not offer a therapeutic benefit over the recommended 25</w:t>
      </w:r>
      <w:r>
        <w:rPr>
          <w:rFonts w:cstheme="minorHAnsi"/>
          <w:color w:val="000000"/>
          <w:lang w:val="en-US"/>
        </w:rPr>
        <w:t> </w:t>
      </w:r>
      <w:r w:rsidRPr="00FD5A3A">
        <w:rPr>
          <w:rFonts w:cstheme="minorHAnsi"/>
          <w:color w:val="000000"/>
          <w:lang w:val="en-US"/>
        </w:rPr>
        <w:t xml:space="preserve">mg dose. </w:t>
      </w:r>
    </w:p>
    <w:p w14:paraId="3BEDF9F8" w14:textId="2873F403" w:rsidR="00DA3E6E" w:rsidRPr="00250124" w:rsidRDefault="00DA3E6E" w:rsidP="00250124">
      <w:pPr>
        <w:autoSpaceDE w:val="0"/>
        <w:autoSpaceDN w:val="0"/>
        <w:adjustRightInd w:val="0"/>
        <w:rPr>
          <w:rFonts w:cstheme="minorHAnsi"/>
          <w:color w:val="000000"/>
          <w:lang w:val="en-US"/>
        </w:rPr>
      </w:pPr>
      <w:r w:rsidRPr="00FD5A3A">
        <w:rPr>
          <w:rFonts w:cstheme="minorHAnsi"/>
          <w:color w:val="000000"/>
          <w:lang w:val="en-US"/>
        </w:rPr>
        <w:t xml:space="preserve">The reductions in triglyceride levels observed in </w:t>
      </w:r>
      <w:proofErr w:type="spellStart"/>
      <w:r w:rsidRPr="00FD5A3A">
        <w:rPr>
          <w:rFonts w:cstheme="minorHAnsi"/>
          <w:color w:val="000000"/>
          <w:lang w:val="en-US"/>
        </w:rPr>
        <w:t>plozasiran</w:t>
      </w:r>
      <w:proofErr w:type="spellEnd"/>
      <w:r w:rsidRPr="00FD5A3A">
        <w:rPr>
          <w:rFonts w:cstheme="minorHAnsi"/>
          <w:color w:val="000000"/>
          <w:lang w:val="en-US"/>
        </w:rPr>
        <w:t xml:space="preserve">-treated patients were apparent </w:t>
      </w:r>
      <w:proofErr w:type="gramStart"/>
      <w:r w:rsidRPr="00FD5A3A">
        <w:rPr>
          <w:rFonts w:cstheme="minorHAnsi"/>
          <w:color w:val="000000"/>
          <w:lang w:val="en-US"/>
        </w:rPr>
        <w:t>at</w:t>
      </w:r>
      <w:proofErr w:type="gramEnd"/>
      <w:r w:rsidRPr="00FD5A3A">
        <w:rPr>
          <w:rFonts w:cstheme="minorHAnsi"/>
          <w:color w:val="000000"/>
          <w:lang w:val="en-US"/>
        </w:rPr>
        <w:t xml:space="preserve"> month 1 (first post-baseline measurement) and remained consistent throughout the 12</w:t>
      </w:r>
      <w:r w:rsidRPr="00FD5A3A">
        <w:rPr>
          <w:rFonts w:cstheme="minorHAnsi"/>
          <w:color w:val="000000"/>
          <w:lang w:val="en-US"/>
        </w:rPr>
        <w:noBreakHyphen/>
        <w:t xml:space="preserve">month duration of PALISADE </w:t>
      </w:r>
      <w:r w:rsidR="008538FB">
        <w:rPr>
          <w:rFonts w:cstheme="minorHAnsi"/>
          <w:color w:val="000000"/>
          <w:lang w:val="en-US"/>
        </w:rPr>
        <w:t xml:space="preserve">study </w:t>
      </w:r>
      <w:r w:rsidRPr="00FD5A3A">
        <w:rPr>
          <w:rFonts w:cstheme="minorHAnsi"/>
          <w:color w:val="000000"/>
          <w:lang w:val="en-US"/>
        </w:rPr>
        <w:t xml:space="preserve">with relatively small peak-to-trough fluctuations (see </w:t>
      </w:r>
      <w:r w:rsidRPr="00554C24">
        <w:rPr>
          <w:rFonts w:cstheme="minorHAnsi"/>
          <w:color w:val="0000CC"/>
          <w:lang w:val="en-US"/>
        </w:rPr>
        <w:fldChar w:fldCharType="begin"/>
      </w:r>
      <w:r w:rsidRPr="00554C24">
        <w:rPr>
          <w:rFonts w:cstheme="minorHAnsi"/>
          <w:color w:val="0000CC"/>
          <w:lang w:val="en-US"/>
        </w:rPr>
        <w:instrText xml:space="preserve"> REF _Ref206088852 \h </w:instrText>
      </w:r>
      <w:r w:rsidRPr="00554C24">
        <w:rPr>
          <w:rFonts w:cstheme="minorHAnsi"/>
          <w:color w:val="0000CC"/>
          <w:lang w:val="en-US"/>
        </w:rPr>
      </w:r>
      <w:r w:rsidRPr="00554C24">
        <w:rPr>
          <w:rFonts w:cstheme="minorHAnsi"/>
          <w:color w:val="0000CC"/>
          <w:lang w:val="en-US"/>
        </w:rPr>
        <w:fldChar w:fldCharType="separate"/>
      </w:r>
      <w:r w:rsidR="00C31D8F" w:rsidRPr="00554C24">
        <w:rPr>
          <w:color w:val="0000CC"/>
        </w:rPr>
        <w:t xml:space="preserve">Figure </w:t>
      </w:r>
      <w:r w:rsidR="00C31D8F" w:rsidRPr="00554C24">
        <w:rPr>
          <w:noProof/>
          <w:color w:val="0000CC"/>
        </w:rPr>
        <w:t>1</w:t>
      </w:r>
      <w:r w:rsidRPr="00554C24">
        <w:rPr>
          <w:rFonts w:cstheme="minorHAnsi"/>
          <w:color w:val="0000CC"/>
          <w:lang w:val="en-US"/>
        </w:rPr>
        <w:fldChar w:fldCharType="end"/>
      </w:r>
      <w:r w:rsidRPr="00FD5A3A">
        <w:rPr>
          <w:rFonts w:cstheme="minorHAnsi"/>
          <w:color w:val="000000"/>
          <w:lang w:val="en-US"/>
        </w:rPr>
        <w:t xml:space="preserve">). Median triglyceride levels achieved at several timepoints throughout the treatment period were below the </w:t>
      </w:r>
      <w:proofErr w:type="spellStart"/>
      <w:r w:rsidR="00183364" w:rsidRPr="00FD5A3A">
        <w:rPr>
          <w:rFonts w:cstheme="minorHAnsi"/>
          <w:color w:val="000000"/>
          <w:lang w:val="en-US"/>
        </w:rPr>
        <w:t>recogni</w:t>
      </w:r>
      <w:r w:rsidR="00183364">
        <w:rPr>
          <w:rFonts w:cstheme="minorHAnsi"/>
          <w:color w:val="000000"/>
          <w:lang w:val="en-US"/>
        </w:rPr>
        <w:t>s</w:t>
      </w:r>
      <w:r w:rsidR="00183364" w:rsidRPr="00FD5A3A">
        <w:rPr>
          <w:rFonts w:cstheme="minorHAnsi"/>
          <w:color w:val="000000"/>
          <w:lang w:val="en-US"/>
        </w:rPr>
        <w:t>ed</w:t>
      </w:r>
      <w:proofErr w:type="spellEnd"/>
      <w:r w:rsidR="00183364" w:rsidRPr="00FD5A3A">
        <w:rPr>
          <w:rFonts w:cstheme="minorHAnsi"/>
          <w:color w:val="000000"/>
          <w:lang w:val="en-US"/>
        </w:rPr>
        <w:t xml:space="preserve"> </w:t>
      </w:r>
      <w:r w:rsidRPr="00FD5A3A">
        <w:rPr>
          <w:rFonts w:cstheme="minorHAnsi"/>
          <w:color w:val="000000"/>
          <w:lang w:val="en-US"/>
        </w:rPr>
        <w:t>threshold of 5.7 mmol/L (500 mg/dL) for increased risk of acute pancreatitis (</w:t>
      </w:r>
      <w:r w:rsidR="008538FB">
        <w:rPr>
          <w:rFonts w:cstheme="minorHAnsi"/>
          <w:color w:val="000000"/>
          <w:lang w:val="en-US"/>
        </w:rPr>
        <w:t xml:space="preserve">see </w:t>
      </w:r>
      <w:r w:rsidRPr="00554C24">
        <w:rPr>
          <w:rStyle w:val="Hyperlink"/>
          <w:color w:val="0000CC"/>
        </w:rPr>
        <w:fldChar w:fldCharType="begin"/>
      </w:r>
      <w:r w:rsidRPr="00554C24">
        <w:rPr>
          <w:rStyle w:val="Hyperlink"/>
          <w:color w:val="0000CC"/>
        </w:rPr>
        <w:instrText xml:space="preserve"> REF _Ref206088852 \h </w:instrText>
      </w:r>
      <w:r w:rsidR="00554C24" w:rsidRPr="00554C24">
        <w:rPr>
          <w:rStyle w:val="Hyperlink"/>
          <w:color w:val="0000CC"/>
        </w:rPr>
        <w:instrText xml:space="preserve"> \* MERGEFORMAT </w:instrText>
      </w:r>
      <w:r w:rsidRPr="00554C24">
        <w:rPr>
          <w:rStyle w:val="Hyperlink"/>
          <w:color w:val="0000CC"/>
        </w:rPr>
      </w:r>
      <w:r w:rsidRPr="00554C24">
        <w:rPr>
          <w:rStyle w:val="Hyperlink"/>
          <w:color w:val="0000CC"/>
        </w:rPr>
        <w:fldChar w:fldCharType="separate"/>
      </w:r>
      <w:r w:rsidR="00C31D8F" w:rsidRPr="00554C24">
        <w:rPr>
          <w:rStyle w:val="Hyperlink"/>
          <w:color w:val="0000CC"/>
          <w:lang w:val="en-US"/>
        </w:rPr>
        <w:t>Figure 1</w:t>
      </w:r>
      <w:r w:rsidRPr="00554C24">
        <w:rPr>
          <w:rStyle w:val="Hyperlink"/>
          <w:color w:val="0000CC"/>
        </w:rPr>
        <w:fldChar w:fldCharType="end"/>
      </w:r>
      <w:r w:rsidRPr="00FD5A3A">
        <w:rPr>
          <w:rFonts w:cstheme="minorHAnsi"/>
          <w:color w:val="000000"/>
          <w:lang w:val="en-US"/>
        </w:rPr>
        <w:t>).</w:t>
      </w:r>
    </w:p>
    <w:p w14:paraId="339B60A8" w14:textId="3301C6C0" w:rsidR="00DA3E6E" w:rsidRPr="00FE6A9D" w:rsidRDefault="00DA3E6E" w:rsidP="00D42DF7">
      <w:pPr>
        <w:pStyle w:val="Caption"/>
        <w:rPr>
          <w:lang w:val="en"/>
        </w:rPr>
      </w:pPr>
      <w:bookmarkStart w:id="7" w:name="_Ref206088802"/>
      <w:r w:rsidRPr="00892CB3">
        <w:rPr>
          <w:lang w:val="en"/>
        </w:rPr>
        <w:t>Table </w:t>
      </w:r>
      <w:r w:rsidRPr="00892CB3">
        <w:rPr>
          <w:lang w:val="en"/>
        </w:rPr>
        <w:fldChar w:fldCharType="begin"/>
      </w:r>
      <w:r w:rsidRPr="00892CB3">
        <w:rPr>
          <w:lang w:val="en"/>
        </w:rPr>
        <w:instrText>SEQ Table \* ARABIC \* MERGEFORMAT</w:instrText>
      </w:r>
      <w:r w:rsidRPr="00892CB3">
        <w:rPr>
          <w:lang w:val="en"/>
        </w:rPr>
        <w:fldChar w:fldCharType="separate"/>
      </w:r>
      <w:r w:rsidR="00414B5F">
        <w:rPr>
          <w:noProof/>
          <w:lang w:val="en"/>
        </w:rPr>
        <w:t>3</w:t>
      </w:r>
      <w:r w:rsidRPr="00892CB3">
        <w:rPr>
          <w:lang w:val="en"/>
        </w:rPr>
        <w:fldChar w:fldCharType="end"/>
      </w:r>
      <w:bookmarkEnd w:id="7"/>
      <w:r w:rsidRPr="00892CB3">
        <w:rPr>
          <w:lang w:val="en"/>
        </w:rPr>
        <w:t xml:space="preserve">: </w:t>
      </w:r>
      <w:r w:rsidRPr="00FE6A9D">
        <w:t xml:space="preserve">Median difference in percent change from baseline in fasting triglycerides and </w:t>
      </w:r>
      <w:proofErr w:type="spellStart"/>
      <w:r w:rsidRPr="00FE6A9D">
        <w:t>APOC3</w:t>
      </w:r>
      <w:proofErr w:type="spellEnd"/>
      <w:r w:rsidRPr="00FE6A9D">
        <w:t xml:space="preserve"> in patients with FCS at month 10 </w:t>
      </w:r>
      <w:r w:rsidRPr="00FE6A9D">
        <w:rPr>
          <w:lang w:val="en"/>
        </w:rPr>
        <w:t>in PALISADE</w:t>
      </w:r>
    </w:p>
    <w:tbl>
      <w:tblPr>
        <w:tblStyle w:val="C-Table"/>
        <w:tblW w:w="5000" w:type="pct"/>
        <w:tblLook w:val="04A0" w:firstRow="1" w:lastRow="0" w:firstColumn="1" w:lastColumn="0" w:noHBand="0" w:noVBand="1"/>
      </w:tblPr>
      <w:tblGrid>
        <w:gridCol w:w="5183"/>
        <w:gridCol w:w="1953"/>
        <w:gridCol w:w="1874"/>
      </w:tblGrid>
      <w:tr w:rsidR="00DA3E6E" w:rsidRPr="0014473B" w14:paraId="69BC7F35" w14:textId="77777777" w:rsidTr="007D0DB3">
        <w:trPr>
          <w:tblHeader/>
        </w:trPr>
        <w:tc>
          <w:tcPr>
            <w:tcW w:w="2876" w:type="pct"/>
            <w:tcBorders>
              <w:top w:val="single" w:sz="4" w:space="0" w:color="auto"/>
            </w:tcBorders>
            <w:vAlign w:val="center"/>
          </w:tcPr>
          <w:p w14:paraId="6AD7E465" w14:textId="77777777" w:rsidR="00DA3E6E" w:rsidRPr="0014473B" w:rsidRDefault="00DA3E6E" w:rsidP="00DC4254">
            <w:pPr>
              <w:pStyle w:val="C-TableHeader"/>
              <w:keepNext w:val="0"/>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Treatment group</w:t>
            </w:r>
          </w:p>
        </w:tc>
        <w:tc>
          <w:tcPr>
            <w:tcW w:w="1084" w:type="pct"/>
            <w:tcBorders>
              <w:top w:val="single" w:sz="4" w:space="0" w:color="auto"/>
            </w:tcBorders>
            <w:vAlign w:val="center"/>
          </w:tcPr>
          <w:p w14:paraId="7761EEF3" w14:textId="77777777" w:rsidR="00DA3E6E" w:rsidRPr="0014473B" w:rsidRDefault="00DA3E6E" w:rsidP="00DC4254">
            <w:pPr>
              <w:pStyle w:val="C-TableHeader"/>
              <w:keepNext w:val="0"/>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placebo</w:t>
            </w:r>
            <w:r w:rsidRPr="0014473B">
              <w:rPr>
                <w:rFonts w:asciiTheme="minorHAnsi" w:hAnsiTheme="minorHAnsi" w:cstheme="minorHAnsi"/>
                <w:sz w:val="22"/>
                <w:szCs w:val="22"/>
              </w:rPr>
              <w:br/>
              <w:t>(N=25)</w:t>
            </w:r>
          </w:p>
        </w:tc>
        <w:tc>
          <w:tcPr>
            <w:tcW w:w="1040" w:type="pct"/>
            <w:tcBorders>
              <w:top w:val="single" w:sz="4" w:space="0" w:color="auto"/>
            </w:tcBorders>
            <w:vAlign w:val="center"/>
          </w:tcPr>
          <w:p w14:paraId="0318CEA7" w14:textId="77777777" w:rsidR="00DA3E6E" w:rsidRPr="0014473B" w:rsidRDefault="00DA3E6E" w:rsidP="00DC4254">
            <w:pPr>
              <w:pStyle w:val="C-TableHeader"/>
              <w:keepNext w:val="0"/>
              <w:tabs>
                <w:tab w:val="left" w:pos="144"/>
              </w:tabs>
              <w:spacing w:before="0" w:after="0"/>
              <w:jc w:val="center"/>
              <w:rPr>
                <w:rFonts w:asciiTheme="minorHAnsi" w:hAnsiTheme="minorHAnsi" w:cstheme="minorHAnsi"/>
                <w:sz w:val="22"/>
                <w:szCs w:val="22"/>
              </w:rPr>
            </w:pPr>
            <w:r>
              <w:rPr>
                <w:rFonts w:asciiTheme="minorHAnsi" w:hAnsiTheme="minorHAnsi" w:cstheme="minorHAnsi"/>
                <w:noProof/>
                <w:sz w:val="22"/>
                <w:szCs w:val="22"/>
              </w:rPr>
              <w:t>p</w:t>
            </w:r>
            <w:r w:rsidRPr="0014473B">
              <w:rPr>
                <w:rFonts w:asciiTheme="minorHAnsi" w:hAnsiTheme="minorHAnsi" w:cstheme="minorHAnsi"/>
                <w:noProof/>
                <w:sz w:val="22"/>
                <w:szCs w:val="22"/>
              </w:rPr>
              <w:t>lozasiran</w:t>
            </w:r>
            <w:r>
              <w:rPr>
                <w:rFonts w:asciiTheme="minorHAnsi" w:hAnsiTheme="minorHAnsi" w:cstheme="minorHAnsi"/>
                <w:noProof/>
                <w:sz w:val="22"/>
                <w:szCs w:val="22"/>
              </w:rPr>
              <w:t xml:space="preserve"> </w:t>
            </w:r>
            <w:r w:rsidRPr="0014473B">
              <w:rPr>
                <w:rFonts w:asciiTheme="minorHAnsi" w:hAnsiTheme="minorHAnsi" w:cstheme="minorHAnsi"/>
                <w:sz w:val="22"/>
                <w:szCs w:val="22"/>
              </w:rPr>
              <w:t>25 mg</w:t>
            </w:r>
            <w:r w:rsidRPr="0014473B">
              <w:rPr>
                <w:rFonts w:asciiTheme="minorHAnsi" w:hAnsiTheme="minorHAnsi" w:cstheme="minorHAnsi"/>
                <w:sz w:val="22"/>
                <w:szCs w:val="22"/>
              </w:rPr>
              <w:br/>
              <w:t>(N=26)</w:t>
            </w:r>
          </w:p>
        </w:tc>
      </w:tr>
      <w:tr w:rsidR="00DA3E6E" w:rsidRPr="0014473B" w14:paraId="7BBEA6A2" w14:textId="77777777" w:rsidTr="00DC4254">
        <w:tc>
          <w:tcPr>
            <w:tcW w:w="5000" w:type="pct"/>
            <w:gridSpan w:val="3"/>
            <w:tcBorders>
              <w:right w:val="single" w:sz="4" w:space="0" w:color="auto"/>
            </w:tcBorders>
          </w:tcPr>
          <w:p w14:paraId="7F690A57" w14:textId="77777777" w:rsidR="00DA3E6E" w:rsidRPr="0014473B" w:rsidRDefault="00DA3E6E" w:rsidP="00250124">
            <w:pPr>
              <w:pStyle w:val="C-TableText"/>
              <w:tabs>
                <w:tab w:val="left" w:pos="144"/>
              </w:tabs>
              <w:spacing w:before="0" w:after="0"/>
              <w:rPr>
                <w:rFonts w:asciiTheme="minorHAnsi" w:hAnsiTheme="minorHAnsi" w:cstheme="minorHAnsi"/>
                <w:b/>
                <w:sz w:val="22"/>
                <w:szCs w:val="22"/>
              </w:rPr>
            </w:pPr>
            <w:r w:rsidRPr="0014473B">
              <w:rPr>
                <w:rFonts w:asciiTheme="minorHAnsi" w:hAnsiTheme="minorHAnsi" w:cstheme="minorHAnsi"/>
                <w:b/>
                <w:sz w:val="22"/>
                <w:szCs w:val="22"/>
              </w:rPr>
              <w:t>Baseline TG (mmol/L)</w:t>
            </w:r>
          </w:p>
        </w:tc>
      </w:tr>
      <w:tr w:rsidR="00DA3E6E" w:rsidRPr="0014473B" w14:paraId="5303D987" w14:textId="77777777" w:rsidTr="007D0DB3">
        <w:tc>
          <w:tcPr>
            <w:tcW w:w="2876" w:type="pct"/>
          </w:tcPr>
          <w:p w14:paraId="5C0B9EF1" w14:textId="77777777" w:rsidR="00DA3E6E" w:rsidRPr="0014473B" w:rsidRDefault="00DA3E6E" w:rsidP="00250124">
            <w:pPr>
              <w:pStyle w:val="C-TableText"/>
              <w:tabs>
                <w:tab w:val="left" w:pos="144"/>
              </w:tabs>
              <w:spacing w:before="0" w:after="0"/>
              <w:ind w:left="144"/>
              <w:rPr>
                <w:rFonts w:asciiTheme="minorHAnsi" w:hAnsiTheme="minorHAnsi" w:cstheme="minorHAnsi"/>
                <w:sz w:val="22"/>
                <w:szCs w:val="22"/>
              </w:rPr>
            </w:pPr>
            <w:r w:rsidRPr="0014473B">
              <w:rPr>
                <w:rFonts w:asciiTheme="minorHAnsi" w:hAnsiTheme="minorHAnsi" w:cstheme="minorHAnsi"/>
                <w:sz w:val="22"/>
                <w:szCs w:val="22"/>
              </w:rPr>
              <w:t>N</w:t>
            </w:r>
          </w:p>
        </w:tc>
        <w:tc>
          <w:tcPr>
            <w:tcW w:w="1084" w:type="pct"/>
          </w:tcPr>
          <w:p w14:paraId="44DD7AC3"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25</w:t>
            </w:r>
          </w:p>
        </w:tc>
        <w:tc>
          <w:tcPr>
            <w:tcW w:w="1040" w:type="pct"/>
            <w:tcBorders>
              <w:right w:val="single" w:sz="4" w:space="0" w:color="auto"/>
            </w:tcBorders>
          </w:tcPr>
          <w:p w14:paraId="7FBB644D"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26</w:t>
            </w:r>
          </w:p>
        </w:tc>
      </w:tr>
      <w:tr w:rsidR="00DA3E6E" w:rsidRPr="0014473B" w14:paraId="7158F3C2" w14:textId="77777777" w:rsidTr="007D0DB3">
        <w:tc>
          <w:tcPr>
            <w:tcW w:w="2876" w:type="pct"/>
          </w:tcPr>
          <w:p w14:paraId="55BCFE1D" w14:textId="77777777" w:rsidR="00DA3E6E" w:rsidRPr="0014473B" w:rsidRDefault="00DA3E6E" w:rsidP="00250124">
            <w:pPr>
              <w:pStyle w:val="C-TableText"/>
              <w:tabs>
                <w:tab w:val="left" w:pos="144"/>
              </w:tabs>
              <w:spacing w:before="0" w:after="0"/>
              <w:ind w:left="144"/>
              <w:rPr>
                <w:rFonts w:asciiTheme="minorHAnsi" w:hAnsiTheme="minorHAnsi" w:cstheme="minorHAnsi"/>
                <w:sz w:val="22"/>
                <w:szCs w:val="22"/>
              </w:rPr>
            </w:pPr>
            <w:r w:rsidRPr="0014473B">
              <w:rPr>
                <w:rFonts w:asciiTheme="minorHAnsi" w:hAnsiTheme="minorHAnsi" w:cstheme="minorHAnsi"/>
                <w:sz w:val="22"/>
                <w:szCs w:val="22"/>
              </w:rPr>
              <w:t>Median</w:t>
            </w:r>
          </w:p>
        </w:tc>
        <w:tc>
          <w:tcPr>
            <w:tcW w:w="1084" w:type="pct"/>
          </w:tcPr>
          <w:p w14:paraId="4E6D71DB"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23.2</w:t>
            </w:r>
          </w:p>
        </w:tc>
        <w:tc>
          <w:tcPr>
            <w:tcW w:w="1040" w:type="pct"/>
          </w:tcPr>
          <w:p w14:paraId="57B5B7CC"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22.7</w:t>
            </w:r>
          </w:p>
        </w:tc>
      </w:tr>
      <w:tr w:rsidR="00E87F05" w:rsidRPr="0014473B" w14:paraId="5AC637F1" w14:textId="77777777" w:rsidTr="007D0DB3">
        <w:tc>
          <w:tcPr>
            <w:tcW w:w="2876" w:type="pct"/>
          </w:tcPr>
          <w:p w14:paraId="0E29DAA6" w14:textId="4290F6F8" w:rsidR="00E87F05" w:rsidRPr="00EE0EB6" w:rsidRDefault="00E87F05" w:rsidP="00250124">
            <w:pPr>
              <w:pStyle w:val="C-TableText"/>
              <w:tabs>
                <w:tab w:val="left" w:pos="144"/>
              </w:tabs>
              <w:spacing w:before="0" w:after="0"/>
              <w:ind w:left="144"/>
              <w:rPr>
                <w:rFonts w:asciiTheme="minorHAnsi" w:hAnsiTheme="minorHAnsi" w:cstheme="minorHAnsi"/>
                <w:sz w:val="22"/>
                <w:szCs w:val="24"/>
              </w:rPr>
            </w:pPr>
            <w:r w:rsidRPr="00EE0EB6">
              <w:rPr>
                <w:rFonts w:asciiTheme="minorHAnsi" w:hAnsiTheme="minorHAnsi" w:cstheme="minorHAnsi"/>
                <w:sz w:val="22"/>
                <w:szCs w:val="24"/>
              </w:rPr>
              <w:t>Min, Max</w:t>
            </w:r>
          </w:p>
        </w:tc>
        <w:tc>
          <w:tcPr>
            <w:tcW w:w="1084" w:type="pct"/>
          </w:tcPr>
          <w:p w14:paraId="76B5D6F0" w14:textId="36D80364" w:rsidR="00E87F05" w:rsidRPr="00EE0EB6" w:rsidRDefault="001A62E5" w:rsidP="00250124">
            <w:pPr>
              <w:pStyle w:val="C-TableText"/>
              <w:tabs>
                <w:tab w:val="left" w:pos="144"/>
              </w:tabs>
              <w:spacing w:before="0" w:after="0"/>
              <w:jc w:val="center"/>
              <w:rPr>
                <w:rFonts w:asciiTheme="minorHAnsi" w:hAnsiTheme="minorHAnsi" w:cstheme="minorHAnsi"/>
                <w:sz w:val="22"/>
                <w:szCs w:val="24"/>
              </w:rPr>
            </w:pPr>
            <w:r w:rsidRPr="00EE0EB6">
              <w:rPr>
                <w:rFonts w:asciiTheme="minorHAnsi" w:hAnsiTheme="minorHAnsi" w:cstheme="minorHAnsi"/>
                <w:sz w:val="22"/>
                <w:szCs w:val="24"/>
              </w:rPr>
              <w:t>8.4, 50.0</w:t>
            </w:r>
          </w:p>
        </w:tc>
        <w:tc>
          <w:tcPr>
            <w:tcW w:w="1040" w:type="pct"/>
          </w:tcPr>
          <w:p w14:paraId="39039DB7" w14:textId="0A8287C0" w:rsidR="00E87F05" w:rsidRPr="00EE0EB6" w:rsidRDefault="001A62E5" w:rsidP="00250124">
            <w:pPr>
              <w:pStyle w:val="C-TableText"/>
              <w:tabs>
                <w:tab w:val="left" w:pos="144"/>
              </w:tabs>
              <w:spacing w:before="0" w:after="0"/>
              <w:jc w:val="center"/>
              <w:rPr>
                <w:rFonts w:asciiTheme="minorHAnsi" w:hAnsiTheme="minorHAnsi" w:cstheme="minorHAnsi"/>
                <w:sz w:val="22"/>
                <w:szCs w:val="24"/>
              </w:rPr>
            </w:pPr>
            <w:r w:rsidRPr="00EE0EB6">
              <w:rPr>
                <w:rFonts w:asciiTheme="minorHAnsi" w:hAnsiTheme="minorHAnsi" w:cstheme="minorHAnsi"/>
                <w:sz w:val="22"/>
                <w:szCs w:val="24"/>
              </w:rPr>
              <w:t>9.3, 63.</w:t>
            </w:r>
            <w:r w:rsidR="00AD10AA" w:rsidRPr="00EE0EB6">
              <w:rPr>
                <w:rFonts w:asciiTheme="minorHAnsi" w:hAnsiTheme="minorHAnsi" w:cstheme="minorHAnsi"/>
                <w:sz w:val="22"/>
                <w:szCs w:val="24"/>
              </w:rPr>
              <w:t>3</w:t>
            </w:r>
          </w:p>
        </w:tc>
      </w:tr>
      <w:tr w:rsidR="00DA3E6E" w:rsidRPr="0014473B" w14:paraId="2E79040C" w14:textId="77777777" w:rsidTr="00DC4254">
        <w:tc>
          <w:tcPr>
            <w:tcW w:w="5000" w:type="pct"/>
            <w:gridSpan w:val="3"/>
          </w:tcPr>
          <w:p w14:paraId="7C8C53D5" w14:textId="77777777" w:rsidR="00DA3E6E" w:rsidRPr="0014473B" w:rsidRDefault="00DA3E6E" w:rsidP="00250124">
            <w:pPr>
              <w:pStyle w:val="C-TableText"/>
              <w:tabs>
                <w:tab w:val="left" w:pos="144"/>
              </w:tabs>
              <w:spacing w:before="0" w:after="0"/>
              <w:rPr>
                <w:rFonts w:asciiTheme="minorHAnsi" w:hAnsiTheme="minorHAnsi" w:cstheme="minorHAnsi"/>
                <w:b/>
                <w:sz w:val="22"/>
                <w:szCs w:val="22"/>
              </w:rPr>
            </w:pPr>
            <w:r w:rsidRPr="0014473B">
              <w:rPr>
                <w:rFonts w:asciiTheme="minorHAnsi" w:hAnsiTheme="minorHAnsi" w:cstheme="minorHAnsi"/>
                <w:b/>
                <w:sz w:val="22"/>
                <w:szCs w:val="22"/>
              </w:rPr>
              <w:t>Month 10 TG (mmol/L)</w:t>
            </w:r>
          </w:p>
        </w:tc>
      </w:tr>
      <w:tr w:rsidR="00DA3E6E" w:rsidRPr="0014473B" w14:paraId="5A2F87F5" w14:textId="77777777" w:rsidTr="007D0DB3">
        <w:tc>
          <w:tcPr>
            <w:tcW w:w="2876" w:type="pct"/>
            <w:tcBorders>
              <w:bottom w:val="single" w:sz="4" w:space="0" w:color="auto"/>
            </w:tcBorders>
          </w:tcPr>
          <w:p w14:paraId="739D08F6" w14:textId="77777777" w:rsidR="00DA3E6E" w:rsidRPr="0014473B" w:rsidRDefault="00DA3E6E" w:rsidP="00250124">
            <w:pPr>
              <w:pStyle w:val="C-TableText"/>
              <w:tabs>
                <w:tab w:val="left" w:pos="144"/>
              </w:tabs>
              <w:spacing w:before="0" w:after="0"/>
              <w:ind w:left="144"/>
              <w:rPr>
                <w:rFonts w:asciiTheme="minorHAnsi" w:hAnsiTheme="minorHAnsi" w:cstheme="minorHAnsi"/>
                <w:sz w:val="22"/>
                <w:szCs w:val="22"/>
              </w:rPr>
            </w:pPr>
            <w:r w:rsidRPr="0014473B">
              <w:rPr>
                <w:rFonts w:asciiTheme="minorHAnsi" w:hAnsiTheme="minorHAnsi" w:cstheme="minorHAnsi"/>
                <w:sz w:val="22"/>
                <w:szCs w:val="22"/>
              </w:rPr>
              <w:t>N</w:t>
            </w:r>
          </w:p>
        </w:tc>
        <w:tc>
          <w:tcPr>
            <w:tcW w:w="1084" w:type="pct"/>
            <w:tcBorders>
              <w:bottom w:val="single" w:sz="4" w:space="0" w:color="auto"/>
            </w:tcBorders>
          </w:tcPr>
          <w:p w14:paraId="6A6DC5F1"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19</w:t>
            </w:r>
          </w:p>
        </w:tc>
        <w:tc>
          <w:tcPr>
            <w:tcW w:w="1040" w:type="pct"/>
            <w:tcBorders>
              <w:bottom w:val="single" w:sz="4" w:space="0" w:color="auto"/>
            </w:tcBorders>
          </w:tcPr>
          <w:p w14:paraId="104FA311" w14:textId="77777777" w:rsidR="00DA3E6E" w:rsidRPr="0014473B" w:rsidRDefault="00DA3E6E" w:rsidP="00250124">
            <w:pPr>
              <w:pStyle w:val="C-TableText"/>
              <w:tabs>
                <w:tab w:val="left" w:pos="144"/>
              </w:tabs>
              <w:spacing w:before="0" w:after="0"/>
              <w:jc w:val="center"/>
              <w:rPr>
                <w:rFonts w:asciiTheme="minorHAnsi" w:eastAsia="SimSun" w:hAnsiTheme="minorHAnsi" w:cstheme="minorHAnsi"/>
                <w:sz w:val="22"/>
                <w:szCs w:val="22"/>
              </w:rPr>
            </w:pPr>
            <w:r w:rsidRPr="0014473B">
              <w:rPr>
                <w:rFonts w:asciiTheme="minorHAnsi" w:hAnsiTheme="minorHAnsi" w:cstheme="minorHAnsi"/>
                <w:sz w:val="22"/>
                <w:szCs w:val="22"/>
              </w:rPr>
              <w:t>24</w:t>
            </w:r>
          </w:p>
        </w:tc>
      </w:tr>
      <w:tr w:rsidR="00DA3E6E" w:rsidRPr="0014473B" w14:paraId="2553B45A" w14:textId="77777777" w:rsidTr="007D0DB3">
        <w:tc>
          <w:tcPr>
            <w:tcW w:w="2876" w:type="pct"/>
            <w:tcBorders>
              <w:top w:val="single" w:sz="4" w:space="0" w:color="auto"/>
              <w:bottom w:val="single" w:sz="4" w:space="0" w:color="auto"/>
            </w:tcBorders>
          </w:tcPr>
          <w:p w14:paraId="6C7FB877" w14:textId="77777777" w:rsidR="00DA3E6E" w:rsidRPr="0014473B" w:rsidRDefault="00DA3E6E" w:rsidP="00250124">
            <w:pPr>
              <w:pStyle w:val="C-TableText"/>
              <w:tabs>
                <w:tab w:val="left" w:pos="144"/>
              </w:tabs>
              <w:spacing w:before="0" w:after="0"/>
              <w:ind w:left="144"/>
              <w:rPr>
                <w:rFonts w:asciiTheme="minorHAnsi" w:hAnsiTheme="minorHAnsi" w:cstheme="minorHAnsi"/>
                <w:sz w:val="22"/>
                <w:szCs w:val="22"/>
              </w:rPr>
            </w:pPr>
            <w:r w:rsidRPr="0014473B">
              <w:rPr>
                <w:rFonts w:asciiTheme="minorHAnsi" w:hAnsiTheme="minorHAnsi" w:cstheme="minorHAnsi"/>
                <w:sz w:val="22"/>
                <w:szCs w:val="22"/>
              </w:rPr>
              <w:t>Median (mmol/L)</w:t>
            </w:r>
          </w:p>
        </w:tc>
        <w:tc>
          <w:tcPr>
            <w:tcW w:w="1084" w:type="pct"/>
            <w:tcBorders>
              <w:top w:val="single" w:sz="4" w:space="0" w:color="auto"/>
              <w:bottom w:val="single" w:sz="4" w:space="0" w:color="auto"/>
            </w:tcBorders>
          </w:tcPr>
          <w:p w14:paraId="7AD48DBC" w14:textId="77777777" w:rsidR="00DA3E6E" w:rsidRPr="0014473B" w:rsidRDefault="00DA3E6E" w:rsidP="00250124">
            <w:pPr>
              <w:pStyle w:val="C-TableText"/>
              <w:tabs>
                <w:tab w:val="left" w:pos="144"/>
              </w:tabs>
              <w:spacing w:before="0" w:after="0"/>
              <w:jc w:val="center"/>
              <w:rPr>
                <w:rFonts w:asciiTheme="minorHAnsi" w:eastAsia="SimSun" w:hAnsiTheme="minorHAnsi" w:cstheme="minorHAnsi"/>
                <w:sz w:val="22"/>
                <w:szCs w:val="22"/>
              </w:rPr>
            </w:pPr>
            <w:r w:rsidRPr="0014473B">
              <w:rPr>
                <w:rFonts w:asciiTheme="minorHAnsi" w:hAnsiTheme="minorHAnsi" w:cstheme="minorHAnsi"/>
                <w:sz w:val="22"/>
                <w:szCs w:val="22"/>
              </w:rPr>
              <w:t>18.2</w:t>
            </w:r>
          </w:p>
        </w:tc>
        <w:tc>
          <w:tcPr>
            <w:tcW w:w="1040" w:type="pct"/>
            <w:tcBorders>
              <w:top w:val="single" w:sz="4" w:space="0" w:color="auto"/>
              <w:bottom w:val="single" w:sz="4" w:space="0" w:color="auto"/>
            </w:tcBorders>
          </w:tcPr>
          <w:p w14:paraId="474E63B3"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5.0</w:t>
            </w:r>
          </w:p>
        </w:tc>
      </w:tr>
      <w:tr w:rsidR="00E87F05" w:rsidRPr="0014473B" w14:paraId="4BEEC8B7" w14:textId="77777777" w:rsidTr="00E87F05">
        <w:tc>
          <w:tcPr>
            <w:tcW w:w="2876" w:type="pct"/>
            <w:tcBorders>
              <w:top w:val="single" w:sz="4" w:space="0" w:color="auto"/>
              <w:bottom w:val="single" w:sz="4" w:space="0" w:color="auto"/>
            </w:tcBorders>
          </w:tcPr>
          <w:p w14:paraId="0544668B" w14:textId="5507D81C" w:rsidR="00E87F05" w:rsidRPr="00EE0EB6" w:rsidRDefault="00E87F05" w:rsidP="00250124">
            <w:pPr>
              <w:pStyle w:val="C-TableText"/>
              <w:tabs>
                <w:tab w:val="left" w:pos="144"/>
              </w:tabs>
              <w:spacing w:before="0" w:after="0"/>
              <w:ind w:left="144"/>
              <w:rPr>
                <w:rFonts w:asciiTheme="minorHAnsi" w:hAnsiTheme="minorHAnsi" w:cstheme="minorHAnsi"/>
                <w:sz w:val="22"/>
                <w:szCs w:val="24"/>
              </w:rPr>
            </w:pPr>
            <w:r w:rsidRPr="00EE0EB6">
              <w:rPr>
                <w:rFonts w:asciiTheme="minorHAnsi" w:hAnsiTheme="minorHAnsi" w:cstheme="minorHAnsi"/>
                <w:sz w:val="22"/>
                <w:szCs w:val="24"/>
              </w:rPr>
              <w:t>Min, Max</w:t>
            </w:r>
          </w:p>
        </w:tc>
        <w:tc>
          <w:tcPr>
            <w:tcW w:w="1084" w:type="pct"/>
            <w:tcBorders>
              <w:top w:val="single" w:sz="4" w:space="0" w:color="auto"/>
              <w:bottom w:val="single" w:sz="4" w:space="0" w:color="auto"/>
            </w:tcBorders>
          </w:tcPr>
          <w:p w14:paraId="2C1EA8EE" w14:textId="5428E5E7" w:rsidR="00E87F05" w:rsidRPr="00EE0EB6" w:rsidRDefault="008A0E26" w:rsidP="00250124">
            <w:pPr>
              <w:pStyle w:val="C-TableText"/>
              <w:tabs>
                <w:tab w:val="left" w:pos="144"/>
              </w:tabs>
              <w:spacing w:before="0" w:after="0"/>
              <w:jc w:val="center"/>
              <w:rPr>
                <w:rFonts w:asciiTheme="minorHAnsi" w:hAnsiTheme="minorHAnsi" w:cstheme="minorHAnsi"/>
                <w:sz w:val="22"/>
                <w:szCs w:val="24"/>
              </w:rPr>
            </w:pPr>
            <w:r w:rsidRPr="00EE0EB6">
              <w:rPr>
                <w:rFonts w:asciiTheme="minorHAnsi" w:hAnsiTheme="minorHAnsi" w:cstheme="minorHAnsi"/>
                <w:sz w:val="22"/>
                <w:szCs w:val="24"/>
              </w:rPr>
              <w:t>2.</w:t>
            </w:r>
            <w:r w:rsidR="00AD10AA" w:rsidRPr="00EE0EB6">
              <w:rPr>
                <w:rFonts w:asciiTheme="minorHAnsi" w:hAnsiTheme="minorHAnsi" w:cstheme="minorHAnsi"/>
                <w:sz w:val="22"/>
                <w:szCs w:val="24"/>
              </w:rPr>
              <w:t>6</w:t>
            </w:r>
            <w:r w:rsidRPr="00EE0EB6">
              <w:rPr>
                <w:rFonts w:asciiTheme="minorHAnsi" w:hAnsiTheme="minorHAnsi" w:cstheme="minorHAnsi"/>
                <w:sz w:val="22"/>
                <w:szCs w:val="24"/>
              </w:rPr>
              <w:t>, 58.</w:t>
            </w:r>
            <w:r w:rsidR="00AD10AA" w:rsidRPr="00EE0EB6">
              <w:rPr>
                <w:rFonts w:asciiTheme="minorHAnsi" w:hAnsiTheme="minorHAnsi" w:cstheme="minorHAnsi"/>
                <w:sz w:val="22"/>
                <w:szCs w:val="24"/>
              </w:rPr>
              <w:t>9</w:t>
            </w:r>
          </w:p>
        </w:tc>
        <w:tc>
          <w:tcPr>
            <w:tcW w:w="1040" w:type="pct"/>
            <w:tcBorders>
              <w:top w:val="single" w:sz="4" w:space="0" w:color="auto"/>
              <w:bottom w:val="single" w:sz="4" w:space="0" w:color="auto"/>
            </w:tcBorders>
          </w:tcPr>
          <w:p w14:paraId="2F438269" w14:textId="6FE7520B" w:rsidR="00E87F05" w:rsidRPr="00EE0EB6" w:rsidRDefault="00AD10AA" w:rsidP="00250124">
            <w:pPr>
              <w:pStyle w:val="C-TableText"/>
              <w:tabs>
                <w:tab w:val="left" w:pos="144"/>
              </w:tabs>
              <w:spacing w:before="0" w:after="0"/>
              <w:jc w:val="center"/>
              <w:rPr>
                <w:rFonts w:asciiTheme="minorHAnsi" w:hAnsiTheme="minorHAnsi" w:cstheme="minorHAnsi"/>
                <w:sz w:val="22"/>
                <w:szCs w:val="24"/>
              </w:rPr>
            </w:pPr>
            <w:r w:rsidRPr="00EE0EB6">
              <w:rPr>
                <w:rFonts w:asciiTheme="minorHAnsi" w:hAnsiTheme="minorHAnsi" w:cstheme="minorHAnsi"/>
                <w:sz w:val="22"/>
                <w:szCs w:val="24"/>
              </w:rPr>
              <w:t>0.9, 32.2</w:t>
            </w:r>
          </w:p>
        </w:tc>
      </w:tr>
      <w:tr w:rsidR="00DA3E6E" w:rsidRPr="0014473B" w14:paraId="2D847E1F" w14:textId="77777777" w:rsidTr="007D0DB3">
        <w:tc>
          <w:tcPr>
            <w:tcW w:w="2876" w:type="pct"/>
            <w:tcBorders>
              <w:top w:val="single" w:sz="4" w:space="0" w:color="auto"/>
              <w:bottom w:val="single" w:sz="4" w:space="0" w:color="auto"/>
            </w:tcBorders>
          </w:tcPr>
          <w:p w14:paraId="173AB0DF" w14:textId="77777777" w:rsidR="00DA3E6E" w:rsidRPr="0014473B" w:rsidRDefault="00DA3E6E" w:rsidP="00250124">
            <w:pPr>
              <w:pStyle w:val="C-TableText"/>
              <w:tabs>
                <w:tab w:val="left" w:pos="144"/>
              </w:tabs>
              <w:spacing w:before="0" w:after="0"/>
              <w:ind w:left="144" w:hanging="144"/>
              <w:rPr>
                <w:rFonts w:asciiTheme="minorHAnsi" w:hAnsiTheme="minorHAnsi" w:cstheme="minorHAnsi"/>
                <w:b/>
                <w:sz w:val="22"/>
                <w:szCs w:val="22"/>
              </w:rPr>
            </w:pPr>
            <w:r w:rsidRPr="0014473B">
              <w:rPr>
                <w:rFonts w:asciiTheme="minorHAnsi" w:hAnsiTheme="minorHAnsi" w:cstheme="minorHAnsi"/>
                <w:b/>
                <w:sz w:val="22"/>
                <w:szCs w:val="22"/>
              </w:rPr>
              <w:t>Median percent change at month 10 from baseline in fasting TG</w:t>
            </w:r>
          </w:p>
        </w:tc>
        <w:tc>
          <w:tcPr>
            <w:tcW w:w="1084" w:type="pct"/>
            <w:tcBorders>
              <w:top w:val="single" w:sz="4" w:space="0" w:color="auto"/>
              <w:bottom w:val="single" w:sz="4" w:space="0" w:color="auto"/>
            </w:tcBorders>
          </w:tcPr>
          <w:p w14:paraId="41A01C20"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-17</w:t>
            </w:r>
          </w:p>
        </w:tc>
        <w:tc>
          <w:tcPr>
            <w:tcW w:w="1040" w:type="pct"/>
            <w:tcBorders>
              <w:top w:val="single" w:sz="4" w:space="0" w:color="auto"/>
              <w:bottom w:val="single" w:sz="4" w:space="0" w:color="auto"/>
            </w:tcBorders>
          </w:tcPr>
          <w:p w14:paraId="3663CB8C"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-80</w:t>
            </w:r>
          </w:p>
        </w:tc>
      </w:tr>
      <w:tr w:rsidR="00DA3E6E" w:rsidRPr="0014473B" w14:paraId="43EB9E90" w14:textId="77777777" w:rsidTr="007D0DB3">
        <w:tc>
          <w:tcPr>
            <w:tcW w:w="2876" w:type="pct"/>
            <w:tcBorders>
              <w:top w:val="single" w:sz="4" w:space="0" w:color="auto"/>
              <w:bottom w:val="single" w:sz="4" w:space="0" w:color="auto"/>
            </w:tcBorders>
          </w:tcPr>
          <w:p w14:paraId="4EE730F2" w14:textId="77777777" w:rsidR="00DA3E6E" w:rsidRPr="0014473B" w:rsidRDefault="00DA3E6E" w:rsidP="00250124">
            <w:pPr>
              <w:pStyle w:val="C-TableText"/>
              <w:tabs>
                <w:tab w:val="left" w:pos="144"/>
              </w:tabs>
              <w:spacing w:before="0" w:after="0"/>
              <w:ind w:left="144"/>
              <w:rPr>
                <w:rFonts w:asciiTheme="minorHAnsi" w:hAnsiTheme="minorHAnsi" w:cstheme="minorHAnsi"/>
                <w:sz w:val="22"/>
                <w:szCs w:val="22"/>
              </w:rPr>
            </w:pPr>
            <w:r w:rsidRPr="0014473B">
              <w:rPr>
                <w:rFonts w:asciiTheme="minorHAnsi" w:hAnsiTheme="minorHAnsi" w:cstheme="minorHAnsi"/>
                <w:sz w:val="22"/>
                <w:szCs w:val="22"/>
              </w:rPr>
              <w:t>Difference from placebo</w:t>
            </w:r>
          </w:p>
        </w:tc>
        <w:tc>
          <w:tcPr>
            <w:tcW w:w="1084" w:type="pct"/>
            <w:tcBorders>
              <w:top w:val="single" w:sz="4" w:space="0" w:color="auto"/>
              <w:bottom w:val="single" w:sz="4" w:space="0" w:color="auto"/>
            </w:tcBorders>
          </w:tcPr>
          <w:p w14:paraId="164D8AE9"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p>
        </w:tc>
        <w:tc>
          <w:tcPr>
            <w:tcW w:w="1040" w:type="pct"/>
            <w:tcBorders>
              <w:top w:val="single" w:sz="4" w:space="0" w:color="auto"/>
              <w:bottom w:val="single" w:sz="4" w:space="0" w:color="auto"/>
            </w:tcBorders>
          </w:tcPr>
          <w:p w14:paraId="37D6BBB3"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-58.7</w:t>
            </w:r>
          </w:p>
        </w:tc>
      </w:tr>
      <w:tr w:rsidR="00DA3E6E" w:rsidRPr="0014473B" w14:paraId="08C32A3A" w14:textId="77777777" w:rsidTr="007D0DB3">
        <w:tc>
          <w:tcPr>
            <w:tcW w:w="2876" w:type="pct"/>
            <w:tcBorders>
              <w:top w:val="single" w:sz="4" w:space="0" w:color="auto"/>
              <w:bottom w:val="single" w:sz="4" w:space="0" w:color="auto"/>
            </w:tcBorders>
          </w:tcPr>
          <w:p w14:paraId="412EE0AA" w14:textId="77777777" w:rsidR="00DA3E6E" w:rsidRPr="0014473B" w:rsidRDefault="00DA3E6E" w:rsidP="00250124">
            <w:pPr>
              <w:pStyle w:val="C-TableText"/>
              <w:tabs>
                <w:tab w:val="left" w:pos="144"/>
              </w:tabs>
              <w:spacing w:before="0" w:after="0"/>
              <w:ind w:left="144"/>
              <w:rPr>
                <w:rFonts w:asciiTheme="minorHAnsi" w:hAnsiTheme="minorHAnsi" w:cstheme="minorHAnsi"/>
                <w:sz w:val="22"/>
                <w:szCs w:val="22"/>
              </w:rPr>
            </w:pPr>
            <w:r w:rsidRPr="0014473B">
              <w:rPr>
                <w:rFonts w:asciiTheme="minorHAnsi" w:hAnsiTheme="minorHAnsi" w:cstheme="minorHAnsi"/>
                <w:sz w:val="22"/>
                <w:szCs w:val="22"/>
              </w:rPr>
              <w:t>95% CI</w:t>
            </w:r>
          </w:p>
        </w:tc>
        <w:tc>
          <w:tcPr>
            <w:tcW w:w="1084" w:type="pct"/>
            <w:tcBorders>
              <w:top w:val="single" w:sz="4" w:space="0" w:color="auto"/>
              <w:bottom w:val="single" w:sz="4" w:space="0" w:color="auto"/>
            </w:tcBorders>
          </w:tcPr>
          <w:p w14:paraId="3E6DB83E"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p>
        </w:tc>
        <w:tc>
          <w:tcPr>
            <w:tcW w:w="1040" w:type="pct"/>
            <w:tcBorders>
              <w:top w:val="single" w:sz="4" w:space="0" w:color="auto"/>
              <w:bottom w:val="single" w:sz="4" w:space="0" w:color="auto"/>
            </w:tcBorders>
          </w:tcPr>
          <w:p w14:paraId="1241FE3D"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[-89.6, -27.9]</w:t>
            </w:r>
          </w:p>
        </w:tc>
      </w:tr>
      <w:tr w:rsidR="00DA3E6E" w:rsidRPr="0014473B" w14:paraId="6FF96BC3" w14:textId="77777777" w:rsidTr="007D0DB3">
        <w:tc>
          <w:tcPr>
            <w:tcW w:w="2876" w:type="pct"/>
            <w:tcBorders>
              <w:top w:val="single" w:sz="4" w:space="0" w:color="auto"/>
              <w:bottom w:val="single" w:sz="4" w:space="0" w:color="auto"/>
            </w:tcBorders>
          </w:tcPr>
          <w:p w14:paraId="4237B229" w14:textId="77777777" w:rsidR="00DA3E6E" w:rsidRPr="0014473B" w:rsidRDefault="00DA3E6E" w:rsidP="00250124">
            <w:pPr>
              <w:pStyle w:val="C-TableText"/>
              <w:tabs>
                <w:tab w:val="left" w:pos="144"/>
              </w:tabs>
              <w:spacing w:before="0" w:after="0"/>
              <w:ind w:left="144"/>
              <w:rPr>
                <w:rFonts w:asciiTheme="minorHAnsi" w:hAnsiTheme="minorHAnsi" w:cstheme="minorHAnsi"/>
                <w:sz w:val="22"/>
                <w:szCs w:val="22"/>
              </w:rPr>
            </w:pPr>
            <w:r w:rsidRPr="0014473B">
              <w:rPr>
                <w:rFonts w:asciiTheme="minorHAnsi" w:hAnsiTheme="minorHAnsi" w:cstheme="minorHAnsi"/>
                <w:i/>
                <w:sz w:val="22"/>
                <w:szCs w:val="22"/>
              </w:rPr>
              <w:t>P-</w:t>
            </w:r>
            <w:r w:rsidRPr="0014473B">
              <w:rPr>
                <w:rFonts w:asciiTheme="minorHAnsi" w:hAnsiTheme="minorHAnsi" w:cstheme="minorHAnsi"/>
                <w:sz w:val="22"/>
                <w:szCs w:val="22"/>
              </w:rPr>
              <w:t xml:space="preserve">value </w:t>
            </w:r>
          </w:p>
        </w:tc>
        <w:tc>
          <w:tcPr>
            <w:tcW w:w="1084" w:type="pct"/>
            <w:tcBorders>
              <w:top w:val="single" w:sz="4" w:space="0" w:color="auto"/>
              <w:bottom w:val="single" w:sz="4" w:space="0" w:color="auto"/>
            </w:tcBorders>
          </w:tcPr>
          <w:p w14:paraId="6DBAA67C"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p>
        </w:tc>
        <w:tc>
          <w:tcPr>
            <w:tcW w:w="1040" w:type="pct"/>
            <w:tcBorders>
              <w:top w:val="single" w:sz="4" w:space="0" w:color="auto"/>
              <w:bottom w:val="single" w:sz="4" w:space="0" w:color="auto"/>
            </w:tcBorders>
          </w:tcPr>
          <w:p w14:paraId="2C91C9DA"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&lt; 0.0001</w:t>
            </w:r>
          </w:p>
        </w:tc>
      </w:tr>
      <w:tr w:rsidR="00DA3E6E" w:rsidRPr="0014473B" w14:paraId="75F091C0" w14:textId="77777777" w:rsidTr="007D0DB3">
        <w:tc>
          <w:tcPr>
            <w:tcW w:w="2876" w:type="pct"/>
            <w:tcBorders>
              <w:top w:val="single" w:sz="4" w:space="0" w:color="auto"/>
              <w:bottom w:val="single" w:sz="4" w:space="0" w:color="auto"/>
            </w:tcBorders>
          </w:tcPr>
          <w:p w14:paraId="4EA80130" w14:textId="77777777" w:rsidR="00DA3E6E" w:rsidRPr="0014473B" w:rsidRDefault="00DA3E6E" w:rsidP="00250124">
            <w:pPr>
              <w:pStyle w:val="C-TableText"/>
              <w:tabs>
                <w:tab w:val="left" w:pos="144"/>
              </w:tabs>
              <w:spacing w:before="0" w:after="0"/>
              <w:rPr>
                <w:rFonts w:asciiTheme="minorHAnsi" w:hAnsiTheme="minorHAnsi" w:cstheme="minorHAnsi"/>
                <w:i/>
                <w:sz w:val="22"/>
                <w:szCs w:val="22"/>
              </w:rPr>
            </w:pPr>
            <w:r w:rsidRPr="0014473B">
              <w:rPr>
                <w:rFonts w:asciiTheme="minorHAnsi" w:hAnsiTheme="minorHAnsi" w:cstheme="minorHAnsi"/>
                <w:b/>
                <w:sz w:val="22"/>
                <w:szCs w:val="22"/>
              </w:rPr>
              <w:lastRenderedPageBreak/>
              <w:t xml:space="preserve">Median percent change </w:t>
            </w:r>
            <w:proofErr w:type="gramStart"/>
            <w:r w:rsidRPr="0014473B">
              <w:rPr>
                <w:rFonts w:asciiTheme="minorHAnsi" w:hAnsiTheme="minorHAnsi" w:cstheme="minorHAnsi"/>
                <w:b/>
                <w:sz w:val="22"/>
                <w:szCs w:val="22"/>
              </w:rPr>
              <w:t>at</w:t>
            </w:r>
            <w:proofErr w:type="gramEnd"/>
            <w:r w:rsidRPr="0014473B">
              <w:rPr>
                <w:rFonts w:asciiTheme="minorHAnsi" w:hAnsiTheme="minorHAnsi" w:cstheme="minorHAnsi"/>
                <w:b/>
                <w:sz w:val="22"/>
                <w:szCs w:val="22"/>
              </w:rPr>
              <w:t xml:space="preserve"> month 10 from baseline in fasting </w:t>
            </w:r>
            <w:proofErr w:type="spellStart"/>
            <w:r w:rsidRPr="0014473B">
              <w:rPr>
                <w:rFonts w:asciiTheme="minorHAnsi" w:hAnsiTheme="minorHAnsi" w:cstheme="minorHAnsi"/>
                <w:b/>
                <w:sz w:val="22"/>
                <w:szCs w:val="22"/>
              </w:rPr>
              <w:t>APOC3</w:t>
            </w:r>
            <w:proofErr w:type="spellEnd"/>
          </w:p>
        </w:tc>
        <w:tc>
          <w:tcPr>
            <w:tcW w:w="1084" w:type="pct"/>
            <w:tcBorders>
              <w:top w:val="single" w:sz="4" w:space="0" w:color="auto"/>
              <w:bottom w:val="single" w:sz="4" w:space="0" w:color="auto"/>
            </w:tcBorders>
          </w:tcPr>
          <w:p w14:paraId="1E427744"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-1.3</w:t>
            </w:r>
          </w:p>
        </w:tc>
        <w:tc>
          <w:tcPr>
            <w:tcW w:w="1040" w:type="pct"/>
            <w:tcBorders>
              <w:top w:val="single" w:sz="4" w:space="0" w:color="auto"/>
              <w:bottom w:val="single" w:sz="4" w:space="0" w:color="auto"/>
            </w:tcBorders>
          </w:tcPr>
          <w:p w14:paraId="76E62399"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-93.0</w:t>
            </w:r>
          </w:p>
        </w:tc>
      </w:tr>
      <w:tr w:rsidR="00DA3E6E" w:rsidRPr="0014473B" w14:paraId="6FB4C029" w14:textId="77777777" w:rsidTr="007D0DB3">
        <w:tc>
          <w:tcPr>
            <w:tcW w:w="2876" w:type="pct"/>
            <w:tcBorders>
              <w:top w:val="single" w:sz="4" w:space="0" w:color="auto"/>
              <w:bottom w:val="single" w:sz="4" w:space="0" w:color="auto"/>
            </w:tcBorders>
          </w:tcPr>
          <w:p w14:paraId="2914659E" w14:textId="77777777" w:rsidR="00DA3E6E" w:rsidRPr="0014473B" w:rsidRDefault="00DA3E6E" w:rsidP="00250124">
            <w:pPr>
              <w:pStyle w:val="C-TableText"/>
              <w:tabs>
                <w:tab w:val="left" w:pos="144"/>
              </w:tabs>
              <w:spacing w:before="0" w:after="0"/>
              <w:ind w:left="144"/>
              <w:rPr>
                <w:rFonts w:asciiTheme="minorHAnsi" w:hAnsiTheme="minorHAnsi" w:cstheme="minorHAnsi"/>
                <w:i/>
                <w:sz w:val="22"/>
                <w:szCs w:val="22"/>
              </w:rPr>
            </w:pPr>
            <w:r w:rsidRPr="0014473B">
              <w:rPr>
                <w:rFonts w:asciiTheme="minorHAnsi" w:hAnsiTheme="minorHAnsi" w:cstheme="minorHAnsi"/>
                <w:sz w:val="22"/>
                <w:szCs w:val="22"/>
              </w:rPr>
              <w:t>Difference from placebo</w:t>
            </w:r>
          </w:p>
        </w:tc>
        <w:tc>
          <w:tcPr>
            <w:tcW w:w="1084" w:type="pct"/>
            <w:tcBorders>
              <w:top w:val="single" w:sz="4" w:space="0" w:color="auto"/>
              <w:bottom w:val="single" w:sz="4" w:space="0" w:color="auto"/>
            </w:tcBorders>
          </w:tcPr>
          <w:p w14:paraId="0E8B2369"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p>
        </w:tc>
        <w:tc>
          <w:tcPr>
            <w:tcW w:w="1040" w:type="pct"/>
            <w:tcBorders>
              <w:top w:val="single" w:sz="4" w:space="0" w:color="auto"/>
              <w:bottom w:val="single" w:sz="4" w:space="0" w:color="auto"/>
            </w:tcBorders>
          </w:tcPr>
          <w:p w14:paraId="0ADA31CA"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-90.5</w:t>
            </w:r>
          </w:p>
        </w:tc>
      </w:tr>
      <w:tr w:rsidR="00DA3E6E" w:rsidRPr="0014473B" w14:paraId="3CD23F0C" w14:textId="77777777" w:rsidTr="007D0DB3">
        <w:tc>
          <w:tcPr>
            <w:tcW w:w="2876" w:type="pct"/>
            <w:tcBorders>
              <w:top w:val="single" w:sz="4" w:space="0" w:color="auto"/>
              <w:bottom w:val="single" w:sz="4" w:space="0" w:color="auto"/>
            </w:tcBorders>
          </w:tcPr>
          <w:p w14:paraId="043CE46D" w14:textId="77777777" w:rsidR="00DA3E6E" w:rsidRPr="0014473B" w:rsidRDefault="00DA3E6E" w:rsidP="00250124">
            <w:pPr>
              <w:pStyle w:val="C-TableText"/>
              <w:tabs>
                <w:tab w:val="left" w:pos="144"/>
              </w:tabs>
              <w:spacing w:before="0" w:after="0"/>
              <w:ind w:left="144"/>
              <w:rPr>
                <w:rFonts w:asciiTheme="minorHAnsi" w:hAnsiTheme="minorHAnsi" w:cstheme="minorHAnsi"/>
                <w:i/>
                <w:sz w:val="22"/>
                <w:szCs w:val="22"/>
              </w:rPr>
            </w:pPr>
            <w:r w:rsidRPr="0014473B">
              <w:rPr>
                <w:rFonts w:asciiTheme="minorHAnsi" w:hAnsiTheme="minorHAnsi" w:cstheme="minorHAnsi"/>
                <w:sz w:val="22"/>
                <w:szCs w:val="22"/>
              </w:rPr>
              <w:t>95% CI</w:t>
            </w:r>
          </w:p>
        </w:tc>
        <w:tc>
          <w:tcPr>
            <w:tcW w:w="1084" w:type="pct"/>
            <w:tcBorders>
              <w:top w:val="single" w:sz="4" w:space="0" w:color="auto"/>
              <w:bottom w:val="single" w:sz="4" w:space="0" w:color="auto"/>
            </w:tcBorders>
          </w:tcPr>
          <w:p w14:paraId="2F13E312"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p>
        </w:tc>
        <w:tc>
          <w:tcPr>
            <w:tcW w:w="1040" w:type="pct"/>
            <w:tcBorders>
              <w:top w:val="single" w:sz="4" w:space="0" w:color="auto"/>
              <w:bottom w:val="single" w:sz="4" w:space="0" w:color="auto"/>
            </w:tcBorders>
          </w:tcPr>
          <w:p w14:paraId="28FAE93B"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[-108.3, -72.7]</w:t>
            </w:r>
          </w:p>
        </w:tc>
      </w:tr>
      <w:tr w:rsidR="00DA3E6E" w:rsidRPr="0014473B" w14:paraId="5DBE1B75" w14:textId="77777777" w:rsidTr="007D0DB3">
        <w:tc>
          <w:tcPr>
            <w:tcW w:w="2876" w:type="pct"/>
            <w:tcBorders>
              <w:top w:val="single" w:sz="4" w:space="0" w:color="auto"/>
            </w:tcBorders>
          </w:tcPr>
          <w:p w14:paraId="68C97531" w14:textId="77777777" w:rsidR="00DA3E6E" w:rsidRPr="0014473B" w:rsidRDefault="00DA3E6E" w:rsidP="00250124">
            <w:pPr>
              <w:pStyle w:val="C-TableText"/>
              <w:tabs>
                <w:tab w:val="left" w:pos="144"/>
              </w:tabs>
              <w:spacing w:before="0" w:after="0"/>
              <w:ind w:left="144"/>
              <w:rPr>
                <w:rFonts w:asciiTheme="minorHAnsi" w:hAnsiTheme="minorHAnsi" w:cstheme="minorHAnsi"/>
                <w:i/>
                <w:sz w:val="22"/>
                <w:szCs w:val="22"/>
              </w:rPr>
            </w:pPr>
            <w:r w:rsidRPr="0014473B">
              <w:rPr>
                <w:rFonts w:asciiTheme="minorHAnsi" w:hAnsiTheme="minorHAnsi" w:cstheme="minorHAnsi"/>
                <w:i/>
                <w:sz w:val="22"/>
                <w:szCs w:val="22"/>
              </w:rPr>
              <w:t>P-</w:t>
            </w:r>
            <w:r w:rsidRPr="0014473B">
              <w:rPr>
                <w:rFonts w:asciiTheme="minorHAnsi" w:hAnsiTheme="minorHAnsi" w:cstheme="minorHAnsi"/>
                <w:sz w:val="22"/>
                <w:szCs w:val="22"/>
              </w:rPr>
              <w:t xml:space="preserve">value </w:t>
            </w:r>
          </w:p>
        </w:tc>
        <w:tc>
          <w:tcPr>
            <w:tcW w:w="1084" w:type="pct"/>
            <w:tcBorders>
              <w:top w:val="single" w:sz="4" w:space="0" w:color="auto"/>
            </w:tcBorders>
          </w:tcPr>
          <w:p w14:paraId="13A1BDBB"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p>
        </w:tc>
        <w:tc>
          <w:tcPr>
            <w:tcW w:w="1040" w:type="pct"/>
            <w:tcBorders>
              <w:top w:val="single" w:sz="4" w:space="0" w:color="auto"/>
            </w:tcBorders>
          </w:tcPr>
          <w:p w14:paraId="3EF87C1C" w14:textId="77777777" w:rsidR="00DA3E6E" w:rsidRPr="0014473B" w:rsidRDefault="00DA3E6E" w:rsidP="00250124">
            <w:pPr>
              <w:pStyle w:val="C-TableText"/>
              <w:tabs>
                <w:tab w:val="left" w:pos="144"/>
              </w:tabs>
              <w:spacing w:before="0" w:after="0"/>
              <w:jc w:val="center"/>
              <w:rPr>
                <w:rFonts w:asciiTheme="minorHAnsi" w:hAnsiTheme="minorHAnsi" w:cstheme="minorHAnsi"/>
                <w:sz w:val="22"/>
                <w:szCs w:val="22"/>
              </w:rPr>
            </w:pPr>
            <w:r w:rsidRPr="0014473B">
              <w:rPr>
                <w:rFonts w:asciiTheme="minorHAnsi" w:hAnsiTheme="minorHAnsi" w:cstheme="minorHAnsi"/>
                <w:sz w:val="22"/>
                <w:szCs w:val="22"/>
              </w:rPr>
              <w:t>p &lt; 0.0001</w:t>
            </w:r>
          </w:p>
        </w:tc>
      </w:tr>
    </w:tbl>
    <w:p w14:paraId="613036D0" w14:textId="77777777" w:rsidR="00DA3E6E" w:rsidRPr="00E90237" w:rsidRDefault="00DA3E6E" w:rsidP="00250124">
      <w:pPr>
        <w:contextualSpacing/>
        <w:rPr>
          <w:lang w:val="en-US"/>
        </w:rPr>
      </w:pPr>
    </w:p>
    <w:p w14:paraId="33D574FD" w14:textId="19A3D990" w:rsidR="00DA3E6E" w:rsidRPr="00E009F2" w:rsidRDefault="00DA3E6E" w:rsidP="00D42DF7">
      <w:pPr>
        <w:pStyle w:val="Caption"/>
      </w:pPr>
      <w:bookmarkStart w:id="8" w:name="_Ref206088852"/>
      <w:r>
        <w:t xml:space="preserve">Figure </w:t>
      </w:r>
      <w:r>
        <w:fldChar w:fldCharType="begin"/>
      </w:r>
      <w:r>
        <w:instrText xml:space="preserve"> SEQ Figure \* ARABIC </w:instrText>
      </w:r>
      <w:r>
        <w:fldChar w:fldCharType="separate"/>
      </w:r>
      <w:r w:rsidR="00C31D8F">
        <w:rPr>
          <w:noProof/>
        </w:rPr>
        <w:t>1</w:t>
      </w:r>
      <w:r>
        <w:fldChar w:fldCharType="end"/>
      </w:r>
      <w:bookmarkEnd w:id="8"/>
      <w:r>
        <w:t xml:space="preserve">: </w:t>
      </w:r>
      <w:r w:rsidRPr="002A0CCC">
        <w:t>Median absolute fasting triglyceride levels in patients with FCS during PALISADE</w:t>
      </w:r>
    </w:p>
    <w:p w14:paraId="1EF5D120" w14:textId="66693756" w:rsidR="00DA3E6E" w:rsidRPr="002D3C5E" w:rsidRDefault="00085C23" w:rsidP="00250124">
      <w:pPr>
        <w:autoSpaceDE w:val="0"/>
        <w:autoSpaceDN w:val="0"/>
        <w:adjustRightInd w:val="0"/>
        <w:rPr>
          <w:rFonts w:eastAsia="SimSun"/>
          <w:lang w:val="en-US" w:eastAsia="en-GB"/>
        </w:rPr>
      </w:pPr>
      <w:r w:rsidRPr="006101B9">
        <w:rPr>
          <w:noProof/>
          <w:lang w:val="en-US"/>
        </w:rPr>
        <w:drawing>
          <wp:inline distT="0" distB="0" distL="0" distR="0" wp14:anchorId="6D7CD992" wp14:editId="19B8318D">
            <wp:extent cx="5731510" cy="3302635"/>
            <wp:effectExtent l="0" t="0" r="2540" b="0"/>
            <wp:docPr id="343770618" name="Picture 4" descr="Figure 1: Median absolute fasting triglyceride levels in patients with FCS during PALIS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70618" name="Picture 4" descr="Figure 1: Median absolute fasting triglyceride levels in patients with FCS during PALISA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302635"/>
                    </a:xfrm>
                    <a:prstGeom prst="rect">
                      <a:avLst/>
                    </a:prstGeom>
                    <a:noFill/>
                    <a:ln>
                      <a:noFill/>
                    </a:ln>
                  </pic:spPr>
                </pic:pic>
              </a:graphicData>
            </a:graphic>
          </wp:inline>
        </w:drawing>
      </w:r>
    </w:p>
    <w:p w14:paraId="422F57A5" w14:textId="4DBD7961" w:rsidR="00DA3E6E" w:rsidRDefault="00112F51" w:rsidP="00250124">
      <w:pPr>
        <w:rPr>
          <w:rFonts w:eastAsia="SimSun"/>
          <w:lang w:val="en-US" w:eastAsia="en-GB"/>
        </w:rPr>
      </w:pPr>
      <w:r>
        <w:rPr>
          <w:rFonts w:eastAsia="SimSun"/>
          <w:lang w:val="en-US" w:eastAsia="en-GB"/>
        </w:rPr>
        <w:t>W</w:t>
      </w:r>
      <w:r w:rsidR="00DA3E6E" w:rsidRPr="002D3C5E">
        <w:rPr>
          <w:rFonts w:eastAsia="SimSun"/>
          <w:lang w:val="en-US" w:eastAsia="en-GB"/>
        </w:rPr>
        <w:t xml:space="preserve">hen compared to placebo, the combined doses of 25 mg and 50 mg </w:t>
      </w:r>
      <w:proofErr w:type="spellStart"/>
      <w:r w:rsidR="00DA3E6E" w:rsidRPr="002D3C5E">
        <w:rPr>
          <w:rFonts w:eastAsia="SimSun"/>
          <w:lang w:val="en-US" w:eastAsia="en-GB"/>
        </w:rPr>
        <w:t>plozasiran</w:t>
      </w:r>
      <w:proofErr w:type="spellEnd"/>
      <w:r w:rsidR="00DA3E6E" w:rsidRPr="002D3C5E">
        <w:rPr>
          <w:rFonts w:eastAsia="SimSun"/>
          <w:lang w:val="en-US" w:eastAsia="en-GB"/>
        </w:rPr>
        <w:t xml:space="preserve"> significantly reduced the incidence of acute pancreatitis (odds ratio, 0.169; </w:t>
      </w:r>
      <w:r w:rsidR="00D3157C">
        <w:rPr>
          <w:rFonts w:eastAsia="SimSun"/>
          <w:lang w:val="en-US" w:eastAsia="en-GB"/>
        </w:rPr>
        <w:t xml:space="preserve">95% CI: 0.030, 0.942; </w:t>
      </w:r>
      <w:r w:rsidR="00DA3E6E" w:rsidRPr="002D3C5E">
        <w:rPr>
          <w:rFonts w:eastAsia="SimSun"/>
          <w:lang w:val="en-US" w:eastAsia="en-GB"/>
        </w:rPr>
        <w:t>P=0.0292)</w:t>
      </w:r>
      <w:r w:rsidR="00DA3E6E">
        <w:rPr>
          <w:rFonts w:eastAsia="SimSun"/>
          <w:lang w:val="en-US" w:eastAsia="en-GB"/>
        </w:rPr>
        <w:t xml:space="preserve">. </w:t>
      </w:r>
      <w:r w:rsidR="00DA3E6E" w:rsidRPr="002D3C5E">
        <w:rPr>
          <w:rFonts w:eastAsia="SimSun"/>
          <w:lang w:val="en-US" w:eastAsia="en-GB"/>
        </w:rPr>
        <w:t xml:space="preserve">The odds of acute pancreatitis were 83% lower in the pooled </w:t>
      </w:r>
      <w:proofErr w:type="spellStart"/>
      <w:r w:rsidR="00DA3E6E" w:rsidRPr="002D3C5E">
        <w:rPr>
          <w:rFonts w:eastAsia="SimSun"/>
          <w:lang w:val="en-US" w:eastAsia="en-GB"/>
        </w:rPr>
        <w:t>plozasiran</w:t>
      </w:r>
      <w:proofErr w:type="spellEnd"/>
      <w:r w:rsidR="00DA3E6E" w:rsidRPr="002D3C5E">
        <w:rPr>
          <w:rFonts w:eastAsia="SimSun"/>
          <w:lang w:val="en-US" w:eastAsia="en-GB"/>
        </w:rPr>
        <w:t xml:space="preserve"> groups compared with the placebo group, with </w:t>
      </w:r>
      <w:r w:rsidR="00D3157C">
        <w:rPr>
          <w:rFonts w:eastAsia="SimSun"/>
          <w:lang w:val="en-US" w:eastAsia="en-GB"/>
        </w:rPr>
        <w:t>7</w:t>
      </w:r>
      <w:r w:rsidR="00D3157C" w:rsidRPr="002D3C5E">
        <w:rPr>
          <w:rFonts w:eastAsia="SimSun"/>
          <w:lang w:val="en-US" w:eastAsia="en-GB"/>
        </w:rPr>
        <w:t xml:space="preserve"> </w:t>
      </w:r>
      <w:r w:rsidR="00DA3E6E" w:rsidRPr="002D3C5E">
        <w:rPr>
          <w:rFonts w:eastAsia="SimSun"/>
          <w:lang w:val="en-US" w:eastAsia="en-GB"/>
        </w:rPr>
        <w:t>pancreatitis events occurring in 5 (20%) subjects in the placebo group and 2 </w:t>
      </w:r>
      <w:r w:rsidR="005D2E06">
        <w:rPr>
          <w:rFonts w:eastAsia="SimSun"/>
          <w:lang w:val="en-US" w:eastAsia="en-GB"/>
        </w:rPr>
        <w:t xml:space="preserve">pancreatitis events occurring in 2 </w:t>
      </w:r>
      <w:r w:rsidR="00DA3E6E" w:rsidRPr="002D3C5E">
        <w:rPr>
          <w:rFonts w:eastAsia="SimSun"/>
          <w:lang w:val="en-US" w:eastAsia="en-GB"/>
        </w:rPr>
        <w:t xml:space="preserve">(4%) subjects in the pooled </w:t>
      </w:r>
      <w:proofErr w:type="spellStart"/>
      <w:r w:rsidR="00DA3E6E" w:rsidRPr="002D3C5E">
        <w:rPr>
          <w:rFonts w:eastAsia="SimSun"/>
          <w:lang w:val="en-US" w:eastAsia="en-GB"/>
        </w:rPr>
        <w:t>plozasiran</w:t>
      </w:r>
      <w:proofErr w:type="spellEnd"/>
      <w:r w:rsidR="00DA3E6E" w:rsidRPr="002D3C5E">
        <w:rPr>
          <w:rFonts w:eastAsia="SimSun"/>
          <w:lang w:val="en-US" w:eastAsia="en-GB"/>
        </w:rPr>
        <w:t xml:space="preserve"> groups.</w:t>
      </w:r>
    </w:p>
    <w:p w14:paraId="0AA38B58" w14:textId="4F08F5F4" w:rsidR="00042D93" w:rsidRDefault="00042D93" w:rsidP="00250124">
      <w:pPr>
        <w:rPr>
          <w:rFonts w:eastAsia="SimSun"/>
          <w:lang w:val="en-US" w:eastAsia="en-GB"/>
        </w:rPr>
      </w:pPr>
      <w:r w:rsidRPr="002D3C5E">
        <w:rPr>
          <w:rFonts w:eastAsia="SimSun"/>
          <w:lang w:val="en-US" w:eastAsia="en-GB"/>
        </w:rPr>
        <w:t xml:space="preserve">Among patients with fasting triglyceride measurements at month 10, all patients in the 25 mg </w:t>
      </w:r>
      <w:proofErr w:type="spellStart"/>
      <w:r w:rsidRPr="002D3C5E">
        <w:rPr>
          <w:rFonts w:eastAsia="SimSun"/>
          <w:lang w:val="en-US" w:eastAsia="en-GB"/>
        </w:rPr>
        <w:t>plozasiran</w:t>
      </w:r>
      <w:proofErr w:type="spellEnd"/>
      <w:r w:rsidRPr="002D3C5E">
        <w:rPr>
          <w:rFonts w:eastAsia="SimSun"/>
          <w:lang w:val="en-US" w:eastAsia="en-GB"/>
        </w:rPr>
        <w:t xml:space="preserve"> group experienced decreases from baseline and approximately 80% of patients experienced at least a &gt; 50% decrease from baseline.</w:t>
      </w:r>
    </w:p>
    <w:p w14:paraId="28BB5BE4" w14:textId="2091A3D4" w:rsidR="00042D93" w:rsidRPr="00042D93" w:rsidRDefault="00042D93" w:rsidP="00042D93">
      <w:pPr>
        <w:autoSpaceDE w:val="0"/>
        <w:autoSpaceDN w:val="0"/>
        <w:adjustRightInd w:val="0"/>
        <w:rPr>
          <w:rFonts w:eastAsia="SimSun"/>
          <w:lang w:val="en-US" w:eastAsia="en-GB"/>
        </w:rPr>
      </w:pPr>
      <w:r w:rsidRPr="002D3C5E">
        <w:rPr>
          <w:rFonts w:eastAsia="SimSun"/>
          <w:lang w:val="en-US" w:eastAsia="en-GB"/>
        </w:rPr>
        <w:t xml:space="preserve">A prespecified subgroup analysis of genetically confirmed versus clinically diagnosed FCS patients showed that the patients had a similar triglyceride response to </w:t>
      </w:r>
      <w:proofErr w:type="spellStart"/>
      <w:r w:rsidRPr="002D3C5E">
        <w:rPr>
          <w:rFonts w:eastAsia="SimSun"/>
          <w:lang w:val="en-US" w:eastAsia="en-GB"/>
        </w:rPr>
        <w:t>plozasiran</w:t>
      </w:r>
      <w:proofErr w:type="spellEnd"/>
      <w:r w:rsidRPr="002D3C5E">
        <w:rPr>
          <w:rFonts w:eastAsia="SimSun"/>
          <w:lang w:val="en-US" w:eastAsia="en-GB"/>
        </w:rPr>
        <w:t xml:space="preserve"> independent of their confirmed genetic characteristics. </w:t>
      </w:r>
    </w:p>
    <w:p w14:paraId="2D42251E" w14:textId="77777777" w:rsidR="00DA3E6E" w:rsidRPr="00C53815" w:rsidRDefault="00DA3E6E" w:rsidP="00C53815">
      <w:pPr>
        <w:pStyle w:val="Heading4"/>
        <w:rPr>
          <w:rFonts w:eastAsia="SimSun"/>
          <w:lang w:eastAsia="en-GB"/>
        </w:rPr>
      </w:pPr>
      <w:r w:rsidRPr="002D3C5E">
        <w:rPr>
          <w:rFonts w:eastAsia="SimSun"/>
          <w:lang w:eastAsia="en-GB"/>
        </w:rPr>
        <w:t>PALISADE Open Label Extension (OLE) study in patients with FCS</w:t>
      </w:r>
    </w:p>
    <w:p w14:paraId="5D96B102" w14:textId="174C9E43" w:rsidR="00DA3E6E" w:rsidRPr="009B64FC" w:rsidRDefault="00DA3E6E" w:rsidP="00FC71E9">
      <w:pPr>
        <w:autoSpaceDE w:val="0"/>
        <w:autoSpaceDN w:val="0"/>
        <w:adjustRightInd w:val="0"/>
        <w:rPr>
          <w:rFonts w:eastAsia="SimSun"/>
          <w:lang w:val="en-US" w:eastAsia="en-GB"/>
        </w:rPr>
      </w:pPr>
      <w:r w:rsidRPr="009B64FC">
        <w:rPr>
          <w:rFonts w:eastAsia="SimSun"/>
          <w:lang w:val="en-US" w:eastAsia="en-GB"/>
        </w:rPr>
        <w:t xml:space="preserve">Of the 64 patients who completed 12 months of </w:t>
      </w:r>
      <w:proofErr w:type="spellStart"/>
      <w:r w:rsidRPr="009B64FC">
        <w:rPr>
          <w:rFonts w:eastAsia="SimSun"/>
          <w:lang w:val="en-US" w:eastAsia="en-GB"/>
        </w:rPr>
        <w:t>randomi</w:t>
      </w:r>
      <w:r w:rsidR="003B7ED1">
        <w:rPr>
          <w:rFonts w:eastAsia="SimSun"/>
          <w:lang w:val="en-US" w:eastAsia="en-GB"/>
        </w:rPr>
        <w:t>s</w:t>
      </w:r>
      <w:r w:rsidRPr="009B64FC">
        <w:rPr>
          <w:rFonts w:eastAsia="SimSun"/>
          <w:lang w:val="en-US" w:eastAsia="en-GB"/>
        </w:rPr>
        <w:t>ed</w:t>
      </w:r>
      <w:proofErr w:type="spellEnd"/>
      <w:r w:rsidRPr="009B64FC">
        <w:rPr>
          <w:rFonts w:eastAsia="SimSun"/>
          <w:lang w:val="en-US" w:eastAsia="en-GB"/>
        </w:rPr>
        <w:t xml:space="preserve"> study treatment, 62 (97%) entered the OLE period</w:t>
      </w:r>
      <w:r>
        <w:rPr>
          <w:rFonts w:eastAsia="SimSun"/>
          <w:lang w:val="en-US" w:eastAsia="en-GB"/>
        </w:rPr>
        <w:t xml:space="preserve">, where all patients received </w:t>
      </w:r>
      <w:proofErr w:type="spellStart"/>
      <w:r>
        <w:rPr>
          <w:rFonts w:eastAsia="SimSun"/>
          <w:lang w:val="en-US" w:eastAsia="en-GB"/>
        </w:rPr>
        <w:t>plozasiran</w:t>
      </w:r>
      <w:proofErr w:type="spellEnd"/>
      <w:r w:rsidRPr="009B64FC">
        <w:rPr>
          <w:rFonts w:eastAsia="SimSun"/>
          <w:lang w:val="en-US" w:eastAsia="en-GB"/>
        </w:rPr>
        <w:t xml:space="preserve">. Of these patients, 18 (29%) received placebo </w:t>
      </w:r>
      <w:r w:rsidRPr="009B64FC">
        <w:rPr>
          <w:rFonts w:eastAsia="SimSun"/>
          <w:lang w:val="en-US" w:eastAsia="en-GB"/>
        </w:rPr>
        <w:lastRenderedPageBreak/>
        <w:t>(placebo/</w:t>
      </w:r>
      <w:proofErr w:type="spellStart"/>
      <w:r w:rsidRPr="009B64FC">
        <w:rPr>
          <w:rFonts w:eastAsia="SimSun"/>
          <w:lang w:val="en-US" w:eastAsia="en-GB"/>
        </w:rPr>
        <w:t>plozasiran</w:t>
      </w:r>
      <w:proofErr w:type="spellEnd"/>
      <w:r w:rsidRPr="009B64FC">
        <w:rPr>
          <w:rFonts w:eastAsia="SimSun"/>
          <w:lang w:val="en-US" w:eastAsia="en-GB"/>
        </w:rPr>
        <w:t xml:space="preserve"> group) and 44 (71%) received </w:t>
      </w:r>
      <w:proofErr w:type="spellStart"/>
      <w:r w:rsidRPr="009B64FC">
        <w:rPr>
          <w:rFonts w:eastAsia="SimSun"/>
          <w:lang w:val="en-US" w:eastAsia="en-GB"/>
        </w:rPr>
        <w:t>plozasiran</w:t>
      </w:r>
      <w:proofErr w:type="spellEnd"/>
      <w:r w:rsidRPr="009B64FC">
        <w:rPr>
          <w:rFonts w:eastAsia="SimSun"/>
          <w:lang w:val="en-US" w:eastAsia="en-GB"/>
        </w:rPr>
        <w:t xml:space="preserve"> (</w:t>
      </w:r>
      <w:proofErr w:type="spellStart"/>
      <w:r w:rsidRPr="009B64FC">
        <w:rPr>
          <w:rFonts w:eastAsia="SimSun"/>
          <w:lang w:val="en-US" w:eastAsia="en-GB"/>
        </w:rPr>
        <w:t>plozasiran</w:t>
      </w:r>
      <w:proofErr w:type="spellEnd"/>
      <w:r w:rsidRPr="009B64FC">
        <w:rPr>
          <w:rFonts w:eastAsia="SimSun"/>
          <w:lang w:val="en-US" w:eastAsia="en-GB"/>
        </w:rPr>
        <w:t>/</w:t>
      </w:r>
      <w:proofErr w:type="spellStart"/>
      <w:r w:rsidRPr="009B64FC">
        <w:rPr>
          <w:rFonts w:eastAsia="SimSun"/>
          <w:lang w:val="en-US" w:eastAsia="en-GB"/>
        </w:rPr>
        <w:t>plozasiran</w:t>
      </w:r>
      <w:proofErr w:type="spellEnd"/>
      <w:r w:rsidRPr="009B64FC">
        <w:rPr>
          <w:rFonts w:eastAsia="SimSun"/>
          <w:lang w:val="en-US" w:eastAsia="en-GB"/>
        </w:rPr>
        <w:t xml:space="preserve"> group) during the </w:t>
      </w:r>
      <w:proofErr w:type="spellStart"/>
      <w:r w:rsidRPr="009B64FC">
        <w:rPr>
          <w:rFonts w:eastAsia="SimSun"/>
          <w:lang w:val="en-US" w:eastAsia="en-GB"/>
        </w:rPr>
        <w:t>randomi</w:t>
      </w:r>
      <w:r w:rsidR="003B7ED1">
        <w:rPr>
          <w:rFonts w:eastAsia="SimSun"/>
          <w:lang w:val="en-US" w:eastAsia="en-GB"/>
        </w:rPr>
        <w:t>s</w:t>
      </w:r>
      <w:r w:rsidRPr="009B64FC">
        <w:rPr>
          <w:rFonts w:eastAsia="SimSun"/>
          <w:lang w:val="en-US" w:eastAsia="en-GB"/>
        </w:rPr>
        <w:t>ed</w:t>
      </w:r>
      <w:proofErr w:type="spellEnd"/>
      <w:r w:rsidRPr="009B64FC">
        <w:rPr>
          <w:rFonts w:eastAsia="SimSun"/>
          <w:lang w:val="en-US" w:eastAsia="en-GB"/>
        </w:rPr>
        <w:t xml:space="preserve"> period. </w:t>
      </w:r>
    </w:p>
    <w:p w14:paraId="79119402" w14:textId="212C56AB" w:rsidR="00DA3E6E" w:rsidRDefault="00DA3E6E" w:rsidP="00FC71E9">
      <w:pPr>
        <w:autoSpaceDE w:val="0"/>
        <w:autoSpaceDN w:val="0"/>
        <w:adjustRightInd w:val="0"/>
        <w:rPr>
          <w:rFonts w:eastAsia="SimSun"/>
          <w:lang w:eastAsia="en-GB"/>
        </w:rPr>
      </w:pPr>
      <w:r w:rsidRPr="0024123F">
        <w:rPr>
          <w:rFonts w:eastAsia="SimSun"/>
          <w:lang w:eastAsia="en-GB"/>
        </w:rPr>
        <w:t>As expected, median absolute values of fasting TGs at OLE baseline (</w:t>
      </w:r>
      <w:r>
        <w:rPr>
          <w:rFonts w:eastAsia="SimSun"/>
          <w:lang w:eastAsia="en-GB"/>
        </w:rPr>
        <w:t>m</w:t>
      </w:r>
      <w:r w:rsidRPr="0024123F">
        <w:rPr>
          <w:rFonts w:eastAsia="SimSun"/>
          <w:lang w:eastAsia="en-GB"/>
        </w:rPr>
        <w:t>onth 12) were higher in patients who received placebo in the randomi</w:t>
      </w:r>
      <w:r w:rsidR="003B7ED1">
        <w:rPr>
          <w:rFonts w:eastAsia="SimSun"/>
          <w:lang w:eastAsia="en-GB"/>
        </w:rPr>
        <w:t>s</w:t>
      </w:r>
      <w:r w:rsidRPr="0024123F">
        <w:rPr>
          <w:rFonts w:eastAsia="SimSun"/>
          <w:lang w:eastAsia="en-GB"/>
        </w:rPr>
        <w:t>ed period (placebo/</w:t>
      </w:r>
      <w:proofErr w:type="spellStart"/>
      <w:r w:rsidRPr="0024123F">
        <w:rPr>
          <w:rFonts w:eastAsia="SimSun"/>
          <w:lang w:eastAsia="en-GB"/>
        </w:rPr>
        <w:t>plozasiran</w:t>
      </w:r>
      <w:proofErr w:type="spellEnd"/>
      <w:r w:rsidRPr="0024123F">
        <w:rPr>
          <w:rFonts w:eastAsia="SimSun"/>
          <w:lang w:eastAsia="en-GB"/>
        </w:rPr>
        <w:t xml:space="preserve"> group; 23.76 mmol/L [2103 mg/dL]) compared to the </w:t>
      </w:r>
      <w:proofErr w:type="spellStart"/>
      <w:r w:rsidRPr="0024123F">
        <w:rPr>
          <w:rFonts w:eastAsia="SimSun"/>
          <w:lang w:eastAsia="en-GB"/>
        </w:rPr>
        <w:t>plozasiran</w:t>
      </w:r>
      <w:proofErr w:type="spellEnd"/>
      <w:r w:rsidRPr="0024123F">
        <w:rPr>
          <w:rFonts w:eastAsia="SimSun"/>
          <w:lang w:eastAsia="en-GB"/>
        </w:rPr>
        <w:t>/</w:t>
      </w:r>
      <w:proofErr w:type="spellStart"/>
      <w:r w:rsidRPr="0024123F">
        <w:rPr>
          <w:rFonts w:eastAsia="SimSun"/>
          <w:lang w:eastAsia="en-GB"/>
        </w:rPr>
        <w:t>plozasiran</w:t>
      </w:r>
      <w:proofErr w:type="spellEnd"/>
      <w:r w:rsidRPr="0024123F">
        <w:rPr>
          <w:rFonts w:eastAsia="SimSun"/>
          <w:lang w:eastAsia="en-GB"/>
        </w:rPr>
        <w:t xml:space="preserve"> group (6.31 mmol/L [558 mg/dL]). Notably, for those in the placebo/</w:t>
      </w:r>
      <w:proofErr w:type="spellStart"/>
      <w:r w:rsidRPr="0024123F">
        <w:rPr>
          <w:rFonts w:eastAsia="SimSun"/>
          <w:lang w:eastAsia="en-GB"/>
        </w:rPr>
        <w:t>plozasiran</w:t>
      </w:r>
      <w:proofErr w:type="spellEnd"/>
      <w:r w:rsidRPr="0024123F">
        <w:rPr>
          <w:rFonts w:eastAsia="SimSun"/>
          <w:lang w:eastAsia="en-GB"/>
        </w:rPr>
        <w:t xml:space="preserve"> group, median TGs had already fallen to a level similar to the </w:t>
      </w:r>
      <w:proofErr w:type="spellStart"/>
      <w:r w:rsidRPr="0024123F">
        <w:rPr>
          <w:rFonts w:eastAsia="SimSun"/>
          <w:lang w:eastAsia="en-GB"/>
        </w:rPr>
        <w:t>plozasiran</w:t>
      </w:r>
      <w:proofErr w:type="spellEnd"/>
      <w:r w:rsidRPr="0024123F">
        <w:rPr>
          <w:rFonts w:eastAsia="SimSun"/>
          <w:lang w:eastAsia="en-GB"/>
        </w:rPr>
        <w:t>/</w:t>
      </w:r>
      <w:proofErr w:type="spellStart"/>
      <w:r w:rsidRPr="0024123F">
        <w:rPr>
          <w:rFonts w:eastAsia="SimSun"/>
          <w:lang w:eastAsia="en-GB"/>
        </w:rPr>
        <w:t>plozasiran</w:t>
      </w:r>
      <w:proofErr w:type="spellEnd"/>
      <w:r w:rsidRPr="0024123F">
        <w:rPr>
          <w:rFonts w:eastAsia="SimSun"/>
          <w:lang w:eastAsia="en-GB"/>
        </w:rPr>
        <w:t xml:space="preserve"> group after the first month of </w:t>
      </w:r>
      <w:proofErr w:type="spellStart"/>
      <w:r w:rsidRPr="0024123F">
        <w:rPr>
          <w:rFonts w:eastAsia="SimSun"/>
          <w:lang w:eastAsia="en-GB"/>
        </w:rPr>
        <w:t>plozasiran</w:t>
      </w:r>
      <w:proofErr w:type="spellEnd"/>
      <w:r w:rsidRPr="0024123F">
        <w:rPr>
          <w:rFonts w:eastAsia="SimSun"/>
          <w:lang w:eastAsia="en-GB"/>
        </w:rPr>
        <w:t xml:space="preserve"> treatment (</w:t>
      </w:r>
      <w:r>
        <w:rPr>
          <w:rFonts w:eastAsia="SimSun"/>
          <w:lang w:eastAsia="en-GB"/>
        </w:rPr>
        <w:t>m</w:t>
      </w:r>
      <w:r w:rsidRPr="0024123F">
        <w:rPr>
          <w:rFonts w:eastAsia="SimSun"/>
          <w:lang w:eastAsia="en-GB"/>
        </w:rPr>
        <w:t>onth 13; 3.67 mmol/L [325 mg/dL; -87.96%] and 6.0 mmol/L [531 mg/dL; -75.23%] in the placebo/</w:t>
      </w:r>
      <w:proofErr w:type="spellStart"/>
      <w:r w:rsidRPr="0024123F">
        <w:rPr>
          <w:rFonts w:eastAsia="SimSun"/>
          <w:lang w:eastAsia="en-GB"/>
        </w:rPr>
        <w:t>plozasiran</w:t>
      </w:r>
      <w:proofErr w:type="spellEnd"/>
      <w:r w:rsidRPr="0024123F">
        <w:rPr>
          <w:rFonts w:eastAsia="SimSun"/>
          <w:lang w:eastAsia="en-GB"/>
        </w:rPr>
        <w:t xml:space="preserve"> and </w:t>
      </w:r>
      <w:proofErr w:type="spellStart"/>
      <w:r w:rsidRPr="0024123F">
        <w:rPr>
          <w:rFonts w:eastAsia="SimSun"/>
          <w:lang w:eastAsia="en-GB"/>
        </w:rPr>
        <w:t>plozasiran</w:t>
      </w:r>
      <w:proofErr w:type="spellEnd"/>
      <w:r w:rsidRPr="0024123F">
        <w:rPr>
          <w:rFonts w:eastAsia="SimSun"/>
          <w:lang w:eastAsia="en-GB"/>
        </w:rPr>
        <w:t>/</w:t>
      </w:r>
      <w:proofErr w:type="spellStart"/>
      <w:r w:rsidRPr="0024123F">
        <w:rPr>
          <w:rFonts w:eastAsia="SimSun"/>
          <w:lang w:eastAsia="en-GB"/>
        </w:rPr>
        <w:t>plozasiran</w:t>
      </w:r>
      <w:proofErr w:type="spellEnd"/>
      <w:r w:rsidRPr="0024123F">
        <w:rPr>
          <w:rFonts w:eastAsia="SimSun"/>
          <w:lang w:eastAsia="en-GB"/>
        </w:rPr>
        <w:t xml:space="preserve"> groups, respectively); allowing for the expected variability in fasting TGs and measurements taken at trough, these reductions were sustained through </w:t>
      </w:r>
      <w:r>
        <w:rPr>
          <w:rFonts w:eastAsia="SimSun"/>
          <w:lang w:eastAsia="en-GB"/>
        </w:rPr>
        <w:t>m</w:t>
      </w:r>
      <w:r w:rsidRPr="0024123F">
        <w:rPr>
          <w:rFonts w:eastAsia="SimSun"/>
          <w:lang w:eastAsia="en-GB"/>
        </w:rPr>
        <w:t>onth 18 of the OLE period.</w:t>
      </w:r>
    </w:p>
    <w:p w14:paraId="3504AB90" w14:textId="5ED304C6" w:rsidR="00CB0155" w:rsidRDefault="00CB0155" w:rsidP="00CB0155">
      <w:pPr>
        <w:pStyle w:val="Heading3"/>
        <w:rPr>
          <w:rFonts w:eastAsia="SimSun"/>
          <w:b w:val="0"/>
          <w:bCs w:val="0"/>
          <w:u w:val="single"/>
          <w:lang w:val="en" w:eastAsia="en-GB"/>
        </w:rPr>
      </w:pPr>
      <w:r w:rsidRPr="0080113C">
        <w:rPr>
          <w:rFonts w:eastAsia="SimSun"/>
          <w:b w:val="0"/>
          <w:bCs w:val="0"/>
          <w:u w:val="single"/>
          <w:lang w:val="en" w:eastAsia="en-GB"/>
        </w:rPr>
        <w:t>Immunogenicity</w:t>
      </w:r>
    </w:p>
    <w:p w14:paraId="642C5858" w14:textId="5E2ECA23" w:rsidR="00554C24" w:rsidRPr="00554C24" w:rsidRDefault="00554C24" w:rsidP="00554C24">
      <w:pPr>
        <w:rPr>
          <w:lang w:val="en" w:eastAsia="en-GB"/>
        </w:rPr>
      </w:pPr>
      <w:r w:rsidRPr="007B41DB">
        <w:rPr>
          <w:rFonts w:cs="Times New Roman"/>
          <w:szCs w:val="24"/>
        </w:rPr>
        <w:t>In PALISADE</w:t>
      </w:r>
      <w:r w:rsidR="00266EE5">
        <w:rPr>
          <w:rFonts w:cs="Times New Roman"/>
          <w:szCs w:val="24"/>
        </w:rPr>
        <w:t xml:space="preserve"> study</w:t>
      </w:r>
      <w:r w:rsidRPr="007B41DB">
        <w:rPr>
          <w:rFonts w:cs="Times New Roman"/>
          <w:szCs w:val="24"/>
        </w:rPr>
        <w:t xml:space="preserve">, </w:t>
      </w:r>
      <w:r>
        <w:rPr>
          <w:rFonts w:cs="Times New Roman"/>
          <w:szCs w:val="24"/>
        </w:rPr>
        <w:t xml:space="preserve">over the double-blind period of 12 months, </w:t>
      </w:r>
      <w:r w:rsidRPr="007B41DB">
        <w:rPr>
          <w:rFonts w:cs="Times New Roman"/>
          <w:szCs w:val="24"/>
        </w:rPr>
        <w:t xml:space="preserve">none of the 50 FCS-patients treated with </w:t>
      </w:r>
      <w:proofErr w:type="spellStart"/>
      <w:r w:rsidRPr="007B41DB">
        <w:rPr>
          <w:rFonts w:cs="Times New Roman"/>
          <w:szCs w:val="24"/>
        </w:rPr>
        <w:t>plozasiran</w:t>
      </w:r>
      <w:proofErr w:type="spellEnd"/>
      <w:r w:rsidRPr="007B41DB">
        <w:rPr>
          <w:rFonts w:cs="Times New Roman"/>
          <w:szCs w:val="24"/>
        </w:rPr>
        <w:t xml:space="preserve"> developed treatment-induced or treatment-boosted anti-drug antibodies (ADA). </w:t>
      </w:r>
      <w:r>
        <w:rPr>
          <w:rFonts w:cs="Times New Roman"/>
          <w:szCs w:val="24"/>
        </w:rPr>
        <w:t xml:space="preserve">In the ongoing open label extension period, </w:t>
      </w:r>
      <w:r>
        <w:t xml:space="preserve">there was only 1 subject who developed new-onset ADA against </w:t>
      </w:r>
      <w:proofErr w:type="spellStart"/>
      <w:r>
        <w:t>plozasiran</w:t>
      </w:r>
      <w:proofErr w:type="spellEnd"/>
      <w:r>
        <w:t xml:space="preserve"> with low </w:t>
      </w:r>
      <w:proofErr w:type="spellStart"/>
      <w:r>
        <w:t>titers</w:t>
      </w:r>
      <w:proofErr w:type="spellEnd"/>
      <w:r>
        <w:t xml:space="preserve"> after switching to active </w:t>
      </w:r>
      <w:proofErr w:type="spellStart"/>
      <w:r>
        <w:t>plozasiran</w:t>
      </w:r>
      <w:proofErr w:type="spellEnd"/>
      <w:r>
        <w:t xml:space="preserve"> from placebo. </w:t>
      </w:r>
      <w:r w:rsidRPr="007B41DB">
        <w:rPr>
          <w:rFonts w:cs="Times New Roman"/>
          <w:szCs w:val="24"/>
        </w:rPr>
        <w:t xml:space="preserve">There was no evidence to indicate that </w:t>
      </w:r>
      <w:proofErr w:type="spellStart"/>
      <w:r w:rsidRPr="007B41DB">
        <w:rPr>
          <w:rFonts w:cs="Times New Roman"/>
          <w:szCs w:val="24"/>
        </w:rPr>
        <w:t>plozasiran</w:t>
      </w:r>
      <w:proofErr w:type="spellEnd"/>
      <w:r>
        <w:rPr>
          <w:rFonts w:cs="Times New Roman"/>
          <w:szCs w:val="24"/>
        </w:rPr>
        <w:t xml:space="preserve"> pharmacokinetics,</w:t>
      </w:r>
      <w:r w:rsidRPr="007B41DB">
        <w:rPr>
          <w:rFonts w:cs="Times New Roman"/>
          <w:szCs w:val="24"/>
        </w:rPr>
        <w:t xml:space="preserve"> pharmacodynamics or efficacy changed over time following multiple administrations of </w:t>
      </w:r>
      <w:proofErr w:type="spellStart"/>
      <w:r w:rsidRPr="007B41DB">
        <w:rPr>
          <w:rFonts w:cs="Times New Roman"/>
          <w:szCs w:val="24"/>
        </w:rPr>
        <w:t>REDEMPLO</w:t>
      </w:r>
      <w:proofErr w:type="spellEnd"/>
      <w:r w:rsidRPr="007B41DB">
        <w:rPr>
          <w:rFonts w:cs="Times New Roman"/>
          <w:szCs w:val="24"/>
        </w:rPr>
        <w:t xml:space="preserve">. No adverse effects related to systemic immunoreaction were found in the </w:t>
      </w:r>
      <w:proofErr w:type="spellStart"/>
      <w:r w:rsidRPr="007B41DB">
        <w:rPr>
          <w:rFonts w:cs="Times New Roman"/>
          <w:szCs w:val="24"/>
        </w:rPr>
        <w:t>plozasiran</w:t>
      </w:r>
      <w:proofErr w:type="spellEnd"/>
      <w:r w:rsidRPr="007B41DB">
        <w:rPr>
          <w:rFonts w:cs="Times New Roman"/>
          <w:szCs w:val="24"/>
        </w:rPr>
        <w:t>-treated patients</w:t>
      </w:r>
      <w:r>
        <w:rPr>
          <w:rFonts w:cs="Times New Roman"/>
          <w:szCs w:val="24"/>
        </w:rPr>
        <w:t>.</w:t>
      </w:r>
    </w:p>
    <w:p w14:paraId="3267FB5A" w14:textId="3887C062" w:rsidR="00DA3E6E" w:rsidRPr="00675A74" w:rsidRDefault="00DA3E6E">
      <w:pPr>
        <w:pStyle w:val="Heading2"/>
        <w:keepNext/>
        <w:spacing w:before="0" w:after="120"/>
        <w:rPr>
          <w:rFonts w:cstheme="minorHAnsi"/>
          <w:lang w:val="en-US"/>
        </w:rPr>
      </w:pPr>
      <w:bookmarkStart w:id="9" w:name="_Ref187918483"/>
      <w:r w:rsidRPr="00675A74">
        <w:rPr>
          <w:rFonts w:cstheme="minorHAnsi"/>
          <w:lang w:val="en-US"/>
        </w:rPr>
        <w:t>Pharmacokinetic properties</w:t>
      </w:r>
      <w:bookmarkEnd w:id="9"/>
      <w:r w:rsidRPr="00675A74">
        <w:rPr>
          <w:rFonts w:cstheme="minorHAnsi"/>
          <w:lang w:val="en-US"/>
        </w:rPr>
        <w:t xml:space="preserve"> </w:t>
      </w:r>
    </w:p>
    <w:p w14:paraId="5A227174" w14:textId="77777777" w:rsidR="00DA3E6E" w:rsidRPr="001B4691" w:rsidRDefault="00DA3E6E" w:rsidP="001B4691">
      <w:pPr>
        <w:pStyle w:val="Heading3"/>
      </w:pPr>
      <w:r w:rsidRPr="00675A74">
        <w:t xml:space="preserve">Absorption </w:t>
      </w:r>
    </w:p>
    <w:p w14:paraId="76674D19" w14:textId="7FC145F9" w:rsidR="00DA3E6E" w:rsidRDefault="00DA3E6E" w:rsidP="00625BE0">
      <w:pPr>
        <w:numPr>
          <w:ilvl w:val="12"/>
          <w:numId w:val="0"/>
        </w:numPr>
        <w:ind w:right="-2"/>
      </w:pPr>
      <w:r w:rsidRPr="000B5DB9">
        <w:t xml:space="preserve">Following </w:t>
      </w:r>
      <w:r>
        <w:t xml:space="preserve">a single </w:t>
      </w:r>
      <w:r w:rsidRPr="000B5DB9">
        <w:t>subcutaneous injection of 25</w:t>
      </w:r>
      <w:r>
        <w:t> </w:t>
      </w:r>
      <w:r w:rsidRPr="000B5DB9">
        <w:t xml:space="preserve">mg </w:t>
      </w:r>
      <w:proofErr w:type="spellStart"/>
      <w:r w:rsidRPr="000B5DB9">
        <w:t>plozasiran</w:t>
      </w:r>
      <w:proofErr w:type="spellEnd"/>
      <w:r w:rsidRPr="000B5DB9">
        <w:t xml:space="preserve">, the </w:t>
      </w:r>
      <w:r w:rsidR="0054083A">
        <w:t xml:space="preserve">mean </w:t>
      </w:r>
      <w:r w:rsidRPr="000B5DB9">
        <w:t>peak plasma concentration (</w:t>
      </w:r>
      <w:proofErr w:type="spellStart"/>
      <w:r w:rsidRPr="000B5DB9">
        <w:t>C</w:t>
      </w:r>
      <w:r w:rsidRPr="000B5DB9">
        <w:rPr>
          <w:vertAlign w:val="subscript"/>
        </w:rPr>
        <w:t>max</w:t>
      </w:r>
      <w:proofErr w:type="spellEnd"/>
      <w:r w:rsidRPr="000B5DB9">
        <w:t xml:space="preserve">) is </w:t>
      </w:r>
      <w:r w:rsidR="0054083A">
        <w:t>110</w:t>
      </w:r>
      <w:r>
        <w:t> </w:t>
      </w:r>
      <w:r w:rsidRPr="000B5DB9">
        <w:t>ng/</w:t>
      </w:r>
      <w:proofErr w:type="spellStart"/>
      <w:r w:rsidRPr="000B5DB9">
        <w:t>mL.</w:t>
      </w:r>
      <w:proofErr w:type="spellEnd"/>
      <w:r w:rsidRPr="000B5DB9">
        <w:t xml:space="preserve"> The median time to reach </w:t>
      </w:r>
      <w:proofErr w:type="spellStart"/>
      <w:r w:rsidRPr="000B5DB9">
        <w:t>C</w:t>
      </w:r>
      <w:r w:rsidRPr="000B5DB9">
        <w:rPr>
          <w:vertAlign w:val="subscript"/>
        </w:rPr>
        <w:t>max</w:t>
      </w:r>
      <w:proofErr w:type="spellEnd"/>
      <w:r w:rsidRPr="000B5DB9">
        <w:t xml:space="preserve"> (</w:t>
      </w:r>
      <w:proofErr w:type="spellStart"/>
      <w:r w:rsidRPr="000B5DB9">
        <w:t>T</w:t>
      </w:r>
      <w:r w:rsidRPr="000B5DB9">
        <w:rPr>
          <w:vertAlign w:val="subscript"/>
        </w:rPr>
        <w:t>max</w:t>
      </w:r>
      <w:proofErr w:type="spellEnd"/>
      <w:r w:rsidRPr="000B5DB9">
        <w:t xml:space="preserve">) is </w:t>
      </w:r>
      <w:r w:rsidR="0059244F">
        <w:t>4.1</w:t>
      </w:r>
      <w:r w:rsidRPr="000B5DB9">
        <w:t xml:space="preserve"> hours. </w:t>
      </w:r>
    </w:p>
    <w:p w14:paraId="7405AFBD" w14:textId="77777777" w:rsidR="00DA3E6E" w:rsidRPr="00625BE0" w:rsidRDefault="00DA3E6E" w:rsidP="002D3C5E">
      <w:pPr>
        <w:numPr>
          <w:ilvl w:val="12"/>
          <w:numId w:val="0"/>
        </w:numPr>
        <w:ind w:right="-2"/>
      </w:pPr>
      <w:proofErr w:type="spellStart"/>
      <w:r w:rsidRPr="00D35FDF">
        <w:t>Plozasiran</w:t>
      </w:r>
      <w:proofErr w:type="spellEnd"/>
      <w:r w:rsidRPr="00D35FDF">
        <w:t xml:space="preserve"> has not been dosed by intravenous administration in any clinical studies, therefore, absolute bioavailability data in humans are not available. Following subcutaneous administration in cynomolgus monkeys, the absolute bioavailability of </w:t>
      </w:r>
      <w:proofErr w:type="spellStart"/>
      <w:r w:rsidRPr="00D35FDF">
        <w:t>plozasiran</w:t>
      </w:r>
      <w:proofErr w:type="spellEnd"/>
      <w:r w:rsidRPr="00D35FDF">
        <w:t xml:space="preserve"> was estimated to be 40%.</w:t>
      </w:r>
    </w:p>
    <w:p w14:paraId="1933E903" w14:textId="77777777" w:rsidR="00DA3E6E" w:rsidRPr="000B5DB9" w:rsidRDefault="00DA3E6E" w:rsidP="001B4691">
      <w:pPr>
        <w:pStyle w:val="Heading3"/>
      </w:pPr>
      <w:r w:rsidRPr="00675A74">
        <w:t xml:space="preserve">Distribution </w:t>
      </w:r>
    </w:p>
    <w:p w14:paraId="777EDB99" w14:textId="7D30D308" w:rsidR="00DA3E6E" w:rsidRPr="00625BE0" w:rsidRDefault="00DA3E6E" w:rsidP="00FC71E9">
      <w:pPr>
        <w:numPr>
          <w:ilvl w:val="12"/>
          <w:numId w:val="0"/>
        </w:numPr>
        <w:ind w:right="-2"/>
      </w:pPr>
      <w:proofErr w:type="spellStart"/>
      <w:r w:rsidRPr="000B5DB9">
        <w:t>Plozasiran</w:t>
      </w:r>
      <w:proofErr w:type="spellEnd"/>
      <w:r w:rsidRPr="000B5DB9">
        <w:t xml:space="preserve"> is distributed in plasma and extracellular body water</w:t>
      </w:r>
      <w:r>
        <w:t xml:space="preserve">. </w:t>
      </w:r>
      <w:r w:rsidRPr="00552B6E">
        <w:rPr>
          <w:iCs/>
        </w:rPr>
        <w:t xml:space="preserve">In plasma, </w:t>
      </w:r>
      <w:proofErr w:type="spellStart"/>
      <w:r w:rsidRPr="00552B6E">
        <w:rPr>
          <w:iCs/>
        </w:rPr>
        <w:t>plozasiran</w:t>
      </w:r>
      <w:proofErr w:type="spellEnd"/>
      <w:r w:rsidRPr="00552B6E">
        <w:rPr>
          <w:iCs/>
        </w:rPr>
        <w:t xml:space="preserve"> has an unbound fraction of </w:t>
      </w:r>
      <w:r w:rsidR="008E7DC9">
        <w:rPr>
          <w:iCs/>
        </w:rPr>
        <w:t xml:space="preserve">approximately </w:t>
      </w:r>
      <w:r w:rsidR="00996BDD">
        <w:rPr>
          <w:iCs/>
        </w:rPr>
        <w:t>20</w:t>
      </w:r>
      <w:r w:rsidRPr="00552B6E">
        <w:rPr>
          <w:iCs/>
        </w:rPr>
        <w:t xml:space="preserve">%. </w:t>
      </w:r>
      <w:proofErr w:type="spellStart"/>
      <w:r>
        <w:rPr>
          <w:iCs/>
        </w:rPr>
        <w:t>P</w:t>
      </w:r>
      <w:r w:rsidRPr="00552B6E">
        <w:rPr>
          <w:iCs/>
        </w:rPr>
        <w:t>lozasiran</w:t>
      </w:r>
      <w:proofErr w:type="spellEnd"/>
      <w:r w:rsidRPr="00552B6E">
        <w:rPr>
          <w:iCs/>
        </w:rPr>
        <w:t xml:space="preserve"> is distributed in plasma and extracellular body water with apparent </w:t>
      </w:r>
      <w:r w:rsidR="00B361CB">
        <w:rPr>
          <w:iCs/>
        </w:rPr>
        <w:t xml:space="preserve">mean </w:t>
      </w:r>
      <w:r w:rsidRPr="00552B6E">
        <w:rPr>
          <w:iCs/>
        </w:rPr>
        <w:t>volume of distribution (</w:t>
      </w:r>
      <w:proofErr w:type="spellStart"/>
      <w:r w:rsidRPr="00552B6E">
        <w:rPr>
          <w:iCs/>
        </w:rPr>
        <w:t>V</w:t>
      </w:r>
      <w:r w:rsidRPr="00552B6E">
        <w:rPr>
          <w:iCs/>
          <w:vertAlign w:val="subscript"/>
        </w:rPr>
        <w:t>z</w:t>
      </w:r>
      <w:proofErr w:type="spellEnd"/>
      <w:r w:rsidRPr="00552B6E">
        <w:rPr>
          <w:iCs/>
        </w:rPr>
        <w:t xml:space="preserve">/F) of </w:t>
      </w:r>
      <w:r w:rsidR="00CA2715">
        <w:rPr>
          <w:iCs/>
        </w:rPr>
        <w:t>137 </w:t>
      </w:r>
      <w:r w:rsidRPr="00552B6E">
        <w:rPr>
          <w:iCs/>
        </w:rPr>
        <w:t xml:space="preserve">L in the terminal-phase of elimination. </w:t>
      </w:r>
      <w:r w:rsidR="00996BDD">
        <w:rPr>
          <w:iCs/>
        </w:rPr>
        <w:t>Based on animal studies, o</w:t>
      </w:r>
      <w:r w:rsidRPr="00552B6E">
        <w:rPr>
          <w:iCs/>
        </w:rPr>
        <w:t xml:space="preserve">nce in systemic circulation, </w:t>
      </w:r>
      <w:proofErr w:type="spellStart"/>
      <w:r w:rsidRPr="00552B6E">
        <w:rPr>
          <w:iCs/>
        </w:rPr>
        <w:t>plozasiran</w:t>
      </w:r>
      <w:proofErr w:type="spellEnd"/>
      <w:r w:rsidRPr="00552B6E">
        <w:rPr>
          <w:iCs/>
        </w:rPr>
        <w:t xml:space="preserve"> is </w:t>
      </w:r>
      <w:r w:rsidR="00892CA4">
        <w:rPr>
          <w:iCs/>
        </w:rPr>
        <w:t xml:space="preserve">expected to be </w:t>
      </w:r>
      <w:r w:rsidRPr="00552B6E">
        <w:rPr>
          <w:iCs/>
        </w:rPr>
        <w:t>primarily distributed to the liver.</w:t>
      </w:r>
    </w:p>
    <w:p w14:paraId="58BB6FAC" w14:textId="77777777" w:rsidR="00DA3E6E" w:rsidRPr="000B5DB9" w:rsidRDefault="00DA3E6E" w:rsidP="001B4691">
      <w:pPr>
        <w:pStyle w:val="Heading3"/>
      </w:pPr>
      <w:r w:rsidRPr="00675A74">
        <w:t xml:space="preserve">Metabolism </w:t>
      </w:r>
    </w:p>
    <w:p w14:paraId="29B7F353" w14:textId="52CDC498" w:rsidR="00DA3E6E" w:rsidRPr="00625BE0" w:rsidRDefault="00DA3E6E" w:rsidP="00FC71E9">
      <w:pPr>
        <w:numPr>
          <w:ilvl w:val="12"/>
          <w:numId w:val="0"/>
        </w:numPr>
        <w:ind w:right="-2"/>
      </w:pPr>
      <w:proofErr w:type="spellStart"/>
      <w:r w:rsidRPr="000B5DB9">
        <w:t>Plozasiran</w:t>
      </w:r>
      <w:proofErr w:type="spellEnd"/>
      <w:r w:rsidRPr="000B5DB9">
        <w:t xml:space="preserve"> is primarily </w:t>
      </w:r>
      <w:r w:rsidR="00554ABB" w:rsidRPr="000B5DB9">
        <w:t>metaboli</w:t>
      </w:r>
      <w:r w:rsidR="00554ABB">
        <w:t>s</w:t>
      </w:r>
      <w:r w:rsidR="00554ABB" w:rsidRPr="000B5DB9">
        <w:t xml:space="preserve">ed </w:t>
      </w:r>
      <w:r w:rsidRPr="000B5DB9">
        <w:t xml:space="preserve">by nucleases in the liver to shorter nucleotides of varying lengths. </w:t>
      </w:r>
      <w:r w:rsidRPr="005F7A45">
        <w:rPr>
          <w:i/>
        </w:rPr>
        <w:t>In vitro</w:t>
      </w:r>
      <w:r w:rsidRPr="00DB7636">
        <w:t xml:space="preserve"> studies suggest that </w:t>
      </w:r>
      <w:proofErr w:type="spellStart"/>
      <w:r>
        <w:t>p</w:t>
      </w:r>
      <w:r w:rsidRPr="000B5DB9">
        <w:t>lozasiran</w:t>
      </w:r>
      <w:proofErr w:type="spellEnd"/>
      <w:r w:rsidRPr="000B5DB9">
        <w:t xml:space="preserve"> is not a substrate</w:t>
      </w:r>
      <w:r w:rsidRPr="009F6F11">
        <w:t xml:space="preserve"> of</w:t>
      </w:r>
      <w:r w:rsidRPr="009F6F11" w:rsidDel="009F6F11">
        <w:t xml:space="preserve"> </w:t>
      </w:r>
      <w:r w:rsidRPr="000B5DB9">
        <w:t>cytochrome</w:t>
      </w:r>
      <w:r>
        <w:t xml:space="preserve"> </w:t>
      </w:r>
      <w:proofErr w:type="spellStart"/>
      <w:r w:rsidRPr="000B5DB9">
        <w:t>P450</w:t>
      </w:r>
      <w:proofErr w:type="spellEnd"/>
      <w:r w:rsidRPr="000B5DB9">
        <w:t xml:space="preserve"> enzymes.</w:t>
      </w:r>
    </w:p>
    <w:p w14:paraId="10FE88D4" w14:textId="77777777" w:rsidR="00DA3E6E" w:rsidRPr="000B5DB9" w:rsidRDefault="00DA3E6E" w:rsidP="001B4691">
      <w:pPr>
        <w:pStyle w:val="Heading3"/>
      </w:pPr>
      <w:r w:rsidRPr="00675A74">
        <w:t xml:space="preserve">Excretion </w:t>
      </w:r>
    </w:p>
    <w:p w14:paraId="0FD3E00C" w14:textId="194B7F5A" w:rsidR="00DA3E6E" w:rsidRPr="00625BE0" w:rsidRDefault="00DA3E6E" w:rsidP="00625BE0">
      <w:r w:rsidRPr="000B5DB9">
        <w:t xml:space="preserve">The terminal elimination half-life of </w:t>
      </w:r>
      <w:proofErr w:type="spellStart"/>
      <w:r w:rsidRPr="000B5DB9">
        <w:t>plozasiran</w:t>
      </w:r>
      <w:proofErr w:type="spellEnd"/>
      <w:r w:rsidRPr="000B5DB9">
        <w:t xml:space="preserve"> in plasma is approximately 3-4 hours. The mean apparent systemic clearance is </w:t>
      </w:r>
      <w:r w:rsidR="00B361CB">
        <w:t>25.1</w:t>
      </w:r>
      <w:r>
        <w:t> </w:t>
      </w:r>
      <w:r w:rsidRPr="000B5DB9">
        <w:t xml:space="preserve">L/hour. Approximately 16-19% of </w:t>
      </w:r>
      <w:proofErr w:type="spellStart"/>
      <w:r w:rsidRPr="000B5DB9">
        <w:t>plozasiran</w:t>
      </w:r>
      <w:proofErr w:type="spellEnd"/>
      <w:r w:rsidRPr="000B5DB9">
        <w:t xml:space="preserve"> dose is excreted in urine</w:t>
      </w:r>
      <w:r>
        <w:t xml:space="preserve">. </w:t>
      </w:r>
    </w:p>
    <w:p w14:paraId="4E46D438" w14:textId="77777777" w:rsidR="00DA3E6E" w:rsidRPr="000B5DB9" w:rsidRDefault="00DA3E6E" w:rsidP="001B4691">
      <w:pPr>
        <w:pStyle w:val="Heading3"/>
      </w:pPr>
      <w:r>
        <w:lastRenderedPageBreak/>
        <w:t xml:space="preserve">Linearity/non-linearity </w:t>
      </w:r>
    </w:p>
    <w:p w14:paraId="0E485A77" w14:textId="77777777" w:rsidR="00DA3E6E" w:rsidRPr="00C41BEC" w:rsidRDefault="00DA3E6E" w:rsidP="0092190F">
      <w:pPr>
        <w:rPr>
          <w:rFonts w:cstheme="minorHAnsi"/>
        </w:rPr>
      </w:pPr>
      <w:proofErr w:type="spellStart"/>
      <w:r w:rsidRPr="00C41BEC">
        <w:rPr>
          <w:rFonts w:cstheme="minorHAnsi"/>
        </w:rPr>
        <w:t>Plozasiran</w:t>
      </w:r>
      <w:proofErr w:type="spellEnd"/>
      <w:r w:rsidRPr="00C41BEC">
        <w:rPr>
          <w:rFonts w:cstheme="minorHAnsi"/>
        </w:rPr>
        <w:t xml:space="preserve"> exhibited linear and time-</w:t>
      </w:r>
      <w:r>
        <w:rPr>
          <w:rFonts w:cstheme="minorHAnsi"/>
        </w:rPr>
        <w:t>in</w:t>
      </w:r>
      <w:r w:rsidRPr="00C41BEC">
        <w:rPr>
          <w:rFonts w:cstheme="minorHAnsi"/>
        </w:rPr>
        <w:t>variant pharmacokinetics following single or repeated subcutaneous injections within the dose range of 10</w:t>
      </w:r>
      <w:r>
        <w:rPr>
          <w:rFonts w:cstheme="minorHAnsi"/>
        </w:rPr>
        <w:t> </w:t>
      </w:r>
      <w:r w:rsidRPr="00C41BEC">
        <w:rPr>
          <w:rFonts w:cstheme="minorHAnsi"/>
        </w:rPr>
        <w:t xml:space="preserve">mg to </w:t>
      </w:r>
      <w:r>
        <w:rPr>
          <w:rFonts w:cstheme="minorHAnsi"/>
        </w:rPr>
        <w:t>5</w:t>
      </w:r>
      <w:r w:rsidRPr="00C41BEC">
        <w:rPr>
          <w:rFonts w:cstheme="minorHAnsi"/>
        </w:rPr>
        <w:t>0</w:t>
      </w:r>
      <w:r>
        <w:rPr>
          <w:rFonts w:cstheme="minorHAnsi"/>
        </w:rPr>
        <w:t> </w:t>
      </w:r>
      <w:r w:rsidRPr="00C41BEC">
        <w:rPr>
          <w:rFonts w:cstheme="minorHAnsi"/>
        </w:rPr>
        <w:t xml:space="preserve">mg. The plasma exposure of </w:t>
      </w:r>
      <w:proofErr w:type="spellStart"/>
      <w:r w:rsidRPr="00C41BEC">
        <w:rPr>
          <w:rFonts w:cstheme="minorHAnsi"/>
        </w:rPr>
        <w:t>plozasiran</w:t>
      </w:r>
      <w:proofErr w:type="spellEnd"/>
      <w:r w:rsidRPr="00C41BEC">
        <w:rPr>
          <w:rFonts w:cstheme="minorHAnsi"/>
        </w:rPr>
        <w:t xml:space="preserve"> (</w:t>
      </w:r>
      <w:proofErr w:type="spellStart"/>
      <w:r w:rsidRPr="00C41BEC">
        <w:rPr>
          <w:rFonts w:cstheme="minorHAnsi"/>
        </w:rPr>
        <w:t>C</w:t>
      </w:r>
      <w:r w:rsidRPr="002D3C5E">
        <w:rPr>
          <w:rFonts w:cstheme="minorHAnsi"/>
          <w:vertAlign w:val="subscript"/>
        </w:rPr>
        <w:t>max</w:t>
      </w:r>
      <w:proofErr w:type="spellEnd"/>
      <w:r w:rsidRPr="00C41BEC">
        <w:rPr>
          <w:rFonts w:cstheme="minorHAnsi"/>
        </w:rPr>
        <w:t xml:space="preserve">, </w:t>
      </w:r>
      <w:proofErr w:type="spellStart"/>
      <w:r w:rsidRPr="00C41BEC">
        <w:rPr>
          <w:rFonts w:cstheme="minorHAnsi"/>
        </w:rPr>
        <w:t>AUC</w:t>
      </w:r>
      <w:r w:rsidRPr="002D3C5E">
        <w:rPr>
          <w:rFonts w:cstheme="minorHAnsi"/>
          <w:vertAlign w:val="subscript"/>
        </w:rPr>
        <w:t>0</w:t>
      </w:r>
      <w:proofErr w:type="spellEnd"/>
      <w:r w:rsidRPr="002D3C5E">
        <w:rPr>
          <w:rFonts w:cstheme="minorHAnsi"/>
          <w:vertAlign w:val="subscript"/>
        </w:rPr>
        <w:t>-t</w:t>
      </w:r>
      <w:r w:rsidRPr="00C41BEC">
        <w:rPr>
          <w:rFonts w:cstheme="minorHAnsi"/>
        </w:rPr>
        <w:t xml:space="preserve"> and </w:t>
      </w:r>
      <w:proofErr w:type="spellStart"/>
      <w:r w:rsidRPr="00C41BEC">
        <w:rPr>
          <w:rFonts w:cstheme="minorHAnsi"/>
        </w:rPr>
        <w:t>AUC</w:t>
      </w:r>
      <w:r w:rsidRPr="002D3C5E">
        <w:rPr>
          <w:rFonts w:cstheme="minorHAnsi"/>
          <w:vertAlign w:val="subscript"/>
        </w:rPr>
        <w:t>0</w:t>
      </w:r>
      <w:proofErr w:type="spellEnd"/>
      <w:r w:rsidRPr="002D3C5E">
        <w:rPr>
          <w:rFonts w:cstheme="minorHAnsi"/>
          <w:vertAlign w:val="subscript"/>
        </w:rPr>
        <w:t>-inf</w:t>
      </w:r>
      <w:r w:rsidRPr="00C41BEC">
        <w:rPr>
          <w:rFonts w:cstheme="minorHAnsi"/>
        </w:rPr>
        <w:t>) values increased proportionally to the dose.</w:t>
      </w:r>
    </w:p>
    <w:p w14:paraId="08C32CD9" w14:textId="77777777" w:rsidR="00DA3E6E" w:rsidRPr="001B4691" w:rsidRDefault="00DA3E6E" w:rsidP="001B4691">
      <w:pPr>
        <w:pStyle w:val="Heading3"/>
      </w:pPr>
      <w:r>
        <w:t xml:space="preserve">Pharmacokinetic/Pharmacodynamic Relationships </w:t>
      </w:r>
    </w:p>
    <w:p w14:paraId="429C3B5A" w14:textId="7945C698" w:rsidR="00DA3E6E" w:rsidRPr="00073D8E" w:rsidRDefault="00DA3E6E" w:rsidP="00F557DE">
      <w:proofErr w:type="spellStart"/>
      <w:r w:rsidRPr="00432951">
        <w:rPr>
          <w:rFonts w:cstheme="minorHAnsi"/>
        </w:rPr>
        <w:t>Plozasiran</w:t>
      </w:r>
      <w:proofErr w:type="spellEnd"/>
      <w:r w:rsidRPr="00432951">
        <w:rPr>
          <w:rFonts w:cstheme="minorHAnsi"/>
        </w:rPr>
        <w:t xml:space="preserve"> is active inside hepatocytes with prolonged pharmacodynamic activity that is disconnected from its </w:t>
      </w:r>
      <w:r w:rsidRPr="002D3C5E">
        <w:rPr>
          <w:rFonts w:cstheme="minorHAnsi"/>
        </w:rPr>
        <w:t>p</w:t>
      </w:r>
      <w:r w:rsidRPr="00432951">
        <w:rPr>
          <w:rFonts w:cstheme="minorHAnsi"/>
        </w:rPr>
        <w:t>harmacokinetic profile in the plasma compartment. The long duration of action is beyond the plasma elimination half-life of 3-4 hours. Pharmacodynamic response is likely saturated at the recommended dose of 25</w:t>
      </w:r>
      <w:r>
        <w:rPr>
          <w:rFonts w:cstheme="minorHAnsi"/>
        </w:rPr>
        <w:t> </w:t>
      </w:r>
      <w:r w:rsidRPr="00432951">
        <w:rPr>
          <w:rFonts w:cstheme="minorHAnsi"/>
        </w:rPr>
        <w:t xml:space="preserve">mg every </w:t>
      </w:r>
      <w:r w:rsidRPr="002D3C5E">
        <w:rPr>
          <w:rFonts w:cstheme="minorHAnsi"/>
        </w:rPr>
        <w:t>3</w:t>
      </w:r>
      <w:r>
        <w:rPr>
          <w:rFonts w:cstheme="minorHAnsi"/>
        </w:rPr>
        <w:t> </w:t>
      </w:r>
      <w:r w:rsidRPr="00432951">
        <w:rPr>
          <w:rFonts w:cstheme="minorHAnsi"/>
        </w:rPr>
        <w:t>months</w:t>
      </w:r>
      <w:r>
        <w:rPr>
          <w:rFonts w:cstheme="minorHAnsi"/>
        </w:rPr>
        <w:t xml:space="preserve">. </w:t>
      </w:r>
    </w:p>
    <w:p w14:paraId="7E9DC036" w14:textId="77777777" w:rsidR="00DA3E6E" w:rsidRPr="001B4691" w:rsidRDefault="00DA3E6E" w:rsidP="001B4691">
      <w:pPr>
        <w:pStyle w:val="Heading3"/>
      </w:pPr>
      <w:r>
        <w:t xml:space="preserve">Special Populations </w:t>
      </w:r>
    </w:p>
    <w:p w14:paraId="04E3D3A1" w14:textId="77777777" w:rsidR="00DA3E6E" w:rsidRPr="001B4691" w:rsidRDefault="00DA3E6E" w:rsidP="001B4691">
      <w:pPr>
        <w:pStyle w:val="Heading4"/>
        <w:rPr>
          <w:b/>
          <w:bCs/>
          <w:i/>
          <w:iCs/>
        </w:rPr>
      </w:pPr>
      <w:r w:rsidRPr="002D3C5E">
        <w:t>Elderly (≥ 65 years of age)</w:t>
      </w:r>
    </w:p>
    <w:p w14:paraId="333A6C47" w14:textId="03C1AAF1" w:rsidR="00DA3E6E" w:rsidRPr="002D3C5E" w:rsidRDefault="00DA3E6E" w:rsidP="001B4691">
      <w:r w:rsidRPr="00865EAD">
        <w:t xml:space="preserve">No clinically significant differences in </w:t>
      </w:r>
      <w:proofErr w:type="spellStart"/>
      <w:r w:rsidRPr="00865EAD">
        <w:t>plozasiran</w:t>
      </w:r>
      <w:proofErr w:type="spellEnd"/>
      <w:r w:rsidRPr="00865EAD">
        <w:t xml:space="preserve"> pharmacokinetics based on age were found in a population pharmacokinetic analysis conducted with data from adult healthy subjects and patients (N=146, </w:t>
      </w:r>
      <w:r>
        <w:t xml:space="preserve">age </w:t>
      </w:r>
      <w:r w:rsidR="00512DA2">
        <w:t>6</w:t>
      </w:r>
      <w:r>
        <w:t xml:space="preserve">5-74 </w:t>
      </w:r>
      <w:r w:rsidR="005E4DE8">
        <w:t xml:space="preserve">years </w:t>
      </w:r>
      <w:r>
        <w:t>[</w:t>
      </w:r>
      <w:r w:rsidRPr="00B739BC">
        <w:t xml:space="preserve">N=16]; age 75-85 </w:t>
      </w:r>
      <w:r w:rsidR="005E4DE8">
        <w:t>years</w:t>
      </w:r>
      <w:r w:rsidRPr="00B739BC">
        <w:t xml:space="preserve"> [N=4]</w:t>
      </w:r>
      <w:r>
        <w:t>) (</w:t>
      </w:r>
      <w:r w:rsidRPr="00865EAD">
        <w:t xml:space="preserve">see </w:t>
      </w:r>
      <w:r>
        <w:t>S</w:t>
      </w:r>
      <w:r w:rsidRPr="00865EAD">
        <w:t xml:space="preserve">ection </w:t>
      </w:r>
      <w:r w:rsidRPr="00554C24">
        <w:rPr>
          <w:color w:val="0000CC"/>
        </w:rPr>
        <w:fldChar w:fldCharType="begin"/>
      </w:r>
      <w:r w:rsidRPr="00554C24">
        <w:rPr>
          <w:color w:val="0000CC"/>
        </w:rPr>
        <w:instrText xml:space="preserve"> REF _Ref206089843 \n \h </w:instrText>
      </w:r>
      <w:r w:rsidRPr="00554C24">
        <w:rPr>
          <w:color w:val="0000CC"/>
        </w:rPr>
      </w:r>
      <w:r w:rsidRPr="00554C24">
        <w:rPr>
          <w:color w:val="0000CC"/>
        </w:rPr>
        <w:fldChar w:fldCharType="separate"/>
      </w:r>
      <w:r w:rsidR="00C31D8F" w:rsidRPr="00554C24">
        <w:rPr>
          <w:color w:val="0000CC"/>
        </w:rPr>
        <w:t>4.2</w:t>
      </w:r>
      <w:r w:rsidRPr="00554C24">
        <w:rPr>
          <w:color w:val="0000CC"/>
        </w:rPr>
        <w:fldChar w:fldCharType="end"/>
      </w:r>
      <w:r w:rsidRPr="00554C24">
        <w:rPr>
          <w:color w:val="0000CC"/>
        </w:rPr>
        <w:t xml:space="preserve"> </w:t>
      </w:r>
      <w:r w:rsidRPr="00554C24">
        <w:rPr>
          <w:color w:val="0000CC"/>
        </w:rPr>
        <w:fldChar w:fldCharType="begin"/>
      </w:r>
      <w:r w:rsidRPr="00554C24">
        <w:rPr>
          <w:color w:val="0000CC"/>
        </w:rPr>
        <w:instrText xml:space="preserve"> REF _Ref206089843 \h </w:instrText>
      </w:r>
      <w:r w:rsidRPr="00554C24">
        <w:rPr>
          <w:color w:val="0000CC"/>
        </w:rPr>
      </w:r>
      <w:r w:rsidRPr="00554C24">
        <w:rPr>
          <w:color w:val="0000CC"/>
        </w:rPr>
        <w:fldChar w:fldCharType="separate"/>
      </w:r>
      <w:r w:rsidR="00C31D8F" w:rsidRPr="00554C24">
        <w:rPr>
          <w:rFonts w:cstheme="minorHAnsi"/>
          <w:color w:val="0000CC"/>
        </w:rPr>
        <w:t>Dose and method of administration</w:t>
      </w:r>
      <w:r w:rsidRPr="00554C24">
        <w:rPr>
          <w:color w:val="0000CC"/>
        </w:rPr>
        <w:fldChar w:fldCharType="end"/>
      </w:r>
      <w:r w:rsidRPr="00865EAD">
        <w:t>).</w:t>
      </w:r>
    </w:p>
    <w:p w14:paraId="6358C0C0" w14:textId="564C218B" w:rsidR="00DA3E6E" w:rsidRPr="001B4691" w:rsidRDefault="00DA3E6E" w:rsidP="001B4691">
      <w:pPr>
        <w:pStyle w:val="Heading4"/>
        <w:rPr>
          <w:b/>
          <w:bCs/>
          <w:i/>
          <w:iCs/>
        </w:rPr>
      </w:pPr>
      <w:r w:rsidRPr="002D3C5E">
        <w:t>Renal impairment</w:t>
      </w:r>
    </w:p>
    <w:p w14:paraId="5EE7613C" w14:textId="64FD7DD7" w:rsidR="00DA3E6E" w:rsidRPr="00C41BEC" w:rsidRDefault="00DA3E6E" w:rsidP="00073D8E">
      <w:pPr>
        <w:rPr>
          <w:rFonts w:cstheme="minorHAnsi"/>
        </w:rPr>
      </w:pPr>
      <w:r w:rsidRPr="00C41BEC">
        <w:rPr>
          <w:rFonts w:cstheme="minorHAnsi"/>
        </w:rPr>
        <w:t xml:space="preserve">No clinically significant differences in </w:t>
      </w:r>
      <w:proofErr w:type="spellStart"/>
      <w:r w:rsidRPr="00C41BEC">
        <w:rPr>
          <w:rFonts w:cstheme="minorHAnsi"/>
        </w:rPr>
        <w:t>plozasiran</w:t>
      </w:r>
      <w:proofErr w:type="spellEnd"/>
      <w:r w:rsidRPr="00C41BEC">
        <w:rPr>
          <w:rFonts w:cstheme="minorHAnsi"/>
        </w:rPr>
        <w:t xml:space="preserve"> pharmacokinetics based on mild </w:t>
      </w:r>
      <w:r w:rsidRPr="00A143A4">
        <w:rPr>
          <w:rFonts w:cstheme="minorHAnsi"/>
        </w:rPr>
        <w:t xml:space="preserve">(eGFR ≥ 60 to ˂ 90 mL/min) </w:t>
      </w:r>
      <w:r>
        <w:rPr>
          <w:rFonts w:cstheme="minorHAnsi"/>
        </w:rPr>
        <w:t>or</w:t>
      </w:r>
      <w:r w:rsidRPr="00C41BEC">
        <w:rPr>
          <w:rFonts w:cstheme="minorHAnsi"/>
        </w:rPr>
        <w:t xml:space="preserve"> moderate </w:t>
      </w:r>
      <w:r w:rsidRPr="00A143A4">
        <w:rPr>
          <w:rFonts w:cstheme="minorHAnsi"/>
        </w:rPr>
        <w:t xml:space="preserve">(eGFR ≥ 30 to ˂ 60 mL/min) </w:t>
      </w:r>
      <w:r w:rsidRPr="00C41BEC">
        <w:rPr>
          <w:rFonts w:cstheme="minorHAnsi"/>
        </w:rPr>
        <w:t xml:space="preserve">renal impairment were found in the population pharmacokinetic analysis </w:t>
      </w:r>
      <w:r>
        <w:t>that included data from 23 and 4 subjects with mild and moderate degrees of renal impairment, respectively</w:t>
      </w:r>
      <w:r w:rsidRPr="00B65CB3">
        <w:rPr>
          <w:rFonts w:cstheme="minorHAnsi"/>
        </w:rPr>
        <w:t xml:space="preserve">. </w:t>
      </w:r>
      <w:proofErr w:type="spellStart"/>
      <w:r w:rsidRPr="00B65CB3">
        <w:rPr>
          <w:rFonts w:cstheme="minorHAnsi"/>
        </w:rPr>
        <w:t>Plozasiran</w:t>
      </w:r>
      <w:proofErr w:type="spellEnd"/>
      <w:r w:rsidRPr="00B65CB3">
        <w:rPr>
          <w:rFonts w:cstheme="minorHAnsi"/>
        </w:rPr>
        <w:t xml:space="preserve"> has not been tested in patients with severe renal impairment or end stage renal disease</w:t>
      </w:r>
      <w:r w:rsidRPr="00B65CB3">
        <w:t xml:space="preserve"> </w:t>
      </w:r>
      <w:r w:rsidRPr="00B65CB3">
        <w:rPr>
          <w:rFonts w:cstheme="minorHAnsi"/>
        </w:rPr>
        <w:t>(eGFR ˂ 30 mL/min) (</w:t>
      </w:r>
      <w:r w:rsidRPr="002D3C5E">
        <w:rPr>
          <w:rFonts w:cstheme="minorHAnsi"/>
        </w:rPr>
        <w:t>s</w:t>
      </w:r>
      <w:r w:rsidRPr="00B65CB3">
        <w:rPr>
          <w:rFonts w:cstheme="minorHAnsi"/>
        </w:rPr>
        <w:t xml:space="preserve">ee </w:t>
      </w:r>
      <w:r>
        <w:t>S</w:t>
      </w:r>
      <w:r w:rsidRPr="00865EAD">
        <w:t xml:space="preserve">ection </w:t>
      </w:r>
      <w:r w:rsidRPr="00554C24">
        <w:rPr>
          <w:color w:val="0000CC"/>
        </w:rPr>
        <w:fldChar w:fldCharType="begin"/>
      </w:r>
      <w:r w:rsidRPr="00554C24">
        <w:rPr>
          <w:color w:val="0000CC"/>
        </w:rPr>
        <w:instrText xml:space="preserve"> REF _Ref206089843 \n \h </w:instrText>
      </w:r>
      <w:r w:rsidRPr="00554C24">
        <w:rPr>
          <w:color w:val="0000CC"/>
        </w:rPr>
      </w:r>
      <w:r w:rsidRPr="00554C24">
        <w:rPr>
          <w:color w:val="0000CC"/>
        </w:rPr>
        <w:fldChar w:fldCharType="separate"/>
      </w:r>
      <w:r w:rsidR="00C31D8F" w:rsidRPr="00554C24">
        <w:rPr>
          <w:color w:val="0000CC"/>
        </w:rPr>
        <w:t>4.2</w:t>
      </w:r>
      <w:r w:rsidRPr="00554C24">
        <w:rPr>
          <w:color w:val="0000CC"/>
        </w:rPr>
        <w:fldChar w:fldCharType="end"/>
      </w:r>
      <w:r w:rsidRPr="00554C24">
        <w:rPr>
          <w:color w:val="0000CC"/>
        </w:rPr>
        <w:t xml:space="preserve"> </w:t>
      </w:r>
      <w:r w:rsidRPr="00554C24">
        <w:rPr>
          <w:color w:val="0000CC"/>
        </w:rPr>
        <w:fldChar w:fldCharType="begin"/>
      </w:r>
      <w:r w:rsidRPr="00554C24">
        <w:rPr>
          <w:color w:val="0000CC"/>
        </w:rPr>
        <w:instrText xml:space="preserve"> REF _Ref206089843 \h </w:instrText>
      </w:r>
      <w:r w:rsidRPr="00554C24">
        <w:rPr>
          <w:color w:val="0000CC"/>
        </w:rPr>
      </w:r>
      <w:r w:rsidRPr="00554C24">
        <w:rPr>
          <w:color w:val="0000CC"/>
        </w:rPr>
        <w:fldChar w:fldCharType="separate"/>
      </w:r>
      <w:r w:rsidR="00C31D8F" w:rsidRPr="00554C24">
        <w:rPr>
          <w:rFonts w:cstheme="minorHAnsi"/>
          <w:color w:val="0000CC"/>
        </w:rPr>
        <w:t>Dose and method of administration</w:t>
      </w:r>
      <w:r w:rsidRPr="00554C24">
        <w:rPr>
          <w:color w:val="0000CC"/>
        </w:rPr>
        <w:fldChar w:fldCharType="end"/>
      </w:r>
      <w:r w:rsidRPr="00B65CB3">
        <w:rPr>
          <w:rFonts w:cstheme="minorHAnsi"/>
        </w:rPr>
        <w:t>).</w:t>
      </w:r>
    </w:p>
    <w:p w14:paraId="6D8A32AE" w14:textId="77777777" w:rsidR="00DA3E6E" w:rsidRPr="001B4691" w:rsidRDefault="00DA3E6E" w:rsidP="001B4691">
      <w:pPr>
        <w:pStyle w:val="Heading4"/>
        <w:rPr>
          <w:b/>
          <w:bCs/>
          <w:i/>
          <w:iCs/>
        </w:rPr>
      </w:pPr>
      <w:r w:rsidRPr="002D3C5E">
        <w:t>Hepatic impairment</w:t>
      </w:r>
    </w:p>
    <w:p w14:paraId="69C72F06" w14:textId="02AACDC1" w:rsidR="00DA3E6E" w:rsidRPr="001B4691" w:rsidRDefault="00DA3E6E" w:rsidP="001B4691">
      <w:pPr>
        <w:rPr>
          <w:rFonts w:cstheme="minorHAnsi"/>
        </w:rPr>
      </w:pPr>
      <w:r w:rsidRPr="00C41BEC">
        <w:rPr>
          <w:rFonts w:cstheme="minorHAnsi"/>
        </w:rPr>
        <w:t xml:space="preserve">No clinically significant differences in </w:t>
      </w:r>
      <w:proofErr w:type="spellStart"/>
      <w:r w:rsidRPr="00C41BEC">
        <w:rPr>
          <w:rFonts w:cstheme="minorHAnsi"/>
        </w:rPr>
        <w:t>plozasiran</w:t>
      </w:r>
      <w:proofErr w:type="spellEnd"/>
      <w:r w:rsidRPr="00C41BEC">
        <w:rPr>
          <w:rFonts w:cstheme="minorHAnsi"/>
        </w:rPr>
        <w:t xml:space="preserve"> pharmacokinetics were found in the population pharmacokinetic analysis </w:t>
      </w:r>
      <w:r>
        <w:t>that included data from 4 subjects with mild and transient elevation of total bilirubin ≤ 1× </w:t>
      </w:r>
      <w:proofErr w:type="spellStart"/>
      <w:r>
        <w:t>ULN</w:t>
      </w:r>
      <w:proofErr w:type="spellEnd"/>
      <w:r>
        <w:t xml:space="preserve"> and AST &gt; 1× </w:t>
      </w:r>
      <w:proofErr w:type="spellStart"/>
      <w:r>
        <w:t>ULN</w:t>
      </w:r>
      <w:proofErr w:type="spellEnd"/>
      <w:r>
        <w:t>, or total bilirubin &gt; 1</w:t>
      </w:r>
      <w:r w:rsidRPr="00255695">
        <w:t>.0 to 1.5× </w:t>
      </w:r>
      <w:proofErr w:type="spellStart"/>
      <w:r w:rsidRPr="00255695">
        <w:t>ULN</w:t>
      </w:r>
      <w:proofErr w:type="spellEnd"/>
      <w:r w:rsidRPr="00255695">
        <w:t xml:space="preserve"> and any AST</w:t>
      </w:r>
      <w:r w:rsidRPr="00255695">
        <w:rPr>
          <w:rFonts w:cstheme="minorHAnsi"/>
        </w:rPr>
        <w:t xml:space="preserve">.  </w:t>
      </w:r>
      <w:proofErr w:type="spellStart"/>
      <w:r w:rsidRPr="00255695">
        <w:rPr>
          <w:rFonts w:cstheme="minorHAnsi"/>
        </w:rPr>
        <w:t>Plozasiran</w:t>
      </w:r>
      <w:proofErr w:type="spellEnd"/>
      <w:r w:rsidRPr="00255695">
        <w:rPr>
          <w:rFonts w:cstheme="minorHAnsi"/>
        </w:rPr>
        <w:t xml:space="preserve"> has not been studied in patients with moderate or severe hepatic impairment (</w:t>
      </w:r>
      <w:r w:rsidRPr="00255695">
        <w:rPr>
          <w:rFonts w:eastAsia="SimSun"/>
          <w:lang w:eastAsia="en-GB"/>
        </w:rPr>
        <w:t xml:space="preserve">see </w:t>
      </w:r>
      <w:r>
        <w:t>S</w:t>
      </w:r>
      <w:r w:rsidRPr="00865EAD">
        <w:t xml:space="preserve">ection </w:t>
      </w:r>
      <w:r w:rsidRPr="00554C24">
        <w:rPr>
          <w:color w:val="0000CC"/>
        </w:rPr>
        <w:fldChar w:fldCharType="begin"/>
      </w:r>
      <w:r w:rsidRPr="00554C24">
        <w:rPr>
          <w:color w:val="0000CC"/>
        </w:rPr>
        <w:instrText xml:space="preserve"> REF _Ref206089843 \n \h </w:instrText>
      </w:r>
      <w:r w:rsidR="00554C24">
        <w:rPr>
          <w:color w:val="0000CC"/>
        </w:rPr>
        <w:instrText xml:space="preserve"> \* MERGEFORMAT </w:instrText>
      </w:r>
      <w:r w:rsidRPr="00554C24">
        <w:rPr>
          <w:color w:val="0000CC"/>
        </w:rPr>
      </w:r>
      <w:r w:rsidRPr="00554C24">
        <w:rPr>
          <w:color w:val="0000CC"/>
        </w:rPr>
        <w:fldChar w:fldCharType="separate"/>
      </w:r>
      <w:r w:rsidR="00C31D8F" w:rsidRPr="00554C24">
        <w:rPr>
          <w:color w:val="0000CC"/>
        </w:rPr>
        <w:t>4.2</w:t>
      </w:r>
      <w:r w:rsidRPr="00554C24">
        <w:rPr>
          <w:color w:val="0000CC"/>
        </w:rPr>
        <w:fldChar w:fldCharType="end"/>
      </w:r>
      <w:r w:rsidRPr="00554C24">
        <w:rPr>
          <w:color w:val="0000CC"/>
        </w:rPr>
        <w:t xml:space="preserve"> </w:t>
      </w:r>
      <w:r w:rsidRPr="00554C24">
        <w:rPr>
          <w:color w:val="0000CC"/>
        </w:rPr>
        <w:fldChar w:fldCharType="begin"/>
      </w:r>
      <w:r w:rsidRPr="00554C24">
        <w:rPr>
          <w:color w:val="0000CC"/>
        </w:rPr>
        <w:instrText xml:space="preserve"> REF _Ref206089843 \h </w:instrText>
      </w:r>
      <w:r w:rsidR="00554C24">
        <w:rPr>
          <w:color w:val="0000CC"/>
        </w:rPr>
        <w:instrText xml:space="preserve"> \* MERGEFORMAT </w:instrText>
      </w:r>
      <w:r w:rsidRPr="00554C24">
        <w:rPr>
          <w:color w:val="0000CC"/>
        </w:rPr>
      </w:r>
      <w:r w:rsidRPr="00554C24">
        <w:rPr>
          <w:color w:val="0000CC"/>
        </w:rPr>
        <w:fldChar w:fldCharType="separate"/>
      </w:r>
      <w:r w:rsidR="00C31D8F" w:rsidRPr="00554C24">
        <w:rPr>
          <w:rFonts w:cstheme="minorHAnsi"/>
          <w:color w:val="0000CC"/>
        </w:rPr>
        <w:t>Dose and method of administration</w:t>
      </w:r>
      <w:r w:rsidRPr="00554C24">
        <w:rPr>
          <w:color w:val="0000CC"/>
        </w:rPr>
        <w:fldChar w:fldCharType="end"/>
      </w:r>
      <w:r w:rsidRPr="00255695">
        <w:rPr>
          <w:rFonts w:eastAsia="SimSun"/>
          <w:lang w:eastAsia="en-GB"/>
        </w:rPr>
        <w:t>)</w:t>
      </w:r>
      <w:r w:rsidRPr="00255695">
        <w:rPr>
          <w:rFonts w:cstheme="minorHAnsi"/>
        </w:rPr>
        <w:t>.</w:t>
      </w:r>
    </w:p>
    <w:p w14:paraId="1963F616" w14:textId="77777777" w:rsidR="00DA3E6E" w:rsidRPr="001B4691" w:rsidRDefault="00DA3E6E" w:rsidP="001B4691">
      <w:pPr>
        <w:pStyle w:val="Heading4"/>
        <w:rPr>
          <w:b/>
          <w:bCs/>
          <w:i/>
          <w:iCs/>
        </w:rPr>
      </w:pPr>
      <w:r w:rsidRPr="002D3C5E">
        <w:t xml:space="preserve">Gender and Race </w:t>
      </w:r>
    </w:p>
    <w:p w14:paraId="2AE47BF7" w14:textId="77777777" w:rsidR="00DA3E6E" w:rsidRPr="00C41BEC" w:rsidRDefault="00DA3E6E" w:rsidP="00726167">
      <w:pPr>
        <w:rPr>
          <w:rFonts w:cstheme="minorHAnsi"/>
        </w:rPr>
      </w:pPr>
      <w:r w:rsidRPr="00C41BEC">
        <w:rPr>
          <w:rFonts w:cstheme="minorHAnsi"/>
        </w:rPr>
        <w:t xml:space="preserve">No clinically significant differences in </w:t>
      </w:r>
      <w:proofErr w:type="spellStart"/>
      <w:r w:rsidRPr="00C41BEC">
        <w:rPr>
          <w:rFonts w:cstheme="minorHAnsi"/>
        </w:rPr>
        <w:t>plozasiran</w:t>
      </w:r>
      <w:proofErr w:type="spellEnd"/>
      <w:r w:rsidRPr="00C41BEC">
        <w:rPr>
          <w:rFonts w:cstheme="minorHAnsi"/>
        </w:rPr>
        <w:t xml:space="preserve"> pharmacokinetics </w:t>
      </w:r>
      <w:r w:rsidRPr="001D4BB2">
        <w:rPr>
          <w:rFonts w:cstheme="minorHAnsi"/>
        </w:rPr>
        <w:t>based on gender or race were</w:t>
      </w:r>
      <w:r w:rsidRPr="00C41BEC">
        <w:rPr>
          <w:rFonts w:cstheme="minorHAnsi"/>
        </w:rPr>
        <w:t xml:space="preserve"> found in the population pharmacokinetic </w:t>
      </w:r>
      <w:r w:rsidRPr="00154A90">
        <w:rPr>
          <w:rFonts w:cstheme="minorHAnsi"/>
        </w:rPr>
        <w:t xml:space="preserve">analysis </w:t>
      </w:r>
      <w:r w:rsidRPr="002D3C5E">
        <w:rPr>
          <w:rFonts w:cstheme="minorHAnsi"/>
          <w:lang w:val="en-US"/>
        </w:rPr>
        <w:t>that included data from 65 (44.5%) female and 81 (55.5%) male subjects with diverse race or ethnicity (67.1% White, 11.0% Black, 9.6% Asian, 2.1% Native Hawaiian or Pacific Islander, and 10.3% multiracial or unknown).</w:t>
      </w:r>
    </w:p>
    <w:p w14:paraId="1A7481A2" w14:textId="77777777" w:rsidR="00DA3E6E" w:rsidRPr="001B4691" w:rsidRDefault="00DA3E6E" w:rsidP="001B4691">
      <w:pPr>
        <w:pStyle w:val="Heading4"/>
        <w:rPr>
          <w:lang w:val="en-US"/>
        </w:rPr>
      </w:pPr>
      <w:r w:rsidRPr="002D3C5E">
        <w:rPr>
          <w:lang w:val="en-US"/>
        </w:rPr>
        <w:t>Other special populations </w:t>
      </w:r>
    </w:p>
    <w:p w14:paraId="029DE199" w14:textId="77777777" w:rsidR="00DA3E6E" w:rsidRPr="00564BC2" w:rsidRDefault="00DA3E6E" w:rsidP="00726167">
      <w:proofErr w:type="spellStart"/>
      <w:r w:rsidRPr="002D3C5E">
        <w:rPr>
          <w:rFonts w:cstheme="minorHAnsi"/>
          <w:lang w:val="en-US"/>
        </w:rPr>
        <w:t>Plozasiran</w:t>
      </w:r>
      <w:proofErr w:type="spellEnd"/>
      <w:r w:rsidRPr="002D3C5E">
        <w:rPr>
          <w:rFonts w:cstheme="minorHAnsi"/>
          <w:lang w:val="en-US"/>
        </w:rPr>
        <w:t xml:space="preserve"> plasma exposures (</w:t>
      </w:r>
      <w:proofErr w:type="spellStart"/>
      <w:r w:rsidRPr="002D3C5E">
        <w:rPr>
          <w:rFonts w:cstheme="minorHAnsi"/>
          <w:lang w:val="en-US"/>
        </w:rPr>
        <w:t>C</w:t>
      </w:r>
      <w:r w:rsidRPr="00DC4254">
        <w:rPr>
          <w:rFonts w:cstheme="minorHAnsi"/>
          <w:vertAlign w:val="subscript"/>
          <w:lang w:val="en-US"/>
        </w:rPr>
        <w:t>max</w:t>
      </w:r>
      <w:proofErr w:type="spellEnd"/>
      <w:r w:rsidRPr="002D3C5E">
        <w:rPr>
          <w:rFonts w:cstheme="minorHAnsi"/>
          <w:lang w:val="en-US"/>
        </w:rPr>
        <w:t xml:space="preserve"> and AUC) are typically lower in patients with higher body weights or body mass index (BMI) without reduced treatment efficacy and therefore no dose adjustment is recommended for heavier patients.</w:t>
      </w:r>
    </w:p>
    <w:p w14:paraId="7DE45177" w14:textId="77777777" w:rsidR="00DA3E6E" w:rsidRPr="00675A74" w:rsidRDefault="00DA3E6E" w:rsidP="00B33913">
      <w:pPr>
        <w:pStyle w:val="Heading2"/>
        <w:pageBreakBefore/>
        <w:spacing w:before="0" w:after="120"/>
        <w:rPr>
          <w:rFonts w:cstheme="minorHAnsi"/>
          <w:lang w:val="en-US"/>
        </w:rPr>
      </w:pPr>
      <w:bookmarkStart w:id="10" w:name="_Ref187330640"/>
      <w:r w:rsidRPr="00675A74">
        <w:rPr>
          <w:rFonts w:cstheme="minorHAnsi"/>
          <w:lang w:val="en-US"/>
        </w:rPr>
        <w:lastRenderedPageBreak/>
        <w:t>Preclinical safety data</w:t>
      </w:r>
      <w:bookmarkEnd w:id="10"/>
    </w:p>
    <w:p w14:paraId="4E273247" w14:textId="77777777" w:rsidR="00DA3E6E" w:rsidRPr="001B4691" w:rsidRDefault="00DA3E6E" w:rsidP="001B4691">
      <w:pPr>
        <w:pStyle w:val="Heading3"/>
        <w:rPr>
          <w:lang w:val="en-US"/>
        </w:rPr>
      </w:pPr>
      <w:r>
        <w:rPr>
          <w:lang w:val="en-US"/>
        </w:rPr>
        <w:t>Genotoxicity</w:t>
      </w:r>
    </w:p>
    <w:p w14:paraId="50C0A310" w14:textId="4191E4F7" w:rsidR="00DA3E6E" w:rsidRPr="001B4691" w:rsidRDefault="00DA3E6E" w:rsidP="001B4691">
      <w:pPr>
        <w:rPr>
          <w:rFonts w:cstheme="minorHAnsi"/>
        </w:rPr>
      </w:pPr>
      <w:proofErr w:type="spellStart"/>
      <w:r w:rsidRPr="005E7A5C">
        <w:rPr>
          <w:rFonts w:cstheme="minorHAnsi"/>
          <w:lang w:val="en-US"/>
        </w:rPr>
        <w:t>Plozasiran</w:t>
      </w:r>
      <w:proofErr w:type="spellEnd"/>
      <w:r w:rsidRPr="005E7A5C">
        <w:rPr>
          <w:rFonts w:cstheme="minorHAnsi"/>
          <w:lang w:val="en-US"/>
        </w:rPr>
        <w:t xml:space="preserve"> was negative for mutagenicity in the bacterial mutation (Ames) assay, negative for induction of micronuclei in cultured </w:t>
      </w:r>
      <w:proofErr w:type="spellStart"/>
      <w:r w:rsidRPr="005E7A5C">
        <w:rPr>
          <w:rFonts w:cstheme="minorHAnsi"/>
          <w:lang w:val="en-US"/>
        </w:rPr>
        <w:t>TK6</w:t>
      </w:r>
      <w:proofErr w:type="spellEnd"/>
      <w:r w:rsidRPr="005E7A5C">
        <w:rPr>
          <w:rFonts w:cstheme="minorHAnsi"/>
          <w:lang w:val="en-US"/>
        </w:rPr>
        <w:t xml:space="preserve"> lymphoblastoid cells </w:t>
      </w:r>
      <w:r w:rsidR="001015D2">
        <w:rPr>
          <w:rFonts w:cstheme="minorHAnsi"/>
          <w:lang w:val="en-US"/>
        </w:rPr>
        <w:t xml:space="preserve">and negative in a mouse micronucleus test. </w:t>
      </w:r>
    </w:p>
    <w:p w14:paraId="5B1D5B89" w14:textId="77777777" w:rsidR="00996BDD" w:rsidRPr="001B4691" w:rsidRDefault="00996BDD" w:rsidP="00996BDD">
      <w:pPr>
        <w:pStyle w:val="Heading3"/>
        <w:rPr>
          <w:lang w:val="en-US"/>
        </w:rPr>
      </w:pPr>
      <w:r w:rsidRPr="002D3C5E">
        <w:rPr>
          <w:lang w:val="en-US"/>
        </w:rPr>
        <w:t>Carcinoge</w:t>
      </w:r>
      <w:r>
        <w:rPr>
          <w:lang w:val="en-US"/>
        </w:rPr>
        <w:t>nicity</w:t>
      </w:r>
    </w:p>
    <w:p w14:paraId="104D7901" w14:textId="3C46907B" w:rsidR="00996BDD" w:rsidRPr="005E7A5C" w:rsidRDefault="00996BDD" w:rsidP="00996BDD">
      <w:pPr>
        <w:rPr>
          <w:rFonts w:cstheme="minorHAnsi"/>
          <w:lang w:val="en-US"/>
        </w:rPr>
      </w:pPr>
      <w:r w:rsidRPr="008E04E7">
        <w:rPr>
          <w:rFonts w:cstheme="minorHAnsi"/>
          <w:lang w:val="en-US"/>
        </w:rPr>
        <w:t xml:space="preserve">In a 26-week study in </w:t>
      </w:r>
      <w:proofErr w:type="spellStart"/>
      <w:r w:rsidRPr="008E04E7">
        <w:rPr>
          <w:rFonts w:cstheme="minorHAnsi"/>
          <w:lang w:val="en-US"/>
        </w:rPr>
        <w:t>CByB6F1-</w:t>
      </w:r>
      <w:proofErr w:type="gramStart"/>
      <w:r w:rsidRPr="008E04E7">
        <w:rPr>
          <w:rFonts w:cstheme="minorHAnsi"/>
          <w:lang w:val="en-US"/>
        </w:rPr>
        <w:t>Tg</w:t>
      </w:r>
      <w:proofErr w:type="spellEnd"/>
      <w:r w:rsidRPr="008E04E7">
        <w:rPr>
          <w:rFonts w:cstheme="minorHAnsi"/>
          <w:lang w:val="en-US"/>
        </w:rPr>
        <w:t>[</w:t>
      </w:r>
      <w:proofErr w:type="spellStart"/>
      <w:proofErr w:type="gramEnd"/>
      <w:r w:rsidRPr="008E04E7">
        <w:rPr>
          <w:rFonts w:cstheme="minorHAnsi"/>
          <w:lang w:val="en-US"/>
        </w:rPr>
        <w:t>HRAS</w:t>
      </w:r>
      <w:proofErr w:type="spellEnd"/>
      <w:r w:rsidRPr="008E04E7">
        <w:rPr>
          <w:rFonts w:cstheme="minorHAnsi"/>
          <w:lang w:val="en-US"/>
        </w:rPr>
        <w:t>]</w:t>
      </w:r>
      <w:proofErr w:type="spellStart"/>
      <w:r w:rsidRPr="008E04E7">
        <w:rPr>
          <w:rFonts w:cstheme="minorHAnsi"/>
          <w:lang w:val="en-US"/>
        </w:rPr>
        <w:t>2Jic</w:t>
      </w:r>
      <w:proofErr w:type="spellEnd"/>
      <w:r w:rsidRPr="008E04E7">
        <w:rPr>
          <w:rFonts w:cstheme="minorHAnsi"/>
          <w:lang w:val="en-US"/>
        </w:rPr>
        <w:t xml:space="preserve"> mice, </w:t>
      </w:r>
      <w:proofErr w:type="spellStart"/>
      <w:r w:rsidRPr="008E04E7">
        <w:rPr>
          <w:rFonts w:cstheme="minorHAnsi"/>
          <w:lang w:val="en-US"/>
        </w:rPr>
        <w:t>plozasiran</w:t>
      </w:r>
      <w:proofErr w:type="spellEnd"/>
      <w:r w:rsidRPr="008E04E7">
        <w:rPr>
          <w:rFonts w:cstheme="minorHAnsi"/>
          <w:lang w:val="en-US"/>
        </w:rPr>
        <w:t xml:space="preserve"> was administered subcutaneously every </w:t>
      </w:r>
      <w:r w:rsidR="007E3123">
        <w:rPr>
          <w:rFonts w:cstheme="minorHAnsi"/>
          <w:lang w:val="en-US"/>
        </w:rPr>
        <w:t>8</w:t>
      </w:r>
      <w:r w:rsidRPr="008E04E7">
        <w:rPr>
          <w:rFonts w:cstheme="minorHAnsi"/>
          <w:lang w:val="en-US"/>
        </w:rPr>
        <w:t xml:space="preserve"> week</w:t>
      </w:r>
      <w:r w:rsidR="007E3123">
        <w:rPr>
          <w:rFonts w:cstheme="minorHAnsi"/>
          <w:lang w:val="en-US"/>
        </w:rPr>
        <w:t>s</w:t>
      </w:r>
      <w:r w:rsidRPr="008E04E7">
        <w:rPr>
          <w:rFonts w:cstheme="minorHAnsi"/>
          <w:lang w:val="en-US"/>
        </w:rPr>
        <w:t xml:space="preserve"> at dose levels </w:t>
      </w:r>
      <w:r w:rsidR="001015D2">
        <w:rPr>
          <w:rFonts w:cstheme="minorHAnsi"/>
          <w:lang w:val="en-US"/>
        </w:rPr>
        <w:t xml:space="preserve">up to </w:t>
      </w:r>
      <w:r w:rsidRPr="008E04E7">
        <w:rPr>
          <w:rFonts w:cstheme="minorHAnsi"/>
          <w:lang w:val="en-US"/>
        </w:rPr>
        <w:t>120 mg/kg (</w:t>
      </w:r>
      <w:r w:rsidR="00A237C0">
        <w:rPr>
          <w:rFonts w:cstheme="minorHAnsi"/>
          <w:lang w:val="en-US"/>
        </w:rPr>
        <w:t xml:space="preserve">achieving up to </w:t>
      </w:r>
      <w:r w:rsidR="00A237C0" w:rsidRPr="001F19AB">
        <w:rPr>
          <w:rFonts w:cstheme="minorHAnsi"/>
          <w:lang w:val="en-US"/>
        </w:rPr>
        <w:t>95</w:t>
      </w:r>
      <w:r w:rsidRPr="001F19AB">
        <w:rPr>
          <w:rFonts w:cstheme="minorHAnsi"/>
          <w:lang w:val="en-US"/>
        </w:rPr>
        <w:t>-fold</w:t>
      </w:r>
      <w:r w:rsidRPr="008E04E7">
        <w:rPr>
          <w:rFonts w:cstheme="minorHAnsi"/>
          <w:lang w:val="en-US"/>
        </w:rPr>
        <w:t xml:space="preserve"> the</w:t>
      </w:r>
      <w:r w:rsidR="00090966">
        <w:rPr>
          <w:rFonts w:cstheme="minorHAnsi"/>
          <w:lang w:val="en-US"/>
        </w:rPr>
        <w:t xml:space="preserve"> plasma AUC at a</w:t>
      </w:r>
      <w:r w:rsidRPr="008E04E7">
        <w:rPr>
          <w:rFonts w:cstheme="minorHAnsi"/>
          <w:lang w:val="en-US"/>
        </w:rPr>
        <w:t xml:space="preserve"> clinical dose level of 25</w:t>
      </w:r>
      <w:r>
        <w:rPr>
          <w:rFonts w:cstheme="minorHAnsi"/>
          <w:lang w:val="en-US"/>
        </w:rPr>
        <w:t> </w:t>
      </w:r>
      <w:r w:rsidRPr="008E04E7">
        <w:rPr>
          <w:rFonts w:cstheme="minorHAnsi"/>
          <w:lang w:val="en-US"/>
        </w:rPr>
        <w:t xml:space="preserve">mg). </w:t>
      </w:r>
      <w:proofErr w:type="spellStart"/>
      <w:r w:rsidRPr="008E04E7">
        <w:rPr>
          <w:rFonts w:cstheme="minorHAnsi"/>
          <w:lang w:val="en-US"/>
        </w:rPr>
        <w:t>Plozasiran</w:t>
      </w:r>
      <w:proofErr w:type="spellEnd"/>
      <w:r w:rsidRPr="008E04E7">
        <w:rPr>
          <w:rFonts w:cstheme="minorHAnsi"/>
          <w:lang w:val="en-US"/>
        </w:rPr>
        <w:t xml:space="preserve"> was not carcinogenic up to the highest dose evaluated.</w:t>
      </w:r>
      <w:r w:rsidRPr="005E7A5C">
        <w:rPr>
          <w:rFonts w:cstheme="minorHAnsi"/>
          <w:lang w:val="en-US"/>
        </w:rPr>
        <w:t xml:space="preserve"> </w:t>
      </w:r>
    </w:p>
    <w:p w14:paraId="6DF189BC" w14:textId="07ABC879" w:rsidR="00DA3E6E" w:rsidRPr="001B4691" w:rsidRDefault="008B39A8" w:rsidP="001B4691">
      <w:pPr>
        <w:rPr>
          <w:rFonts w:cstheme="minorHAnsi"/>
        </w:rPr>
      </w:pPr>
      <w:r w:rsidRPr="008B39A8">
        <w:rPr>
          <w:rFonts w:cstheme="minorHAnsi"/>
          <w:lang w:val="en-US"/>
        </w:rPr>
        <w:t>In a 2-year rat carcinogenicity study</w:t>
      </w:r>
      <w:r w:rsidR="00C6664E">
        <w:rPr>
          <w:rFonts w:cstheme="minorHAnsi"/>
          <w:lang w:val="en-US"/>
        </w:rPr>
        <w:t xml:space="preserve"> with subcutaneous administration of </w:t>
      </w:r>
      <w:proofErr w:type="spellStart"/>
      <w:r w:rsidR="00C6664E">
        <w:rPr>
          <w:rFonts w:cstheme="minorHAnsi"/>
          <w:lang w:val="en-US"/>
        </w:rPr>
        <w:t>plozasiran</w:t>
      </w:r>
      <w:proofErr w:type="spellEnd"/>
      <w:r w:rsidR="00C6664E">
        <w:rPr>
          <w:rFonts w:cstheme="minorHAnsi"/>
          <w:lang w:val="en-US"/>
        </w:rPr>
        <w:t xml:space="preserve"> every 8 weeks</w:t>
      </w:r>
      <w:r w:rsidRPr="008B39A8">
        <w:rPr>
          <w:rFonts w:cstheme="minorHAnsi"/>
          <w:lang w:val="en-US"/>
        </w:rPr>
        <w:t xml:space="preserve">, hepatocellular adenomas and a low incidence of carcinomas were noted in males at 50 mg/kg and females at 100 mg/kg. </w:t>
      </w:r>
      <w:r w:rsidR="005177B7">
        <w:rPr>
          <w:rFonts w:cstheme="minorHAnsi"/>
          <w:lang w:val="en-US"/>
        </w:rPr>
        <w:t>No evidence of carcinogenicity</w:t>
      </w:r>
      <w:r w:rsidRPr="008B39A8">
        <w:rPr>
          <w:rFonts w:cstheme="minorHAnsi"/>
          <w:lang w:val="en-US"/>
        </w:rPr>
        <w:t xml:space="preserve"> was noted</w:t>
      </w:r>
      <w:r w:rsidR="00E96CA0">
        <w:rPr>
          <w:rFonts w:cstheme="minorHAnsi"/>
          <w:lang w:val="en-US"/>
        </w:rPr>
        <w:t xml:space="preserve"> at</w:t>
      </w:r>
      <w:r w:rsidRPr="008B39A8">
        <w:rPr>
          <w:rFonts w:cstheme="minorHAnsi"/>
          <w:lang w:val="en-US"/>
        </w:rPr>
        <w:t xml:space="preserve"> 25 </w:t>
      </w:r>
      <w:r w:rsidR="00E96CA0">
        <w:rPr>
          <w:rFonts w:cstheme="minorHAnsi"/>
          <w:lang w:val="en-US"/>
        </w:rPr>
        <w:t xml:space="preserve">mg/kg in males </w:t>
      </w:r>
      <w:r w:rsidRPr="008B39A8">
        <w:rPr>
          <w:rFonts w:cstheme="minorHAnsi"/>
          <w:lang w:val="en-US"/>
        </w:rPr>
        <w:t>and 40 mg/kg</w:t>
      </w:r>
      <w:r w:rsidR="00E96CA0">
        <w:rPr>
          <w:rFonts w:cstheme="minorHAnsi"/>
          <w:lang w:val="en-US"/>
        </w:rPr>
        <w:t xml:space="preserve"> in females</w:t>
      </w:r>
      <w:r w:rsidRPr="008B39A8">
        <w:rPr>
          <w:rFonts w:cstheme="minorHAnsi"/>
          <w:lang w:val="en-US"/>
        </w:rPr>
        <w:t xml:space="preserve"> </w:t>
      </w:r>
      <w:r w:rsidR="000743C3">
        <w:rPr>
          <w:rFonts w:cstheme="minorHAnsi"/>
          <w:lang w:val="en-US"/>
        </w:rPr>
        <w:t>(</w:t>
      </w:r>
      <w:r w:rsidR="00F76AF9">
        <w:rPr>
          <w:rFonts w:cstheme="minorHAnsi"/>
          <w:lang w:val="en-US"/>
        </w:rPr>
        <w:t>82</w:t>
      </w:r>
      <w:r w:rsidRPr="008B39A8">
        <w:rPr>
          <w:rFonts w:cstheme="minorHAnsi"/>
          <w:lang w:val="en-US"/>
        </w:rPr>
        <w:t xml:space="preserve">- and </w:t>
      </w:r>
      <w:r w:rsidR="00F76AF9">
        <w:rPr>
          <w:rFonts w:cstheme="minorHAnsi"/>
          <w:lang w:val="en-US"/>
        </w:rPr>
        <w:t>72</w:t>
      </w:r>
      <w:r w:rsidRPr="008B39A8">
        <w:rPr>
          <w:rFonts w:cstheme="minorHAnsi"/>
          <w:lang w:val="en-US"/>
        </w:rPr>
        <w:t>-fold</w:t>
      </w:r>
      <w:r w:rsidR="00F76AF9">
        <w:rPr>
          <w:rFonts w:cstheme="minorHAnsi"/>
          <w:lang w:val="en-US"/>
        </w:rPr>
        <w:t xml:space="preserve"> the plasma AUC at a clinical dose of 25 mg</w:t>
      </w:r>
      <w:r w:rsidRPr="008B39A8">
        <w:rPr>
          <w:rFonts w:cstheme="minorHAnsi"/>
          <w:lang w:val="en-US"/>
        </w:rPr>
        <w:t xml:space="preserve"> in males and females, respectively</w:t>
      </w:r>
      <w:r w:rsidR="000743C3">
        <w:rPr>
          <w:rFonts w:cstheme="minorHAnsi"/>
          <w:lang w:val="en-US"/>
        </w:rPr>
        <w:t>)</w:t>
      </w:r>
      <w:r w:rsidRPr="008B39A8">
        <w:rPr>
          <w:rFonts w:cstheme="minorHAnsi"/>
          <w:lang w:val="en-US"/>
        </w:rPr>
        <w:t>. In addition, while the</w:t>
      </w:r>
      <w:r>
        <w:rPr>
          <w:rFonts w:cstheme="minorHAnsi"/>
          <w:lang w:val="en-US"/>
        </w:rPr>
        <w:t xml:space="preserve"> </w:t>
      </w:r>
      <w:r w:rsidRPr="008B39A8">
        <w:rPr>
          <w:rFonts w:cstheme="minorHAnsi"/>
          <w:lang w:val="en-US"/>
        </w:rPr>
        <w:t xml:space="preserve">relevance of these </w:t>
      </w:r>
      <w:proofErr w:type="spellStart"/>
      <w:r w:rsidRPr="008B39A8">
        <w:rPr>
          <w:rFonts w:cstheme="minorHAnsi"/>
          <w:lang w:val="en-US"/>
        </w:rPr>
        <w:t>tumo</w:t>
      </w:r>
      <w:r w:rsidR="007C2F1F">
        <w:rPr>
          <w:rFonts w:cstheme="minorHAnsi"/>
          <w:lang w:val="en-US"/>
        </w:rPr>
        <w:t>u</w:t>
      </w:r>
      <w:r w:rsidRPr="008B39A8">
        <w:rPr>
          <w:rFonts w:cstheme="minorHAnsi"/>
          <w:lang w:val="en-US"/>
        </w:rPr>
        <w:t>rs</w:t>
      </w:r>
      <w:proofErr w:type="spellEnd"/>
      <w:r w:rsidRPr="008B39A8">
        <w:rPr>
          <w:rFonts w:cstheme="minorHAnsi"/>
          <w:lang w:val="en-US"/>
        </w:rPr>
        <w:t xml:space="preserve"> to humans is unknown, the available evidence suggests these findings </w:t>
      </w:r>
      <w:r w:rsidR="00D317EA">
        <w:rPr>
          <w:rFonts w:cstheme="minorHAnsi"/>
          <w:lang w:val="en-US"/>
        </w:rPr>
        <w:t xml:space="preserve">may be </w:t>
      </w:r>
      <w:r w:rsidRPr="008B39A8">
        <w:rPr>
          <w:rFonts w:cstheme="minorHAnsi"/>
          <w:lang w:val="en-US"/>
        </w:rPr>
        <w:t>specific to rodents and coupled with the high safety margins and the absence of identified genotoxicity, the risk to humans is low.</w:t>
      </w:r>
      <w:r w:rsidR="00DA3E6E" w:rsidRPr="002D3C5E" w:rsidDel="00E402EF">
        <w:rPr>
          <w:rFonts w:cstheme="minorHAnsi"/>
        </w:rPr>
        <w:t xml:space="preserve"> </w:t>
      </w:r>
    </w:p>
    <w:p w14:paraId="663DF565" w14:textId="77777777" w:rsidR="00DA3E6E" w:rsidRPr="00675A74" w:rsidRDefault="00DA3E6E">
      <w:pPr>
        <w:pStyle w:val="Heading1"/>
        <w:spacing w:before="0" w:after="120"/>
        <w:rPr>
          <w:rFonts w:cstheme="minorHAnsi"/>
          <w:lang w:val="en-US"/>
        </w:rPr>
      </w:pPr>
      <w:r w:rsidRPr="00675A74">
        <w:rPr>
          <w:rFonts w:cstheme="minorHAnsi"/>
          <w:lang w:val="en-US"/>
        </w:rPr>
        <w:t>Pharmaceutical particulars</w:t>
      </w:r>
    </w:p>
    <w:p w14:paraId="71FC0685" w14:textId="77777777" w:rsidR="00DA3E6E" w:rsidRPr="00675A74" w:rsidRDefault="00DA3E6E">
      <w:pPr>
        <w:pStyle w:val="Heading2"/>
        <w:spacing w:before="0" w:after="120"/>
        <w:rPr>
          <w:rFonts w:cstheme="minorHAnsi"/>
          <w:lang w:val="en-US"/>
        </w:rPr>
      </w:pPr>
      <w:bookmarkStart w:id="11" w:name="_Ref206090256"/>
      <w:r w:rsidRPr="00675A74">
        <w:rPr>
          <w:rFonts w:cstheme="minorHAnsi"/>
          <w:lang w:val="en-US"/>
        </w:rPr>
        <w:t>List of excipients</w:t>
      </w:r>
      <w:bookmarkEnd w:id="11"/>
      <w:r w:rsidRPr="00675A74">
        <w:rPr>
          <w:rFonts w:cstheme="minorHAnsi"/>
          <w:lang w:val="en-US"/>
        </w:rPr>
        <w:t xml:space="preserve"> </w:t>
      </w:r>
    </w:p>
    <w:p w14:paraId="6C930C8E" w14:textId="67DAAEBB" w:rsidR="00DA3E6E" w:rsidRPr="00675A74" w:rsidRDefault="00F0560D" w:rsidP="004F1009">
      <w:pPr>
        <w:rPr>
          <w:rFonts w:asciiTheme="majorHAnsi" w:hAnsiTheme="majorHAnsi" w:cstheme="minorHAnsi"/>
          <w:lang w:val="en-US"/>
        </w:rPr>
      </w:pPr>
      <w:r>
        <w:rPr>
          <w:rFonts w:cstheme="minorHAnsi"/>
        </w:rPr>
        <w:t>S</w:t>
      </w:r>
      <w:r w:rsidR="00DA3E6E" w:rsidRPr="00C41BEC">
        <w:rPr>
          <w:rFonts w:cstheme="minorHAnsi"/>
        </w:rPr>
        <w:t>odium chloride</w:t>
      </w:r>
      <w:r w:rsidR="00DA3E6E">
        <w:rPr>
          <w:rFonts w:cstheme="minorHAnsi"/>
        </w:rPr>
        <w:br/>
      </w:r>
      <w:r>
        <w:rPr>
          <w:rFonts w:cstheme="minorHAnsi"/>
        </w:rPr>
        <w:t>W</w:t>
      </w:r>
      <w:r w:rsidR="00DA3E6E" w:rsidRPr="00C41BEC">
        <w:rPr>
          <w:rFonts w:cstheme="minorHAnsi"/>
        </w:rPr>
        <w:t>ater for injections</w:t>
      </w:r>
    </w:p>
    <w:p w14:paraId="6055A7AF" w14:textId="77777777" w:rsidR="00DA3E6E" w:rsidRPr="00675A74" w:rsidRDefault="00DA3E6E">
      <w:pPr>
        <w:pStyle w:val="Heading2"/>
        <w:keepNext/>
        <w:keepLines/>
        <w:spacing w:before="0" w:after="120"/>
        <w:rPr>
          <w:rFonts w:cstheme="minorHAnsi"/>
          <w:lang w:val="en-US"/>
        </w:rPr>
      </w:pPr>
      <w:r w:rsidRPr="00675A74">
        <w:rPr>
          <w:rFonts w:cstheme="minorHAnsi"/>
          <w:lang w:val="en-US"/>
        </w:rPr>
        <w:t xml:space="preserve">Incompatibilities </w:t>
      </w:r>
    </w:p>
    <w:p w14:paraId="510EC767" w14:textId="77777777" w:rsidR="00DA3E6E" w:rsidRPr="00675A74" w:rsidRDefault="00DA3E6E">
      <w:pPr>
        <w:rPr>
          <w:rFonts w:asciiTheme="majorHAnsi" w:hAnsiTheme="majorHAnsi" w:cstheme="minorHAnsi"/>
          <w:lang w:val="en-US"/>
        </w:rPr>
      </w:pPr>
      <w:r w:rsidRPr="00C41BEC">
        <w:rPr>
          <w:rFonts w:cstheme="minorHAnsi"/>
        </w:rPr>
        <w:t>In the absence of compatibility studies, this medicinal product must not be mixed with other medicinal products.</w:t>
      </w:r>
    </w:p>
    <w:p w14:paraId="3F04AAA9" w14:textId="77777777" w:rsidR="00DA3E6E" w:rsidRPr="00675A74" w:rsidRDefault="00DA3E6E">
      <w:pPr>
        <w:pStyle w:val="Heading2"/>
        <w:spacing w:before="0" w:after="120"/>
        <w:rPr>
          <w:rFonts w:cstheme="minorHAnsi"/>
          <w:lang w:val="en-US"/>
        </w:rPr>
      </w:pPr>
      <w:r w:rsidRPr="00675A74">
        <w:rPr>
          <w:rFonts w:cstheme="minorHAnsi"/>
          <w:lang w:val="en-US"/>
        </w:rPr>
        <w:t xml:space="preserve">Shelf life </w:t>
      </w:r>
    </w:p>
    <w:p w14:paraId="3113F2FB" w14:textId="77777777" w:rsidR="00DA3E6E" w:rsidRPr="00C41BEC" w:rsidRDefault="00DA3E6E">
      <w:pPr>
        <w:rPr>
          <w:rFonts w:cstheme="minorHAnsi"/>
          <w:lang w:val="en-US"/>
        </w:rPr>
      </w:pPr>
      <w:r w:rsidRPr="00C41BEC">
        <w:rPr>
          <w:rFonts w:cstheme="minorHAnsi"/>
          <w:lang w:val="en"/>
        </w:rPr>
        <w:t>In Australia, information on the shelf life can be found on the public summary of the Australian Register of Therapeutic Goods (</w:t>
      </w:r>
      <w:proofErr w:type="spellStart"/>
      <w:r w:rsidRPr="00C41BEC">
        <w:rPr>
          <w:rFonts w:cstheme="minorHAnsi"/>
          <w:lang w:val="en"/>
        </w:rPr>
        <w:t>ARTG</w:t>
      </w:r>
      <w:proofErr w:type="spellEnd"/>
      <w:r w:rsidRPr="00C41BEC">
        <w:rPr>
          <w:rFonts w:cstheme="minorHAnsi"/>
          <w:lang w:val="en"/>
        </w:rPr>
        <w:t xml:space="preserve">). The expiry date can be found on the packaging. </w:t>
      </w:r>
    </w:p>
    <w:p w14:paraId="655D5C00" w14:textId="77777777" w:rsidR="00DA3E6E" w:rsidRPr="001B4691" w:rsidRDefault="00DA3E6E" w:rsidP="001B4691">
      <w:pPr>
        <w:pStyle w:val="Heading2"/>
        <w:keepNext/>
        <w:keepLines/>
        <w:spacing w:before="0" w:after="120"/>
        <w:rPr>
          <w:rFonts w:cstheme="minorHAnsi"/>
          <w:lang w:val="en-US"/>
        </w:rPr>
      </w:pPr>
      <w:r w:rsidRPr="00675A74">
        <w:rPr>
          <w:rFonts w:cstheme="minorHAnsi"/>
          <w:lang w:val="en-US"/>
        </w:rPr>
        <w:t xml:space="preserve">Special precautions for storage </w:t>
      </w:r>
    </w:p>
    <w:p w14:paraId="499F5D84" w14:textId="7BDE3B23" w:rsidR="00DA3E6E" w:rsidRPr="00B56758" w:rsidRDefault="00DA3E6E" w:rsidP="00FC71E9">
      <w:pPr>
        <w:rPr>
          <w:lang w:eastAsia="zh-CN"/>
        </w:rPr>
      </w:pPr>
      <w:r w:rsidRPr="00B56758">
        <w:rPr>
          <w:lang w:eastAsia="zh-CN"/>
        </w:rPr>
        <w:t xml:space="preserve">Store at </w:t>
      </w:r>
      <w:proofErr w:type="spellStart"/>
      <w:r w:rsidRPr="00B56758">
        <w:rPr>
          <w:lang w:eastAsia="zh-CN"/>
        </w:rPr>
        <w:t>2°C</w:t>
      </w:r>
      <w:proofErr w:type="spellEnd"/>
      <w:r w:rsidRPr="00B56758">
        <w:rPr>
          <w:lang w:eastAsia="zh-CN"/>
        </w:rPr>
        <w:t xml:space="preserve"> to </w:t>
      </w:r>
      <w:proofErr w:type="spellStart"/>
      <w:r w:rsidRPr="00B56758">
        <w:rPr>
          <w:lang w:eastAsia="zh-CN"/>
        </w:rPr>
        <w:t>8°C</w:t>
      </w:r>
      <w:proofErr w:type="spellEnd"/>
      <w:r w:rsidRPr="00B56758">
        <w:rPr>
          <w:lang w:eastAsia="zh-CN"/>
        </w:rPr>
        <w:t>. (Refrigerate</w:t>
      </w:r>
      <w:r w:rsidR="00E7173A">
        <w:rPr>
          <w:lang w:eastAsia="zh-CN"/>
        </w:rPr>
        <w:t>. Do Not Freeze</w:t>
      </w:r>
      <w:r w:rsidRPr="00B56758">
        <w:rPr>
          <w:lang w:eastAsia="zh-CN"/>
        </w:rPr>
        <w:t xml:space="preserve">). </w:t>
      </w:r>
    </w:p>
    <w:p w14:paraId="01D371EA" w14:textId="77777777" w:rsidR="00DA3E6E" w:rsidRPr="002D3C5E" w:rsidRDefault="00DA3E6E" w:rsidP="00FC71E9">
      <w:pPr>
        <w:rPr>
          <w:noProof/>
        </w:rPr>
      </w:pPr>
      <w:r>
        <w:rPr>
          <w:noProof/>
        </w:rPr>
        <w:t>REDEMPLO</w:t>
      </w:r>
      <w:r w:rsidRPr="00B56758">
        <w:rPr>
          <w:noProof/>
        </w:rPr>
        <w:t xml:space="preserve"> is a sterile, clear, colourless to yellow solution.</w:t>
      </w:r>
      <w:r w:rsidRPr="00B56758">
        <w:rPr>
          <w:iCs/>
        </w:rPr>
        <w:t xml:space="preserve"> </w:t>
      </w:r>
      <w:proofErr w:type="spellStart"/>
      <w:r>
        <w:rPr>
          <w:iCs/>
        </w:rPr>
        <w:t>REDEMPLO</w:t>
      </w:r>
      <w:proofErr w:type="spellEnd"/>
      <w:r w:rsidRPr="00B56758">
        <w:rPr>
          <w:iCs/>
        </w:rPr>
        <w:t xml:space="preserve"> should be inspected visually for particulate matter and discoloration prior to administration</w:t>
      </w:r>
      <w:r w:rsidRPr="002D3C5E">
        <w:rPr>
          <w:iCs/>
        </w:rPr>
        <w:t>.</w:t>
      </w:r>
    </w:p>
    <w:p w14:paraId="27C5D322" w14:textId="77777777" w:rsidR="00DA3E6E" w:rsidRPr="00675A74" w:rsidRDefault="00DA3E6E" w:rsidP="001B4691">
      <w:pPr>
        <w:rPr>
          <w:lang w:val="en-US"/>
        </w:rPr>
      </w:pPr>
      <w:proofErr w:type="spellStart"/>
      <w:r>
        <w:rPr>
          <w:lang w:eastAsia="zh-CN"/>
        </w:rPr>
        <w:t>REDEMPLO</w:t>
      </w:r>
      <w:proofErr w:type="spellEnd"/>
      <w:r w:rsidRPr="00B56758">
        <w:rPr>
          <w:lang w:eastAsia="zh-CN"/>
        </w:rPr>
        <w:t xml:space="preserve"> can be kept at room temperature (less than </w:t>
      </w:r>
      <w:proofErr w:type="spellStart"/>
      <w:r w:rsidRPr="00B56758">
        <w:rPr>
          <w:lang w:eastAsia="zh-CN"/>
        </w:rPr>
        <w:t>25°C</w:t>
      </w:r>
      <w:proofErr w:type="spellEnd"/>
      <w:r w:rsidRPr="00B56758">
        <w:rPr>
          <w:lang w:eastAsia="zh-CN"/>
        </w:rPr>
        <w:t>) in the original carton for up to 30 days after removing from the refrigerator.</w:t>
      </w:r>
    </w:p>
    <w:p w14:paraId="6B4190E0" w14:textId="77777777" w:rsidR="00DA3E6E" w:rsidRPr="001B4691" w:rsidRDefault="00DA3E6E" w:rsidP="00FC71E9">
      <w:pPr>
        <w:pStyle w:val="Heading2"/>
        <w:spacing w:before="0" w:after="120"/>
        <w:rPr>
          <w:rFonts w:cstheme="minorHAnsi"/>
          <w:lang w:val="en-US"/>
        </w:rPr>
      </w:pPr>
      <w:r w:rsidRPr="00675A74">
        <w:rPr>
          <w:rFonts w:cstheme="minorHAnsi"/>
          <w:lang w:val="en-US"/>
        </w:rPr>
        <w:t xml:space="preserve">Nature and contents of container </w:t>
      </w:r>
    </w:p>
    <w:p w14:paraId="4D5FC3D5" w14:textId="77777777" w:rsidR="00DA3E6E" w:rsidRPr="00C41BEC" w:rsidRDefault="00DA3E6E" w:rsidP="00FC71E9">
      <w:pPr>
        <w:rPr>
          <w:lang w:eastAsia="zh-CN"/>
        </w:rPr>
      </w:pPr>
      <w:proofErr w:type="gramStart"/>
      <w:r w:rsidRPr="00C41BEC">
        <w:rPr>
          <w:lang w:eastAsia="zh-CN"/>
        </w:rPr>
        <w:t>Single-dose</w:t>
      </w:r>
      <w:proofErr w:type="gramEnd"/>
      <w:r w:rsidRPr="00C41BEC">
        <w:rPr>
          <w:lang w:eastAsia="zh-CN"/>
        </w:rPr>
        <w:t xml:space="preserve">, type I glass pre-filled syringe with a </w:t>
      </w:r>
      <w:proofErr w:type="spellStart"/>
      <w:r w:rsidRPr="00C41BEC">
        <w:rPr>
          <w:lang w:eastAsia="zh-CN"/>
        </w:rPr>
        <w:t>bromobutyl</w:t>
      </w:r>
      <w:proofErr w:type="spellEnd"/>
      <w:r w:rsidRPr="00C41BEC">
        <w:rPr>
          <w:lang w:eastAsia="zh-CN"/>
        </w:rPr>
        <w:t xml:space="preserve"> stopper and needle </w:t>
      </w:r>
      <w:r>
        <w:rPr>
          <w:lang w:eastAsia="zh-CN"/>
        </w:rPr>
        <w:t xml:space="preserve">with </w:t>
      </w:r>
      <w:r w:rsidRPr="00C41BEC">
        <w:rPr>
          <w:lang w:eastAsia="zh-CN"/>
        </w:rPr>
        <w:t>shield.</w:t>
      </w:r>
      <w:r>
        <w:t xml:space="preserve"> </w:t>
      </w:r>
      <w:r w:rsidRPr="00CB53E4">
        <w:rPr>
          <w:lang w:eastAsia="zh-CN"/>
        </w:rPr>
        <w:t>Each pre-filled syringe contains 0.5</w:t>
      </w:r>
      <w:r>
        <w:rPr>
          <w:lang w:eastAsia="zh-CN"/>
        </w:rPr>
        <w:t> </w:t>
      </w:r>
      <w:r w:rsidRPr="00CB53E4">
        <w:rPr>
          <w:lang w:eastAsia="zh-CN"/>
        </w:rPr>
        <w:t>mL solution for injection.</w:t>
      </w:r>
    </w:p>
    <w:p w14:paraId="6DE88FED" w14:textId="77777777" w:rsidR="00DA3E6E" w:rsidRPr="00675A74" w:rsidRDefault="00DA3E6E" w:rsidP="001B4691">
      <w:pPr>
        <w:rPr>
          <w:lang w:val="en-US"/>
        </w:rPr>
      </w:pPr>
      <w:r>
        <w:rPr>
          <w:lang w:eastAsia="zh-CN"/>
        </w:rPr>
        <w:lastRenderedPageBreak/>
        <w:t>P</w:t>
      </w:r>
      <w:r w:rsidRPr="00C41BEC">
        <w:rPr>
          <w:lang w:eastAsia="zh-CN"/>
        </w:rPr>
        <w:t xml:space="preserve">ack </w:t>
      </w:r>
      <w:r>
        <w:rPr>
          <w:lang w:eastAsia="zh-CN"/>
        </w:rPr>
        <w:t>size of</w:t>
      </w:r>
      <w:r w:rsidRPr="00C41BEC">
        <w:rPr>
          <w:lang w:eastAsia="zh-CN"/>
        </w:rPr>
        <w:t xml:space="preserve"> one pre-filled syringe.</w:t>
      </w:r>
    </w:p>
    <w:p w14:paraId="0DE6773A" w14:textId="77777777" w:rsidR="00DA3E6E" w:rsidRPr="00675A74" w:rsidRDefault="00DA3E6E">
      <w:pPr>
        <w:pStyle w:val="Heading2"/>
        <w:spacing w:before="0" w:after="120"/>
        <w:rPr>
          <w:rFonts w:cstheme="minorHAnsi"/>
          <w:lang w:val="en-US"/>
        </w:rPr>
      </w:pPr>
      <w:bookmarkStart w:id="12" w:name="_Ref206090298"/>
      <w:r w:rsidRPr="00675A74">
        <w:rPr>
          <w:rFonts w:cstheme="minorHAnsi"/>
          <w:lang w:val="en-US"/>
        </w:rPr>
        <w:t>Special precautions for disposal</w:t>
      </w:r>
      <w:bookmarkEnd w:id="12"/>
      <w:r>
        <w:rPr>
          <w:rFonts w:cstheme="minorHAnsi"/>
          <w:lang w:val="en-US"/>
        </w:rPr>
        <w:t xml:space="preserve"> </w:t>
      </w:r>
    </w:p>
    <w:p w14:paraId="5D78B6EC" w14:textId="77777777" w:rsidR="00DA3E6E" w:rsidRPr="00BE1DA5" w:rsidRDefault="00DA3E6E" w:rsidP="00FC71E9">
      <w:pPr>
        <w:rPr>
          <w:lang w:eastAsia="zh-CN"/>
        </w:rPr>
      </w:pPr>
      <w:r w:rsidRPr="00C41BEC">
        <w:rPr>
          <w:lang w:eastAsia="zh-CN"/>
        </w:rPr>
        <w:t xml:space="preserve">This medicinal product should be inspected visually prior to administration. The solution should be clear and colourless to yellow. </w:t>
      </w:r>
      <w:r w:rsidRPr="00BE1DA5">
        <w:rPr>
          <w:lang w:eastAsia="zh-CN"/>
        </w:rPr>
        <w:t>If the solution is cloudy, discoloured, or contains visible particulate matter, the contents must not be injected</w:t>
      </w:r>
      <w:r>
        <w:rPr>
          <w:lang w:eastAsia="zh-CN"/>
        </w:rPr>
        <w:t>,</w:t>
      </w:r>
      <w:r w:rsidRPr="00BE1DA5">
        <w:rPr>
          <w:lang w:eastAsia="zh-CN"/>
        </w:rPr>
        <w:t xml:space="preserve"> and the medicinal product should be returned to the pharmacy.</w:t>
      </w:r>
    </w:p>
    <w:p w14:paraId="7B0E672E" w14:textId="77777777" w:rsidR="00DA3E6E" w:rsidRPr="00BE1DA5" w:rsidRDefault="00DA3E6E" w:rsidP="004F1009">
      <w:pPr>
        <w:rPr>
          <w:lang w:val="en-US"/>
        </w:rPr>
      </w:pPr>
      <w:r w:rsidRPr="00BE1DA5">
        <w:t>The pre-filled syringe should be allowed to reach room temperature (</w:t>
      </w:r>
      <w:proofErr w:type="spellStart"/>
      <w:r w:rsidRPr="00BE1DA5">
        <w:t>15-25°C</w:t>
      </w:r>
      <w:proofErr w:type="spellEnd"/>
      <w:r w:rsidRPr="00BE1DA5">
        <w:t>) prior to injection. It should be removed from the refrigerator (</w:t>
      </w:r>
      <w:proofErr w:type="spellStart"/>
      <w:r w:rsidRPr="00BE1DA5">
        <w:t>2-8°C</w:t>
      </w:r>
      <w:proofErr w:type="spellEnd"/>
      <w:r w:rsidRPr="00BE1DA5">
        <w:t>) at least 30 minutes before use. Other methods of warming (e.g.</w:t>
      </w:r>
      <w:r>
        <w:t>,</w:t>
      </w:r>
      <w:r w:rsidRPr="00BE1DA5">
        <w:t xml:space="preserve"> hot water or microwave) should not be used.</w:t>
      </w:r>
    </w:p>
    <w:p w14:paraId="72993BAE" w14:textId="77777777" w:rsidR="00DA3E6E" w:rsidRPr="00BE1DA5" w:rsidRDefault="00DA3E6E" w:rsidP="00FC71E9">
      <w:pPr>
        <w:rPr>
          <w:lang w:eastAsia="zh-CN"/>
        </w:rPr>
      </w:pPr>
      <w:r w:rsidRPr="00BE1DA5">
        <w:rPr>
          <w:lang w:eastAsia="zh-CN"/>
        </w:rPr>
        <w:t xml:space="preserve">Each pre-filled syringe </w:t>
      </w:r>
      <w:r>
        <w:rPr>
          <w:lang w:eastAsia="zh-CN"/>
        </w:rPr>
        <w:t>should</w:t>
      </w:r>
      <w:r w:rsidRPr="00BE1DA5">
        <w:rPr>
          <w:lang w:eastAsia="zh-CN"/>
        </w:rPr>
        <w:t xml:space="preserve"> be used</w:t>
      </w:r>
      <w:r>
        <w:rPr>
          <w:lang w:eastAsia="zh-CN"/>
        </w:rPr>
        <w:t xml:space="preserve"> </w:t>
      </w:r>
      <w:r w:rsidRPr="00BE1DA5">
        <w:rPr>
          <w:lang w:eastAsia="zh-CN"/>
        </w:rPr>
        <w:t xml:space="preserve">once and then placed in a </w:t>
      </w:r>
      <w:proofErr w:type="gramStart"/>
      <w:r w:rsidRPr="00BE1DA5">
        <w:rPr>
          <w:lang w:eastAsia="zh-CN"/>
        </w:rPr>
        <w:t>sharps</w:t>
      </w:r>
      <w:proofErr w:type="gramEnd"/>
      <w:r w:rsidRPr="00BE1DA5">
        <w:rPr>
          <w:lang w:eastAsia="zh-CN"/>
        </w:rPr>
        <w:t xml:space="preserve"> disposal container for disposal according to community guidelines.</w:t>
      </w:r>
    </w:p>
    <w:p w14:paraId="7B9378AB" w14:textId="77777777" w:rsidR="00DA3E6E" w:rsidRPr="00FA0E83" w:rsidRDefault="00DA3E6E" w:rsidP="00FC71E9">
      <w:pPr>
        <w:rPr>
          <w:lang w:eastAsia="zh-CN"/>
        </w:rPr>
      </w:pPr>
      <w:r w:rsidRPr="00BE1DA5">
        <w:rPr>
          <w:lang w:eastAsia="zh-CN"/>
        </w:rPr>
        <w:t>In Australia any unused medicinal product or waste material should be disposed of in accordance with local requirements.</w:t>
      </w:r>
    </w:p>
    <w:p w14:paraId="63893F11" w14:textId="77777777" w:rsidR="00DA3E6E" w:rsidRPr="005A6815" w:rsidRDefault="00DA3E6E" w:rsidP="00FC71E9">
      <w:pPr>
        <w:pStyle w:val="Heading2"/>
        <w:keepNext/>
        <w:spacing w:before="0" w:after="120"/>
        <w:rPr>
          <w:rFonts w:cstheme="minorHAnsi"/>
          <w:lang w:val="en-US"/>
        </w:rPr>
      </w:pPr>
      <w:r w:rsidRPr="00675A74">
        <w:rPr>
          <w:rFonts w:cstheme="minorHAnsi"/>
          <w:lang w:val="en-US"/>
        </w:rPr>
        <w:t>Physicochemical properties</w:t>
      </w:r>
    </w:p>
    <w:p w14:paraId="4DEF9FEC" w14:textId="2B7E67C3" w:rsidR="00E7173A" w:rsidRDefault="00E7173A" w:rsidP="0011711C">
      <w:pPr>
        <w:rPr>
          <w:lang w:val="en-US"/>
        </w:rPr>
      </w:pPr>
      <w:proofErr w:type="spellStart"/>
      <w:r w:rsidRPr="00E7173A">
        <w:rPr>
          <w:lang w:val="en-US"/>
        </w:rPr>
        <w:t>Plozasiran</w:t>
      </w:r>
      <w:proofErr w:type="spellEnd"/>
      <w:r w:rsidRPr="00E7173A">
        <w:rPr>
          <w:lang w:val="en-US"/>
        </w:rPr>
        <w:t xml:space="preserve"> sodium is a small interfering ribonucleic acid (siRNA) duplex,</w:t>
      </w:r>
      <w:r>
        <w:rPr>
          <w:lang w:val="en-US"/>
        </w:rPr>
        <w:t xml:space="preserve"> </w:t>
      </w:r>
      <w:r w:rsidRPr="00E7173A">
        <w:rPr>
          <w:lang w:val="en-US"/>
        </w:rPr>
        <w:t xml:space="preserve">comprising two </w:t>
      </w:r>
      <w:r>
        <w:rPr>
          <w:lang w:val="en-US"/>
        </w:rPr>
        <w:t>c</w:t>
      </w:r>
      <w:r w:rsidRPr="00E7173A">
        <w:rPr>
          <w:lang w:val="en-US"/>
        </w:rPr>
        <w:t>omplementary, fully synthetic RNA strands</w:t>
      </w:r>
      <w:r>
        <w:rPr>
          <w:lang w:val="en-US"/>
        </w:rPr>
        <w:t>. It is a w</w:t>
      </w:r>
      <w:r w:rsidRPr="00E7173A">
        <w:rPr>
          <w:lang w:val="en-US"/>
        </w:rPr>
        <w:t>hite to off-white powder, free of foreign particulate</w:t>
      </w:r>
      <w:r>
        <w:rPr>
          <w:lang w:val="en-US"/>
        </w:rPr>
        <w:t xml:space="preserve"> </w:t>
      </w:r>
      <w:r w:rsidRPr="00E7173A">
        <w:rPr>
          <w:lang w:val="en-US"/>
        </w:rPr>
        <w:t>matter</w:t>
      </w:r>
      <w:r>
        <w:rPr>
          <w:lang w:val="en-US"/>
        </w:rPr>
        <w:t>, and is f</w:t>
      </w:r>
      <w:r w:rsidRPr="00E7173A">
        <w:rPr>
          <w:lang w:val="en-US"/>
        </w:rPr>
        <w:t>reely soluble in water and the formulation buffer (0.5</w:t>
      </w:r>
      <w:r>
        <w:rPr>
          <w:lang w:val="en-US"/>
        </w:rPr>
        <w:t xml:space="preserve"> </w:t>
      </w:r>
      <w:r w:rsidRPr="00E7173A">
        <w:rPr>
          <w:lang w:val="en-US"/>
        </w:rPr>
        <w:t>mM sodium phosphate monobasic, 0.5 mM sodium</w:t>
      </w:r>
      <w:r>
        <w:rPr>
          <w:lang w:val="en-US"/>
        </w:rPr>
        <w:t xml:space="preserve"> </w:t>
      </w:r>
      <w:r w:rsidRPr="00E7173A">
        <w:rPr>
          <w:lang w:val="en-US"/>
        </w:rPr>
        <w:t>phosphate dibasic) and 0.9% sodium chloride (normal</w:t>
      </w:r>
      <w:r>
        <w:rPr>
          <w:lang w:val="en-US"/>
        </w:rPr>
        <w:t xml:space="preserve"> </w:t>
      </w:r>
      <w:r w:rsidRPr="00E7173A">
        <w:rPr>
          <w:lang w:val="en-US"/>
        </w:rPr>
        <w:t>saline)</w:t>
      </w:r>
      <w:r>
        <w:rPr>
          <w:lang w:val="en-US"/>
        </w:rPr>
        <w:t>. The pH of a 1% aqueous solution is 6.2 - 6.4.</w:t>
      </w:r>
    </w:p>
    <w:p w14:paraId="23454E43" w14:textId="11BE55D6" w:rsidR="00DA3E6E" w:rsidRPr="00675A74" w:rsidRDefault="00DA3E6E" w:rsidP="00FF69F9">
      <w:pPr>
        <w:pStyle w:val="Heading3"/>
        <w:pageBreakBefore/>
        <w:rPr>
          <w:lang w:val="en-US"/>
        </w:rPr>
      </w:pPr>
      <w:r w:rsidRPr="00675A74">
        <w:rPr>
          <w:lang w:val="en-US"/>
        </w:rPr>
        <w:lastRenderedPageBreak/>
        <w:t>Chemical structure</w:t>
      </w:r>
    </w:p>
    <w:p w14:paraId="34D82713" w14:textId="62E4E7C4" w:rsidR="00DA3E6E" w:rsidRDefault="00B33913" w:rsidP="00625BE0">
      <w:r w:rsidRPr="00B33913">
        <w:drawing>
          <wp:inline distT="0" distB="0" distL="0" distR="0" wp14:anchorId="029C2FF6" wp14:editId="7184CD04">
            <wp:extent cx="5034556" cy="3685278"/>
            <wp:effectExtent l="0" t="0" r="0" b="0"/>
            <wp:docPr id="48012551" name="Picture 1"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2551" name="Picture 1" descr="Chemical structure"/>
                    <pic:cNvPicPr/>
                  </pic:nvPicPr>
                  <pic:blipFill>
                    <a:blip r:embed="rId13"/>
                    <a:stretch>
                      <a:fillRect/>
                    </a:stretch>
                  </pic:blipFill>
                  <pic:spPr>
                    <a:xfrm>
                      <a:off x="0" y="0"/>
                      <a:ext cx="5036074" cy="3686389"/>
                    </a:xfrm>
                    <a:prstGeom prst="rect">
                      <a:avLst/>
                    </a:prstGeom>
                  </pic:spPr>
                </pic:pic>
              </a:graphicData>
            </a:graphic>
          </wp:inline>
        </w:drawing>
      </w:r>
    </w:p>
    <w:p w14:paraId="635FC95C" w14:textId="77777777" w:rsidR="00DA3E6E" w:rsidRPr="00625BE0" w:rsidRDefault="00DA3E6E" w:rsidP="00625BE0">
      <w:pPr>
        <w:rPr>
          <w:lang w:val="en-US"/>
        </w:rPr>
      </w:pPr>
      <w:r w:rsidRPr="00C41BEC">
        <w:rPr>
          <w:rFonts w:cstheme="minorHAnsi"/>
          <w:sz w:val="20"/>
          <w:szCs w:val="20"/>
          <w:lang w:val="en-US"/>
        </w:rPr>
        <w:t>Abbreviations: A = 2’-O-methyl adenosine; A = 2’-</w:t>
      </w:r>
      <w:proofErr w:type="spellStart"/>
      <w:r w:rsidRPr="00C41BEC">
        <w:rPr>
          <w:rFonts w:cstheme="minorHAnsi"/>
          <w:sz w:val="20"/>
          <w:szCs w:val="20"/>
          <w:lang w:val="en-US"/>
        </w:rPr>
        <w:t>fluoro</w:t>
      </w:r>
      <w:proofErr w:type="spellEnd"/>
      <w:r w:rsidRPr="00C41BEC">
        <w:rPr>
          <w:rFonts w:cstheme="minorHAnsi"/>
          <w:sz w:val="20"/>
          <w:szCs w:val="20"/>
          <w:lang w:val="en-US"/>
        </w:rPr>
        <w:t xml:space="preserve"> (2’-deoxy-2’-</w:t>
      </w:r>
      <w:proofErr w:type="spellStart"/>
      <w:r w:rsidRPr="00C41BEC">
        <w:rPr>
          <w:rFonts w:cstheme="minorHAnsi"/>
          <w:sz w:val="20"/>
          <w:szCs w:val="20"/>
          <w:lang w:val="en-US"/>
        </w:rPr>
        <w:t>fluoro</w:t>
      </w:r>
      <w:proofErr w:type="spellEnd"/>
      <w:r w:rsidRPr="00C41BEC">
        <w:rPr>
          <w:rFonts w:cstheme="minorHAnsi"/>
          <w:sz w:val="20"/>
          <w:szCs w:val="20"/>
          <w:lang w:val="en-US"/>
        </w:rPr>
        <w:t>) adenosine; C = 2’-O-methyl cytidine; C = 2’-</w:t>
      </w:r>
      <w:proofErr w:type="spellStart"/>
      <w:r w:rsidRPr="00C41BEC">
        <w:rPr>
          <w:rFonts w:cstheme="minorHAnsi"/>
          <w:sz w:val="20"/>
          <w:szCs w:val="20"/>
          <w:lang w:val="en-US"/>
        </w:rPr>
        <w:t>fluoro</w:t>
      </w:r>
      <w:proofErr w:type="spellEnd"/>
      <w:r w:rsidRPr="00C41BEC">
        <w:rPr>
          <w:rFonts w:cstheme="minorHAnsi"/>
          <w:sz w:val="20"/>
          <w:szCs w:val="20"/>
          <w:lang w:val="en-US"/>
        </w:rPr>
        <w:t xml:space="preserve"> cytidine; G = 2’-O-methyl guanosine; G = 2’-</w:t>
      </w:r>
      <w:proofErr w:type="spellStart"/>
      <w:r w:rsidRPr="00C41BEC">
        <w:rPr>
          <w:rFonts w:cstheme="minorHAnsi"/>
          <w:sz w:val="20"/>
          <w:szCs w:val="20"/>
          <w:lang w:val="en-US"/>
        </w:rPr>
        <w:t>fluoro</w:t>
      </w:r>
      <w:proofErr w:type="spellEnd"/>
      <w:r w:rsidRPr="00C41BEC">
        <w:rPr>
          <w:rFonts w:cstheme="minorHAnsi"/>
          <w:sz w:val="20"/>
          <w:szCs w:val="20"/>
          <w:lang w:val="en-US"/>
        </w:rPr>
        <w:t xml:space="preserve"> guanosine; I = 2’-O-methyl inosine; U = 2’-O-methyl uridine; U = 2’-O-</w:t>
      </w:r>
      <w:proofErr w:type="spellStart"/>
      <w:r w:rsidRPr="00C41BEC">
        <w:rPr>
          <w:rFonts w:cstheme="minorHAnsi"/>
          <w:sz w:val="20"/>
          <w:szCs w:val="20"/>
          <w:lang w:val="en-US"/>
        </w:rPr>
        <w:t>fluoro</w:t>
      </w:r>
      <w:proofErr w:type="spellEnd"/>
      <w:r w:rsidRPr="00C41BEC">
        <w:rPr>
          <w:rFonts w:cstheme="minorHAnsi"/>
          <w:sz w:val="20"/>
          <w:szCs w:val="20"/>
          <w:lang w:val="en-US"/>
        </w:rPr>
        <w:t xml:space="preserve"> uridine; - (single line) = phosphodiester linkage; = (double line) = phosphorothioate linkage; · (middle dot) depicts base pairing between the two strands </w:t>
      </w:r>
    </w:p>
    <w:p w14:paraId="6CBCB6DF" w14:textId="77777777" w:rsidR="00DA3E6E" w:rsidRPr="00675A74" w:rsidRDefault="00DA3E6E" w:rsidP="00300732">
      <w:pPr>
        <w:pStyle w:val="Heading3"/>
        <w:rPr>
          <w:lang w:val="en-US"/>
        </w:rPr>
      </w:pPr>
      <w:r w:rsidRPr="00675A74">
        <w:rPr>
          <w:lang w:val="en-US"/>
        </w:rPr>
        <w:t>CAS number</w:t>
      </w:r>
    </w:p>
    <w:p w14:paraId="1EC06ACC" w14:textId="77777777" w:rsidR="00DA3E6E" w:rsidRPr="00C41BEC" w:rsidRDefault="00DA3E6E" w:rsidP="00FC71E9">
      <w:pPr>
        <w:rPr>
          <w:lang w:val="en-US"/>
        </w:rPr>
      </w:pPr>
      <w:r w:rsidRPr="00C41BEC">
        <w:rPr>
          <w:lang w:val="en-US"/>
        </w:rPr>
        <w:t>2379776-40-4</w:t>
      </w:r>
    </w:p>
    <w:p w14:paraId="56CDC93C" w14:textId="77777777" w:rsidR="00DA3E6E" w:rsidRPr="001B4691" w:rsidRDefault="00DA3E6E" w:rsidP="001B4691">
      <w:pPr>
        <w:pStyle w:val="Heading1"/>
        <w:spacing w:before="0" w:after="120"/>
        <w:rPr>
          <w:rFonts w:cstheme="minorHAnsi"/>
          <w:lang w:val="en-US"/>
        </w:rPr>
      </w:pPr>
      <w:r w:rsidRPr="00675A74">
        <w:rPr>
          <w:rFonts w:cstheme="minorHAnsi"/>
          <w:lang w:val="en-US"/>
        </w:rPr>
        <w:t>Medicine schedule (Poisons Standard)</w:t>
      </w:r>
    </w:p>
    <w:p w14:paraId="2FADD452" w14:textId="77777777" w:rsidR="00DA3E6E" w:rsidRPr="00675A74" w:rsidRDefault="00DA3E6E" w:rsidP="001B4691">
      <w:pPr>
        <w:rPr>
          <w:lang w:val="en-US"/>
        </w:rPr>
      </w:pPr>
      <w:r w:rsidRPr="00C41BEC">
        <w:rPr>
          <w:rFonts w:cstheme="minorHAnsi"/>
          <w:lang w:val="en-US"/>
        </w:rPr>
        <w:t>Prescription Only Medicine (Schedule 4)</w:t>
      </w:r>
    </w:p>
    <w:p w14:paraId="3AB7193E" w14:textId="77777777" w:rsidR="00DA3E6E" w:rsidRPr="001B4691" w:rsidRDefault="00DA3E6E" w:rsidP="001B4691">
      <w:pPr>
        <w:pStyle w:val="Heading1"/>
        <w:spacing w:before="0" w:after="120"/>
        <w:rPr>
          <w:rFonts w:cstheme="minorHAnsi"/>
          <w:lang w:val="en-US"/>
        </w:rPr>
      </w:pPr>
      <w:r w:rsidRPr="00675A74">
        <w:rPr>
          <w:rFonts w:cstheme="minorHAnsi"/>
          <w:lang w:val="en-US"/>
        </w:rPr>
        <w:t>Sponsor</w:t>
      </w:r>
    </w:p>
    <w:p w14:paraId="1D5035FE" w14:textId="77777777" w:rsidR="00DA3E6E" w:rsidRPr="00C41BEC" w:rsidRDefault="00DA3E6E" w:rsidP="001B4691">
      <w:pPr>
        <w:rPr>
          <w:rFonts w:cstheme="minorHAnsi"/>
          <w:lang w:val="en-US"/>
        </w:rPr>
      </w:pPr>
      <w:r w:rsidRPr="00C41BEC">
        <w:rPr>
          <w:rFonts w:cstheme="minorHAnsi"/>
          <w:lang w:val="en-US"/>
        </w:rPr>
        <w:t>Arrowhead Australia Pty Ltd</w:t>
      </w:r>
    </w:p>
    <w:p w14:paraId="29341C47" w14:textId="3BEEF414" w:rsidR="00DA3E6E" w:rsidRPr="00767189" w:rsidRDefault="00DA3E6E" w:rsidP="001B4691">
      <w:pPr>
        <w:rPr>
          <w:rFonts w:cstheme="minorHAnsi"/>
          <w:lang w:val="en-US"/>
        </w:rPr>
      </w:pPr>
      <w:r w:rsidRPr="00C41BEC">
        <w:rPr>
          <w:rFonts w:cstheme="minorHAnsi"/>
          <w:lang w:val="en-US"/>
        </w:rPr>
        <w:t xml:space="preserve">Level </w:t>
      </w:r>
      <w:r w:rsidR="007C2F1F">
        <w:rPr>
          <w:rFonts w:cstheme="minorHAnsi"/>
          <w:lang w:val="en-US"/>
        </w:rPr>
        <w:t>2</w:t>
      </w:r>
      <w:r w:rsidRPr="00C41BEC">
        <w:rPr>
          <w:rFonts w:cstheme="minorHAnsi"/>
          <w:lang w:val="en-US"/>
        </w:rPr>
        <w:t xml:space="preserve"> / </w:t>
      </w:r>
      <w:r w:rsidR="007C2F1F">
        <w:rPr>
          <w:rFonts w:cstheme="minorHAnsi"/>
          <w:lang w:val="en-US"/>
        </w:rPr>
        <w:t>169 Pirie</w:t>
      </w:r>
      <w:r w:rsidRPr="00C41BEC">
        <w:rPr>
          <w:rFonts w:cstheme="minorHAnsi"/>
          <w:lang w:val="en-US"/>
        </w:rPr>
        <w:t xml:space="preserve"> Street</w:t>
      </w:r>
      <w:r>
        <w:rPr>
          <w:rFonts w:cstheme="minorHAnsi"/>
          <w:lang w:val="en-US"/>
        </w:rPr>
        <w:br/>
      </w:r>
      <w:r w:rsidR="007C2F1F" w:rsidRPr="007C2F1F">
        <w:rPr>
          <w:rFonts w:cstheme="minorHAnsi"/>
          <w:lang w:val="en-US"/>
        </w:rPr>
        <w:t>Adelaide SA 5000</w:t>
      </w:r>
      <w:r w:rsidRPr="00767189">
        <w:rPr>
          <w:rFonts w:cstheme="minorHAnsi"/>
          <w:lang w:val="en-US"/>
        </w:rPr>
        <w:t xml:space="preserve"> </w:t>
      </w:r>
    </w:p>
    <w:p w14:paraId="4F2DA2D0" w14:textId="703E221E" w:rsidR="00DA3E6E" w:rsidRPr="00675A74" w:rsidRDefault="00DA3E6E" w:rsidP="001B4691">
      <w:pPr>
        <w:rPr>
          <w:lang w:val="en-US"/>
        </w:rPr>
      </w:pPr>
      <w:r w:rsidRPr="00767189">
        <w:rPr>
          <w:rFonts w:cstheme="minorHAnsi"/>
          <w:lang w:val="en-US"/>
        </w:rPr>
        <w:t>Telephone:</w:t>
      </w:r>
      <w:r>
        <w:rPr>
          <w:rFonts w:cstheme="minorHAnsi"/>
          <w:lang w:val="en-US"/>
        </w:rPr>
        <w:t xml:space="preserve"> </w:t>
      </w:r>
      <w:r w:rsidR="00937882">
        <w:rPr>
          <w:rFonts w:cstheme="minorHAnsi"/>
          <w:lang w:val="en-US"/>
        </w:rPr>
        <w:t>1800 313</w:t>
      </w:r>
      <w:r w:rsidR="00CE4AE4">
        <w:rPr>
          <w:rFonts w:cstheme="minorHAnsi"/>
          <w:lang w:val="en-US"/>
        </w:rPr>
        <w:t xml:space="preserve"> </w:t>
      </w:r>
      <w:r w:rsidR="00937882">
        <w:rPr>
          <w:rFonts w:cstheme="minorHAnsi"/>
          <w:lang w:val="en-US"/>
        </w:rPr>
        <w:t>044</w:t>
      </w:r>
      <w:r>
        <w:rPr>
          <w:rFonts w:cstheme="minorHAnsi"/>
          <w:lang w:val="en-US"/>
        </w:rPr>
        <w:br/>
      </w:r>
      <w:r w:rsidRPr="00767189">
        <w:rPr>
          <w:rFonts w:cstheme="minorHAnsi"/>
          <w:lang w:val="en-US"/>
        </w:rPr>
        <w:t>Email:</w:t>
      </w:r>
      <w:r>
        <w:rPr>
          <w:rFonts w:cstheme="minorHAnsi"/>
          <w:lang w:val="en-US"/>
        </w:rPr>
        <w:t xml:space="preserve"> </w:t>
      </w:r>
      <w:r w:rsidR="00910870" w:rsidRPr="00910870">
        <w:rPr>
          <w:rFonts w:cstheme="minorHAnsi"/>
        </w:rPr>
        <w:t>medinfo@au.arrowheadpharma.com</w:t>
      </w:r>
      <w:r>
        <w:rPr>
          <w:lang w:val="en-US"/>
        </w:rPr>
        <w:br/>
      </w:r>
      <w:hyperlink r:id="rId14" w:history="1">
        <w:r w:rsidRPr="000B0551">
          <w:rPr>
            <w:rStyle w:val="Hyperlink"/>
            <w:lang w:val="en-US"/>
          </w:rPr>
          <w:t>www.arrowheadpharma.com</w:t>
        </w:r>
      </w:hyperlink>
      <w:r>
        <w:rPr>
          <w:lang w:val="en-US"/>
        </w:rPr>
        <w:t xml:space="preserve"> </w:t>
      </w:r>
    </w:p>
    <w:p w14:paraId="24CBE94B" w14:textId="77777777" w:rsidR="00DA3E6E" w:rsidRPr="001B4691" w:rsidRDefault="00DA3E6E" w:rsidP="001B4691">
      <w:pPr>
        <w:pStyle w:val="Heading1"/>
        <w:spacing w:before="0" w:after="120"/>
        <w:rPr>
          <w:rFonts w:cstheme="minorHAnsi"/>
          <w:lang w:val="en-US"/>
        </w:rPr>
      </w:pPr>
      <w:r w:rsidRPr="00675A74">
        <w:rPr>
          <w:rFonts w:cstheme="minorHAnsi"/>
          <w:lang w:val="en-US"/>
        </w:rPr>
        <w:t xml:space="preserve">Date of first approval </w:t>
      </w:r>
    </w:p>
    <w:p w14:paraId="3DC1B305" w14:textId="2B03C090" w:rsidR="00DA3E6E" w:rsidRPr="00675A74" w:rsidRDefault="009F4A7C" w:rsidP="001B4691">
      <w:pPr>
        <w:rPr>
          <w:lang w:val="en-US"/>
        </w:rPr>
      </w:pPr>
      <w:r>
        <w:rPr>
          <w:rFonts w:cstheme="minorHAnsi"/>
          <w:lang w:val="en-US"/>
        </w:rPr>
        <w:t>24 April 2026</w:t>
      </w:r>
    </w:p>
    <w:p w14:paraId="4AFD9950" w14:textId="77777777" w:rsidR="00DA3E6E" w:rsidRPr="00675A74" w:rsidRDefault="00DA3E6E">
      <w:pPr>
        <w:pStyle w:val="Heading1"/>
        <w:spacing w:before="0" w:after="120"/>
        <w:rPr>
          <w:rFonts w:cstheme="minorHAnsi"/>
          <w:lang w:val="en-US"/>
        </w:rPr>
      </w:pPr>
      <w:r w:rsidRPr="00675A74">
        <w:rPr>
          <w:rFonts w:cstheme="minorHAnsi"/>
          <w:lang w:val="en-US"/>
        </w:rPr>
        <w:lastRenderedPageBreak/>
        <w:t xml:space="preserve">Date of revision </w:t>
      </w:r>
    </w:p>
    <w:p w14:paraId="7DEF6B60" w14:textId="77777777" w:rsidR="00DA3E6E" w:rsidRPr="00675A74" w:rsidRDefault="00DA3E6E">
      <w:pPr>
        <w:pStyle w:val="Heading2"/>
        <w:numPr>
          <w:ilvl w:val="0"/>
          <w:numId w:val="0"/>
        </w:numPr>
        <w:spacing w:before="0" w:after="120"/>
        <w:rPr>
          <w:rFonts w:cstheme="minorHAnsi"/>
          <w:lang w:val="en-US"/>
        </w:rPr>
      </w:pPr>
      <w:r w:rsidRPr="00675A74">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DA3E6E" w:rsidRPr="00675A74" w14:paraId="04787D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64F72F7E" w14:textId="77777777" w:rsidR="00DA3E6E" w:rsidRPr="00675A74" w:rsidRDefault="00DA3E6E">
            <w:pPr>
              <w:rPr>
                <w:rFonts w:cstheme="minorHAnsi"/>
                <w:sz w:val="20"/>
                <w:lang w:val="en-US"/>
              </w:rPr>
            </w:pPr>
            <w:r w:rsidRPr="00675A74">
              <w:rPr>
                <w:rFonts w:cstheme="minorHAnsi"/>
                <w:sz w:val="20"/>
                <w:lang w:val="en-US"/>
              </w:rPr>
              <w:t>Section Changed</w:t>
            </w:r>
          </w:p>
        </w:tc>
        <w:tc>
          <w:tcPr>
            <w:tcW w:w="7858" w:type="dxa"/>
            <w:shd w:val="clear" w:color="auto" w:fill="F2F2F2" w:themeFill="background1" w:themeFillShade="F2"/>
            <w:vAlign w:val="center"/>
          </w:tcPr>
          <w:p w14:paraId="79E5EB15" w14:textId="77777777" w:rsidR="00DA3E6E" w:rsidRPr="00675A74" w:rsidRDefault="00DA3E6E">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675A74">
              <w:rPr>
                <w:rFonts w:cstheme="minorHAnsi"/>
                <w:sz w:val="20"/>
                <w:lang w:val="en-US"/>
              </w:rPr>
              <w:t>Summary of new information</w:t>
            </w:r>
          </w:p>
        </w:tc>
      </w:tr>
      <w:tr w:rsidR="00DA3E6E" w:rsidRPr="00675A74" w14:paraId="287FABE0" w14:textId="77777777">
        <w:tc>
          <w:tcPr>
            <w:cnfStyle w:val="001000000000" w:firstRow="0" w:lastRow="0" w:firstColumn="1" w:lastColumn="0" w:oddVBand="0" w:evenVBand="0" w:oddHBand="0" w:evenHBand="0" w:firstRowFirstColumn="0" w:firstRowLastColumn="0" w:lastRowFirstColumn="0" w:lastRowLastColumn="0"/>
            <w:tcW w:w="1384" w:type="dxa"/>
            <w:vAlign w:val="center"/>
          </w:tcPr>
          <w:p w14:paraId="1D75DDBF" w14:textId="77777777" w:rsidR="00DA3E6E" w:rsidRPr="00675A74" w:rsidRDefault="00DA3E6E" w:rsidP="00625BE0">
            <w:pPr>
              <w:rPr>
                <w:rFonts w:cstheme="minorHAnsi"/>
                <w:lang w:val="en-US"/>
              </w:rPr>
            </w:pPr>
            <w:r>
              <w:rPr>
                <w:rFonts w:cstheme="minorHAnsi"/>
                <w:lang w:val="en-US"/>
              </w:rPr>
              <w:t>All</w:t>
            </w:r>
          </w:p>
        </w:tc>
        <w:tc>
          <w:tcPr>
            <w:tcW w:w="7858" w:type="dxa"/>
            <w:vAlign w:val="center"/>
          </w:tcPr>
          <w:p w14:paraId="4DC8B975" w14:textId="77777777" w:rsidR="00DA3E6E" w:rsidRPr="00675A74" w:rsidRDefault="00DA3E6E" w:rsidP="00625BE0">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Pr>
                <w:rFonts w:asciiTheme="majorHAnsi" w:hAnsiTheme="majorHAnsi" w:cstheme="minorHAnsi"/>
                <w:lang w:val="en-US"/>
              </w:rPr>
              <w:t>New/initial PI document</w:t>
            </w:r>
          </w:p>
        </w:tc>
      </w:tr>
      <w:tr w:rsidR="00DA3E6E" w:rsidRPr="00675A74" w14:paraId="341DC7E1" w14:textId="77777777">
        <w:tc>
          <w:tcPr>
            <w:cnfStyle w:val="001000000000" w:firstRow="0" w:lastRow="0" w:firstColumn="1" w:lastColumn="0" w:oddVBand="0" w:evenVBand="0" w:oddHBand="0" w:evenHBand="0" w:firstRowFirstColumn="0" w:firstRowLastColumn="0" w:lastRowFirstColumn="0" w:lastRowLastColumn="0"/>
            <w:tcW w:w="1384" w:type="dxa"/>
            <w:vAlign w:val="center"/>
          </w:tcPr>
          <w:p w14:paraId="44F17935" w14:textId="77777777" w:rsidR="00DA3E6E" w:rsidRPr="00675A74" w:rsidRDefault="00DA3E6E">
            <w:pPr>
              <w:rPr>
                <w:rFonts w:cstheme="minorHAnsi"/>
                <w:lang w:val="en-US"/>
              </w:rPr>
            </w:pPr>
          </w:p>
        </w:tc>
        <w:tc>
          <w:tcPr>
            <w:tcW w:w="7858" w:type="dxa"/>
            <w:vAlign w:val="center"/>
          </w:tcPr>
          <w:p w14:paraId="7EC3AF01" w14:textId="77777777" w:rsidR="00DA3E6E" w:rsidRPr="00675A74" w:rsidRDefault="00DA3E6E">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DA3E6E" w:rsidRPr="00675A74" w14:paraId="24BACE18" w14:textId="77777777">
        <w:tc>
          <w:tcPr>
            <w:cnfStyle w:val="001000000000" w:firstRow="0" w:lastRow="0" w:firstColumn="1" w:lastColumn="0" w:oddVBand="0" w:evenVBand="0" w:oddHBand="0" w:evenHBand="0" w:firstRowFirstColumn="0" w:firstRowLastColumn="0" w:lastRowFirstColumn="0" w:lastRowLastColumn="0"/>
            <w:tcW w:w="1384" w:type="dxa"/>
            <w:vAlign w:val="center"/>
          </w:tcPr>
          <w:p w14:paraId="7589C8CB" w14:textId="77777777" w:rsidR="00DA3E6E" w:rsidRPr="00675A74" w:rsidRDefault="00DA3E6E">
            <w:pPr>
              <w:rPr>
                <w:rFonts w:cstheme="minorHAnsi"/>
                <w:lang w:val="en-US"/>
              </w:rPr>
            </w:pPr>
          </w:p>
        </w:tc>
        <w:tc>
          <w:tcPr>
            <w:tcW w:w="7858" w:type="dxa"/>
            <w:vAlign w:val="center"/>
          </w:tcPr>
          <w:p w14:paraId="41E90D94" w14:textId="77777777" w:rsidR="00DA3E6E" w:rsidRPr="00675A74" w:rsidRDefault="00DA3E6E">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2D8134B4" w14:textId="77777777" w:rsidR="00DA3E6E" w:rsidRPr="00675A74" w:rsidRDefault="00DA3E6E" w:rsidP="001A3992">
      <w:pPr>
        <w:spacing w:after="120"/>
        <w:rPr>
          <w:rFonts w:asciiTheme="majorHAnsi" w:hAnsiTheme="majorHAnsi" w:cstheme="minorHAnsi"/>
          <w:lang w:val="en-US"/>
        </w:rPr>
      </w:pPr>
    </w:p>
    <w:p w14:paraId="66195F03" w14:textId="77777777" w:rsidR="00B110DD" w:rsidRPr="00564BC2" w:rsidRDefault="00B110DD" w:rsidP="00FC6549">
      <w:pPr>
        <w:rPr>
          <w:lang w:val="en-US"/>
        </w:rPr>
      </w:pPr>
    </w:p>
    <w:sectPr w:rsidR="00B110DD" w:rsidRPr="00564BC2" w:rsidSect="00E41EF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8E9B" w14:textId="77777777" w:rsidR="002930B6" w:rsidRDefault="002930B6" w:rsidP="001A3992">
      <w:pPr>
        <w:spacing w:after="0"/>
      </w:pPr>
      <w:r>
        <w:separator/>
      </w:r>
    </w:p>
  </w:endnote>
  <w:endnote w:type="continuationSeparator" w:id="0">
    <w:p w14:paraId="51C5DCD0" w14:textId="77777777" w:rsidR="002930B6" w:rsidRDefault="002930B6" w:rsidP="001A3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8450" w14:textId="567E9066" w:rsidR="005847F4" w:rsidRDefault="005847F4">
    <w:pPr>
      <w:pStyle w:val="Footer"/>
    </w:pPr>
    <w:r>
      <w:rPr>
        <w:noProof/>
      </w:rPr>
      <mc:AlternateContent>
        <mc:Choice Requires="wps">
          <w:drawing>
            <wp:anchor distT="0" distB="0" distL="0" distR="0" simplePos="0" relativeHeight="251662336" behindDoc="0" locked="0" layoutInCell="1" allowOverlap="1" wp14:anchorId="50767597" wp14:editId="0587FAE9">
              <wp:simplePos x="635" y="635"/>
              <wp:positionH relativeFrom="page">
                <wp:align>center</wp:align>
              </wp:positionH>
              <wp:positionV relativeFrom="page">
                <wp:align>bottom</wp:align>
              </wp:positionV>
              <wp:extent cx="622300" cy="503555"/>
              <wp:effectExtent l="0" t="0" r="6350" b="0"/>
              <wp:wrapNone/>
              <wp:docPr id="1043832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3555"/>
                      </a:xfrm>
                      <a:prstGeom prst="rect">
                        <a:avLst/>
                      </a:prstGeom>
                      <a:noFill/>
                      <a:ln>
                        <a:noFill/>
                      </a:ln>
                    </wps:spPr>
                    <wps:txbx>
                      <w:txbxContent>
                        <w:p w14:paraId="57BAA972" w14:textId="2F0367D0" w:rsidR="005847F4" w:rsidRPr="005847F4" w:rsidRDefault="005847F4" w:rsidP="005847F4">
                          <w:pPr>
                            <w:spacing w:after="0"/>
                            <w:rPr>
                              <w:rFonts w:ascii="Aptos" w:eastAsia="Aptos" w:hAnsi="Aptos" w:cs="Aptos"/>
                              <w:noProof/>
                              <w:color w:val="FF0000"/>
                              <w:sz w:val="24"/>
                              <w:szCs w:val="24"/>
                            </w:rPr>
                          </w:pPr>
                          <w:r w:rsidRPr="005847F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67597" id="_x0000_t202" coordsize="21600,21600" o:spt="202" path="m,l,21600r21600,l21600,xe">
              <v:stroke joinstyle="miter"/>
              <v:path gradientshapeok="t" o:connecttype="rect"/>
            </v:shapetype>
            <v:shape id="Text Box 5" o:spid="_x0000_s1027" type="#_x0000_t202" alt="OFFICIAL" style="position:absolute;margin-left:0;margin-top:0;width:49pt;height:3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" filled="f" stroked="f">
              <v:textbox style="mso-fit-shape-to-text:t" inset="0,0,0,15pt">
                <w:txbxContent>
                  <w:p w14:paraId="57BAA972" w14:textId="2F0367D0" w:rsidR="005847F4" w:rsidRPr="005847F4" w:rsidRDefault="005847F4" w:rsidP="005847F4">
                    <w:pPr>
                      <w:spacing w:after="0"/>
                      <w:rPr>
                        <w:rFonts w:ascii="Aptos" w:eastAsia="Aptos" w:hAnsi="Aptos" w:cs="Aptos"/>
                        <w:noProof/>
                        <w:color w:val="FF0000"/>
                        <w:sz w:val="24"/>
                        <w:szCs w:val="24"/>
                      </w:rPr>
                    </w:pPr>
                    <w:r w:rsidRPr="005847F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2917"/>
      <w:gridCol w:w="2918"/>
    </w:tblGrid>
    <w:tr w:rsidR="00A772E9" w:rsidRPr="00FC6549" w14:paraId="7A1E5170" w14:textId="77777777" w:rsidTr="00FC6549">
      <w:trPr>
        <w:trHeight w:val="170"/>
      </w:trPr>
      <w:tc>
        <w:tcPr>
          <w:tcW w:w="1666" w:type="pct"/>
        </w:tcPr>
        <w:p w14:paraId="61DAB901" w14:textId="04CCEBB3" w:rsidR="00A772E9" w:rsidRPr="00FC6549" w:rsidRDefault="00FC6549" w:rsidP="00FC6549">
          <w:pPr>
            <w:pStyle w:val="Footer"/>
            <w:spacing w:before="120"/>
            <w:rPr>
              <w:rFonts w:asciiTheme="minorHAnsi" w:hAnsiTheme="minorHAnsi" w:cstheme="minorHAnsi"/>
            </w:rPr>
          </w:pPr>
          <w:proofErr w:type="spellStart"/>
          <w:r>
            <w:rPr>
              <w:rFonts w:asciiTheme="minorHAnsi" w:hAnsiTheme="minorHAnsi" w:cstheme="minorHAnsi"/>
            </w:rPr>
            <w:t>REDEMPLO</w:t>
          </w:r>
          <w:r w:rsidR="001E2006" w:rsidRPr="00FC6549">
            <w:rPr>
              <w:rFonts w:asciiTheme="minorHAnsi" w:hAnsiTheme="minorHAnsi" w:cstheme="minorHAnsi"/>
            </w:rPr>
            <w:t>_PI_v</w:t>
          </w:r>
          <w:r w:rsidR="009F4A7C">
            <w:rPr>
              <w:rFonts w:asciiTheme="minorHAnsi" w:hAnsiTheme="minorHAnsi" w:cstheme="minorHAnsi"/>
            </w:rPr>
            <w:t>1.0</w:t>
          </w:r>
          <w:r w:rsidR="001E2006" w:rsidRPr="00FC6549">
            <w:rPr>
              <w:rFonts w:asciiTheme="minorHAnsi" w:hAnsiTheme="minorHAnsi" w:cstheme="minorHAnsi"/>
            </w:rPr>
            <w:t>_</w:t>
          </w:r>
          <w:r w:rsidR="005E3C9B">
            <w:rPr>
              <w:rFonts w:asciiTheme="minorHAnsi" w:hAnsiTheme="minorHAnsi" w:cstheme="minorHAnsi"/>
            </w:rPr>
            <w:t>2</w:t>
          </w:r>
          <w:r w:rsidR="009F4A7C">
            <w:rPr>
              <w:rFonts w:asciiTheme="minorHAnsi" w:hAnsiTheme="minorHAnsi" w:cstheme="minorHAnsi"/>
            </w:rPr>
            <w:t>4April</w:t>
          </w:r>
          <w:r w:rsidR="00DE42CC">
            <w:rPr>
              <w:rFonts w:asciiTheme="minorHAnsi" w:hAnsiTheme="minorHAnsi" w:cstheme="minorHAnsi"/>
            </w:rPr>
            <w:t>2</w:t>
          </w:r>
          <w:r w:rsidR="009F4A7C">
            <w:rPr>
              <w:rFonts w:asciiTheme="minorHAnsi" w:hAnsiTheme="minorHAnsi" w:cstheme="minorHAnsi"/>
            </w:rPr>
            <w:t>02</w:t>
          </w:r>
          <w:r w:rsidR="00DE42CC">
            <w:rPr>
              <w:rFonts w:asciiTheme="minorHAnsi" w:hAnsiTheme="minorHAnsi" w:cstheme="minorHAnsi"/>
            </w:rPr>
            <w:t>6</w:t>
          </w:r>
          <w:proofErr w:type="spellEnd"/>
        </w:p>
      </w:tc>
      <w:tc>
        <w:tcPr>
          <w:tcW w:w="1667" w:type="pct"/>
        </w:tcPr>
        <w:p w14:paraId="1EF83CEC" w14:textId="77777777" w:rsidR="00A772E9" w:rsidRPr="00FC6549" w:rsidRDefault="00A772E9" w:rsidP="00FC6549">
          <w:pPr>
            <w:pStyle w:val="Footer"/>
            <w:spacing w:before="120"/>
            <w:rPr>
              <w:rFonts w:asciiTheme="minorHAnsi" w:hAnsiTheme="minorHAnsi" w:cstheme="minorHAnsi"/>
            </w:rPr>
          </w:pPr>
        </w:p>
      </w:tc>
      <w:tc>
        <w:tcPr>
          <w:tcW w:w="1667" w:type="pct"/>
        </w:tcPr>
        <w:p w14:paraId="3445F03E" w14:textId="77777777" w:rsidR="00A772E9" w:rsidRPr="00FC6549" w:rsidRDefault="00A772E9" w:rsidP="00FC6549">
          <w:pPr>
            <w:pStyle w:val="Footer"/>
            <w:spacing w:before="120"/>
            <w:jc w:val="right"/>
            <w:rPr>
              <w:rFonts w:asciiTheme="minorHAnsi" w:hAnsiTheme="minorHAnsi" w:cstheme="minorHAnsi"/>
            </w:rPr>
          </w:pPr>
          <w:r w:rsidRPr="00FC6549">
            <w:rPr>
              <w:rFonts w:asciiTheme="minorHAnsi" w:hAnsiTheme="minorHAnsi" w:cstheme="minorHAnsi"/>
            </w:rPr>
            <w:t xml:space="preserve">Page </w:t>
          </w:r>
          <w:r w:rsidRPr="00FC6549">
            <w:rPr>
              <w:rFonts w:asciiTheme="minorHAnsi" w:hAnsiTheme="minorHAnsi" w:cstheme="minorHAnsi"/>
              <w:b/>
              <w:bCs/>
            </w:rPr>
            <w:fldChar w:fldCharType="begin"/>
          </w:r>
          <w:r w:rsidRPr="00FC6549">
            <w:rPr>
              <w:rFonts w:asciiTheme="minorHAnsi" w:hAnsiTheme="minorHAnsi" w:cstheme="minorHAnsi"/>
              <w:b/>
              <w:bCs/>
            </w:rPr>
            <w:instrText xml:space="preserve"> PAGE  \* Arabic  \* MERGEFORMAT </w:instrText>
          </w:r>
          <w:r w:rsidRPr="00FC6549">
            <w:rPr>
              <w:rFonts w:asciiTheme="minorHAnsi" w:hAnsiTheme="minorHAnsi" w:cstheme="minorHAnsi"/>
              <w:b/>
              <w:bCs/>
            </w:rPr>
            <w:fldChar w:fldCharType="separate"/>
          </w:r>
          <w:r w:rsidRPr="00FC6549">
            <w:rPr>
              <w:rFonts w:asciiTheme="minorHAnsi" w:hAnsiTheme="minorHAnsi" w:cstheme="minorHAnsi"/>
              <w:b/>
              <w:bCs/>
              <w:noProof/>
            </w:rPr>
            <w:t>1</w:t>
          </w:r>
          <w:r w:rsidRPr="00FC6549">
            <w:rPr>
              <w:rFonts w:asciiTheme="minorHAnsi" w:hAnsiTheme="minorHAnsi" w:cstheme="minorHAnsi"/>
              <w:b/>
              <w:bCs/>
            </w:rPr>
            <w:fldChar w:fldCharType="end"/>
          </w:r>
          <w:r w:rsidRPr="00FC6549">
            <w:rPr>
              <w:rFonts w:asciiTheme="minorHAnsi" w:hAnsiTheme="minorHAnsi" w:cstheme="minorHAnsi"/>
            </w:rPr>
            <w:t xml:space="preserve"> of </w:t>
          </w:r>
          <w:r w:rsidRPr="00FC6549">
            <w:rPr>
              <w:rFonts w:asciiTheme="minorHAnsi" w:hAnsiTheme="minorHAnsi" w:cstheme="minorHAnsi"/>
              <w:b/>
              <w:bCs/>
            </w:rPr>
            <w:fldChar w:fldCharType="begin"/>
          </w:r>
          <w:r w:rsidRPr="00FC6549">
            <w:rPr>
              <w:rFonts w:asciiTheme="minorHAnsi" w:hAnsiTheme="minorHAnsi" w:cstheme="minorHAnsi"/>
              <w:b/>
              <w:bCs/>
            </w:rPr>
            <w:instrText xml:space="preserve"> NUMPAGES  \* Arabic  \* MERGEFORMAT </w:instrText>
          </w:r>
          <w:r w:rsidRPr="00FC6549">
            <w:rPr>
              <w:rFonts w:asciiTheme="minorHAnsi" w:hAnsiTheme="minorHAnsi" w:cstheme="minorHAnsi"/>
              <w:b/>
              <w:bCs/>
            </w:rPr>
            <w:fldChar w:fldCharType="separate"/>
          </w:r>
          <w:r w:rsidRPr="00FC6549">
            <w:rPr>
              <w:rFonts w:asciiTheme="minorHAnsi" w:hAnsiTheme="minorHAnsi" w:cstheme="minorHAnsi"/>
              <w:b/>
              <w:bCs/>
              <w:noProof/>
            </w:rPr>
            <w:t>2</w:t>
          </w:r>
          <w:r w:rsidRPr="00FC6549">
            <w:rPr>
              <w:rFonts w:asciiTheme="minorHAnsi" w:hAnsiTheme="minorHAnsi" w:cstheme="minorHAnsi"/>
              <w:b/>
              <w:bCs/>
            </w:rPr>
            <w:fldChar w:fldCharType="end"/>
          </w:r>
        </w:p>
      </w:tc>
    </w:tr>
  </w:tbl>
  <w:p w14:paraId="78272A7F" w14:textId="77777777" w:rsidR="00A772E9" w:rsidRPr="00675A74" w:rsidRDefault="00A772E9" w:rsidP="00675A7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9113" w14:textId="33DDE760" w:rsidR="005847F4" w:rsidRDefault="005847F4">
    <w:pPr>
      <w:pStyle w:val="Footer"/>
    </w:pPr>
    <w:r>
      <w:rPr>
        <w:noProof/>
      </w:rPr>
      <mc:AlternateContent>
        <mc:Choice Requires="wps">
          <w:drawing>
            <wp:anchor distT="0" distB="0" distL="0" distR="0" simplePos="0" relativeHeight="251661312" behindDoc="0" locked="0" layoutInCell="1" allowOverlap="1" wp14:anchorId="630214AE" wp14:editId="437DBD8D">
              <wp:simplePos x="635" y="635"/>
              <wp:positionH relativeFrom="page">
                <wp:align>center</wp:align>
              </wp:positionH>
              <wp:positionV relativeFrom="page">
                <wp:align>bottom</wp:align>
              </wp:positionV>
              <wp:extent cx="622300" cy="503555"/>
              <wp:effectExtent l="0" t="0" r="6350" b="0"/>
              <wp:wrapNone/>
              <wp:docPr id="1872508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3555"/>
                      </a:xfrm>
                      <a:prstGeom prst="rect">
                        <a:avLst/>
                      </a:prstGeom>
                      <a:noFill/>
                      <a:ln>
                        <a:noFill/>
                      </a:ln>
                    </wps:spPr>
                    <wps:txbx>
                      <w:txbxContent>
                        <w:p w14:paraId="7E5C66AB" w14:textId="39DBAC87" w:rsidR="005847F4" w:rsidRPr="005847F4" w:rsidRDefault="005847F4" w:rsidP="005847F4">
                          <w:pPr>
                            <w:spacing w:after="0"/>
                            <w:rPr>
                              <w:rFonts w:ascii="Aptos" w:eastAsia="Aptos" w:hAnsi="Aptos" w:cs="Aptos"/>
                              <w:noProof/>
                              <w:color w:val="FF0000"/>
                              <w:sz w:val="24"/>
                              <w:szCs w:val="24"/>
                            </w:rPr>
                          </w:pPr>
                          <w:r w:rsidRPr="005847F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214AE" id="_x0000_t202" coordsize="21600,21600" o:spt="202" path="m,l,21600r21600,l21600,xe">
              <v:stroke joinstyle="miter"/>
              <v:path gradientshapeok="t" o:connecttype="rect"/>
            </v:shapetype>
            <v:shape id="Text Box 4" o:spid="_x0000_s1029" type="#_x0000_t202" alt="OFFICIAL" style="position:absolute;margin-left:0;margin-top:0;width:49pt;height:3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" filled="f" stroked="f">
              <v:textbox style="mso-fit-shape-to-text:t" inset="0,0,0,15pt">
                <w:txbxContent>
                  <w:p w14:paraId="7E5C66AB" w14:textId="39DBAC87" w:rsidR="005847F4" w:rsidRPr="005847F4" w:rsidRDefault="005847F4" w:rsidP="005847F4">
                    <w:pPr>
                      <w:spacing w:after="0"/>
                      <w:rPr>
                        <w:rFonts w:ascii="Aptos" w:eastAsia="Aptos" w:hAnsi="Aptos" w:cs="Aptos"/>
                        <w:noProof/>
                        <w:color w:val="FF0000"/>
                        <w:sz w:val="24"/>
                        <w:szCs w:val="24"/>
                      </w:rPr>
                    </w:pPr>
                    <w:r w:rsidRPr="005847F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21BA" w14:textId="77777777" w:rsidR="002930B6" w:rsidRDefault="002930B6" w:rsidP="001A3992">
      <w:pPr>
        <w:spacing w:after="0"/>
      </w:pPr>
      <w:r>
        <w:separator/>
      </w:r>
    </w:p>
  </w:footnote>
  <w:footnote w:type="continuationSeparator" w:id="0">
    <w:p w14:paraId="74DE000D" w14:textId="77777777" w:rsidR="002930B6" w:rsidRDefault="002930B6" w:rsidP="001A39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02F5" w14:textId="4B2E4DAC" w:rsidR="005847F4" w:rsidRDefault="005847F4">
    <w:pPr>
      <w:pStyle w:val="Header"/>
    </w:pPr>
    <w:r>
      <w:rPr>
        <w:noProof/>
      </w:rPr>
      <mc:AlternateContent>
        <mc:Choice Requires="wps">
          <w:drawing>
            <wp:anchor distT="0" distB="0" distL="0" distR="0" simplePos="0" relativeHeight="251659264" behindDoc="0" locked="0" layoutInCell="1" allowOverlap="1" wp14:anchorId="4A66AB9B" wp14:editId="7F7ACC60">
              <wp:simplePos x="635" y="635"/>
              <wp:positionH relativeFrom="page">
                <wp:align>center</wp:align>
              </wp:positionH>
              <wp:positionV relativeFrom="page">
                <wp:align>top</wp:align>
              </wp:positionV>
              <wp:extent cx="622300" cy="503555"/>
              <wp:effectExtent l="0" t="0" r="6350" b="10795"/>
              <wp:wrapNone/>
              <wp:docPr id="9486000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3555"/>
                      </a:xfrm>
                      <a:prstGeom prst="rect">
                        <a:avLst/>
                      </a:prstGeom>
                      <a:noFill/>
                      <a:ln>
                        <a:noFill/>
                      </a:ln>
                    </wps:spPr>
                    <wps:txbx>
                      <w:txbxContent>
                        <w:p w14:paraId="5A1C83B2" w14:textId="12F5267F" w:rsidR="005847F4" w:rsidRPr="005847F4" w:rsidRDefault="005847F4" w:rsidP="005847F4">
                          <w:pPr>
                            <w:spacing w:after="0"/>
                            <w:rPr>
                              <w:rFonts w:ascii="Aptos" w:eastAsia="Aptos" w:hAnsi="Aptos" w:cs="Aptos"/>
                              <w:noProof/>
                              <w:color w:val="FF0000"/>
                              <w:sz w:val="24"/>
                              <w:szCs w:val="24"/>
                            </w:rPr>
                          </w:pPr>
                          <w:r w:rsidRPr="005847F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6AB9B" id="_x0000_t202" coordsize="21600,21600" o:spt="202" path="m,l,21600r21600,l21600,xe">
              <v:stroke joinstyle="miter"/>
              <v:path gradientshapeok="t" o:connecttype="rect"/>
            </v:shapetype>
            <v:shape id="Text Box 2" o:spid="_x0000_s1026" type="#_x0000_t202" alt="OFFICIAL" style="position:absolute;margin-left:0;margin-top:0;width:49pt;height:3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" filled="f" stroked="f">
              <v:textbox style="mso-fit-shape-to-text:t" inset="0,15pt,0,0">
                <w:txbxContent>
                  <w:p w14:paraId="5A1C83B2" w14:textId="12F5267F" w:rsidR="005847F4" w:rsidRPr="005847F4" w:rsidRDefault="005847F4" w:rsidP="005847F4">
                    <w:pPr>
                      <w:spacing w:after="0"/>
                      <w:rPr>
                        <w:rFonts w:ascii="Aptos" w:eastAsia="Aptos" w:hAnsi="Aptos" w:cs="Aptos"/>
                        <w:noProof/>
                        <w:color w:val="FF0000"/>
                        <w:sz w:val="24"/>
                        <w:szCs w:val="24"/>
                      </w:rPr>
                    </w:pPr>
                    <w:r w:rsidRPr="005847F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4DB7" w14:textId="77777777" w:rsidR="00E41EFB" w:rsidRPr="00E41EFB" w:rsidRDefault="00E41EFB" w:rsidP="00E41EFB">
    <w:pPr>
      <w:shd w:val="clear" w:color="auto" w:fill="FFFFFF"/>
      <w:spacing w:before="0" w:after="160" w:line="259" w:lineRule="auto"/>
      <w:rPr>
        <w:rFonts w:ascii="Segoe UI" w:eastAsia="Aptos" w:hAnsi="Segoe UI" w:cs="Segoe UI"/>
        <w:b/>
        <w:bCs/>
        <w:color w:val="333333"/>
        <w:kern w:val="2"/>
        <w:sz w:val="20"/>
        <w:szCs w:val="24"/>
        <w14:ligatures w14:val="standardContextual"/>
      </w:rPr>
    </w:pPr>
    <w:bookmarkStart w:id="13" w:name="_Hlk213754947"/>
  </w:p>
  <w:tbl>
    <w:tblPr>
      <w:tblStyle w:val="TableGrid1"/>
      <w:tblW w:w="9209" w:type="dxa"/>
      <w:shd w:val="clear" w:color="auto" w:fill="E4F2E0"/>
      <w:tblLook w:val="04A0" w:firstRow="1" w:lastRow="0" w:firstColumn="1" w:lastColumn="0" w:noHBand="0" w:noVBand="1"/>
    </w:tblPr>
    <w:tblGrid>
      <w:gridCol w:w="9209"/>
    </w:tblGrid>
    <w:tr w:rsidR="00E41EFB" w:rsidRPr="00E41EFB" w14:paraId="6FA8F6E8" w14:textId="77777777" w:rsidTr="00AB28E8">
      <w:trPr>
        <w:trHeight w:val="1012"/>
      </w:trPr>
      <w:tc>
        <w:tcPr>
          <w:tcW w:w="9209" w:type="dxa"/>
          <w:shd w:val="clear" w:color="auto" w:fill="E4F2E0"/>
        </w:tcPr>
        <w:p w14:paraId="3EC9562C" w14:textId="77777777" w:rsidR="00E41EFB" w:rsidRPr="00E41EFB" w:rsidRDefault="00E41EFB" w:rsidP="00E41EFB">
          <w:pPr>
            <w:tabs>
              <w:tab w:val="center" w:pos="4513"/>
              <w:tab w:val="right" w:pos="9026"/>
            </w:tabs>
            <w:spacing w:before="0"/>
            <w:rPr>
              <w:rFonts w:ascii="Cambria" w:eastAsia="Aptos" w:hAnsi="Cambria" w:cs="Times New Roman"/>
              <w:b/>
              <w:bCs/>
              <w:kern w:val="2"/>
              <w:sz w:val="18"/>
              <w:szCs w:val="18"/>
              <w14:ligatures w14:val="standardContextual"/>
            </w:rPr>
          </w:pPr>
          <w:bookmarkStart w:id="14" w:name="_Hlk109054010"/>
          <w:proofErr w:type="spellStart"/>
          <w:r w:rsidRPr="00E41EFB">
            <w:rPr>
              <w:rFonts w:ascii="Cambria" w:eastAsia="Aptos" w:hAnsi="Cambria" w:cs="Times New Roman"/>
              <w:b/>
              <w:bCs/>
              <w:kern w:val="2"/>
              <w:sz w:val="18"/>
              <w:szCs w:val="18"/>
              <w14:ligatures w14:val="standardContextual"/>
            </w:rPr>
            <w:t>AusPAR</w:t>
          </w:r>
          <w:proofErr w:type="spellEnd"/>
          <w:r w:rsidRPr="00E41EFB">
            <w:rPr>
              <w:rFonts w:ascii="Cambria" w:eastAsia="Aptos" w:hAnsi="Cambria" w:cs="Times New Roman"/>
              <w:b/>
              <w:bCs/>
              <w:kern w:val="2"/>
              <w:sz w:val="18"/>
              <w:szCs w:val="18"/>
              <w14:ligatures w14:val="standardContextual"/>
            </w:rPr>
            <w:t xml:space="preserve"> - </w:t>
          </w:r>
          <w:proofErr w:type="spellStart"/>
          <w:r w:rsidRPr="00E41EFB">
            <w:rPr>
              <w:rFonts w:ascii="Cambria" w:eastAsia="Aptos" w:hAnsi="Cambria" w:cs="Times New Roman"/>
              <w:b/>
              <w:bCs/>
              <w:kern w:val="2"/>
              <w:sz w:val="18"/>
              <w:szCs w:val="18"/>
              <w14:ligatures w14:val="standardContextual"/>
            </w:rPr>
            <w:t>Redemplo</w:t>
          </w:r>
          <w:proofErr w:type="spellEnd"/>
          <w:r w:rsidRPr="00E41EFB">
            <w:rPr>
              <w:rFonts w:ascii="Cambria" w:eastAsia="Aptos" w:hAnsi="Cambria" w:cs="Times New Roman"/>
              <w:b/>
              <w:bCs/>
              <w:kern w:val="2"/>
              <w:sz w:val="18"/>
              <w:szCs w:val="18"/>
              <w14:ligatures w14:val="standardContextual"/>
            </w:rPr>
            <w:t xml:space="preserve"> – </w:t>
          </w:r>
          <w:proofErr w:type="spellStart"/>
          <w:r w:rsidRPr="00E41EFB">
            <w:rPr>
              <w:rFonts w:ascii="Cambria" w:eastAsia="Aptos" w:hAnsi="Cambria" w:cs="Times New Roman"/>
              <w:b/>
              <w:bCs/>
              <w:kern w:val="2"/>
              <w:sz w:val="18"/>
              <w:szCs w:val="18"/>
              <w14:ligatures w14:val="standardContextual"/>
            </w:rPr>
            <w:t>plozasiran</w:t>
          </w:r>
          <w:proofErr w:type="spellEnd"/>
          <w:r w:rsidRPr="00E41EFB">
            <w:rPr>
              <w:rFonts w:ascii="Cambria" w:eastAsia="Aptos" w:hAnsi="Cambria" w:cs="Times New Roman"/>
              <w:b/>
              <w:bCs/>
              <w:kern w:val="2"/>
              <w:sz w:val="18"/>
              <w:szCs w:val="18"/>
              <w14:ligatures w14:val="standardContextual"/>
            </w:rPr>
            <w:t xml:space="preserve"> sodium - Arrowhead Australia Pty Ltd - PM-2025-03576-1-6</w:t>
          </w:r>
        </w:p>
        <w:p w14:paraId="4CFBB704" w14:textId="77777777" w:rsidR="00E41EFB" w:rsidRPr="00E41EFB" w:rsidRDefault="00E41EFB" w:rsidP="00E41EFB">
          <w:pPr>
            <w:tabs>
              <w:tab w:val="center" w:pos="4513"/>
              <w:tab w:val="right" w:pos="9026"/>
            </w:tabs>
            <w:spacing w:before="0"/>
            <w:rPr>
              <w:rFonts w:ascii="Cambria" w:eastAsia="Aptos" w:hAnsi="Cambria" w:cs="Times New Roman"/>
              <w:b/>
              <w:bCs/>
              <w:kern w:val="2"/>
              <w:sz w:val="18"/>
              <w:szCs w:val="18"/>
              <w14:ligatures w14:val="standardContextual"/>
            </w:rPr>
          </w:pPr>
          <w:r w:rsidRPr="00E41EFB">
            <w:rPr>
              <w:rFonts w:ascii="Cambria" w:eastAsia="Aptos" w:hAnsi="Cambria" w:cs="Times New Roman"/>
              <w:b/>
              <w:bCs/>
              <w:kern w:val="2"/>
              <w:sz w:val="18"/>
              <w:szCs w:val="18"/>
              <w14:ligatures w14:val="standardContextual"/>
            </w:rPr>
            <w:t xml:space="preserve">Date of Finalisation: 21 July 2026. </w:t>
          </w:r>
          <w:r w:rsidRPr="00E41EFB">
            <w:rPr>
              <w:rFonts w:ascii="Cambria" w:eastAsia="Aptos" w:hAnsi="Cambria" w:cs="Times New Roman"/>
              <w:b/>
              <w:kern w:val="2"/>
              <w:sz w:val="18"/>
              <w:szCs w:val="18"/>
              <w14:ligatures w14:val="standardContextual"/>
            </w:rPr>
            <w:t xml:space="preserve">This is the Product Information that was approved with the submission described in this </w:t>
          </w:r>
          <w:proofErr w:type="spellStart"/>
          <w:r w:rsidRPr="00E41EFB">
            <w:rPr>
              <w:rFonts w:ascii="Cambria" w:eastAsia="Aptos" w:hAnsi="Cambria" w:cs="Times New Roman"/>
              <w:b/>
              <w:kern w:val="2"/>
              <w:sz w:val="18"/>
              <w:szCs w:val="18"/>
              <w14:ligatures w14:val="standardContextual"/>
            </w:rPr>
            <w:t>AusPAR</w:t>
          </w:r>
          <w:proofErr w:type="spellEnd"/>
          <w:r w:rsidRPr="00E41EFB">
            <w:rPr>
              <w:rFonts w:ascii="Cambria" w:eastAsia="Aptos" w:hAnsi="Cambria" w:cs="Times New Roman"/>
              <w:b/>
              <w:kern w:val="2"/>
              <w:sz w:val="18"/>
              <w:szCs w:val="18"/>
              <w14:ligatures w14:val="standardContextual"/>
            </w:rPr>
            <w:t>. It may have been superseded. For the most recent PI, please refer to the TGA website at &lt;</w:t>
          </w:r>
          <w:hyperlink r:id="rId1" w:history="1">
            <w:r w:rsidRPr="00E41EFB">
              <w:rPr>
                <w:rFonts w:ascii="Cambria" w:eastAsia="Aptos" w:hAnsi="Cambria" w:cs="Times New Roman"/>
                <w:color w:val="0000FF"/>
                <w:kern w:val="2"/>
                <w:sz w:val="18"/>
                <w:szCs w:val="18"/>
                <w:u w:val="single"/>
                <w14:ligatures w14:val="standardContextual"/>
              </w:rPr>
              <w:t>https://www.tga.gov.au/products/australian-register-therapeutic-goods-artg/product-information-pi</w:t>
            </w:r>
          </w:hyperlink>
          <w:r w:rsidRPr="00E41EFB">
            <w:rPr>
              <w:rFonts w:ascii="Cambria" w:eastAsia="Aptos" w:hAnsi="Cambria" w:cs="Times New Roman"/>
              <w:b/>
              <w:kern w:val="2"/>
              <w:sz w:val="18"/>
              <w:szCs w:val="18"/>
              <w:u w:val="single"/>
              <w14:ligatures w14:val="standardContextual"/>
            </w:rPr>
            <w:t>&gt;</w:t>
          </w:r>
        </w:p>
      </w:tc>
    </w:tr>
    <w:bookmarkEnd w:id="13"/>
    <w:bookmarkEnd w:id="14"/>
  </w:tbl>
  <w:p w14:paraId="4015160C" w14:textId="77777777" w:rsidR="00E41EFB" w:rsidRPr="00E41EFB" w:rsidRDefault="00E41EFB" w:rsidP="00E41EFB">
    <w:pPr>
      <w:shd w:val="clear" w:color="auto" w:fill="FFFFFF"/>
      <w:spacing w:before="0" w:after="160" w:line="259" w:lineRule="auto"/>
      <w:rPr>
        <w:rFonts w:ascii="Segoe UI" w:eastAsia="Aptos" w:hAnsi="Segoe UI" w:cs="Segoe UI"/>
        <w:color w:val="333333"/>
        <w:kern w:val="2"/>
        <w:sz w:val="20"/>
        <w:szCs w:val="24"/>
        <w14:ligatures w14:val="standardContextu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D5A8" w14:textId="226E68D6" w:rsidR="005847F4" w:rsidRDefault="005847F4">
    <w:pPr>
      <w:pStyle w:val="Header"/>
    </w:pPr>
    <w:r>
      <w:rPr>
        <w:noProof/>
      </w:rPr>
      <mc:AlternateContent>
        <mc:Choice Requires="wps">
          <w:drawing>
            <wp:anchor distT="0" distB="0" distL="0" distR="0" simplePos="0" relativeHeight="251658240" behindDoc="0" locked="0" layoutInCell="1" allowOverlap="1" wp14:anchorId="00B8A3A0" wp14:editId="5CF8ACE0">
              <wp:simplePos x="635" y="635"/>
              <wp:positionH relativeFrom="page">
                <wp:align>center</wp:align>
              </wp:positionH>
              <wp:positionV relativeFrom="page">
                <wp:align>top</wp:align>
              </wp:positionV>
              <wp:extent cx="622300" cy="503555"/>
              <wp:effectExtent l="0" t="0" r="6350" b="10795"/>
              <wp:wrapNone/>
              <wp:docPr id="18795334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3555"/>
                      </a:xfrm>
                      <a:prstGeom prst="rect">
                        <a:avLst/>
                      </a:prstGeom>
                      <a:noFill/>
                      <a:ln>
                        <a:noFill/>
                      </a:ln>
                    </wps:spPr>
                    <wps:txbx>
                      <w:txbxContent>
                        <w:p w14:paraId="676575C8" w14:textId="3A6478F6" w:rsidR="005847F4" w:rsidRPr="005847F4" w:rsidRDefault="005847F4" w:rsidP="005847F4">
                          <w:pPr>
                            <w:spacing w:after="0"/>
                            <w:rPr>
                              <w:rFonts w:ascii="Aptos" w:eastAsia="Aptos" w:hAnsi="Aptos" w:cs="Aptos"/>
                              <w:noProof/>
                              <w:color w:val="FF0000"/>
                              <w:sz w:val="24"/>
                              <w:szCs w:val="24"/>
                            </w:rPr>
                          </w:pPr>
                          <w:r w:rsidRPr="005847F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8A3A0" id="_x0000_t202" coordsize="21600,21600" o:spt="202" path="m,l,21600r21600,l21600,xe">
              <v:stroke joinstyle="miter"/>
              <v:path gradientshapeok="t" o:connecttype="rect"/>
            </v:shapetype>
            <v:shape id="Text Box 1" o:spid="_x0000_s1028" type="#_x0000_t202" alt="OFFICIAL" style="position:absolute;margin-left:0;margin-top:0;width:49pt;height:3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" filled="f" stroked="f">
              <v:textbox style="mso-fit-shape-to-text:t" inset="0,15pt,0,0">
                <w:txbxContent>
                  <w:p w14:paraId="676575C8" w14:textId="3A6478F6" w:rsidR="005847F4" w:rsidRPr="005847F4" w:rsidRDefault="005847F4" w:rsidP="005847F4">
                    <w:pPr>
                      <w:spacing w:after="0"/>
                      <w:rPr>
                        <w:rFonts w:ascii="Aptos" w:eastAsia="Aptos" w:hAnsi="Aptos" w:cs="Aptos"/>
                        <w:noProof/>
                        <w:color w:val="FF0000"/>
                        <w:sz w:val="24"/>
                        <w:szCs w:val="24"/>
                      </w:rPr>
                    </w:pPr>
                    <w:r w:rsidRPr="005847F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3244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FFC2B5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B76CF7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E85258D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EE92F77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EFD2028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4287A5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5885FD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AA0A0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FBC6CC2"/>
    <w:lvl w:ilvl="0">
      <w:start w:val="1"/>
      <w:numFmt w:val="decimal"/>
      <w:pStyle w:val="ListNumber"/>
      <w:lvlText w:val="%1."/>
      <w:lvlJc w:val="left"/>
      <w:pPr>
        <w:tabs>
          <w:tab w:val="num" w:pos="360"/>
        </w:tabs>
        <w:ind w:left="360" w:hanging="360"/>
      </w:pPr>
    </w:lvl>
  </w:abstractNum>
  <w:abstractNum w:abstractNumId="10" w15:restartNumberingAfterBreak="0">
    <w:nsid w:val="002D7681"/>
    <w:multiLevelType w:val="hybridMultilevel"/>
    <w:tmpl w:val="08A05CCE"/>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343CC"/>
    <w:multiLevelType w:val="hybridMultilevel"/>
    <w:tmpl w:val="525611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9163D9"/>
    <w:multiLevelType w:val="hybridMultilevel"/>
    <w:tmpl w:val="74B83BD6"/>
    <w:lvl w:ilvl="0" w:tplc="018A6DDE">
      <w:start w:val="1"/>
      <w:numFmt w:val="bullet"/>
      <w:lvlText w:val=""/>
      <w:lvlJc w:val="left"/>
      <w:pPr>
        <w:ind w:left="1060" w:hanging="360"/>
      </w:pPr>
      <w:rPr>
        <w:rFonts w:ascii="Symbol" w:hAnsi="Symbol"/>
      </w:rPr>
    </w:lvl>
    <w:lvl w:ilvl="1" w:tplc="4CB675D2">
      <w:start w:val="1"/>
      <w:numFmt w:val="bullet"/>
      <w:lvlText w:val=""/>
      <w:lvlJc w:val="left"/>
      <w:pPr>
        <w:ind w:left="1060" w:hanging="360"/>
      </w:pPr>
      <w:rPr>
        <w:rFonts w:ascii="Symbol" w:hAnsi="Symbol"/>
      </w:rPr>
    </w:lvl>
    <w:lvl w:ilvl="2" w:tplc="9E408748">
      <w:start w:val="1"/>
      <w:numFmt w:val="bullet"/>
      <w:lvlText w:val=""/>
      <w:lvlJc w:val="left"/>
      <w:pPr>
        <w:ind w:left="1060" w:hanging="360"/>
      </w:pPr>
      <w:rPr>
        <w:rFonts w:ascii="Symbol" w:hAnsi="Symbol"/>
      </w:rPr>
    </w:lvl>
    <w:lvl w:ilvl="3" w:tplc="5FBC42FA">
      <w:start w:val="1"/>
      <w:numFmt w:val="bullet"/>
      <w:lvlText w:val=""/>
      <w:lvlJc w:val="left"/>
      <w:pPr>
        <w:ind w:left="1060" w:hanging="360"/>
      </w:pPr>
      <w:rPr>
        <w:rFonts w:ascii="Symbol" w:hAnsi="Symbol"/>
      </w:rPr>
    </w:lvl>
    <w:lvl w:ilvl="4" w:tplc="BF7EFE4C">
      <w:start w:val="1"/>
      <w:numFmt w:val="bullet"/>
      <w:lvlText w:val=""/>
      <w:lvlJc w:val="left"/>
      <w:pPr>
        <w:ind w:left="1060" w:hanging="360"/>
      </w:pPr>
      <w:rPr>
        <w:rFonts w:ascii="Symbol" w:hAnsi="Symbol"/>
      </w:rPr>
    </w:lvl>
    <w:lvl w:ilvl="5" w:tplc="38068BE8">
      <w:start w:val="1"/>
      <w:numFmt w:val="bullet"/>
      <w:lvlText w:val=""/>
      <w:lvlJc w:val="left"/>
      <w:pPr>
        <w:ind w:left="1060" w:hanging="360"/>
      </w:pPr>
      <w:rPr>
        <w:rFonts w:ascii="Symbol" w:hAnsi="Symbol"/>
      </w:rPr>
    </w:lvl>
    <w:lvl w:ilvl="6" w:tplc="C0C4CFD4">
      <w:start w:val="1"/>
      <w:numFmt w:val="bullet"/>
      <w:lvlText w:val=""/>
      <w:lvlJc w:val="left"/>
      <w:pPr>
        <w:ind w:left="1060" w:hanging="360"/>
      </w:pPr>
      <w:rPr>
        <w:rFonts w:ascii="Symbol" w:hAnsi="Symbol"/>
      </w:rPr>
    </w:lvl>
    <w:lvl w:ilvl="7" w:tplc="7F9E3FA4">
      <w:start w:val="1"/>
      <w:numFmt w:val="bullet"/>
      <w:lvlText w:val=""/>
      <w:lvlJc w:val="left"/>
      <w:pPr>
        <w:ind w:left="1060" w:hanging="360"/>
      </w:pPr>
      <w:rPr>
        <w:rFonts w:ascii="Symbol" w:hAnsi="Symbol"/>
      </w:rPr>
    </w:lvl>
    <w:lvl w:ilvl="8" w:tplc="028CFE3E">
      <w:start w:val="1"/>
      <w:numFmt w:val="bullet"/>
      <w:lvlText w:val=""/>
      <w:lvlJc w:val="left"/>
      <w:pPr>
        <w:ind w:left="1060" w:hanging="360"/>
      </w:pPr>
      <w:rPr>
        <w:rFonts w:ascii="Symbol" w:hAnsi="Symbol"/>
      </w:rPr>
    </w:lvl>
  </w:abstractNum>
  <w:abstractNum w:abstractNumId="14" w15:restartNumberingAfterBreak="0">
    <w:nsid w:val="0A191374"/>
    <w:multiLevelType w:val="hybridMultilevel"/>
    <w:tmpl w:val="90FA2C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E0602E"/>
    <w:multiLevelType w:val="hybridMultilevel"/>
    <w:tmpl w:val="5F942C4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B41537"/>
    <w:multiLevelType w:val="hybridMultilevel"/>
    <w:tmpl w:val="2A926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10659D"/>
    <w:multiLevelType w:val="hybridMultilevel"/>
    <w:tmpl w:val="E8022E82"/>
    <w:lvl w:ilvl="0" w:tplc="09204F46">
      <w:start w:val="4"/>
      <w:numFmt w:val="bullet"/>
      <w:lvlText w:val="-"/>
      <w:lvlJc w:val="left"/>
      <w:pPr>
        <w:ind w:left="720" w:hanging="360"/>
      </w:pPr>
      <w:rPr>
        <w:rFonts w:ascii="Aptos" w:eastAsia="Aptos"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1F68C9"/>
    <w:multiLevelType w:val="hybridMultilevel"/>
    <w:tmpl w:val="7B5A89E0"/>
    <w:lvl w:ilvl="0" w:tplc="CF80E43E">
      <w:start w:val="1"/>
      <w:numFmt w:val="bullet"/>
      <w:lvlText w:val=""/>
      <w:lvlJc w:val="left"/>
      <w:pPr>
        <w:ind w:left="720" w:hanging="360"/>
      </w:pPr>
      <w:rPr>
        <w:rFonts w:ascii="Symbol" w:hAnsi="Symbol"/>
      </w:rPr>
    </w:lvl>
    <w:lvl w:ilvl="1" w:tplc="C3DA0C6E">
      <w:start w:val="1"/>
      <w:numFmt w:val="bullet"/>
      <w:lvlText w:val=""/>
      <w:lvlJc w:val="left"/>
      <w:pPr>
        <w:ind w:left="720" w:hanging="360"/>
      </w:pPr>
      <w:rPr>
        <w:rFonts w:ascii="Symbol" w:hAnsi="Symbol"/>
      </w:rPr>
    </w:lvl>
    <w:lvl w:ilvl="2" w:tplc="28F46306">
      <w:start w:val="1"/>
      <w:numFmt w:val="bullet"/>
      <w:lvlText w:val=""/>
      <w:lvlJc w:val="left"/>
      <w:pPr>
        <w:ind w:left="720" w:hanging="360"/>
      </w:pPr>
      <w:rPr>
        <w:rFonts w:ascii="Symbol" w:hAnsi="Symbol"/>
      </w:rPr>
    </w:lvl>
    <w:lvl w:ilvl="3" w:tplc="32681A9E">
      <w:start w:val="1"/>
      <w:numFmt w:val="bullet"/>
      <w:lvlText w:val=""/>
      <w:lvlJc w:val="left"/>
      <w:pPr>
        <w:ind w:left="720" w:hanging="360"/>
      </w:pPr>
      <w:rPr>
        <w:rFonts w:ascii="Symbol" w:hAnsi="Symbol"/>
      </w:rPr>
    </w:lvl>
    <w:lvl w:ilvl="4" w:tplc="6C38FAA2">
      <w:start w:val="1"/>
      <w:numFmt w:val="bullet"/>
      <w:lvlText w:val=""/>
      <w:lvlJc w:val="left"/>
      <w:pPr>
        <w:ind w:left="720" w:hanging="360"/>
      </w:pPr>
      <w:rPr>
        <w:rFonts w:ascii="Symbol" w:hAnsi="Symbol"/>
      </w:rPr>
    </w:lvl>
    <w:lvl w:ilvl="5" w:tplc="AD4260DC">
      <w:start w:val="1"/>
      <w:numFmt w:val="bullet"/>
      <w:lvlText w:val=""/>
      <w:lvlJc w:val="left"/>
      <w:pPr>
        <w:ind w:left="720" w:hanging="360"/>
      </w:pPr>
      <w:rPr>
        <w:rFonts w:ascii="Symbol" w:hAnsi="Symbol"/>
      </w:rPr>
    </w:lvl>
    <w:lvl w:ilvl="6" w:tplc="5CF217FA">
      <w:start w:val="1"/>
      <w:numFmt w:val="bullet"/>
      <w:lvlText w:val=""/>
      <w:lvlJc w:val="left"/>
      <w:pPr>
        <w:ind w:left="720" w:hanging="360"/>
      </w:pPr>
      <w:rPr>
        <w:rFonts w:ascii="Symbol" w:hAnsi="Symbol"/>
      </w:rPr>
    </w:lvl>
    <w:lvl w:ilvl="7" w:tplc="36A85354">
      <w:start w:val="1"/>
      <w:numFmt w:val="bullet"/>
      <w:lvlText w:val=""/>
      <w:lvlJc w:val="left"/>
      <w:pPr>
        <w:ind w:left="720" w:hanging="360"/>
      </w:pPr>
      <w:rPr>
        <w:rFonts w:ascii="Symbol" w:hAnsi="Symbol"/>
      </w:rPr>
    </w:lvl>
    <w:lvl w:ilvl="8" w:tplc="2BFCF0B8">
      <w:start w:val="1"/>
      <w:numFmt w:val="bullet"/>
      <w:lvlText w:val=""/>
      <w:lvlJc w:val="left"/>
      <w:pPr>
        <w:ind w:left="720" w:hanging="360"/>
      </w:pPr>
      <w:rPr>
        <w:rFonts w:ascii="Symbol" w:hAnsi="Symbol"/>
      </w:rPr>
    </w:lvl>
  </w:abstractNum>
  <w:abstractNum w:abstractNumId="21" w15:restartNumberingAfterBreak="0">
    <w:nsid w:val="44CA495E"/>
    <w:multiLevelType w:val="hybridMultilevel"/>
    <w:tmpl w:val="B1942B44"/>
    <w:lvl w:ilvl="0" w:tplc="EAC2B008">
      <w:start w:val="1"/>
      <w:numFmt w:val="bullet"/>
      <w:pStyle w:val="blacktriangle"/>
      <w:lvlText w:val="q"/>
      <w:lvlJc w:val="left"/>
      <w:pPr>
        <w:ind w:left="360" w:hanging="360"/>
      </w:pPr>
      <w:rPr>
        <w:rFonts w:ascii="Wingdings 3" w:hAnsi="Wingdings 3" w:hint="default"/>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88185B"/>
    <w:multiLevelType w:val="hybridMultilevel"/>
    <w:tmpl w:val="085E3A98"/>
    <w:lvl w:ilvl="0" w:tplc="28F2175C">
      <w:start w:val="1"/>
      <w:numFmt w:val="bullet"/>
      <w:lvlText w:val=""/>
      <w:lvlJc w:val="left"/>
      <w:pPr>
        <w:ind w:left="720" w:hanging="360"/>
      </w:pPr>
      <w:rPr>
        <w:rFonts w:ascii="Symbol" w:hAnsi="Symbol"/>
      </w:rPr>
    </w:lvl>
    <w:lvl w:ilvl="1" w:tplc="6D2A7C1C">
      <w:start w:val="1"/>
      <w:numFmt w:val="bullet"/>
      <w:lvlText w:val=""/>
      <w:lvlJc w:val="left"/>
      <w:pPr>
        <w:ind w:left="720" w:hanging="360"/>
      </w:pPr>
      <w:rPr>
        <w:rFonts w:ascii="Symbol" w:hAnsi="Symbol"/>
      </w:rPr>
    </w:lvl>
    <w:lvl w:ilvl="2" w:tplc="D914529E">
      <w:start w:val="1"/>
      <w:numFmt w:val="bullet"/>
      <w:lvlText w:val=""/>
      <w:lvlJc w:val="left"/>
      <w:pPr>
        <w:ind w:left="720" w:hanging="360"/>
      </w:pPr>
      <w:rPr>
        <w:rFonts w:ascii="Symbol" w:hAnsi="Symbol"/>
      </w:rPr>
    </w:lvl>
    <w:lvl w:ilvl="3" w:tplc="C7F6AC30">
      <w:start w:val="1"/>
      <w:numFmt w:val="bullet"/>
      <w:lvlText w:val=""/>
      <w:lvlJc w:val="left"/>
      <w:pPr>
        <w:ind w:left="720" w:hanging="360"/>
      </w:pPr>
      <w:rPr>
        <w:rFonts w:ascii="Symbol" w:hAnsi="Symbol"/>
      </w:rPr>
    </w:lvl>
    <w:lvl w:ilvl="4" w:tplc="5058C998">
      <w:start w:val="1"/>
      <w:numFmt w:val="bullet"/>
      <w:lvlText w:val=""/>
      <w:lvlJc w:val="left"/>
      <w:pPr>
        <w:ind w:left="720" w:hanging="360"/>
      </w:pPr>
      <w:rPr>
        <w:rFonts w:ascii="Symbol" w:hAnsi="Symbol"/>
      </w:rPr>
    </w:lvl>
    <w:lvl w:ilvl="5" w:tplc="52A63218">
      <w:start w:val="1"/>
      <w:numFmt w:val="bullet"/>
      <w:lvlText w:val=""/>
      <w:lvlJc w:val="left"/>
      <w:pPr>
        <w:ind w:left="720" w:hanging="360"/>
      </w:pPr>
      <w:rPr>
        <w:rFonts w:ascii="Symbol" w:hAnsi="Symbol"/>
      </w:rPr>
    </w:lvl>
    <w:lvl w:ilvl="6" w:tplc="4C8CE79A">
      <w:start w:val="1"/>
      <w:numFmt w:val="bullet"/>
      <w:lvlText w:val=""/>
      <w:lvlJc w:val="left"/>
      <w:pPr>
        <w:ind w:left="720" w:hanging="360"/>
      </w:pPr>
      <w:rPr>
        <w:rFonts w:ascii="Symbol" w:hAnsi="Symbol"/>
      </w:rPr>
    </w:lvl>
    <w:lvl w:ilvl="7" w:tplc="969A2036">
      <w:start w:val="1"/>
      <w:numFmt w:val="bullet"/>
      <w:lvlText w:val=""/>
      <w:lvlJc w:val="left"/>
      <w:pPr>
        <w:ind w:left="720" w:hanging="360"/>
      </w:pPr>
      <w:rPr>
        <w:rFonts w:ascii="Symbol" w:hAnsi="Symbol"/>
      </w:rPr>
    </w:lvl>
    <w:lvl w:ilvl="8" w:tplc="1DC45212">
      <w:start w:val="1"/>
      <w:numFmt w:val="bullet"/>
      <w:lvlText w:val=""/>
      <w:lvlJc w:val="left"/>
      <w:pPr>
        <w:ind w:left="720" w:hanging="360"/>
      </w:pPr>
      <w:rPr>
        <w:rFonts w:ascii="Symbol" w:hAnsi="Symbol"/>
      </w:rPr>
    </w:lvl>
  </w:abstractNum>
  <w:abstractNum w:abstractNumId="2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8A653C"/>
    <w:multiLevelType w:val="hybridMultilevel"/>
    <w:tmpl w:val="CF1AA9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3C049C"/>
    <w:multiLevelType w:val="hybridMultilevel"/>
    <w:tmpl w:val="0C403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ABCA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096856">
    <w:abstractNumId w:val="28"/>
  </w:num>
  <w:num w:numId="2" w16cid:durableId="1594122137">
    <w:abstractNumId w:val="15"/>
  </w:num>
  <w:num w:numId="3" w16cid:durableId="1091241046">
    <w:abstractNumId w:val="12"/>
  </w:num>
  <w:num w:numId="4" w16cid:durableId="875847660">
    <w:abstractNumId w:val="22"/>
  </w:num>
  <w:num w:numId="5" w16cid:durableId="1421175533">
    <w:abstractNumId w:val="32"/>
  </w:num>
  <w:num w:numId="6" w16cid:durableId="1010066321">
    <w:abstractNumId w:val="29"/>
  </w:num>
  <w:num w:numId="7" w16cid:durableId="1894345874">
    <w:abstractNumId w:val="25"/>
  </w:num>
  <w:num w:numId="8" w16cid:durableId="1921017291">
    <w:abstractNumId w:val="30"/>
  </w:num>
  <w:num w:numId="9" w16cid:durableId="621765731">
    <w:abstractNumId w:val="19"/>
  </w:num>
  <w:num w:numId="10" w16cid:durableId="768894831">
    <w:abstractNumId w:val="24"/>
  </w:num>
  <w:num w:numId="11" w16cid:durableId="1118719113">
    <w:abstractNumId w:val="26"/>
  </w:num>
  <w:num w:numId="12" w16cid:durableId="488448950">
    <w:abstractNumId w:val="14"/>
  </w:num>
  <w:num w:numId="13" w16cid:durableId="945577099">
    <w:abstractNumId w:val="17"/>
  </w:num>
  <w:num w:numId="14" w16cid:durableId="1198932133">
    <w:abstractNumId w:val="0"/>
  </w:num>
  <w:num w:numId="15" w16cid:durableId="605618366">
    <w:abstractNumId w:val="18"/>
  </w:num>
  <w:num w:numId="16" w16cid:durableId="848914042">
    <w:abstractNumId w:val="28"/>
  </w:num>
  <w:num w:numId="17" w16cid:durableId="364866351">
    <w:abstractNumId w:val="28"/>
  </w:num>
  <w:num w:numId="18" w16cid:durableId="734666718">
    <w:abstractNumId w:val="13"/>
  </w:num>
  <w:num w:numId="19" w16cid:durableId="713314551">
    <w:abstractNumId w:val="20"/>
  </w:num>
  <w:num w:numId="20" w16cid:durableId="1261570745">
    <w:abstractNumId w:val="31"/>
  </w:num>
  <w:num w:numId="21" w16cid:durableId="124666460">
    <w:abstractNumId w:val="23"/>
  </w:num>
  <w:num w:numId="22" w16cid:durableId="65340645">
    <w:abstractNumId w:val="10"/>
  </w:num>
  <w:num w:numId="23" w16cid:durableId="545869232">
    <w:abstractNumId w:val="28"/>
  </w:num>
  <w:num w:numId="24" w16cid:durableId="1472863074">
    <w:abstractNumId w:val="28"/>
  </w:num>
  <w:num w:numId="25" w16cid:durableId="155462619">
    <w:abstractNumId w:val="16"/>
  </w:num>
  <w:num w:numId="26" w16cid:durableId="1554778885">
    <w:abstractNumId w:val="27"/>
  </w:num>
  <w:num w:numId="27" w16cid:durableId="1540360755">
    <w:abstractNumId w:val="11"/>
  </w:num>
  <w:num w:numId="28" w16cid:durableId="1331785658">
    <w:abstractNumId w:val="8"/>
  </w:num>
  <w:num w:numId="29" w16cid:durableId="1064374369">
    <w:abstractNumId w:val="7"/>
  </w:num>
  <w:num w:numId="30" w16cid:durableId="2092849268">
    <w:abstractNumId w:val="6"/>
  </w:num>
  <w:num w:numId="31" w16cid:durableId="1556811562">
    <w:abstractNumId w:val="5"/>
  </w:num>
  <w:num w:numId="32" w16cid:durableId="1655644984">
    <w:abstractNumId w:val="9"/>
  </w:num>
  <w:num w:numId="33" w16cid:durableId="1578398173">
    <w:abstractNumId w:val="4"/>
  </w:num>
  <w:num w:numId="34" w16cid:durableId="778254305">
    <w:abstractNumId w:val="3"/>
  </w:num>
  <w:num w:numId="35" w16cid:durableId="623463465">
    <w:abstractNumId w:val="2"/>
  </w:num>
  <w:num w:numId="36" w16cid:durableId="538784738">
    <w:abstractNumId w:val="1"/>
  </w:num>
  <w:num w:numId="37" w16cid:durableId="17099138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75"/>
    <w:rsid w:val="00000377"/>
    <w:rsid w:val="0000328A"/>
    <w:rsid w:val="00004BEC"/>
    <w:rsid w:val="00006D01"/>
    <w:rsid w:val="00007534"/>
    <w:rsid w:val="000102B9"/>
    <w:rsid w:val="00010EAE"/>
    <w:rsid w:val="000113E1"/>
    <w:rsid w:val="00011AA8"/>
    <w:rsid w:val="00012D11"/>
    <w:rsid w:val="00012DE4"/>
    <w:rsid w:val="00013E6A"/>
    <w:rsid w:val="00014F96"/>
    <w:rsid w:val="00015774"/>
    <w:rsid w:val="000159F6"/>
    <w:rsid w:val="00015E3F"/>
    <w:rsid w:val="00015E68"/>
    <w:rsid w:val="00016C1F"/>
    <w:rsid w:val="00017296"/>
    <w:rsid w:val="0001770A"/>
    <w:rsid w:val="0002032E"/>
    <w:rsid w:val="000203C1"/>
    <w:rsid w:val="00020EFC"/>
    <w:rsid w:val="000224DE"/>
    <w:rsid w:val="00026433"/>
    <w:rsid w:val="000311E6"/>
    <w:rsid w:val="00031209"/>
    <w:rsid w:val="000318DA"/>
    <w:rsid w:val="00031A01"/>
    <w:rsid w:val="00032A3C"/>
    <w:rsid w:val="00033892"/>
    <w:rsid w:val="00033BE0"/>
    <w:rsid w:val="00033F8A"/>
    <w:rsid w:val="000342E8"/>
    <w:rsid w:val="0003487A"/>
    <w:rsid w:val="0003519C"/>
    <w:rsid w:val="00035469"/>
    <w:rsid w:val="000363ED"/>
    <w:rsid w:val="000366A6"/>
    <w:rsid w:val="00037277"/>
    <w:rsid w:val="00037E16"/>
    <w:rsid w:val="0004145A"/>
    <w:rsid w:val="00041574"/>
    <w:rsid w:val="00042576"/>
    <w:rsid w:val="00042D93"/>
    <w:rsid w:val="0004456E"/>
    <w:rsid w:val="000446A8"/>
    <w:rsid w:val="00046C3B"/>
    <w:rsid w:val="00047C94"/>
    <w:rsid w:val="00047E92"/>
    <w:rsid w:val="00050ED0"/>
    <w:rsid w:val="00051DF4"/>
    <w:rsid w:val="00052609"/>
    <w:rsid w:val="00053221"/>
    <w:rsid w:val="0005363A"/>
    <w:rsid w:val="0005476A"/>
    <w:rsid w:val="0005516E"/>
    <w:rsid w:val="00056182"/>
    <w:rsid w:val="00056BC4"/>
    <w:rsid w:val="00056BEE"/>
    <w:rsid w:val="0005755C"/>
    <w:rsid w:val="000577DA"/>
    <w:rsid w:val="00057957"/>
    <w:rsid w:val="00057E9A"/>
    <w:rsid w:val="0006047E"/>
    <w:rsid w:val="00060FA0"/>
    <w:rsid w:val="000623EE"/>
    <w:rsid w:val="000624BA"/>
    <w:rsid w:val="00062ECB"/>
    <w:rsid w:val="0006310D"/>
    <w:rsid w:val="0006359E"/>
    <w:rsid w:val="00064730"/>
    <w:rsid w:val="0006502F"/>
    <w:rsid w:val="00065EA4"/>
    <w:rsid w:val="00066383"/>
    <w:rsid w:val="00066995"/>
    <w:rsid w:val="00067588"/>
    <w:rsid w:val="000675A8"/>
    <w:rsid w:val="000735D2"/>
    <w:rsid w:val="00073D8E"/>
    <w:rsid w:val="000743C3"/>
    <w:rsid w:val="00074609"/>
    <w:rsid w:val="00075286"/>
    <w:rsid w:val="00075526"/>
    <w:rsid w:val="0007593D"/>
    <w:rsid w:val="00077E76"/>
    <w:rsid w:val="00080045"/>
    <w:rsid w:val="000807B7"/>
    <w:rsid w:val="00081834"/>
    <w:rsid w:val="00082DE0"/>
    <w:rsid w:val="00085C23"/>
    <w:rsid w:val="00086257"/>
    <w:rsid w:val="00086B75"/>
    <w:rsid w:val="00087E44"/>
    <w:rsid w:val="00090966"/>
    <w:rsid w:val="000923FC"/>
    <w:rsid w:val="0009401E"/>
    <w:rsid w:val="0009491E"/>
    <w:rsid w:val="000962F4"/>
    <w:rsid w:val="00096903"/>
    <w:rsid w:val="0009739B"/>
    <w:rsid w:val="0009788E"/>
    <w:rsid w:val="000A2750"/>
    <w:rsid w:val="000A38D0"/>
    <w:rsid w:val="000A3D94"/>
    <w:rsid w:val="000A4C7D"/>
    <w:rsid w:val="000A57BF"/>
    <w:rsid w:val="000A6CCC"/>
    <w:rsid w:val="000A6D7B"/>
    <w:rsid w:val="000A6E17"/>
    <w:rsid w:val="000B0610"/>
    <w:rsid w:val="000B0741"/>
    <w:rsid w:val="000B125B"/>
    <w:rsid w:val="000B1699"/>
    <w:rsid w:val="000B4978"/>
    <w:rsid w:val="000B53DC"/>
    <w:rsid w:val="000B5DF8"/>
    <w:rsid w:val="000B7120"/>
    <w:rsid w:val="000B7654"/>
    <w:rsid w:val="000C01D2"/>
    <w:rsid w:val="000C16B7"/>
    <w:rsid w:val="000C1D95"/>
    <w:rsid w:val="000C50C1"/>
    <w:rsid w:val="000C7601"/>
    <w:rsid w:val="000D1768"/>
    <w:rsid w:val="000D28C7"/>
    <w:rsid w:val="000D450D"/>
    <w:rsid w:val="000D4EB2"/>
    <w:rsid w:val="000D58E1"/>
    <w:rsid w:val="000D6A78"/>
    <w:rsid w:val="000D6BFB"/>
    <w:rsid w:val="000D6C54"/>
    <w:rsid w:val="000D74AF"/>
    <w:rsid w:val="000E042A"/>
    <w:rsid w:val="000E0C28"/>
    <w:rsid w:val="000E0DF6"/>
    <w:rsid w:val="000E19F1"/>
    <w:rsid w:val="000E1F25"/>
    <w:rsid w:val="000E20E2"/>
    <w:rsid w:val="000E214B"/>
    <w:rsid w:val="000E2D27"/>
    <w:rsid w:val="000E4EEA"/>
    <w:rsid w:val="000E6297"/>
    <w:rsid w:val="000F1B1A"/>
    <w:rsid w:val="000F2601"/>
    <w:rsid w:val="000F43DA"/>
    <w:rsid w:val="000F5032"/>
    <w:rsid w:val="000F50D8"/>
    <w:rsid w:val="000F59E6"/>
    <w:rsid w:val="000F6114"/>
    <w:rsid w:val="000F6803"/>
    <w:rsid w:val="000F70BF"/>
    <w:rsid w:val="000F7A03"/>
    <w:rsid w:val="0010044D"/>
    <w:rsid w:val="00100F68"/>
    <w:rsid w:val="001015D2"/>
    <w:rsid w:val="001019F0"/>
    <w:rsid w:val="00102A5D"/>
    <w:rsid w:val="00103391"/>
    <w:rsid w:val="00103BB8"/>
    <w:rsid w:val="00104AD3"/>
    <w:rsid w:val="0010601A"/>
    <w:rsid w:val="0010625B"/>
    <w:rsid w:val="001062AB"/>
    <w:rsid w:val="00106A31"/>
    <w:rsid w:val="0010765A"/>
    <w:rsid w:val="00107941"/>
    <w:rsid w:val="00107C14"/>
    <w:rsid w:val="0011151B"/>
    <w:rsid w:val="00112736"/>
    <w:rsid w:val="00112D29"/>
    <w:rsid w:val="00112F51"/>
    <w:rsid w:val="00114281"/>
    <w:rsid w:val="00114579"/>
    <w:rsid w:val="00114D5F"/>
    <w:rsid w:val="0011531C"/>
    <w:rsid w:val="0011570A"/>
    <w:rsid w:val="00116440"/>
    <w:rsid w:val="00116A01"/>
    <w:rsid w:val="0011711C"/>
    <w:rsid w:val="00124466"/>
    <w:rsid w:val="00124C37"/>
    <w:rsid w:val="00124CE8"/>
    <w:rsid w:val="001253F8"/>
    <w:rsid w:val="00126062"/>
    <w:rsid w:val="0012608C"/>
    <w:rsid w:val="00126F4C"/>
    <w:rsid w:val="001273AD"/>
    <w:rsid w:val="001278A7"/>
    <w:rsid w:val="00127904"/>
    <w:rsid w:val="00130B38"/>
    <w:rsid w:val="00130DA8"/>
    <w:rsid w:val="00131D84"/>
    <w:rsid w:val="00132423"/>
    <w:rsid w:val="00132D5B"/>
    <w:rsid w:val="00134DC3"/>
    <w:rsid w:val="00135D41"/>
    <w:rsid w:val="00136069"/>
    <w:rsid w:val="00136781"/>
    <w:rsid w:val="00137D8A"/>
    <w:rsid w:val="00137D93"/>
    <w:rsid w:val="00141367"/>
    <w:rsid w:val="00141601"/>
    <w:rsid w:val="00141D51"/>
    <w:rsid w:val="001429F8"/>
    <w:rsid w:val="00143120"/>
    <w:rsid w:val="00143793"/>
    <w:rsid w:val="0014473B"/>
    <w:rsid w:val="001458B8"/>
    <w:rsid w:val="0014643D"/>
    <w:rsid w:val="001467A3"/>
    <w:rsid w:val="001476B2"/>
    <w:rsid w:val="001502F5"/>
    <w:rsid w:val="00151C2D"/>
    <w:rsid w:val="00152398"/>
    <w:rsid w:val="00152414"/>
    <w:rsid w:val="001536A9"/>
    <w:rsid w:val="00154A90"/>
    <w:rsid w:val="00154B91"/>
    <w:rsid w:val="00154F4C"/>
    <w:rsid w:val="00155015"/>
    <w:rsid w:val="00155361"/>
    <w:rsid w:val="00155E60"/>
    <w:rsid w:val="00155F4A"/>
    <w:rsid w:val="001564DB"/>
    <w:rsid w:val="001600AB"/>
    <w:rsid w:val="00160367"/>
    <w:rsid w:val="001609CC"/>
    <w:rsid w:val="001614FF"/>
    <w:rsid w:val="00162763"/>
    <w:rsid w:val="00162CEC"/>
    <w:rsid w:val="001652F3"/>
    <w:rsid w:val="00165372"/>
    <w:rsid w:val="00165E42"/>
    <w:rsid w:val="00166241"/>
    <w:rsid w:val="0016635C"/>
    <w:rsid w:val="001677E3"/>
    <w:rsid w:val="00170144"/>
    <w:rsid w:val="00170259"/>
    <w:rsid w:val="0017090C"/>
    <w:rsid w:val="00171932"/>
    <w:rsid w:val="00171ACF"/>
    <w:rsid w:val="00172B77"/>
    <w:rsid w:val="00173960"/>
    <w:rsid w:val="001742F5"/>
    <w:rsid w:val="00174977"/>
    <w:rsid w:val="001752EC"/>
    <w:rsid w:val="001757F9"/>
    <w:rsid w:val="00175C76"/>
    <w:rsid w:val="00176F9D"/>
    <w:rsid w:val="001804EF"/>
    <w:rsid w:val="00180701"/>
    <w:rsid w:val="001809F0"/>
    <w:rsid w:val="00183364"/>
    <w:rsid w:val="00186F90"/>
    <w:rsid w:val="00192811"/>
    <w:rsid w:val="001936BB"/>
    <w:rsid w:val="0019408C"/>
    <w:rsid w:val="0019518E"/>
    <w:rsid w:val="001956FB"/>
    <w:rsid w:val="0019709D"/>
    <w:rsid w:val="00197283"/>
    <w:rsid w:val="00197A88"/>
    <w:rsid w:val="00197E6B"/>
    <w:rsid w:val="001A1462"/>
    <w:rsid w:val="001A18DF"/>
    <w:rsid w:val="001A2D78"/>
    <w:rsid w:val="001A3992"/>
    <w:rsid w:val="001A3F9B"/>
    <w:rsid w:val="001A62E5"/>
    <w:rsid w:val="001A76CC"/>
    <w:rsid w:val="001B035F"/>
    <w:rsid w:val="001B0F4F"/>
    <w:rsid w:val="001B100D"/>
    <w:rsid w:val="001B2D52"/>
    <w:rsid w:val="001B4691"/>
    <w:rsid w:val="001B4DF7"/>
    <w:rsid w:val="001B5937"/>
    <w:rsid w:val="001B5B18"/>
    <w:rsid w:val="001B6B42"/>
    <w:rsid w:val="001C0B31"/>
    <w:rsid w:val="001C128E"/>
    <w:rsid w:val="001C166C"/>
    <w:rsid w:val="001C19E0"/>
    <w:rsid w:val="001C347E"/>
    <w:rsid w:val="001C4051"/>
    <w:rsid w:val="001C4892"/>
    <w:rsid w:val="001C5F29"/>
    <w:rsid w:val="001C6823"/>
    <w:rsid w:val="001C6E84"/>
    <w:rsid w:val="001D0631"/>
    <w:rsid w:val="001D2073"/>
    <w:rsid w:val="001D2084"/>
    <w:rsid w:val="001D43AD"/>
    <w:rsid w:val="001D4BB2"/>
    <w:rsid w:val="001D654E"/>
    <w:rsid w:val="001D6561"/>
    <w:rsid w:val="001D7616"/>
    <w:rsid w:val="001E1BA2"/>
    <w:rsid w:val="001E2006"/>
    <w:rsid w:val="001E2DB0"/>
    <w:rsid w:val="001E53E6"/>
    <w:rsid w:val="001E6E04"/>
    <w:rsid w:val="001F19AB"/>
    <w:rsid w:val="001F227B"/>
    <w:rsid w:val="001F25E4"/>
    <w:rsid w:val="001F2611"/>
    <w:rsid w:val="001F4506"/>
    <w:rsid w:val="001F484A"/>
    <w:rsid w:val="001F48ED"/>
    <w:rsid w:val="001F7EC8"/>
    <w:rsid w:val="00200F0F"/>
    <w:rsid w:val="00202F20"/>
    <w:rsid w:val="00204E5E"/>
    <w:rsid w:val="00205077"/>
    <w:rsid w:val="00206130"/>
    <w:rsid w:val="002101B4"/>
    <w:rsid w:val="002119BC"/>
    <w:rsid w:val="0021266D"/>
    <w:rsid w:val="0021403E"/>
    <w:rsid w:val="0021432E"/>
    <w:rsid w:val="00215460"/>
    <w:rsid w:val="002158B0"/>
    <w:rsid w:val="00216190"/>
    <w:rsid w:val="002168F1"/>
    <w:rsid w:val="00216C12"/>
    <w:rsid w:val="002219D0"/>
    <w:rsid w:val="0022213F"/>
    <w:rsid w:val="002222E6"/>
    <w:rsid w:val="002223CB"/>
    <w:rsid w:val="002225EC"/>
    <w:rsid w:val="00222E29"/>
    <w:rsid w:val="00223399"/>
    <w:rsid w:val="00223766"/>
    <w:rsid w:val="0022391F"/>
    <w:rsid w:val="002247ED"/>
    <w:rsid w:val="00225903"/>
    <w:rsid w:val="00226CF1"/>
    <w:rsid w:val="00226CF7"/>
    <w:rsid w:val="0023036D"/>
    <w:rsid w:val="00230941"/>
    <w:rsid w:val="00231681"/>
    <w:rsid w:val="002320A6"/>
    <w:rsid w:val="002322D3"/>
    <w:rsid w:val="002332B4"/>
    <w:rsid w:val="00233917"/>
    <w:rsid w:val="00234481"/>
    <w:rsid w:val="002355FD"/>
    <w:rsid w:val="00235755"/>
    <w:rsid w:val="00235926"/>
    <w:rsid w:val="00235EDA"/>
    <w:rsid w:val="00236007"/>
    <w:rsid w:val="0023607F"/>
    <w:rsid w:val="002366B4"/>
    <w:rsid w:val="00236D9E"/>
    <w:rsid w:val="00237113"/>
    <w:rsid w:val="002406EB"/>
    <w:rsid w:val="002419FA"/>
    <w:rsid w:val="002436DA"/>
    <w:rsid w:val="0024379A"/>
    <w:rsid w:val="00244667"/>
    <w:rsid w:val="00245404"/>
    <w:rsid w:val="00245560"/>
    <w:rsid w:val="00245EE2"/>
    <w:rsid w:val="00246F90"/>
    <w:rsid w:val="00247A11"/>
    <w:rsid w:val="00250124"/>
    <w:rsid w:val="00252562"/>
    <w:rsid w:val="00253086"/>
    <w:rsid w:val="002551CD"/>
    <w:rsid w:val="00255509"/>
    <w:rsid w:val="00255695"/>
    <w:rsid w:val="0025608B"/>
    <w:rsid w:val="00256412"/>
    <w:rsid w:val="00256C40"/>
    <w:rsid w:val="0026011C"/>
    <w:rsid w:val="002603F3"/>
    <w:rsid w:val="00260F33"/>
    <w:rsid w:val="0026129A"/>
    <w:rsid w:val="002612E8"/>
    <w:rsid w:val="0026196D"/>
    <w:rsid w:val="00262A3C"/>
    <w:rsid w:val="00263C11"/>
    <w:rsid w:val="00265398"/>
    <w:rsid w:val="002668D3"/>
    <w:rsid w:val="002668D6"/>
    <w:rsid w:val="00266EE5"/>
    <w:rsid w:val="00267A6D"/>
    <w:rsid w:val="00271E47"/>
    <w:rsid w:val="00272A12"/>
    <w:rsid w:val="002738C4"/>
    <w:rsid w:val="00275E0B"/>
    <w:rsid w:val="00280221"/>
    <w:rsid w:val="00282C20"/>
    <w:rsid w:val="00282D5D"/>
    <w:rsid w:val="002831A2"/>
    <w:rsid w:val="002832EA"/>
    <w:rsid w:val="00283B95"/>
    <w:rsid w:val="0028680A"/>
    <w:rsid w:val="00286A51"/>
    <w:rsid w:val="00287E53"/>
    <w:rsid w:val="00290127"/>
    <w:rsid w:val="00290158"/>
    <w:rsid w:val="00290BEE"/>
    <w:rsid w:val="0029132E"/>
    <w:rsid w:val="00292B30"/>
    <w:rsid w:val="002930B6"/>
    <w:rsid w:val="00295422"/>
    <w:rsid w:val="00296D51"/>
    <w:rsid w:val="002A2A27"/>
    <w:rsid w:val="002A3BD8"/>
    <w:rsid w:val="002A5897"/>
    <w:rsid w:val="002A7CA2"/>
    <w:rsid w:val="002B13C4"/>
    <w:rsid w:val="002B2E0A"/>
    <w:rsid w:val="002B347B"/>
    <w:rsid w:val="002B36BD"/>
    <w:rsid w:val="002B424E"/>
    <w:rsid w:val="002B4716"/>
    <w:rsid w:val="002B4918"/>
    <w:rsid w:val="002B4C99"/>
    <w:rsid w:val="002B5720"/>
    <w:rsid w:val="002B7880"/>
    <w:rsid w:val="002B7B5F"/>
    <w:rsid w:val="002C00E1"/>
    <w:rsid w:val="002C12A1"/>
    <w:rsid w:val="002C174F"/>
    <w:rsid w:val="002C1A49"/>
    <w:rsid w:val="002C4006"/>
    <w:rsid w:val="002C4E62"/>
    <w:rsid w:val="002C65FB"/>
    <w:rsid w:val="002C6B5A"/>
    <w:rsid w:val="002D0F61"/>
    <w:rsid w:val="002D198B"/>
    <w:rsid w:val="002D2460"/>
    <w:rsid w:val="002D3C5E"/>
    <w:rsid w:val="002D4727"/>
    <w:rsid w:val="002D4D48"/>
    <w:rsid w:val="002D5CDF"/>
    <w:rsid w:val="002D7202"/>
    <w:rsid w:val="002D74EA"/>
    <w:rsid w:val="002D7516"/>
    <w:rsid w:val="002D7799"/>
    <w:rsid w:val="002D7D4F"/>
    <w:rsid w:val="002E04C1"/>
    <w:rsid w:val="002E0691"/>
    <w:rsid w:val="002E1028"/>
    <w:rsid w:val="002E1DB2"/>
    <w:rsid w:val="002E277D"/>
    <w:rsid w:val="002E29B4"/>
    <w:rsid w:val="002E4585"/>
    <w:rsid w:val="002E4847"/>
    <w:rsid w:val="002E518B"/>
    <w:rsid w:val="002E5A68"/>
    <w:rsid w:val="002E5B7A"/>
    <w:rsid w:val="002E63CC"/>
    <w:rsid w:val="002E7078"/>
    <w:rsid w:val="002E78EB"/>
    <w:rsid w:val="002E7BBA"/>
    <w:rsid w:val="002F1A47"/>
    <w:rsid w:val="002F1D1F"/>
    <w:rsid w:val="002F76AE"/>
    <w:rsid w:val="002F7BF4"/>
    <w:rsid w:val="00300149"/>
    <w:rsid w:val="00300732"/>
    <w:rsid w:val="003008B8"/>
    <w:rsid w:val="00302217"/>
    <w:rsid w:val="00302F1D"/>
    <w:rsid w:val="00303646"/>
    <w:rsid w:val="003039B5"/>
    <w:rsid w:val="00303FC1"/>
    <w:rsid w:val="00304690"/>
    <w:rsid w:val="003047D1"/>
    <w:rsid w:val="00304DFC"/>
    <w:rsid w:val="00306829"/>
    <w:rsid w:val="0031136B"/>
    <w:rsid w:val="003122C3"/>
    <w:rsid w:val="00312B23"/>
    <w:rsid w:val="003145DA"/>
    <w:rsid w:val="00316970"/>
    <w:rsid w:val="00317C45"/>
    <w:rsid w:val="0032013B"/>
    <w:rsid w:val="003206B0"/>
    <w:rsid w:val="00322993"/>
    <w:rsid w:val="00323B42"/>
    <w:rsid w:val="00323D82"/>
    <w:rsid w:val="0032416C"/>
    <w:rsid w:val="003249FE"/>
    <w:rsid w:val="00326962"/>
    <w:rsid w:val="00326C0A"/>
    <w:rsid w:val="00327727"/>
    <w:rsid w:val="00331D14"/>
    <w:rsid w:val="00333842"/>
    <w:rsid w:val="003339E9"/>
    <w:rsid w:val="0033529D"/>
    <w:rsid w:val="00336939"/>
    <w:rsid w:val="00336F32"/>
    <w:rsid w:val="003376CD"/>
    <w:rsid w:val="00340FB5"/>
    <w:rsid w:val="003425A3"/>
    <w:rsid w:val="00342BB6"/>
    <w:rsid w:val="003439E4"/>
    <w:rsid w:val="003447CF"/>
    <w:rsid w:val="00344EE5"/>
    <w:rsid w:val="003501CB"/>
    <w:rsid w:val="003504EF"/>
    <w:rsid w:val="00350A47"/>
    <w:rsid w:val="00350E80"/>
    <w:rsid w:val="003516F6"/>
    <w:rsid w:val="00352674"/>
    <w:rsid w:val="0035410D"/>
    <w:rsid w:val="00355089"/>
    <w:rsid w:val="00357988"/>
    <w:rsid w:val="003605E0"/>
    <w:rsid w:val="003606AB"/>
    <w:rsid w:val="003619FA"/>
    <w:rsid w:val="00362EEF"/>
    <w:rsid w:val="0036324A"/>
    <w:rsid w:val="003633CE"/>
    <w:rsid w:val="00365396"/>
    <w:rsid w:val="00366FB5"/>
    <w:rsid w:val="003677A8"/>
    <w:rsid w:val="00370EA1"/>
    <w:rsid w:val="003712CA"/>
    <w:rsid w:val="003720B6"/>
    <w:rsid w:val="00373917"/>
    <w:rsid w:val="0037416E"/>
    <w:rsid w:val="00374326"/>
    <w:rsid w:val="00376CC1"/>
    <w:rsid w:val="00377389"/>
    <w:rsid w:val="00377B81"/>
    <w:rsid w:val="00377CCD"/>
    <w:rsid w:val="0038188C"/>
    <w:rsid w:val="00382182"/>
    <w:rsid w:val="00383DA6"/>
    <w:rsid w:val="00384F57"/>
    <w:rsid w:val="003853F8"/>
    <w:rsid w:val="003856FE"/>
    <w:rsid w:val="00386594"/>
    <w:rsid w:val="003867B6"/>
    <w:rsid w:val="00386C78"/>
    <w:rsid w:val="00386F8F"/>
    <w:rsid w:val="00390733"/>
    <w:rsid w:val="00393603"/>
    <w:rsid w:val="00393EB7"/>
    <w:rsid w:val="003956D4"/>
    <w:rsid w:val="00395DF5"/>
    <w:rsid w:val="00396CC0"/>
    <w:rsid w:val="00397A4E"/>
    <w:rsid w:val="003A1A25"/>
    <w:rsid w:val="003A1FCD"/>
    <w:rsid w:val="003A3874"/>
    <w:rsid w:val="003A3F8E"/>
    <w:rsid w:val="003A4579"/>
    <w:rsid w:val="003A46B9"/>
    <w:rsid w:val="003A4933"/>
    <w:rsid w:val="003A5F2E"/>
    <w:rsid w:val="003A7B1A"/>
    <w:rsid w:val="003B117D"/>
    <w:rsid w:val="003B1797"/>
    <w:rsid w:val="003B19AE"/>
    <w:rsid w:val="003B5B84"/>
    <w:rsid w:val="003B7305"/>
    <w:rsid w:val="003B7ED1"/>
    <w:rsid w:val="003C0249"/>
    <w:rsid w:val="003C08C9"/>
    <w:rsid w:val="003C2073"/>
    <w:rsid w:val="003C30E4"/>
    <w:rsid w:val="003C3566"/>
    <w:rsid w:val="003C37BC"/>
    <w:rsid w:val="003C5295"/>
    <w:rsid w:val="003D051E"/>
    <w:rsid w:val="003D14A0"/>
    <w:rsid w:val="003D2E37"/>
    <w:rsid w:val="003D4270"/>
    <w:rsid w:val="003D7DF1"/>
    <w:rsid w:val="003E10C7"/>
    <w:rsid w:val="003E2117"/>
    <w:rsid w:val="003E5652"/>
    <w:rsid w:val="003E77F3"/>
    <w:rsid w:val="003E7A8D"/>
    <w:rsid w:val="003F0016"/>
    <w:rsid w:val="003F0168"/>
    <w:rsid w:val="003F0775"/>
    <w:rsid w:val="003F12A5"/>
    <w:rsid w:val="003F13BD"/>
    <w:rsid w:val="003F18D5"/>
    <w:rsid w:val="003F19D6"/>
    <w:rsid w:val="003F1ABC"/>
    <w:rsid w:val="003F1DC4"/>
    <w:rsid w:val="003F2311"/>
    <w:rsid w:val="003F256A"/>
    <w:rsid w:val="003F2D90"/>
    <w:rsid w:val="003F3E27"/>
    <w:rsid w:val="003F542A"/>
    <w:rsid w:val="003F5749"/>
    <w:rsid w:val="003F6B13"/>
    <w:rsid w:val="00400361"/>
    <w:rsid w:val="00400843"/>
    <w:rsid w:val="0040101E"/>
    <w:rsid w:val="004011DF"/>
    <w:rsid w:val="00401A10"/>
    <w:rsid w:val="004032BD"/>
    <w:rsid w:val="00403CA2"/>
    <w:rsid w:val="00404049"/>
    <w:rsid w:val="0040566B"/>
    <w:rsid w:val="00406FE0"/>
    <w:rsid w:val="0040707E"/>
    <w:rsid w:val="0041248F"/>
    <w:rsid w:val="00412890"/>
    <w:rsid w:val="00413555"/>
    <w:rsid w:val="00413B25"/>
    <w:rsid w:val="00414246"/>
    <w:rsid w:val="00414B5F"/>
    <w:rsid w:val="00416123"/>
    <w:rsid w:val="00416149"/>
    <w:rsid w:val="0041634D"/>
    <w:rsid w:val="0041789C"/>
    <w:rsid w:val="004218EE"/>
    <w:rsid w:val="00423E24"/>
    <w:rsid w:val="00424DDA"/>
    <w:rsid w:val="0042500B"/>
    <w:rsid w:val="0042575C"/>
    <w:rsid w:val="00425C89"/>
    <w:rsid w:val="004266F2"/>
    <w:rsid w:val="004270D6"/>
    <w:rsid w:val="004278D3"/>
    <w:rsid w:val="00430208"/>
    <w:rsid w:val="00430EBC"/>
    <w:rsid w:val="00431946"/>
    <w:rsid w:val="00431ACD"/>
    <w:rsid w:val="00432951"/>
    <w:rsid w:val="00434329"/>
    <w:rsid w:val="00436E07"/>
    <w:rsid w:val="004372C4"/>
    <w:rsid w:val="00437CFC"/>
    <w:rsid w:val="004401DF"/>
    <w:rsid w:val="004416A7"/>
    <w:rsid w:val="00442B49"/>
    <w:rsid w:val="00442CB9"/>
    <w:rsid w:val="00442ED2"/>
    <w:rsid w:val="0044343B"/>
    <w:rsid w:val="00447A84"/>
    <w:rsid w:val="00447AB1"/>
    <w:rsid w:val="00450075"/>
    <w:rsid w:val="00450CA9"/>
    <w:rsid w:val="0045526C"/>
    <w:rsid w:val="00455C16"/>
    <w:rsid w:val="00456029"/>
    <w:rsid w:val="00457800"/>
    <w:rsid w:val="00457E5A"/>
    <w:rsid w:val="004619BF"/>
    <w:rsid w:val="004621A8"/>
    <w:rsid w:val="0046236E"/>
    <w:rsid w:val="00462F06"/>
    <w:rsid w:val="00465891"/>
    <w:rsid w:val="004676D1"/>
    <w:rsid w:val="00467ACC"/>
    <w:rsid w:val="00470365"/>
    <w:rsid w:val="00470507"/>
    <w:rsid w:val="0047051B"/>
    <w:rsid w:val="0047130D"/>
    <w:rsid w:val="00471504"/>
    <w:rsid w:val="004732E8"/>
    <w:rsid w:val="00473A62"/>
    <w:rsid w:val="00473FFD"/>
    <w:rsid w:val="0047454A"/>
    <w:rsid w:val="00477738"/>
    <w:rsid w:val="00477D1E"/>
    <w:rsid w:val="0048115C"/>
    <w:rsid w:val="00481255"/>
    <w:rsid w:val="004816B7"/>
    <w:rsid w:val="00482533"/>
    <w:rsid w:val="0048336F"/>
    <w:rsid w:val="004859CF"/>
    <w:rsid w:val="00486A9E"/>
    <w:rsid w:val="00491DC1"/>
    <w:rsid w:val="00493B07"/>
    <w:rsid w:val="00494142"/>
    <w:rsid w:val="00495608"/>
    <w:rsid w:val="00497204"/>
    <w:rsid w:val="0049796A"/>
    <w:rsid w:val="00497C85"/>
    <w:rsid w:val="004A0090"/>
    <w:rsid w:val="004A028F"/>
    <w:rsid w:val="004A0F4D"/>
    <w:rsid w:val="004A17D4"/>
    <w:rsid w:val="004A625D"/>
    <w:rsid w:val="004A6FA8"/>
    <w:rsid w:val="004A7FDF"/>
    <w:rsid w:val="004B369C"/>
    <w:rsid w:val="004B42F2"/>
    <w:rsid w:val="004B43A8"/>
    <w:rsid w:val="004B4409"/>
    <w:rsid w:val="004B4B38"/>
    <w:rsid w:val="004B50FE"/>
    <w:rsid w:val="004B526F"/>
    <w:rsid w:val="004B5E68"/>
    <w:rsid w:val="004B6726"/>
    <w:rsid w:val="004B6AAD"/>
    <w:rsid w:val="004B6FB9"/>
    <w:rsid w:val="004C10D0"/>
    <w:rsid w:val="004C1B3E"/>
    <w:rsid w:val="004C2D6C"/>
    <w:rsid w:val="004C3D22"/>
    <w:rsid w:val="004C666F"/>
    <w:rsid w:val="004C69ED"/>
    <w:rsid w:val="004D0748"/>
    <w:rsid w:val="004D202E"/>
    <w:rsid w:val="004D58B2"/>
    <w:rsid w:val="004D6916"/>
    <w:rsid w:val="004E114C"/>
    <w:rsid w:val="004E1492"/>
    <w:rsid w:val="004E24A4"/>
    <w:rsid w:val="004E2B10"/>
    <w:rsid w:val="004F04DC"/>
    <w:rsid w:val="004F0DA3"/>
    <w:rsid w:val="004F1009"/>
    <w:rsid w:val="004F2447"/>
    <w:rsid w:val="004F48AC"/>
    <w:rsid w:val="004F6BC1"/>
    <w:rsid w:val="004F7209"/>
    <w:rsid w:val="0050214C"/>
    <w:rsid w:val="005031D0"/>
    <w:rsid w:val="00505173"/>
    <w:rsid w:val="005051ED"/>
    <w:rsid w:val="00506AF9"/>
    <w:rsid w:val="0051013A"/>
    <w:rsid w:val="00510323"/>
    <w:rsid w:val="00512BA0"/>
    <w:rsid w:val="00512DA2"/>
    <w:rsid w:val="00513791"/>
    <w:rsid w:val="0051561A"/>
    <w:rsid w:val="0051662C"/>
    <w:rsid w:val="005168FB"/>
    <w:rsid w:val="005169C4"/>
    <w:rsid w:val="00517662"/>
    <w:rsid w:val="005177B7"/>
    <w:rsid w:val="00517CBF"/>
    <w:rsid w:val="00517DAB"/>
    <w:rsid w:val="00517F03"/>
    <w:rsid w:val="005216B8"/>
    <w:rsid w:val="00522BEA"/>
    <w:rsid w:val="0052388E"/>
    <w:rsid w:val="00523B25"/>
    <w:rsid w:val="0052553D"/>
    <w:rsid w:val="005257E1"/>
    <w:rsid w:val="0052606B"/>
    <w:rsid w:val="00527A56"/>
    <w:rsid w:val="00527EE6"/>
    <w:rsid w:val="00531E0A"/>
    <w:rsid w:val="00532649"/>
    <w:rsid w:val="00533929"/>
    <w:rsid w:val="00533942"/>
    <w:rsid w:val="00533B0C"/>
    <w:rsid w:val="00533BE4"/>
    <w:rsid w:val="00535015"/>
    <w:rsid w:val="0054082E"/>
    <w:rsid w:val="0054083A"/>
    <w:rsid w:val="00547028"/>
    <w:rsid w:val="00550855"/>
    <w:rsid w:val="0055086C"/>
    <w:rsid w:val="0055368B"/>
    <w:rsid w:val="00554770"/>
    <w:rsid w:val="00554778"/>
    <w:rsid w:val="00554ABB"/>
    <w:rsid w:val="00554C24"/>
    <w:rsid w:val="0055673E"/>
    <w:rsid w:val="0056128D"/>
    <w:rsid w:val="00562810"/>
    <w:rsid w:val="005631EA"/>
    <w:rsid w:val="00563A14"/>
    <w:rsid w:val="00564BC2"/>
    <w:rsid w:val="00565D07"/>
    <w:rsid w:val="0056662D"/>
    <w:rsid w:val="0056682A"/>
    <w:rsid w:val="0056715B"/>
    <w:rsid w:val="00570CE4"/>
    <w:rsid w:val="00572352"/>
    <w:rsid w:val="005732B5"/>
    <w:rsid w:val="00574AC8"/>
    <w:rsid w:val="00577190"/>
    <w:rsid w:val="005771EB"/>
    <w:rsid w:val="00577464"/>
    <w:rsid w:val="00577A9F"/>
    <w:rsid w:val="00577B50"/>
    <w:rsid w:val="0058146F"/>
    <w:rsid w:val="00582055"/>
    <w:rsid w:val="00582368"/>
    <w:rsid w:val="00582E6C"/>
    <w:rsid w:val="0058350D"/>
    <w:rsid w:val="00583BAB"/>
    <w:rsid w:val="005847F4"/>
    <w:rsid w:val="00585B23"/>
    <w:rsid w:val="00586120"/>
    <w:rsid w:val="00590764"/>
    <w:rsid w:val="0059181E"/>
    <w:rsid w:val="005919D7"/>
    <w:rsid w:val="00592390"/>
    <w:rsid w:val="0059244F"/>
    <w:rsid w:val="00592762"/>
    <w:rsid w:val="00592B27"/>
    <w:rsid w:val="00594B87"/>
    <w:rsid w:val="0059512D"/>
    <w:rsid w:val="005951D2"/>
    <w:rsid w:val="005958F4"/>
    <w:rsid w:val="00596EE7"/>
    <w:rsid w:val="00596F64"/>
    <w:rsid w:val="0059754D"/>
    <w:rsid w:val="005A1814"/>
    <w:rsid w:val="005A2AA6"/>
    <w:rsid w:val="005A3CCF"/>
    <w:rsid w:val="005A4778"/>
    <w:rsid w:val="005A5478"/>
    <w:rsid w:val="005A56B5"/>
    <w:rsid w:val="005A5C76"/>
    <w:rsid w:val="005A6815"/>
    <w:rsid w:val="005A6DF3"/>
    <w:rsid w:val="005A6FFE"/>
    <w:rsid w:val="005B0249"/>
    <w:rsid w:val="005B0BDE"/>
    <w:rsid w:val="005B0CCE"/>
    <w:rsid w:val="005B3305"/>
    <w:rsid w:val="005B3938"/>
    <w:rsid w:val="005B4B1D"/>
    <w:rsid w:val="005B4E4D"/>
    <w:rsid w:val="005B50BE"/>
    <w:rsid w:val="005B5143"/>
    <w:rsid w:val="005B6A4B"/>
    <w:rsid w:val="005B74AE"/>
    <w:rsid w:val="005B7A88"/>
    <w:rsid w:val="005C06AC"/>
    <w:rsid w:val="005C1B06"/>
    <w:rsid w:val="005C2F2E"/>
    <w:rsid w:val="005C3F15"/>
    <w:rsid w:val="005C56DE"/>
    <w:rsid w:val="005C5F31"/>
    <w:rsid w:val="005C6730"/>
    <w:rsid w:val="005C74EA"/>
    <w:rsid w:val="005C7A62"/>
    <w:rsid w:val="005D011D"/>
    <w:rsid w:val="005D06BD"/>
    <w:rsid w:val="005D1068"/>
    <w:rsid w:val="005D1236"/>
    <w:rsid w:val="005D1FB7"/>
    <w:rsid w:val="005D29B6"/>
    <w:rsid w:val="005D2BC9"/>
    <w:rsid w:val="005D2E06"/>
    <w:rsid w:val="005D33DA"/>
    <w:rsid w:val="005D406E"/>
    <w:rsid w:val="005D4274"/>
    <w:rsid w:val="005D4376"/>
    <w:rsid w:val="005D4C69"/>
    <w:rsid w:val="005D6DA8"/>
    <w:rsid w:val="005E13A8"/>
    <w:rsid w:val="005E2E7E"/>
    <w:rsid w:val="005E320D"/>
    <w:rsid w:val="005E3C9B"/>
    <w:rsid w:val="005E4890"/>
    <w:rsid w:val="005E4DE8"/>
    <w:rsid w:val="005E53A0"/>
    <w:rsid w:val="005E60AC"/>
    <w:rsid w:val="005E7A5C"/>
    <w:rsid w:val="005F16BB"/>
    <w:rsid w:val="005F1AB1"/>
    <w:rsid w:val="005F27D8"/>
    <w:rsid w:val="005F34B5"/>
    <w:rsid w:val="005F57A0"/>
    <w:rsid w:val="005F5A59"/>
    <w:rsid w:val="005F5F7A"/>
    <w:rsid w:val="005F5F9F"/>
    <w:rsid w:val="005F7894"/>
    <w:rsid w:val="005F7A45"/>
    <w:rsid w:val="005F7EB9"/>
    <w:rsid w:val="00600054"/>
    <w:rsid w:val="00600696"/>
    <w:rsid w:val="00604306"/>
    <w:rsid w:val="00606D41"/>
    <w:rsid w:val="00606D5C"/>
    <w:rsid w:val="00606FF4"/>
    <w:rsid w:val="00607511"/>
    <w:rsid w:val="00607A10"/>
    <w:rsid w:val="006101B9"/>
    <w:rsid w:val="006101D1"/>
    <w:rsid w:val="00611289"/>
    <w:rsid w:val="006132BE"/>
    <w:rsid w:val="00613380"/>
    <w:rsid w:val="006146D5"/>
    <w:rsid w:val="00614CEC"/>
    <w:rsid w:val="00615138"/>
    <w:rsid w:val="006151E2"/>
    <w:rsid w:val="006170CE"/>
    <w:rsid w:val="00617213"/>
    <w:rsid w:val="006173A8"/>
    <w:rsid w:val="00617AA4"/>
    <w:rsid w:val="00617DA9"/>
    <w:rsid w:val="006200F1"/>
    <w:rsid w:val="00621129"/>
    <w:rsid w:val="006226FA"/>
    <w:rsid w:val="006227C1"/>
    <w:rsid w:val="00622AB5"/>
    <w:rsid w:val="006243FF"/>
    <w:rsid w:val="00625196"/>
    <w:rsid w:val="00625A49"/>
    <w:rsid w:val="00625BE0"/>
    <w:rsid w:val="006262FF"/>
    <w:rsid w:val="006274C3"/>
    <w:rsid w:val="00627572"/>
    <w:rsid w:val="006278FB"/>
    <w:rsid w:val="00631D3B"/>
    <w:rsid w:val="00632422"/>
    <w:rsid w:val="00633566"/>
    <w:rsid w:val="0063372A"/>
    <w:rsid w:val="00634104"/>
    <w:rsid w:val="00634FB4"/>
    <w:rsid w:val="006361EB"/>
    <w:rsid w:val="00636280"/>
    <w:rsid w:val="0064230D"/>
    <w:rsid w:val="006426E9"/>
    <w:rsid w:val="00643686"/>
    <w:rsid w:val="00643C59"/>
    <w:rsid w:val="00643EA4"/>
    <w:rsid w:val="006440C1"/>
    <w:rsid w:val="00644677"/>
    <w:rsid w:val="00644C04"/>
    <w:rsid w:val="00645102"/>
    <w:rsid w:val="006477C7"/>
    <w:rsid w:val="0065011B"/>
    <w:rsid w:val="00650559"/>
    <w:rsid w:val="00650954"/>
    <w:rsid w:val="006514D5"/>
    <w:rsid w:val="00651FF1"/>
    <w:rsid w:val="00653993"/>
    <w:rsid w:val="00656F71"/>
    <w:rsid w:val="00660772"/>
    <w:rsid w:val="006610E4"/>
    <w:rsid w:val="00661B0E"/>
    <w:rsid w:val="006621F0"/>
    <w:rsid w:val="00662DA2"/>
    <w:rsid w:val="006642D2"/>
    <w:rsid w:val="006653A5"/>
    <w:rsid w:val="00665802"/>
    <w:rsid w:val="00665985"/>
    <w:rsid w:val="006705CE"/>
    <w:rsid w:val="0067127C"/>
    <w:rsid w:val="006735AC"/>
    <w:rsid w:val="006738F3"/>
    <w:rsid w:val="0067490E"/>
    <w:rsid w:val="006756C3"/>
    <w:rsid w:val="00675A74"/>
    <w:rsid w:val="00675DC8"/>
    <w:rsid w:val="00675DCF"/>
    <w:rsid w:val="00676138"/>
    <w:rsid w:val="00676275"/>
    <w:rsid w:val="00677840"/>
    <w:rsid w:val="0068005D"/>
    <w:rsid w:val="0068021E"/>
    <w:rsid w:val="00680E64"/>
    <w:rsid w:val="006810F5"/>
    <w:rsid w:val="00681C03"/>
    <w:rsid w:val="00684778"/>
    <w:rsid w:val="0068594C"/>
    <w:rsid w:val="006867A8"/>
    <w:rsid w:val="00686A48"/>
    <w:rsid w:val="00691CEC"/>
    <w:rsid w:val="00692AB4"/>
    <w:rsid w:val="00696A58"/>
    <w:rsid w:val="00697821"/>
    <w:rsid w:val="00697D61"/>
    <w:rsid w:val="006A0B85"/>
    <w:rsid w:val="006A1DEB"/>
    <w:rsid w:val="006A1F3E"/>
    <w:rsid w:val="006A258C"/>
    <w:rsid w:val="006A2FDE"/>
    <w:rsid w:val="006A323E"/>
    <w:rsid w:val="006A3B41"/>
    <w:rsid w:val="006A3EAF"/>
    <w:rsid w:val="006A4E18"/>
    <w:rsid w:val="006A611F"/>
    <w:rsid w:val="006A6605"/>
    <w:rsid w:val="006A72EF"/>
    <w:rsid w:val="006B0AC3"/>
    <w:rsid w:val="006B0C1E"/>
    <w:rsid w:val="006B0DE9"/>
    <w:rsid w:val="006B103C"/>
    <w:rsid w:val="006B12B8"/>
    <w:rsid w:val="006B14F5"/>
    <w:rsid w:val="006B3681"/>
    <w:rsid w:val="006B3B2E"/>
    <w:rsid w:val="006B3D6B"/>
    <w:rsid w:val="006B43C3"/>
    <w:rsid w:val="006B4524"/>
    <w:rsid w:val="006B4749"/>
    <w:rsid w:val="006B6724"/>
    <w:rsid w:val="006B7376"/>
    <w:rsid w:val="006B7460"/>
    <w:rsid w:val="006C0815"/>
    <w:rsid w:val="006C08B2"/>
    <w:rsid w:val="006C0D48"/>
    <w:rsid w:val="006C2F2F"/>
    <w:rsid w:val="006C6A13"/>
    <w:rsid w:val="006D2011"/>
    <w:rsid w:val="006D26FB"/>
    <w:rsid w:val="006D4013"/>
    <w:rsid w:val="006D7E14"/>
    <w:rsid w:val="006E1087"/>
    <w:rsid w:val="006E1B42"/>
    <w:rsid w:val="006E261E"/>
    <w:rsid w:val="006E4B1E"/>
    <w:rsid w:val="006E52CF"/>
    <w:rsid w:val="006E556F"/>
    <w:rsid w:val="006E65A1"/>
    <w:rsid w:val="006E7136"/>
    <w:rsid w:val="006E74BB"/>
    <w:rsid w:val="006E764E"/>
    <w:rsid w:val="006F0804"/>
    <w:rsid w:val="006F093A"/>
    <w:rsid w:val="006F0EC4"/>
    <w:rsid w:val="006F12F9"/>
    <w:rsid w:val="006F25E5"/>
    <w:rsid w:val="006F2981"/>
    <w:rsid w:val="006F46D7"/>
    <w:rsid w:val="006F5631"/>
    <w:rsid w:val="006F5675"/>
    <w:rsid w:val="006F63B9"/>
    <w:rsid w:val="006F73F2"/>
    <w:rsid w:val="006F7C6A"/>
    <w:rsid w:val="007002C3"/>
    <w:rsid w:val="007002DD"/>
    <w:rsid w:val="0070039C"/>
    <w:rsid w:val="007003BE"/>
    <w:rsid w:val="0070042B"/>
    <w:rsid w:val="00700AE8"/>
    <w:rsid w:val="00700D63"/>
    <w:rsid w:val="00702432"/>
    <w:rsid w:val="007035AA"/>
    <w:rsid w:val="007056EC"/>
    <w:rsid w:val="00705AF7"/>
    <w:rsid w:val="00705C81"/>
    <w:rsid w:val="0070732F"/>
    <w:rsid w:val="007113E9"/>
    <w:rsid w:val="007116C1"/>
    <w:rsid w:val="00712D24"/>
    <w:rsid w:val="00716186"/>
    <w:rsid w:val="00716B03"/>
    <w:rsid w:val="0071718C"/>
    <w:rsid w:val="00720F2C"/>
    <w:rsid w:val="00721C12"/>
    <w:rsid w:val="00722EA3"/>
    <w:rsid w:val="007244BA"/>
    <w:rsid w:val="0072486F"/>
    <w:rsid w:val="0072568D"/>
    <w:rsid w:val="00726167"/>
    <w:rsid w:val="00727D3C"/>
    <w:rsid w:val="0073062C"/>
    <w:rsid w:val="00730A61"/>
    <w:rsid w:val="00730DA9"/>
    <w:rsid w:val="00732959"/>
    <w:rsid w:val="00732A56"/>
    <w:rsid w:val="00732BAB"/>
    <w:rsid w:val="00733A09"/>
    <w:rsid w:val="00733BA4"/>
    <w:rsid w:val="007344D1"/>
    <w:rsid w:val="00734BB2"/>
    <w:rsid w:val="00734C95"/>
    <w:rsid w:val="007358C5"/>
    <w:rsid w:val="00735B2D"/>
    <w:rsid w:val="00736E1E"/>
    <w:rsid w:val="00737551"/>
    <w:rsid w:val="00737792"/>
    <w:rsid w:val="00741CC1"/>
    <w:rsid w:val="00743963"/>
    <w:rsid w:val="00744B25"/>
    <w:rsid w:val="007509EE"/>
    <w:rsid w:val="00751293"/>
    <w:rsid w:val="00751504"/>
    <w:rsid w:val="00753ADD"/>
    <w:rsid w:val="00753C1F"/>
    <w:rsid w:val="007542F5"/>
    <w:rsid w:val="00756108"/>
    <w:rsid w:val="007562A2"/>
    <w:rsid w:val="00756635"/>
    <w:rsid w:val="007573FC"/>
    <w:rsid w:val="00757C6A"/>
    <w:rsid w:val="00760188"/>
    <w:rsid w:val="007612D4"/>
    <w:rsid w:val="00761681"/>
    <w:rsid w:val="00761ED5"/>
    <w:rsid w:val="007627A1"/>
    <w:rsid w:val="00764D90"/>
    <w:rsid w:val="00764DB1"/>
    <w:rsid w:val="00765C9C"/>
    <w:rsid w:val="00767021"/>
    <w:rsid w:val="00767189"/>
    <w:rsid w:val="007678F0"/>
    <w:rsid w:val="00767EE5"/>
    <w:rsid w:val="0077035D"/>
    <w:rsid w:val="00770C99"/>
    <w:rsid w:val="007714BC"/>
    <w:rsid w:val="007726A2"/>
    <w:rsid w:val="00774331"/>
    <w:rsid w:val="0077435B"/>
    <w:rsid w:val="00775152"/>
    <w:rsid w:val="0077676F"/>
    <w:rsid w:val="00777414"/>
    <w:rsid w:val="007778C7"/>
    <w:rsid w:val="00777A72"/>
    <w:rsid w:val="00777FD0"/>
    <w:rsid w:val="00780C9E"/>
    <w:rsid w:val="007836A2"/>
    <w:rsid w:val="007843D0"/>
    <w:rsid w:val="00784515"/>
    <w:rsid w:val="00786065"/>
    <w:rsid w:val="007904F4"/>
    <w:rsid w:val="007918A2"/>
    <w:rsid w:val="00792366"/>
    <w:rsid w:val="00792DBF"/>
    <w:rsid w:val="00792FD8"/>
    <w:rsid w:val="00793070"/>
    <w:rsid w:val="00793E06"/>
    <w:rsid w:val="0079615C"/>
    <w:rsid w:val="0079679C"/>
    <w:rsid w:val="007A24D2"/>
    <w:rsid w:val="007A2B74"/>
    <w:rsid w:val="007A3815"/>
    <w:rsid w:val="007A3D08"/>
    <w:rsid w:val="007A504E"/>
    <w:rsid w:val="007B254D"/>
    <w:rsid w:val="007B3F91"/>
    <w:rsid w:val="007B422F"/>
    <w:rsid w:val="007B4335"/>
    <w:rsid w:val="007B4586"/>
    <w:rsid w:val="007B4FF7"/>
    <w:rsid w:val="007B5DA5"/>
    <w:rsid w:val="007B6D14"/>
    <w:rsid w:val="007B7A23"/>
    <w:rsid w:val="007C0D88"/>
    <w:rsid w:val="007C151F"/>
    <w:rsid w:val="007C189B"/>
    <w:rsid w:val="007C2777"/>
    <w:rsid w:val="007C2F1F"/>
    <w:rsid w:val="007C39A3"/>
    <w:rsid w:val="007C4E6A"/>
    <w:rsid w:val="007C76C9"/>
    <w:rsid w:val="007C79C4"/>
    <w:rsid w:val="007C7DD1"/>
    <w:rsid w:val="007D0CFC"/>
    <w:rsid w:val="007D0DB3"/>
    <w:rsid w:val="007D135A"/>
    <w:rsid w:val="007D2906"/>
    <w:rsid w:val="007D2A63"/>
    <w:rsid w:val="007D2C05"/>
    <w:rsid w:val="007D336F"/>
    <w:rsid w:val="007D39BA"/>
    <w:rsid w:val="007D3C4B"/>
    <w:rsid w:val="007D40B5"/>
    <w:rsid w:val="007D4239"/>
    <w:rsid w:val="007D43BA"/>
    <w:rsid w:val="007D4CF2"/>
    <w:rsid w:val="007D5151"/>
    <w:rsid w:val="007D525D"/>
    <w:rsid w:val="007D6961"/>
    <w:rsid w:val="007D6FC4"/>
    <w:rsid w:val="007D7CC7"/>
    <w:rsid w:val="007E0C9A"/>
    <w:rsid w:val="007E3123"/>
    <w:rsid w:val="007E31BE"/>
    <w:rsid w:val="007E39C8"/>
    <w:rsid w:val="007E3CD1"/>
    <w:rsid w:val="007E4185"/>
    <w:rsid w:val="007E4DFE"/>
    <w:rsid w:val="007E53DC"/>
    <w:rsid w:val="007E57AE"/>
    <w:rsid w:val="007E693C"/>
    <w:rsid w:val="007E7EDE"/>
    <w:rsid w:val="007F0572"/>
    <w:rsid w:val="007F1903"/>
    <w:rsid w:val="007F1CCD"/>
    <w:rsid w:val="007F1D94"/>
    <w:rsid w:val="007F339E"/>
    <w:rsid w:val="007F3A99"/>
    <w:rsid w:val="007F3DD6"/>
    <w:rsid w:val="007F5C15"/>
    <w:rsid w:val="007F61B8"/>
    <w:rsid w:val="007F650B"/>
    <w:rsid w:val="007F68C5"/>
    <w:rsid w:val="007F7785"/>
    <w:rsid w:val="007F79E3"/>
    <w:rsid w:val="007F7AC9"/>
    <w:rsid w:val="00800230"/>
    <w:rsid w:val="00800353"/>
    <w:rsid w:val="008006DC"/>
    <w:rsid w:val="0080113C"/>
    <w:rsid w:val="00801330"/>
    <w:rsid w:val="00801B66"/>
    <w:rsid w:val="00802064"/>
    <w:rsid w:val="00802CBB"/>
    <w:rsid w:val="00803279"/>
    <w:rsid w:val="00803D31"/>
    <w:rsid w:val="008060A1"/>
    <w:rsid w:val="008071BE"/>
    <w:rsid w:val="008079DA"/>
    <w:rsid w:val="00807C52"/>
    <w:rsid w:val="00811204"/>
    <w:rsid w:val="0081132B"/>
    <w:rsid w:val="00811522"/>
    <w:rsid w:val="00811A99"/>
    <w:rsid w:val="00812DE8"/>
    <w:rsid w:val="00812E61"/>
    <w:rsid w:val="00813989"/>
    <w:rsid w:val="00813A9D"/>
    <w:rsid w:val="00815DB9"/>
    <w:rsid w:val="00820CE2"/>
    <w:rsid w:val="008212E7"/>
    <w:rsid w:val="0082300B"/>
    <w:rsid w:val="008233B0"/>
    <w:rsid w:val="00823F9C"/>
    <w:rsid w:val="00824228"/>
    <w:rsid w:val="00826279"/>
    <w:rsid w:val="00830702"/>
    <w:rsid w:val="00832408"/>
    <w:rsid w:val="008332FA"/>
    <w:rsid w:val="008337F9"/>
    <w:rsid w:val="00833F83"/>
    <w:rsid w:val="00834942"/>
    <w:rsid w:val="00834D7A"/>
    <w:rsid w:val="00834EC5"/>
    <w:rsid w:val="008359FE"/>
    <w:rsid w:val="00835EAF"/>
    <w:rsid w:val="008364F5"/>
    <w:rsid w:val="0083672A"/>
    <w:rsid w:val="008370DE"/>
    <w:rsid w:val="008373A9"/>
    <w:rsid w:val="008374E4"/>
    <w:rsid w:val="0083765E"/>
    <w:rsid w:val="00837893"/>
    <w:rsid w:val="00840667"/>
    <w:rsid w:val="00840690"/>
    <w:rsid w:val="0084141D"/>
    <w:rsid w:val="00842D0B"/>
    <w:rsid w:val="00843D33"/>
    <w:rsid w:val="00843DEE"/>
    <w:rsid w:val="008449C9"/>
    <w:rsid w:val="0084581B"/>
    <w:rsid w:val="00846434"/>
    <w:rsid w:val="00846492"/>
    <w:rsid w:val="00846873"/>
    <w:rsid w:val="008511B6"/>
    <w:rsid w:val="00851FEF"/>
    <w:rsid w:val="008538FB"/>
    <w:rsid w:val="00854B43"/>
    <w:rsid w:val="008562D9"/>
    <w:rsid w:val="008571FA"/>
    <w:rsid w:val="008573C1"/>
    <w:rsid w:val="008601FD"/>
    <w:rsid w:val="00860B0B"/>
    <w:rsid w:val="0086127C"/>
    <w:rsid w:val="008643AD"/>
    <w:rsid w:val="00865EAD"/>
    <w:rsid w:val="00866554"/>
    <w:rsid w:val="00866AA4"/>
    <w:rsid w:val="008670CC"/>
    <w:rsid w:val="00870129"/>
    <w:rsid w:val="008732EF"/>
    <w:rsid w:val="00873E80"/>
    <w:rsid w:val="00874B45"/>
    <w:rsid w:val="00875250"/>
    <w:rsid w:val="0087683C"/>
    <w:rsid w:val="008779C8"/>
    <w:rsid w:val="0088164D"/>
    <w:rsid w:val="00883A43"/>
    <w:rsid w:val="00884858"/>
    <w:rsid w:val="008848BD"/>
    <w:rsid w:val="0088532F"/>
    <w:rsid w:val="008853BF"/>
    <w:rsid w:val="00885B62"/>
    <w:rsid w:val="00885F49"/>
    <w:rsid w:val="008861DC"/>
    <w:rsid w:val="00891464"/>
    <w:rsid w:val="0089168C"/>
    <w:rsid w:val="00891FF8"/>
    <w:rsid w:val="00892CA4"/>
    <w:rsid w:val="00893272"/>
    <w:rsid w:val="00893BEE"/>
    <w:rsid w:val="00895982"/>
    <w:rsid w:val="008961A6"/>
    <w:rsid w:val="008963A2"/>
    <w:rsid w:val="00897673"/>
    <w:rsid w:val="008A0E26"/>
    <w:rsid w:val="008A1DF3"/>
    <w:rsid w:val="008A1F65"/>
    <w:rsid w:val="008A393B"/>
    <w:rsid w:val="008A75D0"/>
    <w:rsid w:val="008A79E1"/>
    <w:rsid w:val="008B0029"/>
    <w:rsid w:val="008B04BA"/>
    <w:rsid w:val="008B239A"/>
    <w:rsid w:val="008B292F"/>
    <w:rsid w:val="008B39A8"/>
    <w:rsid w:val="008B39BD"/>
    <w:rsid w:val="008C11AC"/>
    <w:rsid w:val="008C1A4A"/>
    <w:rsid w:val="008C3190"/>
    <w:rsid w:val="008C371C"/>
    <w:rsid w:val="008C3AAF"/>
    <w:rsid w:val="008C5514"/>
    <w:rsid w:val="008C6558"/>
    <w:rsid w:val="008C68BC"/>
    <w:rsid w:val="008C7724"/>
    <w:rsid w:val="008D1242"/>
    <w:rsid w:val="008D1A78"/>
    <w:rsid w:val="008D1B00"/>
    <w:rsid w:val="008D1EE7"/>
    <w:rsid w:val="008D2337"/>
    <w:rsid w:val="008D2491"/>
    <w:rsid w:val="008D2DD7"/>
    <w:rsid w:val="008D2E9F"/>
    <w:rsid w:val="008D44A7"/>
    <w:rsid w:val="008D4DD0"/>
    <w:rsid w:val="008D6005"/>
    <w:rsid w:val="008E04E7"/>
    <w:rsid w:val="008E05EC"/>
    <w:rsid w:val="008E4B15"/>
    <w:rsid w:val="008E5AC2"/>
    <w:rsid w:val="008E6F07"/>
    <w:rsid w:val="008E70D6"/>
    <w:rsid w:val="008E7DC9"/>
    <w:rsid w:val="008F0441"/>
    <w:rsid w:val="008F05B4"/>
    <w:rsid w:val="008F0A97"/>
    <w:rsid w:val="008F1DAF"/>
    <w:rsid w:val="008F2F88"/>
    <w:rsid w:val="008F30B8"/>
    <w:rsid w:val="008F356D"/>
    <w:rsid w:val="008F3F23"/>
    <w:rsid w:val="008F45FE"/>
    <w:rsid w:val="008F4C78"/>
    <w:rsid w:val="008F687A"/>
    <w:rsid w:val="008F7A64"/>
    <w:rsid w:val="009009E9"/>
    <w:rsid w:val="009015DE"/>
    <w:rsid w:val="00901AB7"/>
    <w:rsid w:val="00903302"/>
    <w:rsid w:val="009057DA"/>
    <w:rsid w:val="00905828"/>
    <w:rsid w:val="00906395"/>
    <w:rsid w:val="00907678"/>
    <w:rsid w:val="00907FD4"/>
    <w:rsid w:val="009107AB"/>
    <w:rsid w:val="00910870"/>
    <w:rsid w:val="00912B7F"/>
    <w:rsid w:val="00912D5D"/>
    <w:rsid w:val="009135CC"/>
    <w:rsid w:val="00913C48"/>
    <w:rsid w:val="00917E8F"/>
    <w:rsid w:val="009205AC"/>
    <w:rsid w:val="00921414"/>
    <w:rsid w:val="0092190F"/>
    <w:rsid w:val="0092313F"/>
    <w:rsid w:val="009273BD"/>
    <w:rsid w:val="00927554"/>
    <w:rsid w:val="009275FE"/>
    <w:rsid w:val="00930A15"/>
    <w:rsid w:val="00931FE4"/>
    <w:rsid w:val="009324B5"/>
    <w:rsid w:val="00932CC9"/>
    <w:rsid w:val="00933E6C"/>
    <w:rsid w:val="00934189"/>
    <w:rsid w:val="009345E2"/>
    <w:rsid w:val="0093659E"/>
    <w:rsid w:val="00937667"/>
    <w:rsid w:val="00937882"/>
    <w:rsid w:val="00940312"/>
    <w:rsid w:val="009408F3"/>
    <w:rsid w:val="00940EF0"/>
    <w:rsid w:val="0094267A"/>
    <w:rsid w:val="00943C82"/>
    <w:rsid w:val="009444A4"/>
    <w:rsid w:val="0094457B"/>
    <w:rsid w:val="00944DDD"/>
    <w:rsid w:val="00945654"/>
    <w:rsid w:val="00945A71"/>
    <w:rsid w:val="00946BDA"/>
    <w:rsid w:val="0094722B"/>
    <w:rsid w:val="00947CD9"/>
    <w:rsid w:val="00947F8D"/>
    <w:rsid w:val="0095010C"/>
    <w:rsid w:val="009512C8"/>
    <w:rsid w:val="00954460"/>
    <w:rsid w:val="00954466"/>
    <w:rsid w:val="00954DD2"/>
    <w:rsid w:val="00955DFF"/>
    <w:rsid w:val="00956705"/>
    <w:rsid w:val="00957C93"/>
    <w:rsid w:val="0096065E"/>
    <w:rsid w:val="00960CD5"/>
    <w:rsid w:val="0096108A"/>
    <w:rsid w:val="00961ADE"/>
    <w:rsid w:val="00962A30"/>
    <w:rsid w:val="009644B0"/>
    <w:rsid w:val="009644D1"/>
    <w:rsid w:val="00965340"/>
    <w:rsid w:val="00965CA5"/>
    <w:rsid w:val="00965D63"/>
    <w:rsid w:val="00965E99"/>
    <w:rsid w:val="00966070"/>
    <w:rsid w:val="00966935"/>
    <w:rsid w:val="00967711"/>
    <w:rsid w:val="00970A80"/>
    <w:rsid w:val="00971461"/>
    <w:rsid w:val="00972033"/>
    <w:rsid w:val="0097279E"/>
    <w:rsid w:val="0097289B"/>
    <w:rsid w:val="00973C8D"/>
    <w:rsid w:val="00974F61"/>
    <w:rsid w:val="00975569"/>
    <w:rsid w:val="00975E76"/>
    <w:rsid w:val="0097662A"/>
    <w:rsid w:val="00977EA8"/>
    <w:rsid w:val="00981B9A"/>
    <w:rsid w:val="0098237B"/>
    <w:rsid w:val="00986A9C"/>
    <w:rsid w:val="00986BF3"/>
    <w:rsid w:val="0099077F"/>
    <w:rsid w:val="00992007"/>
    <w:rsid w:val="0099405F"/>
    <w:rsid w:val="009965FE"/>
    <w:rsid w:val="00996BDD"/>
    <w:rsid w:val="009A0827"/>
    <w:rsid w:val="009A16AF"/>
    <w:rsid w:val="009A17D7"/>
    <w:rsid w:val="009A19EE"/>
    <w:rsid w:val="009A1FC4"/>
    <w:rsid w:val="009A2407"/>
    <w:rsid w:val="009A357F"/>
    <w:rsid w:val="009A42A2"/>
    <w:rsid w:val="009A4664"/>
    <w:rsid w:val="009A492D"/>
    <w:rsid w:val="009A5204"/>
    <w:rsid w:val="009B00DE"/>
    <w:rsid w:val="009B0128"/>
    <w:rsid w:val="009B0A53"/>
    <w:rsid w:val="009B4D8E"/>
    <w:rsid w:val="009B7AAA"/>
    <w:rsid w:val="009C2333"/>
    <w:rsid w:val="009C2FFD"/>
    <w:rsid w:val="009C4CEC"/>
    <w:rsid w:val="009C5C33"/>
    <w:rsid w:val="009C6075"/>
    <w:rsid w:val="009C7A92"/>
    <w:rsid w:val="009C7BF5"/>
    <w:rsid w:val="009D1DFC"/>
    <w:rsid w:val="009D2520"/>
    <w:rsid w:val="009D29D2"/>
    <w:rsid w:val="009D2A25"/>
    <w:rsid w:val="009D3C79"/>
    <w:rsid w:val="009D4600"/>
    <w:rsid w:val="009D6AB6"/>
    <w:rsid w:val="009D6B62"/>
    <w:rsid w:val="009D7D58"/>
    <w:rsid w:val="009E009E"/>
    <w:rsid w:val="009E014F"/>
    <w:rsid w:val="009E0A44"/>
    <w:rsid w:val="009E0CAF"/>
    <w:rsid w:val="009E32FD"/>
    <w:rsid w:val="009E694B"/>
    <w:rsid w:val="009F00EA"/>
    <w:rsid w:val="009F07DC"/>
    <w:rsid w:val="009F40D0"/>
    <w:rsid w:val="009F45F4"/>
    <w:rsid w:val="009F4A7C"/>
    <w:rsid w:val="009F4C62"/>
    <w:rsid w:val="009F5AD8"/>
    <w:rsid w:val="009F6F11"/>
    <w:rsid w:val="00A0051E"/>
    <w:rsid w:val="00A007D7"/>
    <w:rsid w:val="00A01CBE"/>
    <w:rsid w:val="00A0239F"/>
    <w:rsid w:val="00A02FBF"/>
    <w:rsid w:val="00A038BD"/>
    <w:rsid w:val="00A04248"/>
    <w:rsid w:val="00A0528C"/>
    <w:rsid w:val="00A05300"/>
    <w:rsid w:val="00A05B30"/>
    <w:rsid w:val="00A07220"/>
    <w:rsid w:val="00A10319"/>
    <w:rsid w:val="00A1070D"/>
    <w:rsid w:val="00A1194E"/>
    <w:rsid w:val="00A12CE8"/>
    <w:rsid w:val="00A12FE2"/>
    <w:rsid w:val="00A137AE"/>
    <w:rsid w:val="00A143A4"/>
    <w:rsid w:val="00A15673"/>
    <w:rsid w:val="00A15702"/>
    <w:rsid w:val="00A200F7"/>
    <w:rsid w:val="00A20183"/>
    <w:rsid w:val="00A205F4"/>
    <w:rsid w:val="00A21B74"/>
    <w:rsid w:val="00A237C0"/>
    <w:rsid w:val="00A244F7"/>
    <w:rsid w:val="00A2542D"/>
    <w:rsid w:val="00A2564A"/>
    <w:rsid w:val="00A27BC6"/>
    <w:rsid w:val="00A30974"/>
    <w:rsid w:val="00A31485"/>
    <w:rsid w:val="00A31956"/>
    <w:rsid w:val="00A31F25"/>
    <w:rsid w:val="00A3430B"/>
    <w:rsid w:val="00A35367"/>
    <w:rsid w:val="00A36E6B"/>
    <w:rsid w:val="00A3714D"/>
    <w:rsid w:val="00A37231"/>
    <w:rsid w:val="00A3767A"/>
    <w:rsid w:val="00A40B61"/>
    <w:rsid w:val="00A43EB5"/>
    <w:rsid w:val="00A4611F"/>
    <w:rsid w:val="00A46512"/>
    <w:rsid w:val="00A46655"/>
    <w:rsid w:val="00A46FF9"/>
    <w:rsid w:val="00A547CA"/>
    <w:rsid w:val="00A548FA"/>
    <w:rsid w:val="00A556D0"/>
    <w:rsid w:val="00A5597F"/>
    <w:rsid w:val="00A5677C"/>
    <w:rsid w:val="00A57014"/>
    <w:rsid w:val="00A5724E"/>
    <w:rsid w:val="00A57517"/>
    <w:rsid w:val="00A5783D"/>
    <w:rsid w:val="00A61D99"/>
    <w:rsid w:val="00A635C2"/>
    <w:rsid w:val="00A6561F"/>
    <w:rsid w:val="00A7123C"/>
    <w:rsid w:val="00A71CC6"/>
    <w:rsid w:val="00A732C5"/>
    <w:rsid w:val="00A76520"/>
    <w:rsid w:val="00A772E9"/>
    <w:rsid w:val="00A81805"/>
    <w:rsid w:val="00A8189D"/>
    <w:rsid w:val="00A81A25"/>
    <w:rsid w:val="00A83BC7"/>
    <w:rsid w:val="00A83E01"/>
    <w:rsid w:val="00A83EE2"/>
    <w:rsid w:val="00A84F16"/>
    <w:rsid w:val="00A866BD"/>
    <w:rsid w:val="00A87747"/>
    <w:rsid w:val="00A87D30"/>
    <w:rsid w:val="00A90279"/>
    <w:rsid w:val="00A90F9E"/>
    <w:rsid w:val="00A91844"/>
    <w:rsid w:val="00A91F52"/>
    <w:rsid w:val="00A9229D"/>
    <w:rsid w:val="00A925FD"/>
    <w:rsid w:val="00A96F99"/>
    <w:rsid w:val="00A971E8"/>
    <w:rsid w:val="00A978CB"/>
    <w:rsid w:val="00AA307F"/>
    <w:rsid w:val="00AA36CA"/>
    <w:rsid w:val="00AA4D2B"/>
    <w:rsid w:val="00AA601F"/>
    <w:rsid w:val="00AA7507"/>
    <w:rsid w:val="00AA7B71"/>
    <w:rsid w:val="00AB24E0"/>
    <w:rsid w:val="00AB2CD0"/>
    <w:rsid w:val="00AB3BF3"/>
    <w:rsid w:val="00AB4610"/>
    <w:rsid w:val="00AB47EA"/>
    <w:rsid w:val="00AB58C6"/>
    <w:rsid w:val="00AB784E"/>
    <w:rsid w:val="00AB7AC7"/>
    <w:rsid w:val="00AC0056"/>
    <w:rsid w:val="00AC02CE"/>
    <w:rsid w:val="00AC2A40"/>
    <w:rsid w:val="00AC2E76"/>
    <w:rsid w:val="00AC396B"/>
    <w:rsid w:val="00AC436E"/>
    <w:rsid w:val="00AD0B0B"/>
    <w:rsid w:val="00AD10AA"/>
    <w:rsid w:val="00AD138F"/>
    <w:rsid w:val="00AD23C2"/>
    <w:rsid w:val="00AD274D"/>
    <w:rsid w:val="00AD3D41"/>
    <w:rsid w:val="00AD48F8"/>
    <w:rsid w:val="00AD5770"/>
    <w:rsid w:val="00AD7CCE"/>
    <w:rsid w:val="00AE079F"/>
    <w:rsid w:val="00AE0D6E"/>
    <w:rsid w:val="00AE1641"/>
    <w:rsid w:val="00AE26D4"/>
    <w:rsid w:val="00AE2E0E"/>
    <w:rsid w:val="00AE3123"/>
    <w:rsid w:val="00AE4935"/>
    <w:rsid w:val="00AE5490"/>
    <w:rsid w:val="00AE73C4"/>
    <w:rsid w:val="00AE7BBB"/>
    <w:rsid w:val="00AE7F1C"/>
    <w:rsid w:val="00AF0223"/>
    <w:rsid w:val="00AF051F"/>
    <w:rsid w:val="00AF093E"/>
    <w:rsid w:val="00AF194A"/>
    <w:rsid w:val="00AF1950"/>
    <w:rsid w:val="00AF23A1"/>
    <w:rsid w:val="00AF3A50"/>
    <w:rsid w:val="00AF431F"/>
    <w:rsid w:val="00AF4659"/>
    <w:rsid w:val="00AF4C4B"/>
    <w:rsid w:val="00AF4FC1"/>
    <w:rsid w:val="00AF62CF"/>
    <w:rsid w:val="00AF642D"/>
    <w:rsid w:val="00AF6601"/>
    <w:rsid w:val="00B009DE"/>
    <w:rsid w:val="00B018C6"/>
    <w:rsid w:val="00B02A27"/>
    <w:rsid w:val="00B03C08"/>
    <w:rsid w:val="00B0428F"/>
    <w:rsid w:val="00B04756"/>
    <w:rsid w:val="00B04902"/>
    <w:rsid w:val="00B07A9E"/>
    <w:rsid w:val="00B110DD"/>
    <w:rsid w:val="00B121FD"/>
    <w:rsid w:val="00B12BE8"/>
    <w:rsid w:val="00B1350F"/>
    <w:rsid w:val="00B135CD"/>
    <w:rsid w:val="00B143D8"/>
    <w:rsid w:val="00B14AB6"/>
    <w:rsid w:val="00B16903"/>
    <w:rsid w:val="00B17AC1"/>
    <w:rsid w:val="00B20179"/>
    <w:rsid w:val="00B21A29"/>
    <w:rsid w:val="00B21AAC"/>
    <w:rsid w:val="00B22E5B"/>
    <w:rsid w:val="00B24C05"/>
    <w:rsid w:val="00B24F48"/>
    <w:rsid w:val="00B27F2A"/>
    <w:rsid w:val="00B309C7"/>
    <w:rsid w:val="00B31FB2"/>
    <w:rsid w:val="00B32C2D"/>
    <w:rsid w:val="00B331B2"/>
    <w:rsid w:val="00B33348"/>
    <w:rsid w:val="00B33913"/>
    <w:rsid w:val="00B35799"/>
    <w:rsid w:val="00B361CB"/>
    <w:rsid w:val="00B409B1"/>
    <w:rsid w:val="00B411A6"/>
    <w:rsid w:val="00B41D11"/>
    <w:rsid w:val="00B420E5"/>
    <w:rsid w:val="00B42369"/>
    <w:rsid w:val="00B4265C"/>
    <w:rsid w:val="00B42849"/>
    <w:rsid w:val="00B43264"/>
    <w:rsid w:val="00B4451D"/>
    <w:rsid w:val="00B452A0"/>
    <w:rsid w:val="00B46402"/>
    <w:rsid w:val="00B4678B"/>
    <w:rsid w:val="00B513C3"/>
    <w:rsid w:val="00B518C4"/>
    <w:rsid w:val="00B52260"/>
    <w:rsid w:val="00B522AC"/>
    <w:rsid w:val="00B535E8"/>
    <w:rsid w:val="00B538B1"/>
    <w:rsid w:val="00B54426"/>
    <w:rsid w:val="00B55B40"/>
    <w:rsid w:val="00B56758"/>
    <w:rsid w:val="00B57F0F"/>
    <w:rsid w:val="00B6081C"/>
    <w:rsid w:val="00B60D6E"/>
    <w:rsid w:val="00B61197"/>
    <w:rsid w:val="00B612B2"/>
    <w:rsid w:val="00B61528"/>
    <w:rsid w:val="00B62C2D"/>
    <w:rsid w:val="00B640EE"/>
    <w:rsid w:val="00B65CB3"/>
    <w:rsid w:val="00B66C36"/>
    <w:rsid w:val="00B67114"/>
    <w:rsid w:val="00B70CD7"/>
    <w:rsid w:val="00B71046"/>
    <w:rsid w:val="00B72808"/>
    <w:rsid w:val="00B72E89"/>
    <w:rsid w:val="00B733B2"/>
    <w:rsid w:val="00B739BC"/>
    <w:rsid w:val="00B73B73"/>
    <w:rsid w:val="00B747DE"/>
    <w:rsid w:val="00B75BE2"/>
    <w:rsid w:val="00B75D1D"/>
    <w:rsid w:val="00B7775B"/>
    <w:rsid w:val="00B81261"/>
    <w:rsid w:val="00B8141C"/>
    <w:rsid w:val="00B81480"/>
    <w:rsid w:val="00B814C2"/>
    <w:rsid w:val="00B814E9"/>
    <w:rsid w:val="00B81570"/>
    <w:rsid w:val="00B82DC1"/>
    <w:rsid w:val="00B85FFE"/>
    <w:rsid w:val="00B863FC"/>
    <w:rsid w:val="00B876B0"/>
    <w:rsid w:val="00B90EFD"/>
    <w:rsid w:val="00B91DB0"/>
    <w:rsid w:val="00B93224"/>
    <w:rsid w:val="00B93832"/>
    <w:rsid w:val="00B93F38"/>
    <w:rsid w:val="00B93F57"/>
    <w:rsid w:val="00B9407F"/>
    <w:rsid w:val="00B9531E"/>
    <w:rsid w:val="00B9599E"/>
    <w:rsid w:val="00B95D64"/>
    <w:rsid w:val="00B96F29"/>
    <w:rsid w:val="00BA16CC"/>
    <w:rsid w:val="00BA1948"/>
    <w:rsid w:val="00BA43C3"/>
    <w:rsid w:val="00BA4C31"/>
    <w:rsid w:val="00BA4D1C"/>
    <w:rsid w:val="00BA6464"/>
    <w:rsid w:val="00BA76CD"/>
    <w:rsid w:val="00BB0712"/>
    <w:rsid w:val="00BB3104"/>
    <w:rsid w:val="00BB4B54"/>
    <w:rsid w:val="00BB4E27"/>
    <w:rsid w:val="00BB4ED0"/>
    <w:rsid w:val="00BB505E"/>
    <w:rsid w:val="00BB648C"/>
    <w:rsid w:val="00BB65EA"/>
    <w:rsid w:val="00BB6B25"/>
    <w:rsid w:val="00BC09D3"/>
    <w:rsid w:val="00BC0F25"/>
    <w:rsid w:val="00BC1809"/>
    <w:rsid w:val="00BC3244"/>
    <w:rsid w:val="00BC4719"/>
    <w:rsid w:val="00BC476B"/>
    <w:rsid w:val="00BC4BC3"/>
    <w:rsid w:val="00BC57A4"/>
    <w:rsid w:val="00BC5C3C"/>
    <w:rsid w:val="00BC61BF"/>
    <w:rsid w:val="00BD012F"/>
    <w:rsid w:val="00BD03CE"/>
    <w:rsid w:val="00BD19C3"/>
    <w:rsid w:val="00BD2586"/>
    <w:rsid w:val="00BD30E8"/>
    <w:rsid w:val="00BD3B1E"/>
    <w:rsid w:val="00BD4C5B"/>
    <w:rsid w:val="00BD4CE9"/>
    <w:rsid w:val="00BD4FAB"/>
    <w:rsid w:val="00BD562A"/>
    <w:rsid w:val="00BD625F"/>
    <w:rsid w:val="00BD693B"/>
    <w:rsid w:val="00BD6CAC"/>
    <w:rsid w:val="00BD741D"/>
    <w:rsid w:val="00BD7460"/>
    <w:rsid w:val="00BE1DA5"/>
    <w:rsid w:val="00BE2028"/>
    <w:rsid w:val="00BE3655"/>
    <w:rsid w:val="00BE58F0"/>
    <w:rsid w:val="00BE59AF"/>
    <w:rsid w:val="00BF2345"/>
    <w:rsid w:val="00BF2A59"/>
    <w:rsid w:val="00BF2E15"/>
    <w:rsid w:val="00BF3520"/>
    <w:rsid w:val="00BF36CA"/>
    <w:rsid w:val="00BF50B1"/>
    <w:rsid w:val="00BF594D"/>
    <w:rsid w:val="00BF5C96"/>
    <w:rsid w:val="00C00054"/>
    <w:rsid w:val="00C0165D"/>
    <w:rsid w:val="00C02559"/>
    <w:rsid w:val="00C02ECC"/>
    <w:rsid w:val="00C03D40"/>
    <w:rsid w:val="00C04D33"/>
    <w:rsid w:val="00C062A0"/>
    <w:rsid w:val="00C104D1"/>
    <w:rsid w:val="00C1052C"/>
    <w:rsid w:val="00C11E64"/>
    <w:rsid w:val="00C12BCB"/>
    <w:rsid w:val="00C136D3"/>
    <w:rsid w:val="00C163BF"/>
    <w:rsid w:val="00C169A3"/>
    <w:rsid w:val="00C17AEB"/>
    <w:rsid w:val="00C2047A"/>
    <w:rsid w:val="00C20626"/>
    <w:rsid w:val="00C215C7"/>
    <w:rsid w:val="00C21BC4"/>
    <w:rsid w:val="00C21EFE"/>
    <w:rsid w:val="00C220A5"/>
    <w:rsid w:val="00C23678"/>
    <w:rsid w:val="00C239BD"/>
    <w:rsid w:val="00C23BCA"/>
    <w:rsid w:val="00C241B0"/>
    <w:rsid w:val="00C24E5A"/>
    <w:rsid w:val="00C25559"/>
    <w:rsid w:val="00C2590B"/>
    <w:rsid w:val="00C25A92"/>
    <w:rsid w:val="00C26C30"/>
    <w:rsid w:val="00C27386"/>
    <w:rsid w:val="00C273FD"/>
    <w:rsid w:val="00C3033D"/>
    <w:rsid w:val="00C30552"/>
    <w:rsid w:val="00C30801"/>
    <w:rsid w:val="00C3161D"/>
    <w:rsid w:val="00C31D8F"/>
    <w:rsid w:val="00C325CD"/>
    <w:rsid w:val="00C330BE"/>
    <w:rsid w:val="00C36A06"/>
    <w:rsid w:val="00C36A7E"/>
    <w:rsid w:val="00C41BEC"/>
    <w:rsid w:val="00C41C6A"/>
    <w:rsid w:val="00C42B0C"/>
    <w:rsid w:val="00C43DBE"/>
    <w:rsid w:val="00C443CE"/>
    <w:rsid w:val="00C452B6"/>
    <w:rsid w:val="00C4600C"/>
    <w:rsid w:val="00C46727"/>
    <w:rsid w:val="00C46A54"/>
    <w:rsid w:val="00C47D93"/>
    <w:rsid w:val="00C50D4B"/>
    <w:rsid w:val="00C50D62"/>
    <w:rsid w:val="00C52544"/>
    <w:rsid w:val="00C534DF"/>
    <w:rsid w:val="00C53815"/>
    <w:rsid w:val="00C53CD0"/>
    <w:rsid w:val="00C53F1D"/>
    <w:rsid w:val="00C54240"/>
    <w:rsid w:val="00C55264"/>
    <w:rsid w:val="00C56DEB"/>
    <w:rsid w:val="00C62829"/>
    <w:rsid w:val="00C6349A"/>
    <w:rsid w:val="00C641B3"/>
    <w:rsid w:val="00C65F2F"/>
    <w:rsid w:val="00C6664E"/>
    <w:rsid w:val="00C66C5C"/>
    <w:rsid w:val="00C66EB9"/>
    <w:rsid w:val="00C718B9"/>
    <w:rsid w:val="00C72DB0"/>
    <w:rsid w:val="00C7435F"/>
    <w:rsid w:val="00C74A51"/>
    <w:rsid w:val="00C777A9"/>
    <w:rsid w:val="00C77990"/>
    <w:rsid w:val="00C8309E"/>
    <w:rsid w:val="00C83C5D"/>
    <w:rsid w:val="00C84010"/>
    <w:rsid w:val="00C84D9A"/>
    <w:rsid w:val="00C87EDA"/>
    <w:rsid w:val="00C900E7"/>
    <w:rsid w:val="00C901E1"/>
    <w:rsid w:val="00C90A75"/>
    <w:rsid w:val="00C92984"/>
    <w:rsid w:val="00C9359D"/>
    <w:rsid w:val="00C94910"/>
    <w:rsid w:val="00C967A7"/>
    <w:rsid w:val="00CA03DC"/>
    <w:rsid w:val="00CA08EC"/>
    <w:rsid w:val="00CA23BF"/>
    <w:rsid w:val="00CA2715"/>
    <w:rsid w:val="00CA2BB8"/>
    <w:rsid w:val="00CA34E4"/>
    <w:rsid w:val="00CA4A03"/>
    <w:rsid w:val="00CA4D89"/>
    <w:rsid w:val="00CA6CCF"/>
    <w:rsid w:val="00CB0155"/>
    <w:rsid w:val="00CB0804"/>
    <w:rsid w:val="00CB0DBD"/>
    <w:rsid w:val="00CB13C7"/>
    <w:rsid w:val="00CB1750"/>
    <w:rsid w:val="00CB3CE0"/>
    <w:rsid w:val="00CB3DBD"/>
    <w:rsid w:val="00CB48D7"/>
    <w:rsid w:val="00CB4B2B"/>
    <w:rsid w:val="00CB53E4"/>
    <w:rsid w:val="00CB5446"/>
    <w:rsid w:val="00CB5C12"/>
    <w:rsid w:val="00CB5C96"/>
    <w:rsid w:val="00CB646E"/>
    <w:rsid w:val="00CB7B99"/>
    <w:rsid w:val="00CC0AAA"/>
    <w:rsid w:val="00CC0E27"/>
    <w:rsid w:val="00CC181B"/>
    <w:rsid w:val="00CC1992"/>
    <w:rsid w:val="00CC3754"/>
    <w:rsid w:val="00CC44C1"/>
    <w:rsid w:val="00CC4C75"/>
    <w:rsid w:val="00CC6F7D"/>
    <w:rsid w:val="00CD160A"/>
    <w:rsid w:val="00CD26FD"/>
    <w:rsid w:val="00CD2AE2"/>
    <w:rsid w:val="00CD434C"/>
    <w:rsid w:val="00CD67FF"/>
    <w:rsid w:val="00CD6E79"/>
    <w:rsid w:val="00CD7D26"/>
    <w:rsid w:val="00CE1C03"/>
    <w:rsid w:val="00CE20F7"/>
    <w:rsid w:val="00CE4651"/>
    <w:rsid w:val="00CE4796"/>
    <w:rsid w:val="00CE4AE4"/>
    <w:rsid w:val="00CE7905"/>
    <w:rsid w:val="00CE7B8B"/>
    <w:rsid w:val="00CF0594"/>
    <w:rsid w:val="00CF10B2"/>
    <w:rsid w:val="00CF2522"/>
    <w:rsid w:val="00CF2F7A"/>
    <w:rsid w:val="00CF53EF"/>
    <w:rsid w:val="00CF6BF2"/>
    <w:rsid w:val="00CF7524"/>
    <w:rsid w:val="00CF77CD"/>
    <w:rsid w:val="00CF792F"/>
    <w:rsid w:val="00D00EA9"/>
    <w:rsid w:val="00D01D4E"/>
    <w:rsid w:val="00D025E9"/>
    <w:rsid w:val="00D02CB9"/>
    <w:rsid w:val="00D02DAC"/>
    <w:rsid w:val="00D03F92"/>
    <w:rsid w:val="00D04ABE"/>
    <w:rsid w:val="00D060D2"/>
    <w:rsid w:val="00D07CD1"/>
    <w:rsid w:val="00D1168E"/>
    <w:rsid w:val="00D12ED7"/>
    <w:rsid w:val="00D143FF"/>
    <w:rsid w:val="00D14C70"/>
    <w:rsid w:val="00D153A4"/>
    <w:rsid w:val="00D16E90"/>
    <w:rsid w:val="00D17BF8"/>
    <w:rsid w:val="00D20A59"/>
    <w:rsid w:val="00D20AC3"/>
    <w:rsid w:val="00D21340"/>
    <w:rsid w:val="00D21AD6"/>
    <w:rsid w:val="00D21D95"/>
    <w:rsid w:val="00D2228C"/>
    <w:rsid w:val="00D240FC"/>
    <w:rsid w:val="00D2417C"/>
    <w:rsid w:val="00D24435"/>
    <w:rsid w:val="00D24E22"/>
    <w:rsid w:val="00D30BCC"/>
    <w:rsid w:val="00D30F24"/>
    <w:rsid w:val="00D3157C"/>
    <w:rsid w:val="00D3166A"/>
    <w:rsid w:val="00D317EA"/>
    <w:rsid w:val="00D34C02"/>
    <w:rsid w:val="00D35218"/>
    <w:rsid w:val="00D35864"/>
    <w:rsid w:val="00D35FDF"/>
    <w:rsid w:val="00D37588"/>
    <w:rsid w:val="00D37803"/>
    <w:rsid w:val="00D4163A"/>
    <w:rsid w:val="00D416D1"/>
    <w:rsid w:val="00D42060"/>
    <w:rsid w:val="00D42DF7"/>
    <w:rsid w:val="00D42E19"/>
    <w:rsid w:val="00D42F52"/>
    <w:rsid w:val="00D43429"/>
    <w:rsid w:val="00D44BA0"/>
    <w:rsid w:val="00D45B1C"/>
    <w:rsid w:val="00D45EB2"/>
    <w:rsid w:val="00D470F3"/>
    <w:rsid w:val="00D474CC"/>
    <w:rsid w:val="00D47D96"/>
    <w:rsid w:val="00D50156"/>
    <w:rsid w:val="00D52829"/>
    <w:rsid w:val="00D5577F"/>
    <w:rsid w:val="00D55FC2"/>
    <w:rsid w:val="00D56F12"/>
    <w:rsid w:val="00D56FFF"/>
    <w:rsid w:val="00D60C31"/>
    <w:rsid w:val="00D6155A"/>
    <w:rsid w:val="00D626D4"/>
    <w:rsid w:val="00D62C2B"/>
    <w:rsid w:val="00D630BA"/>
    <w:rsid w:val="00D63171"/>
    <w:rsid w:val="00D63DC4"/>
    <w:rsid w:val="00D6450A"/>
    <w:rsid w:val="00D64EEB"/>
    <w:rsid w:val="00D6746D"/>
    <w:rsid w:val="00D677F6"/>
    <w:rsid w:val="00D70069"/>
    <w:rsid w:val="00D70401"/>
    <w:rsid w:val="00D709F4"/>
    <w:rsid w:val="00D70E22"/>
    <w:rsid w:val="00D72DC7"/>
    <w:rsid w:val="00D75220"/>
    <w:rsid w:val="00D7527C"/>
    <w:rsid w:val="00D75284"/>
    <w:rsid w:val="00D76332"/>
    <w:rsid w:val="00D7682A"/>
    <w:rsid w:val="00D805D9"/>
    <w:rsid w:val="00D80CD8"/>
    <w:rsid w:val="00D81188"/>
    <w:rsid w:val="00D814D0"/>
    <w:rsid w:val="00D8160C"/>
    <w:rsid w:val="00D838AE"/>
    <w:rsid w:val="00D83E1C"/>
    <w:rsid w:val="00D85645"/>
    <w:rsid w:val="00D8577E"/>
    <w:rsid w:val="00D85D82"/>
    <w:rsid w:val="00D86D11"/>
    <w:rsid w:val="00D8768B"/>
    <w:rsid w:val="00D87BF6"/>
    <w:rsid w:val="00D87DAF"/>
    <w:rsid w:val="00D90BC2"/>
    <w:rsid w:val="00D911B7"/>
    <w:rsid w:val="00D92636"/>
    <w:rsid w:val="00D93116"/>
    <w:rsid w:val="00D93624"/>
    <w:rsid w:val="00D942D8"/>
    <w:rsid w:val="00D9516D"/>
    <w:rsid w:val="00D957F8"/>
    <w:rsid w:val="00D9595A"/>
    <w:rsid w:val="00D96A47"/>
    <w:rsid w:val="00DA17EE"/>
    <w:rsid w:val="00DA3E6E"/>
    <w:rsid w:val="00DA59E4"/>
    <w:rsid w:val="00DA61AF"/>
    <w:rsid w:val="00DA6665"/>
    <w:rsid w:val="00DA716C"/>
    <w:rsid w:val="00DA71D0"/>
    <w:rsid w:val="00DB132F"/>
    <w:rsid w:val="00DB3854"/>
    <w:rsid w:val="00DB3A8C"/>
    <w:rsid w:val="00DB5276"/>
    <w:rsid w:val="00DB6BB2"/>
    <w:rsid w:val="00DB7636"/>
    <w:rsid w:val="00DC038E"/>
    <w:rsid w:val="00DC0BD8"/>
    <w:rsid w:val="00DC10DA"/>
    <w:rsid w:val="00DC2A47"/>
    <w:rsid w:val="00DC4254"/>
    <w:rsid w:val="00DC6190"/>
    <w:rsid w:val="00DC6825"/>
    <w:rsid w:val="00DC687D"/>
    <w:rsid w:val="00DD0BCE"/>
    <w:rsid w:val="00DD0E51"/>
    <w:rsid w:val="00DD1750"/>
    <w:rsid w:val="00DD27EA"/>
    <w:rsid w:val="00DD3581"/>
    <w:rsid w:val="00DD3C6B"/>
    <w:rsid w:val="00DD6388"/>
    <w:rsid w:val="00DD702A"/>
    <w:rsid w:val="00DD790D"/>
    <w:rsid w:val="00DE0047"/>
    <w:rsid w:val="00DE11D9"/>
    <w:rsid w:val="00DE1305"/>
    <w:rsid w:val="00DE1DD6"/>
    <w:rsid w:val="00DE23CC"/>
    <w:rsid w:val="00DE2C5E"/>
    <w:rsid w:val="00DE2FDA"/>
    <w:rsid w:val="00DE3335"/>
    <w:rsid w:val="00DE3B80"/>
    <w:rsid w:val="00DE42CC"/>
    <w:rsid w:val="00DE4EFF"/>
    <w:rsid w:val="00DE5276"/>
    <w:rsid w:val="00DE6B15"/>
    <w:rsid w:val="00DE6D9A"/>
    <w:rsid w:val="00DE71E1"/>
    <w:rsid w:val="00DE772A"/>
    <w:rsid w:val="00DF148C"/>
    <w:rsid w:val="00DF2400"/>
    <w:rsid w:val="00DF3FC7"/>
    <w:rsid w:val="00DF5328"/>
    <w:rsid w:val="00DF5E99"/>
    <w:rsid w:val="00DF6255"/>
    <w:rsid w:val="00E019C8"/>
    <w:rsid w:val="00E028FE"/>
    <w:rsid w:val="00E02F90"/>
    <w:rsid w:val="00E03D33"/>
    <w:rsid w:val="00E04521"/>
    <w:rsid w:val="00E0467F"/>
    <w:rsid w:val="00E07500"/>
    <w:rsid w:val="00E106D9"/>
    <w:rsid w:val="00E1093A"/>
    <w:rsid w:val="00E11012"/>
    <w:rsid w:val="00E1104E"/>
    <w:rsid w:val="00E11DDA"/>
    <w:rsid w:val="00E11E07"/>
    <w:rsid w:val="00E127DF"/>
    <w:rsid w:val="00E12865"/>
    <w:rsid w:val="00E12F09"/>
    <w:rsid w:val="00E1397E"/>
    <w:rsid w:val="00E16B15"/>
    <w:rsid w:val="00E17D8C"/>
    <w:rsid w:val="00E17F1D"/>
    <w:rsid w:val="00E2015F"/>
    <w:rsid w:val="00E208B4"/>
    <w:rsid w:val="00E20C3C"/>
    <w:rsid w:val="00E21755"/>
    <w:rsid w:val="00E248BC"/>
    <w:rsid w:val="00E24D07"/>
    <w:rsid w:val="00E25508"/>
    <w:rsid w:val="00E2570D"/>
    <w:rsid w:val="00E2796A"/>
    <w:rsid w:val="00E30519"/>
    <w:rsid w:val="00E315A0"/>
    <w:rsid w:val="00E32F01"/>
    <w:rsid w:val="00E33DFC"/>
    <w:rsid w:val="00E33E65"/>
    <w:rsid w:val="00E33F58"/>
    <w:rsid w:val="00E35210"/>
    <w:rsid w:val="00E354FD"/>
    <w:rsid w:val="00E36346"/>
    <w:rsid w:val="00E370EE"/>
    <w:rsid w:val="00E402EF"/>
    <w:rsid w:val="00E41EFB"/>
    <w:rsid w:val="00E44031"/>
    <w:rsid w:val="00E451BE"/>
    <w:rsid w:val="00E45208"/>
    <w:rsid w:val="00E5045D"/>
    <w:rsid w:val="00E5214E"/>
    <w:rsid w:val="00E52439"/>
    <w:rsid w:val="00E531FA"/>
    <w:rsid w:val="00E5398A"/>
    <w:rsid w:val="00E54396"/>
    <w:rsid w:val="00E54681"/>
    <w:rsid w:val="00E55133"/>
    <w:rsid w:val="00E56047"/>
    <w:rsid w:val="00E5636C"/>
    <w:rsid w:val="00E57114"/>
    <w:rsid w:val="00E57507"/>
    <w:rsid w:val="00E57577"/>
    <w:rsid w:val="00E61512"/>
    <w:rsid w:val="00E62BE8"/>
    <w:rsid w:val="00E63951"/>
    <w:rsid w:val="00E63E97"/>
    <w:rsid w:val="00E63EA0"/>
    <w:rsid w:val="00E64D22"/>
    <w:rsid w:val="00E6615D"/>
    <w:rsid w:val="00E661BB"/>
    <w:rsid w:val="00E6638C"/>
    <w:rsid w:val="00E67614"/>
    <w:rsid w:val="00E67BD4"/>
    <w:rsid w:val="00E715CF"/>
    <w:rsid w:val="00E7173A"/>
    <w:rsid w:val="00E73CBA"/>
    <w:rsid w:val="00E749CE"/>
    <w:rsid w:val="00E74A56"/>
    <w:rsid w:val="00E7687A"/>
    <w:rsid w:val="00E814B5"/>
    <w:rsid w:val="00E82851"/>
    <w:rsid w:val="00E82EEE"/>
    <w:rsid w:val="00E83598"/>
    <w:rsid w:val="00E83CED"/>
    <w:rsid w:val="00E85BB6"/>
    <w:rsid w:val="00E86544"/>
    <w:rsid w:val="00E86781"/>
    <w:rsid w:val="00E86A18"/>
    <w:rsid w:val="00E87F05"/>
    <w:rsid w:val="00E90237"/>
    <w:rsid w:val="00E903C8"/>
    <w:rsid w:val="00E91369"/>
    <w:rsid w:val="00E925B2"/>
    <w:rsid w:val="00E93682"/>
    <w:rsid w:val="00E938DF"/>
    <w:rsid w:val="00E94134"/>
    <w:rsid w:val="00E96985"/>
    <w:rsid w:val="00E96BB7"/>
    <w:rsid w:val="00E96CA0"/>
    <w:rsid w:val="00E972B4"/>
    <w:rsid w:val="00EA11A4"/>
    <w:rsid w:val="00EA26BC"/>
    <w:rsid w:val="00EA29C3"/>
    <w:rsid w:val="00EA4041"/>
    <w:rsid w:val="00EA44AD"/>
    <w:rsid w:val="00EA52EF"/>
    <w:rsid w:val="00EA58E1"/>
    <w:rsid w:val="00EA5BC2"/>
    <w:rsid w:val="00EA70D3"/>
    <w:rsid w:val="00EB1C19"/>
    <w:rsid w:val="00EB1D50"/>
    <w:rsid w:val="00EB24B6"/>
    <w:rsid w:val="00EB2727"/>
    <w:rsid w:val="00EB2D75"/>
    <w:rsid w:val="00EB57FA"/>
    <w:rsid w:val="00EB5DB2"/>
    <w:rsid w:val="00EB612D"/>
    <w:rsid w:val="00EB6195"/>
    <w:rsid w:val="00EB6AB0"/>
    <w:rsid w:val="00EB7E7E"/>
    <w:rsid w:val="00EC0505"/>
    <w:rsid w:val="00EC08CD"/>
    <w:rsid w:val="00EC2979"/>
    <w:rsid w:val="00EC319D"/>
    <w:rsid w:val="00EC37F7"/>
    <w:rsid w:val="00EC4A09"/>
    <w:rsid w:val="00EC5265"/>
    <w:rsid w:val="00ED091C"/>
    <w:rsid w:val="00ED0937"/>
    <w:rsid w:val="00ED109E"/>
    <w:rsid w:val="00ED219C"/>
    <w:rsid w:val="00ED38CE"/>
    <w:rsid w:val="00ED493C"/>
    <w:rsid w:val="00ED4FC7"/>
    <w:rsid w:val="00EE000E"/>
    <w:rsid w:val="00EE07CD"/>
    <w:rsid w:val="00EE0EB6"/>
    <w:rsid w:val="00EE1E7B"/>
    <w:rsid w:val="00EE3DAF"/>
    <w:rsid w:val="00EE4EE8"/>
    <w:rsid w:val="00EE4F0B"/>
    <w:rsid w:val="00EE5AC9"/>
    <w:rsid w:val="00EF08E0"/>
    <w:rsid w:val="00EF0A4F"/>
    <w:rsid w:val="00EF33E4"/>
    <w:rsid w:val="00EF44B2"/>
    <w:rsid w:val="00EF4FEF"/>
    <w:rsid w:val="00EF658D"/>
    <w:rsid w:val="00EF79D4"/>
    <w:rsid w:val="00F03039"/>
    <w:rsid w:val="00F0316B"/>
    <w:rsid w:val="00F050DF"/>
    <w:rsid w:val="00F05444"/>
    <w:rsid w:val="00F0560D"/>
    <w:rsid w:val="00F05BD5"/>
    <w:rsid w:val="00F06121"/>
    <w:rsid w:val="00F06625"/>
    <w:rsid w:val="00F06B35"/>
    <w:rsid w:val="00F138D9"/>
    <w:rsid w:val="00F151C5"/>
    <w:rsid w:val="00F159FE"/>
    <w:rsid w:val="00F16538"/>
    <w:rsid w:val="00F16D67"/>
    <w:rsid w:val="00F203BA"/>
    <w:rsid w:val="00F20467"/>
    <w:rsid w:val="00F2048B"/>
    <w:rsid w:val="00F211E4"/>
    <w:rsid w:val="00F21AFA"/>
    <w:rsid w:val="00F21D72"/>
    <w:rsid w:val="00F21DD6"/>
    <w:rsid w:val="00F23D8C"/>
    <w:rsid w:val="00F24C9B"/>
    <w:rsid w:val="00F27DAF"/>
    <w:rsid w:val="00F3030C"/>
    <w:rsid w:val="00F30391"/>
    <w:rsid w:val="00F322A1"/>
    <w:rsid w:val="00F323D0"/>
    <w:rsid w:val="00F32B72"/>
    <w:rsid w:val="00F34D0C"/>
    <w:rsid w:val="00F36BFC"/>
    <w:rsid w:val="00F37633"/>
    <w:rsid w:val="00F376FE"/>
    <w:rsid w:val="00F37A8F"/>
    <w:rsid w:val="00F40194"/>
    <w:rsid w:val="00F40313"/>
    <w:rsid w:val="00F41243"/>
    <w:rsid w:val="00F41DB1"/>
    <w:rsid w:val="00F4229C"/>
    <w:rsid w:val="00F459C4"/>
    <w:rsid w:val="00F5094F"/>
    <w:rsid w:val="00F512DC"/>
    <w:rsid w:val="00F51324"/>
    <w:rsid w:val="00F53DC1"/>
    <w:rsid w:val="00F541BC"/>
    <w:rsid w:val="00F54233"/>
    <w:rsid w:val="00F5451E"/>
    <w:rsid w:val="00F54B9C"/>
    <w:rsid w:val="00F54DEB"/>
    <w:rsid w:val="00F557DE"/>
    <w:rsid w:val="00F56145"/>
    <w:rsid w:val="00F61549"/>
    <w:rsid w:val="00F62808"/>
    <w:rsid w:val="00F628A0"/>
    <w:rsid w:val="00F62DED"/>
    <w:rsid w:val="00F651DE"/>
    <w:rsid w:val="00F65225"/>
    <w:rsid w:val="00F66752"/>
    <w:rsid w:val="00F66CFF"/>
    <w:rsid w:val="00F679BF"/>
    <w:rsid w:val="00F67E2E"/>
    <w:rsid w:val="00F713E9"/>
    <w:rsid w:val="00F71A01"/>
    <w:rsid w:val="00F72655"/>
    <w:rsid w:val="00F744F6"/>
    <w:rsid w:val="00F75163"/>
    <w:rsid w:val="00F761EC"/>
    <w:rsid w:val="00F76AF9"/>
    <w:rsid w:val="00F76EEB"/>
    <w:rsid w:val="00F77480"/>
    <w:rsid w:val="00F775A7"/>
    <w:rsid w:val="00F8130F"/>
    <w:rsid w:val="00F8179C"/>
    <w:rsid w:val="00F82658"/>
    <w:rsid w:val="00F828D6"/>
    <w:rsid w:val="00F8300C"/>
    <w:rsid w:val="00F838D7"/>
    <w:rsid w:val="00F845A3"/>
    <w:rsid w:val="00F84721"/>
    <w:rsid w:val="00F849F0"/>
    <w:rsid w:val="00F84CB7"/>
    <w:rsid w:val="00F852DD"/>
    <w:rsid w:val="00F855BD"/>
    <w:rsid w:val="00F86B0D"/>
    <w:rsid w:val="00F86CC3"/>
    <w:rsid w:val="00F90D8A"/>
    <w:rsid w:val="00F958B9"/>
    <w:rsid w:val="00F96D9A"/>
    <w:rsid w:val="00F96FE9"/>
    <w:rsid w:val="00FA0E83"/>
    <w:rsid w:val="00FA36A7"/>
    <w:rsid w:val="00FA3B4F"/>
    <w:rsid w:val="00FA3F7E"/>
    <w:rsid w:val="00FA6B04"/>
    <w:rsid w:val="00FA7739"/>
    <w:rsid w:val="00FB0B65"/>
    <w:rsid w:val="00FB0E9C"/>
    <w:rsid w:val="00FB18FD"/>
    <w:rsid w:val="00FB2863"/>
    <w:rsid w:val="00FB3EB4"/>
    <w:rsid w:val="00FB40CA"/>
    <w:rsid w:val="00FB4C6C"/>
    <w:rsid w:val="00FB54E9"/>
    <w:rsid w:val="00FB5832"/>
    <w:rsid w:val="00FB5A55"/>
    <w:rsid w:val="00FB5C2E"/>
    <w:rsid w:val="00FB65DE"/>
    <w:rsid w:val="00FB6BFE"/>
    <w:rsid w:val="00FC0AC6"/>
    <w:rsid w:val="00FC3471"/>
    <w:rsid w:val="00FC3F64"/>
    <w:rsid w:val="00FC57A9"/>
    <w:rsid w:val="00FC6549"/>
    <w:rsid w:val="00FC6A00"/>
    <w:rsid w:val="00FC6DC7"/>
    <w:rsid w:val="00FC71E9"/>
    <w:rsid w:val="00FC7799"/>
    <w:rsid w:val="00FD0E8C"/>
    <w:rsid w:val="00FD11BA"/>
    <w:rsid w:val="00FD370C"/>
    <w:rsid w:val="00FD39E1"/>
    <w:rsid w:val="00FD407A"/>
    <w:rsid w:val="00FD4D9B"/>
    <w:rsid w:val="00FD4FA2"/>
    <w:rsid w:val="00FD5A3A"/>
    <w:rsid w:val="00FD6111"/>
    <w:rsid w:val="00FD6BFE"/>
    <w:rsid w:val="00FD74DB"/>
    <w:rsid w:val="00FE09F8"/>
    <w:rsid w:val="00FE0A52"/>
    <w:rsid w:val="00FE0F56"/>
    <w:rsid w:val="00FE1000"/>
    <w:rsid w:val="00FE1210"/>
    <w:rsid w:val="00FE16E1"/>
    <w:rsid w:val="00FE25E2"/>
    <w:rsid w:val="00FE3B90"/>
    <w:rsid w:val="00FE435D"/>
    <w:rsid w:val="00FE4D91"/>
    <w:rsid w:val="00FE54FB"/>
    <w:rsid w:val="00FE5FB3"/>
    <w:rsid w:val="00FE6A9D"/>
    <w:rsid w:val="00FF03BF"/>
    <w:rsid w:val="00FF1CB6"/>
    <w:rsid w:val="00FF3121"/>
    <w:rsid w:val="00FF4A6F"/>
    <w:rsid w:val="00FF69F9"/>
    <w:rsid w:val="00FF6B82"/>
    <w:rsid w:val="00FF6EB0"/>
    <w:rsid w:val="00FF7E5A"/>
    <w:rsid w:val="7A83E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E3D9"/>
  <w15:docId w15:val="{8A99FACA-7653-452E-8C86-1F7E14E8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06"/>
    <w:pPr>
      <w:spacing w:before="200" w:line="240" w:lineRule="auto"/>
    </w:p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300732"/>
    <w:pPr>
      <w:keepNext/>
      <w:keepLines/>
      <w:spacing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C0D48"/>
    <w:pPr>
      <w:keepNext/>
      <w:keepLines/>
      <w:spacing w:after="0"/>
      <w:ind w:left="864" w:hanging="864"/>
      <w:outlineLvl w:val="3"/>
    </w:pPr>
    <w:rPr>
      <w:rFonts w:asciiTheme="majorHAnsi" w:eastAsiaTheme="majorEastAsia" w:hAnsiTheme="majorHAnsi" w:cstheme="majorBidi"/>
      <w:u w:val="single"/>
      <w:lang w:val="en"/>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30073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C0D48"/>
    <w:rPr>
      <w:rFonts w:asciiTheme="majorHAnsi" w:eastAsiaTheme="majorEastAsia" w:hAnsiTheme="majorHAnsi" w:cstheme="majorBidi"/>
      <w:u w:val="single"/>
      <w:lang w:val="en"/>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aliases w:val="-H18,Annotationmark"/>
    <w:basedOn w:val="DefaultParagraphFont"/>
    <w:unhideWhenUsed/>
    <w:qFormat/>
    <w:rsid w:val="001A3992"/>
    <w:rPr>
      <w:sz w:val="16"/>
      <w:szCs w:val="16"/>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 Car6,Car6, Zchn Zchn1,Zchn Zchn1"/>
    <w:basedOn w:val="Normal"/>
    <w:link w:val="CommentTextChar"/>
    <w:unhideWhenUsed/>
    <w:rsid w:val="001A3992"/>
    <w:rPr>
      <w:rFonts w:ascii="Cambria" w:hAnsi="Cambria"/>
      <w:sz w:val="20"/>
      <w:szCs w:val="20"/>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 Car6 Char,Car6 Char, Zchn Zchn1 Char"/>
    <w:basedOn w:val="DefaultParagraphFont"/>
    <w:link w:val="CommentText"/>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table" w:styleId="TableGrid">
    <w:name w:val="Table Grid"/>
    <w:basedOn w:val="TableNormal"/>
    <w:uiPriority w:val="39"/>
    <w:unhideWhenUsed/>
    <w:rsid w:val="00675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6B5A"/>
    <w:rPr>
      <w:b/>
      <w:bCs/>
    </w:rPr>
  </w:style>
  <w:style w:type="paragraph" w:styleId="Revision">
    <w:name w:val="Revision"/>
    <w:hidden/>
    <w:uiPriority w:val="99"/>
    <w:semiHidden/>
    <w:rsid w:val="00625BE0"/>
    <w:pPr>
      <w:spacing w:after="0" w:line="240" w:lineRule="auto"/>
    </w:pPr>
  </w:style>
  <w:style w:type="paragraph" w:styleId="CommentSubject">
    <w:name w:val="annotation subject"/>
    <w:basedOn w:val="CommentText"/>
    <w:next w:val="CommentText"/>
    <w:link w:val="CommentSubjectChar"/>
    <w:uiPriority w:val="99"/>
    <w:semiHidden/>
    <w:unhideWhenUsed/>
    <w:rsid w:val="00625BE0"/>
    <w:rPr>
      <w:rFonts w:asciiTheme="minorHAnsi" w:hAnsiTheme="minorHAnsi"/>
      <w:b/>
      <w:bCs/>
    </w:rPr>
  </w:style>
  <w:style w:type="character" w:customStyle="1" w:styleId="CommentSubjectChar">
    <w:name w:val="Comment Subject Char"/>
    <w:basedOn w:val="CommentTextChar"/>
    <w:link w:val="CommentSubject"/>
    <w:uiPriority w:val="99"/>
    <w:semiHidden/>
    <w:rsid w:val="00625BE0"/>
    <w:rPr>
      <w:rFonts w:ascii="Cambria" w:hAnsi="Cambria"/>
      <w:b/>
      <w:bCs/>
      <w:sz w:val="20"/>
      <w:szCs w:val="20"/>
    </w:rPr>
  </w:style>
  <w:style w:type="character" w:styleId="UnresolvedMention">
    <w:name w:val="Unresolved Mention"/>
    <w:basedOn w:val="DefaultParagraphFont"/>
    <w:uiPriority w:val="99"/>
    <w:semiHidden/>
    <w:unhideWhenUsed/>
    <w:rsid w:val="00625BE0"/>
    <w:rPr>
      <w:color w:val="605E5C"/>
      <w:shd w:val="clear" w:color="auto" w:fill="E1DFDD"/>
    </w:rPr>
  </w:style>
  <w:style w:type="table" w:customStyle="1" w:styleId="C-Table">
    <w:name w:val="C-Table"/>
    <w:basedOn w:val="TableNormal"/>
    <w:rsid w:val="00625BE0"/>
    <w:pPr>
      <w:spacing w:after="0" w:line="240" w:lineRule="auto"/>
    </w:pPr>
    <w:rPr>
      <w:rFonts w:ascii="Times New Roman" w:eastAsia="Times New Roman" w:hAnsi="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TableText">
    <w:name w:val="C-Table Text"/>
    <w:link w:val="C-TableTextChar"/>
    <w:rsid w:val="00625BE0"/>
    <w:pPr>
      <w:spacing w:before="60" w:after="60" w:line="240" w:lineRule="auto"/>
    </w:pPr>
    <w:rPr>
      <w:rFonts w:ascii="Times New Roman" w:eastAsia="Times New Roman" w:hAnsi="Times New Roman" w:cs="Times New Roman"/>
      <w:szCs w:val="20"/>
      <w:lang w:val="en-US"/>
    </w:rPr>
  </w:style>
  <w:style w:type="character" w:customStyle="1" w:styleId="C-TableTextChar">
    <w:name w:val="C-Table Text Char"/>
    <w:link w:val="C-TableText"/>
    <w:rsid w:val="00625BE0"/>
    <w:rPr>
      <w:rFonts w:ascii="Times New Roman" w:eastAsia="Times New Roman" w:hAnsi="Times New Roman" w:cs="Times New Roman"/>
      <w:szCs w:val="20"/>
      <w:lang w:val="en-US"/>
    </w:rPr>
  </w:style>
  <w:style w:type="paragraph" w:customStyle="1" w:styleId="C-TableHeader">
    <w:name w:val="C-Table Header"/>
    <w:next w:val="C-TableText"/>
    <w:link w:val="C-TableHeaderChar"/>
    <w:rsid w:val="00625BE0"/>
    <w:pPr>
      <w:keepNext/>
      <w:spacing w:before="60" w:after="60" w:line="240" w:lineRule="auto"/>
    </w:pPr>
    <w:rPr>
      <w:rFonts w:ascii="Times New Roman" w:eastAsia="Times New Roman" w:hAnsi="Times New Roman" w:cs="Times New Roman"/>
      <w:b/>
      <w:szCs w:val="20"/>
      <w:lang w:val="en-US"/>
    </w:rPr>
  </w:style>
  <w:style w:type="character" w:customStyle="1" w:styleId="C-TableHeaderChar">
    <w:name w:val="C-Table Header Char"/>
    <w:link w:val="C-TableHeader"/>
    <w:rsid w:val="00625BE0"/>
    <w:rPr>
      <w:rFonts w:ascii="Times New Roman" w:eastAsia="Times New Roman" w:hAnsi="Times New Roman" w:cs="Times New Roman"/>
      <w:b/>
      <w:szCs w:val="20"/>
      <w:lang w:val="en-US"/>
    </w:rPr>
  </w:style>
  <w:style w:type="paragraph" w:styleId="Caption">
    <w:name w:val="caption"/>
    <w:aliases w:val="Char"/>
    <w:basedOn w:val="Normal"/>
    <w:next w:val="Normal"/>
    <w:link w:val="CaptionChar"/>
    <w:qFormat/>
    <w:rsid w:val="00D42DF7"/>
    <w:pPr>
      <w:keepNext/>
      <w:keepLines/>
      <w:spacing w:before="120" w:after="0"/>
      <w:outlineLvl w:val="1"/>
    </w:pPr>
    <w:rPr>
      <w:rFonts w:eastAsia="Times New Roman" w:cs="Arial"/>
      <w:b/>
      <w:szCs w:val="24"/>
      <w:lang w:val="en-US"/>
    </w:rPr>
  </w:style>
  <w:style w:type="character" w:customStyle="1" w:styleId="CaptionChar">
    <w:name w:val="Caption Char"/>
    <w:aliases w:val="Char Char"/>
    <w:link w:val="Caption"/>
    <w:rsid w:val="00D42DF7"/>
    <w:rPr>
      <w:rFonts w:eastAsia="Times New Roman" w:cs="Arial"/>
      <w:b/>
      <w:szCs w:val="24"/>
      <w:lang w:val="en-US"/>
    </w:rPr>
  </w:style>
  <w:style w:type="paragraph" w:customStyle="1" w:styleId="C-TableFootnote">
    <w:name w:val="C-Table Footnote"/>
    <w:next w:val="Normal"/>
    <w:rsid w:val="00625BE0"/>
    <w:pPr>
      <w:tabs>
        <w:tab w:val="left" w:pos="144"/>
      </w:tabs>
      <w:spacing w:after="0" w:line="240" w:lineRule="auto"/>
      <w:ind w:left="144" w:hanging="144"/>
    </w:pPr>
    <w:rPr>
      <w:rFonts w:ascii="Times New Roman" w:eastAsia="Times New Roman" w:hAnsi="Times New Roman" w:cs="Arial"/>
      <w:sz w:val="20"/>
      <w:szCs w:val="20"/>
      <w:lang w:val="en-US"/>
    </w:rPr>
  </w:style>
  <w:style w:type="paragraph" w:styleId="NoSpacing">
    <w:name w:val="No Spacing"/>
    <w:uiPriority w:val="1"/>
    <w:qFormat/>
    <w:rsid w:val="00FC71E9"/>
    <w:pPr>
      <w:spacing w:after="0" w:line="240" w:lineRule="auto"/>
    </w:pPr>
  </w:style>
  <w:style w:type="paragraph" w:customStyle="1" w:styleId="C-BodyText">
    <w:name w:val="C-Body Text"/>
    <w:link w:val="C-BodyTextChar"/>
    <w:rsid w:val="00A01CBE"/>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basedOn w:val="DefaultParagraphFont"/>
    <w:link w:val="C-BodyText"/>
    <w:locked/>
    <w:rsid w:val="00A01CBE"/>
    <w:rPr>
      <w:rFonts w:ascii="Times New Roman" w:eastAsia="Times New Roman" w:hAnsi="Times New Roman" w:cs="Times New Roman"/>
      <w:sz w:val="24"/>
      <w:szCs w:val="20"/>
      <w:lang w:val="en-US"/>
    </w:rPr>
  </w:style>
  <w:style w:type="paragraph" w:styleId="Bibliography">
    <w:name w:val="Bibliography"/>
    <w:basedOn w:val="Normal"/>
    <w:next w:val="Normal"/>
    <w:uiPriority w:val="37"/>
    <w:semiHidden/>
    <w:unhideWhenUsed/>
    <w:rsid w:val="00C31D8F"/>
  </w:style>
  <w:style w:type="paragraph" w:styleId="BlockText">
    <w:name w:val="Block Text"/>
    <w:basedOn w:val="Normal"/>
    <w:uiPriority w:val="99"/>
    <w:semiHidden/>
    <w:unhideWhenUsed/>
    <w:rsid w:val="00C31D8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C31D8F"/>
    <w:pPr>
      <w:spacing w:after="120"/>
    </w:pPr>
  </w:style>
  <w:style w:type="character" w:customStyle="1" w:styleId="BodyTextChar">
    <w:name w:val="Body Text Char"/>
    <w:basedOn w:val="DefaultParagraphFont"/>
    <w:link w:val="BodyText"/>
    <w:uiPriority w:val="99"/>
    <w:semiHidden/>
    <w:rsid w:val="00C31D8F"/>
  </w:style>
  <w:style w:type="paragraph" w:styleId="BodyText2">
    <w:name w:val="Body Text 2"/>
    <w:basedOn w:val="Normal"/>
    <w:link w:val="BodyText2Char"/>
    <w:uiPriority w:val="99"/>
    <w:semiHidden/>
    <w:unhideWhenUsed/>
    <w:rsid w:val="00C31D8F"/>
    <w:pPr>
      <w:spacing w:after="120" w:line="480" w:lineRule="auto"/>
    </w:pPr>
  </w:style>
  <w:style w:type="character" w:customStyle="1" w:styleId="BodyText2Char">
    <w:name w:val="Body Text 2 Char"/>
    <w:basedOn w:val="DefaultParagraphFont"/>
    <w:link w:val="BodyText2"/>
    <w:uiPriority w:val="99"/>
    <w:semiHidden/>
    <w:rsid w:val="00C31D8F"/>
  </w:style>
  <w:style w:type="paragraph" w:styleId="BodyText3">
    <w:name w:val="Body Text 3"/>
    <w:basedOn w:val="Normal"/>
    <w:link w:val="BodyText3Char"/>
    <w:uiPriority w:val="99"/>
    <w:semiHidden/>
    <w:unhideWhenUsed/>
    <w:rsid w:val="00C31D8F"/>
    <w:pPr>
      <w:spacing w:after="120"/>
    </w:pPr>
    <w:rPr>
      <w:sz w:val="16"/>
      <w:szCs w:val="16"/>
    </w:rPr>
  </w:style>
  <w:style w:type="character" w:customStyle="1" w:styleId="BodyText3Char">
    <w:name w:val="Body Text 3 Char"/>
    <w:basedOn w:val="DefaultParagraphFont"/>
    <w:link w:val="BodyText3"/>
    <w:uiPriority w:val="99"/>
    <w:semiHidden/>
    <w:rsid w:val="00C31D8F"/>
    <w:rPr>
      <w:sz w:val="16"/>
      <w:szCs w:val="16"/>
    </w:rPr>
  </w:style>
  <w:style w:type="paragraph" w:styleId="BodyTextFirstIndent">
    <w:name w:val="Body Text First Indent"/>
    <w:basedOn w:val="BodyText"/>
    <w:link w:val="BodyTextFirstIndentChar"/>
    <w:uiPriority w:val="99"/>
    <w:semiHidden/>
    <w:unhideWhenUsed/>
    <w:rsid w:val="00C31D8F"/>
    <w:pPr>
      <w:spacing w:after="200"/>
      <w:ind w:firstLine="360"/>
    </w:pPr>
  </w:style>
  <w:style w:type="character" w:customStyle="1" w:styleId="BodyTextFirstIndentChar">
    <w:name w:val="Body Text First Indent Char"/>
    <w:basedOn w:val="BodyTextChar"/>
    <w:link w:val="BodyTextFirstIndent"/>
    <w:uiPriority w:val="99"/>
    <w:semiHidden/>
    <w:rsid w:val="00C31D8F"/>
  </w:style>
  <w:style w:type="paragraph" w:styleId="BodyTextIndent">
    <w:name w:val="Body Text Indent"/>
    <w:basedOn w:val="Normal"/>
    <w:link w:val="BodyTextIndentChar"/>
    <w:uiPriority w:val="99"/>
    <w:semiHidden/>
    <w:unhideWhenUsed/>
    <w:rsid w:val="00C31D8F"/>
    <w:pPr>
      <w:spacing w:after="120"/>
      <w:ind w:left="283"/>
    </w:pPr>
  </w:style>
  <w:style w:type="character" w:customStyle="1" w:styleId="BodyTextIndentChar">
    <w:name w:val="Body Text Indent Char"/>
    <w:basedOn w:val="DefaultParagraphFont"/>
    <w:link w:val="BodyTextIndent"/>
    <w:uiPriority w:val="99"/>
    <w:semiHidden/>
    <w:rsid w:val="00C31D8F"/>
  </w:style>
  <w:style w:type="paragraph" w:styleId="BodyTextFirstIndent2">
    <w:name w:val="Body Text First Indent 2"/>
    <w:basedOn w:val="BodyTextIndent"/>
    <w:link w:val="BodyTextFirstIndent2Char"/>
    <w:uiPriority w:val="99"/>
    <w:semiHidden/>
    <w:unhideWhenUsed/>
    <w:rsid w:val="00C31D8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C31D8F"/>
  </w:style>
  <w:style w:type="paragraph" w:styleId="BodyTextIndent2">
    <w:name w:val="Body Text Indent 2"/>
    <w:basedOn w:val="Normal"/>
    <w:link w:val="BodyTextIndent2Char"/>
    <w:uiPriority w:val="99"/>
    <w:semiHidden/>
    <w:unhideWhenUsed/>
    <w:rsid w:val="00C31D8F"/>
    <w:pPr>
      <w:spacing w:after="120" w:line="480" w:lineRule="auto"/>
      <w:ind w:left="283"/>
    </w:pPr>
  </w:style>
  <w:style w:type="character" w:customStyle="1" w:styleId="BodyTextIndent2Char">
    <w:name w:val="Body Text Indent 2 Char"/>
    <w:basedOn w:val="DefaultParagraphFont"/>
    <w:link w:val="BodyTextIndent2"/>
    <w:uiPriority w:val="99"/>
    <w:semiHidden/>
    <w:rsid w:val="00C31D8F"/>
  </w:style>
  <w:style w:type="paragraph" w:styleId="BodyTextIndent3">
    <w:name w:val="Body Text Indent 3"/>
    <w:basedOn w:val="Normal"/>
    <w:link w:val="BodyTextIndent3Char"/>
    <w:uiPriority w:val="99"/>
    <w:semiHidden/>
    <w:unhideWhenUsed/>
    <w:rsid w:val="00C31D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1D8F"/>
    <w:rPr>
      <w:sz w:val="16"/>
      <w:szCs w:val="16"/>
    </w:rPr>
  </w:style>
  <w:style w:type="paragraph" w:styleId="Closing">
    <w:name w:val="Closing"/>
    <w:basedOn w:val="Normal"/>
    <w:link w:val="ClosingChar"/>
    <w:uiPriority w:val="99"/>
    <w:semiHidden/>
    <w:unhideWhenUsed/>
    <w:rsid w:val="00C31D8F"/>
    <w:pPr>
      <w:spacing w:before="0" w:after="0"/>
      <w:ind w:left="4252"/>
    </w:pPr>
  </w:style>
  <w:style w:type="character" w:customStyle="1" w:styleId="ClosingChar">
    <w:name w:val="Closing Char"/>
    <w:basedOn w:val="DefaultParagraphFont"/>
    <w:link w:val="Closing"/>
    <w:uiPriority w:val="99"/>
    <w:semiHidden/>
    <w:rsid w:val="00C31D8F"/>
  </w:style>
  <w:style w:type="paragraph" w:styleId="Date">
    <w:name w:val="Date"/>
    <w:basedOn w:val="Normal"/>
    <w:next w:val="Normal"/>
    <w:link w:val="DateChar"/>
    <w:uiPriority w:val="99"/>
    <w:semiHidden/>
    <w:unhideWhenUsed/>
    <w:rsid w:val="00C31D8F"/>
  </w:style>
  <w:style w:type="character" w:customStyle="1" w:styleId="DateChar">
    <w:name w:val="Date Char"/>
    <w:basedOn w:val="DefaultParagraphFont"/>
    <w:link w:val="Date"/>
    <w:uiPriority w:val="99"/>
    <w:semiHidden/>
    <w:rsid w:val="00C31D8F"/>
  </w:style>
  <w:style w:type="paragraph" w:styleId="DocumentMap">
    <w:name w:val="Document Map"/>
    <w:basedOn w:val="Normal"/>
    <w:link w:val="DocumentMapChar"/>
    <w:uiPriority w:val="99"/>
    <w:semiHidden/>
    <w:unhideWhenUsed/>
    <w:rsid w:val="00C31D8F"/>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1D8F"/>
    <w:rPr>
      <w:rFonts w:ascii="Segoe UI" w:hAnsi="Segoe UI" w:cs="Segoe UI"/>
      <w:sz w:val="16"/>
      <w:szCs w:val="16"/>
    </w:rPr>
  </w:style>
  <w:style w:type="paragraph" w:styleId="EmailSignature">
    <w:name w:val="E-mail Signature"/>
    <w:basedOn w:val="Normal"/>
    <w:link w:val="EmailSignatureChar"/>
    <w:uiPriority w:val="99"/>
    <w:semiHidden/>
    <w:unhideWhenUsed/>
    <w:rsid w:val="00C31D8F"/>
    <w:pPr>
      <w:spacing w:before="0" w:after="0"/>
    </w:pPr>
  </w:style>
  <w:style w:type="character" w:customStyle="1" w:styleId="EmailSignatureChar">
    <w:name w:val="Email Signature Char"/>
    <w:basedOn w:val="DefaultParagraphFont"/>
    <w:link w:val="EmailSignature"/>
    <w:uiPriority w:val="99"/>
    <w:semiHidden/>
    <w:rsid w:val="00C31D8F"/>
  </w:style>
  <w:style w:type="paragraph" w:styleId="EndnoteText">
    <w:name w:val="endnote text"/>
    <w:basedOn w:val="Normal"/>
    <w:link w:val="EndnoteTextChar"/>
    <w:uiPriority w:val="99"/>
    <w:semiHidden/>
    <w:unhideWhenUsed/>
    <w:rsid w:val="00C31D8F"/>
    <w:pPr>
      <w:spacing w:before="0" w:after="0"/>
    </w:pPr>
    <w:rPr>
      <w:sz w:val="20"/>
      <w:szCs w:val="20"/>
    </w:rPr>
  </w:style>
  <w:style w:type="character" w:customStyle="1" w:styleId="EndnoteTextChar">
    <w:name w:val="Endnote Text Char"/>
    <w:basedOn w:val="DefaultParagraphFont"/>
    <w:link w:val="EndnoteText"/>
    <w:uiPriority w:val="99"/>
    <w:semiHidden/>
    <w:rsid w:val="00C31D8F"/>
    <w:rPr>
      <w:sz w:val="20"/>
      <w:szCs w:val="20"/>
    </w:rPr>
  </w:style>
  <w:style w:type="paragraph" w:styleId="EnvelopeAddress">
    <w:name w:val="envelope address"/>
    <w:basedOn w:val="Normal"/>
    <w:uiPriority w:val="99"/>
    <w:semiHidden/>
    <w:unhideWhenUsed/>
    <w:rsid w:val="00C31D8F"/>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31D8F"/>
    <w:pPr>
      <w:spacing w:before="0"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31D8F"/>
    <w:pPr>
      <w:spacing w:before="0" w:after="0"/>
    </w:pPr>
    <w:rPr>
      <w:i/>
      <w:iCs/>
    </w:rPr>
  </w:style>
  <w:style w:type="character" w:customStyle="1" w:styleId="HTMLAddressChar">
    <w:name w:val="HTML Address Char"/>
    <w:basedOn w:val="DefaultParagraphFont"/>
    <w:link w:val="HTMLAddress"/>
    <w:uiPriority w:val="99"/>
    <w:semiHidden/>
    <w:rsid w:val="00C31D8F"/>
    <w:rPr>
      <w:i/>
      <w:iCs/>
    </w:rPr>
  </w:style>
  <w:style w:type="paragraph" w:styleId="HTMLPreformatted">
    <w:name w:val="HTML Preformatted"/>
    <w:basedOn w:val="Normal"/>
    <w:link w:val="HTMLPreformattedChar"/>
    <w:uiPriority w:val="99"/>
    <w:semiHidden/>
    <w:unhideWhenUsed/>
    <w:rsid w:val="00C31D8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1D8F"/>
    <w:rPr>
      <w:rFonts w:ascii="Consolas" w:hAnsi="Consolas"/>
      <w:sz w:val="20"/>
      <w:szCs w:val="20"/>
    </w:rPr>
  </w:style>
  <w:style w:type="paragraph" w:styleId="Index1">
    <w:name w:val="index 1"/>
    <w:basedOn w:val="Normal"/>
    <w:next w:val="Normal"/>
    <w:autoRedefine/>
    <w:uiPriority w:val="99"/>
    <w:semiHidden/>
    <w:unhideWhenUsed/>
    <w:rsid w:val="00C31D8F"/>
    <w:pPr>
      <w:spacing w:before="0" w:after="0"/>
      <w:ind w:left="220" w:hanging="220"/>
    </w:pPr>
  </w:style>
  <w:style w:type="paragraph" w:styleId="Index2">
    <w:name w:val="index 2"/>
    <w:basedOn w:val="Normal"/>
    <w:next w:val="Normal"/>
    <w:autoRedefine/>
    <w:uiPriority w:val="99"/>
    <w:semiHidden/>
    <w:unhideWhenUsed/>
    <w:rsid w:val="00C31D8F"/>
    <w:pPr>
      <w:spacing w:before="0" w:after="0"/>
      <w:ind w:left="440" w:hanging="220"/>
    </w:pPr>
  </w:style>
  <w:style w:type="paragraph" w:styleId="Index3">
    <w:name w:val="index 3"/>
    <w:basedOn w:val="Normal"/>
    <w:next w:val="Normal"/>
    <w:autoRedefine/>
    <w:uiPriority w:val="99"/>
    <w:semiHidden/>
    <w:unhideWhenUsed/>
    <w:rsid w:val="00C31D8F"/>
    <w:pPr>
      <w:spacing w:before="0" w:after="0"/>
      <w:ind w:left="660" w:hanging="220"/>
    </w:pPr>
  </w:style>
  <w:style w:type="paragraph" w:styleId="Index4">
    <w:name w:val="index 4"/>
    <w:basedOn w:val="Normal"/>
    <w:next w:val="Normal"/>
    <w:autoRedefine/>
    <w:uiPriority w:val="99"/>
    <w:semiHidden/>
    <w:unhideWhenUsed/>
    <w:rsid w:val="00C31D8F"/>
    <w:pPr>
      <w:spacing w:before="0" w:after="0"/>
      <w:ind w:left="880" w:hanging="220"/>
    </w:pPr>
  </w:style>
  <w:style w:type="paragraph" w:styleId="Index5">
    <w:name w:val="index 5"/>
    <w:basedOn w:val="Normal"/>
    <w:next w:val="Normal"/>
    <w:autoRedefine/>
    <w:uiPriority w:val="99"/>
    <w:semiHidden/>
    <w:unhideWhenUsed/>
    <w:rsid w:val="00C31D8F"/>
    <w:pPr>
      <w:spacing w:before="0" w:after="0"/>
      <w:ind w:left="1100" w:hanging="220"/>
    </w:pPr>
  </w:style>
  <w:style w:type="paragraph" w:styleId="Index6">
    <w:name w:val="index 6"/>
    <w:basedOn w:val="Normal"/>
    <w:next w:val="Normal"/>
    <w:autoRedefine/>
    <w:uiPriority w:val="99"/>
    <w:semiHidden/>
    <w:unhideWhenUsed/>
    <w:rsid w:val="00C31D8F"/>
    <w:pPr>
      <w:spacing w:before="0" w:after="0"/>
      <w:ind w:left="1320" w:hanging="220"/>
    </w:pPr>
  </w:style>
  <w:style w:type="paragraph" w:styleId="Index7">
    <w:name w:val="index 7"/>
    <w:basedOn w:val="Normal"/>
    <w:next w:val="Normal"/>
    <w:autoRedefine/>
    <w:uiPriority w:val="99"/>
    <w:semiHidden/>
    <w:unhideWhenUsed/>
    <w:rsid w:val="00C31D8F"/>
    <w:pPr>
      <w:spacing w:before="0" w:after="0"/>
      <w:ind w:left="1540" w:hanging="220"/>
    </w:pPr>
  </w:style>
  <w:style w:type="paragraph" w:styleId="Index8">
    <w:name w:val="index 8"/>
    <w:basedOn w:val="Normal"/>
    <w:next w:val="Normal"/>
    <w:autoRedefine/>
    <w:uiPriority w:val="99"/>
    <w:semiHidden/>
    <w:unhideWhenUsed/>
    <w:rsid w:val="00C31D8F"/>
    <w:pPr>
      <w:spacing w:before="0" w:after="0"/>
      <w:ind w:left="1760" w:hanging="220"/>
    </w:pPr>
  </w:style>
  <w:style w:type="paragraph" w:styleId="Index9">
    <w:name w:val="index 9"/>
    <w:basedOn w:val="Normal"/>
    <w:next w:val="Normal"/>
    <w:autoRedefine/>
    <w:uiPriority w:val="99"/>
    <w:semiHidden/>
    <w:unhideWhenUsed/>
    <w:rsid w:val="00C31D8F"/>
    <w:pPr>
      <w:spacing w:before="0" w:after="0"/>
      <w:ind w:left="1980" w:hanging="220"/>
    </w:pPr>
  </w:style>
  <w:style w:type="paragraph" w:styleId="IndexHeading">
    <w:name w:val="index heading"/>
    <w:basedOn w:val="Normal"/>
    <w:next w:val="Index1"/>
    <w:uiPriority w:val="99"/>
    <w:semiHidden/>
    <w:unhideWhenUsed/>
    <w:rsid w:val="00C31D8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1D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1D8F"/>
    <w:rPr>
      <w:i/>
      <w:iCs/>
      <w:color w:val="4F81BD" w:themeColor="accent1"/>
    </w:rPr>
  </w:style>
  <w:style w:type="paragraph" w:styleId="List">
    <w:name w:val="List"/>
    <w:basedOn w:val="Normal"/>
    <w:uiPriority w:val="99"/>
    <w:semiHidden/>
    <w:unhideWhenUsed/>
    <w:rsid w:val="00C31D8F"/>
    <w:pPr>
      <w:ind w:left="283" w:hanging="283"/>
      <w:contextualSpacing/>
    </w:pPr>
  </w:style>
  <w:style w:type="paragraph" w:styleId="List2">
    <w:name w:val="List 2"/>
    <w:basedOn w:val="Normal"/>
    <w:uiPriority w:val="99"/>
    <w:semiHidden/>
    <w:unhideWhenUsed/>
    <w:rsid w:val="00C31D8F"/>
    <w:pPr>
      <w:ind w:left="566" w:hanging="283"/>
      <w:contextualSpacing/>
    </w:pPr>
  </w:style>
  <w:style w:type="paragraph" w:styleId="List3">
    <w:name w:val="List 3"/>
    <w:basedOn w:val="Normal"/>
    <w:uiPriority w:val="99"/>
    <w:semiHidden/>
    <w:unhideWhenUsed/>
    <w:rsid w:val="00C31D8F"/>
    <w:pPr>
      <w:ind w:left="849" w:hanging="283"/>
      <w:contextualSpacing/>
    </w:pPr>
  </w:style>
  <w:style w:type="paragraph" w:styleId="List4">
    <w:name w:val="List 4"/>
    <w:basedOn w:val="Normal"/>
    <w:uiPriority w:val="99"/>
    <w:semiHidden/>
    <w:unhideWhenUsed/>
    <w:rsid w:val="00C31D8F"/>
    <w:pPr>
      <w:ind w:left="1132" w:hanging="283"/>
      <w:contextualSpacing/>
    </w:pPr>
  </w:style>
  <w:style w:type="paragraph" w:styleId="List5">
    <w:name w:val="List 5"/>
    <w:basedOn w:val="Normal"/>
    <w:uiPriority w:val="99"/>
    <w:semiHidden/>
    <w:unhideWhenUsed/>
    <w:rsid w:val="00C31D8F"/>
    <w:pPr>
      <w:ind w:left="1415" w:hanging="283"/>
      <w:contextualSpacing/>
    </w:pPr>
  </w:style>
  <w:style w:type="paragraph" w:styleId="ListBullet2">
    <w:name w:val="List Bullet 2"/>
    <w:basedOn w:val="Normal"/>
    <w:uiPriority w:val="99"/>
    <w:semiHidden/>
    <w:unhideWhenUsed/>
    <w:rsid w:val="00C31D8F"/>
    <w:pPr>
      <w:numPr>
        <w:numId w:val="28"/>
      </w:numPr>
      <w:contextualSpacing/>
    </w:pPr>
  </w:style>
  <w:style w:type="paragraph" w:styleId="ListBullet3">
    <w:name w:val="List Bullet 3"/>
    <w:basedOn w:val="Normal"/>
    <w:uiPriority w:val="99"/>
    <w:semiHidden/>
    <w:unhideWhenUsed/>
    <w:rsid w:val="00C31D8F"/>
    <w:pPr>
      <w:numPr>
        <w:numId w:val="29"/>
      </w:numPr>
      <w:contextualSpacing/>
    </w:pPr>
  </w:style>
  <w:style w:type="paragraph" w:styleId="ListBullet4">
    <w:name w:val="List Bullet 4"/>
    <w:basedOn w:val="Normal"/>
    <w:uiPriority w:val="99"/>
    <w:semiHidden/>
    <w:unhideWhenUsed/>
    <w:rsid w:val="00C31D8F"/>
    <w:pPr>
      <w:numPr>
        <w:numId w:val="30"/>
      </w:numPr>
      <w:contextualSpacing/>
    </w:pPr>
  </w:style>
  <w:style w:type="paragraph" w:styleId="ListBullet5">
    <w:name w:val="List Bullet 5"/>
    <w:basedOn w:val="Normal"/>
    <w:uiPriority w:val="99"/>
    <w:semiHidden/>
    <w:unhideWhenUsed/>
    <w:rsid w:val="00C31D8F"/>
    <w:pPr>
      <w:numPr>
        <w:numId w:val="31"/>
      </w:numPr>
      <w:contextualSpacing/>
    </w:pPr>
  </w:style>
  <w:style w:type="paragraph" w:styleId="ListContinue">
    <w:name w:val="List Continue"/>
    <w:basedOn w:val="Normal"/>
    <w:uiPriority w:val="99"/>
    <w:semiHidden/>
    <w:unhideWhenUsed/>
    <w:rsid w:val="00C31D8F"/>
    <w:pPr>
      <w:spacing w:after="120"/>
      <w:ind w:left="283"/>
      <w:contextualSpacing/>
    </w:pPr>
  </w:style>
  <w:style w:type="paragraph" w:styleId="ListContinue2">
    <w:name w:val="List Continue 2"/>
    <w:basedOn w:val="Normal"/>
    <w:uiPriority w:val="99"/>
    <w:semiHidden/>
    <w:unhideWhenUsed/>
    <w:rsid w:val="00C31D8F"/>
    <w:pPr>
      <w:spacing w:after="120"/>
      <w:ind w:left="566"/>
      <w:contextualSpacing/>
    </w:pPr>
  </w:style>
  <w:style w:type="paragraph" w:styleId="ListContinue3">
    <w:name w:val="List Continue 3"/>
    <w:basedOn w:val="Normal"/>
    <w:uiPriority w:val="99"/>
    <w:semiHidden/>
    <w:unhideWhenUsed/>
    <w:rsid w:val="00C31D8F"/>
    <w:pPr>
      <w:spacing w:after="120"/>
      <w:ind w:left="849"/>
      <w:contextualSpacing/>
    </w:pPr>
  </w:style>
  <w:style w:type="paragraph" w:styleId="ListContinue4">
    <w:name w:val="List Continue 4"/>
    <w:basedOn w:val="Normal"/>
    <w:uiPriority w:val="99"/>
    <w:semiHidden/>
    <w:unhideWhenUsed/>
    <w:rsid w:val="00C31D8F"/>
    <w:pPr>
      <w:spacing w:after="120"/>
      <w:ind w:left="1132"/>
      <w:contextualSpacing/>
    </w:pPr>
  </w:style>
  <w:style w:type="paragraph" w:styleId="ListContinue5">
    <w:name w:val="List Continue 5"/>
    <w:basedOn w:val="Normal"/>
    <w:uiPriority w:val="99"/>
    <w:semiHidden/>
    <w:unhideWhenUsed/>
    <w:rsid w:val="00C31D8F"/>
    <w:pPr>
      <w:spacing w:after="120"/>
      <w:ind w:left="1415"/>
      <w:contextualSpacing/>
    </w:pPr>
  </w:style>
  <w:style w:type="paragraph" w:styleId="ListNumber">
    <w:name w:val="List Number"/>
    <w:basedOn w:val="Normal"/>
    <w:uiPriority w:val="99"/>
    <w:semiHidden/>
    <w:unhideWhenUsed/>
    <w:rsid w:val="00C31D8F"/>
    <w:pPr>
      <w:numPr>
        <w:numId w:val="32"/>
      </w:numPr>
      <w:contextualSpacing/>
    </w:pPr>
  </w:style>
  <w:style w:type="paragraph" w:styleId="ListNumber2">
    <w:name w:val="List Number 2"/>
    <w:basedOn w:val="Normal"/>
    <w:uiPriority w:val="99"/>
    <w:semiHidden/>
    <w:unhideWhenUsed/>
    <w:rsid w:val="00C31D8F"/>
    <w:pPr>
      <w:numPr>
        <w:numId w:val="33"/>
      </w:numPr>
      <w:contextualSpacing/>
    </w:pPr>
  </w:style>
  <w:style w:type="paragraph" w:styleId="ListNumber3">
    <w:name w:val="List Number 3"/>
    <w:basedOn w:val="Normal"/>
    <w:uiPriority w:val="99"/>
    <w:semiHidden/>
    <w:unhideWhenUsed/>
    <w:rsid w:val="00C31D8F"/>
    <w:pPr>
      <w:numPr>
        <w:numId w:val="34"/>
      </w:numPr>
      <w:contextualSpacing/>
    </w:pPr>
  </w:style>
  <w:style w:type="paragraph" w:styleId="ListNumber4">
    <w:name w:val="List Number 4"/>
    <w:basedOn w:val="Normal"/>
    <w:uiPriority w:val="99"/>
    <w:semiHidden/>
    <w:unhideWhenUsed/>
    <w:rsid w:val="00C31D8F"/>
    <w:pPr>
      <w:numPr>
        <w:numId w:val="35"/>
      </w:numPr>
      <w:contextualSpacing/>
    </w:pPr>
  </w:style>
  <w:style w:type="paragraph" w:styleId="ListNumber5">
    <w:name w:val="List Number 5"/>
    <w:basedOn w:val="Normal"/>
    <w:uiPriority w:val="99"/>
    <w:semiHidden/>
    <w:unhideWhenUsed/>
    <w:rsid w:val="00C31D8F"/>
    <w:pPr>
      <w:numPr>
        <w:numId w:val="36"/>
      </w:numPr>
      <w:contextualSpacing/>
    </w:pPr>
  </w:style>
  <w:style w:type="paragraph" w:styleId="MacroText">
    <w:name w:val="macro"/>
    <w:link w:val="MacroTextChar"/>
    <w:uiPriority w:val="99"/>
    <w:semiHidden/>
    <w:unhideWhenUsed/>
    <w:rsid w:val="00C31D8F"/>
    <w:pPr>
      <w:tabs>
        <w:tab w:val="left" w:pos="480"/>
        <w:tab w:val="left" w:pos="960"/>
        <w:tab w:val="left" w:pos="1440"/>
        <w:tab w:val="left" w:pos="1920"/>
        <w:tab w:val="left" w:pos="2400"/>
        <w:tab w:val="left" w:pos="2880"/>
        <w:tab w:val="left" w:pos="3360"/>
        <w:tab w:val="left" w:pos="3840"/>
        <w:tab w:val="left" w:pos="4320"/>
      </w:tabs>
      <w:spacing w:before="200"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C31D8F"/>
    <w:rPr>
      <w:rFonts w:ascii="Consolas" w:hAnsi="Consolas"/>
      <w:sz w:val="20"/>
      <w:szCs w:val="20"/>
    </w:rPr>
  </w:style>
  <w:style w:type="paragraph" w:styleId="MessageHeader">
    <w:name w:val="Message Header"/>
    <w:basedOn w:val="Normal"/>
    <w:link w:val="MessageHeaderChar"/>
    <w:uiPriority w:val="99"/>
    <w:semiHidden/>
    <w:unhideWhenUsed/>
    <w:rsid w:val="00C31D8F"/>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31D8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C31D8F"/>
    <w:rPr>
      <w:rFonts w:ascii="Times New Roman" w:hAnsi="Times New Roman" w:cs="Times New Roman"/>
      <w:sz w:val="24"/>
      <w:szCs w:val="24"/>
    </w:rPr>
  </w:style>
  <w:style w:type="paragraph" w:styleId="NormalIndent">
    <w:name w:val="Normal Indent"/>
    <w:basedOn w:val="Normal"/>
    <w:uiPriority w:val="99"/>
    <w:semiHidden/>
    <w:unhideWhenUsed/>
    <w:rsid w:val="00C31D8F"/>
    <w:pPr>
      <w:ind w:left="720"/>
    </w:pPr>
  </w:style>
  <w:style w:type="paragraph" w:styleId="NoteHeading">
    <w:name w:val="Note Heading"/>
    <w:basedOn w:val="Normal"/>
    <w:next w:val="Normal"/>
    <w:link w:val="NoteHeadingChar"/>
    <w:uiPriority w:val="99"/>
    <w:semiHidden/>
    <w:unhideWhenUsed/>
    <w:rsid w:val="00C31D8F"/>
    <w:pPr>
      <w:spacing w:before="0" w:after="0"/>
    </w:pPr>
  </w:style>
  <w:style w:type="character" w:customStyle="1" w:styleId="NoteHeadingChar">
    <w:name w:val="Note Heading Char"/>
    <w:basedOn w:val="DefaultParagraphFont"/>
    <w:link w:val="NoteHeading"/>
    <w:uiPriority w:val="99"/>
    <w:semiHidden/>
    <w:rsid w:val="00C31D8F"/>
  </w:style>
  <w:style w:type="paragraph" w:styleId="PlainText">
    <w:name w:val="Plain Text"/>
    <w:basedOn w:val="Normal"/>
    <w:link w:val="PlainTextChar"/>
    <w:uiPriority w:val="99"/>
    <w:semiHidden/>
    <w:unhideWhenUsed/>
    <w:rsid w:val="00C31D8F"/>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C31D8F"/>
    <w:rPr>
      <w:rFonts w:ascii="Consolas" w:hAnsi="Consolas"/>
      <w:sz w:val="21"/>
      <w:szCs w:val="21"/>
    </w:rPr>
  </w:style>
  <w:style w:type="paragraph" w:styleId="Quote">
    <w:name w:val="Quote"/>
    <w:basedOn w:val="Normal"/>
    <w:next w:val="Normal"/>
    <w:link w:val="QuoteChar"/>
    <w:uiPriority w:val="29"/>
    <w:qFormat/>
    <w:rsid w:val="00C31D8F"/>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1D8F"/>
    <w:rPr>
      <w:i/>
      <w:iCs/>
      <w:color w:val="404040" w:themeColor="text1" w:themeTint="BF"/>
    </w:rPr>
  </w:style>
  <w:style w:type="paragraph" w:styleId="Salutation">
    <w:name w:val="Salutation"/>
    <w:basedOn w:val="Normal"/>
    <w:next w:val="Normal"/>
    <w:link w:val="SalutationChar"/>
    <w:uiPriority w:val="99"/>
    <w:semiHidden/>
    <w:unhideWhenUsed/>
    <w:rsid w:val="00C31D8F"/>
  </w:style>
  <w:style w:type="character" w:customStyle="1" w:styleId="SalutationChar">
    <w:name w:val="Salutation Char"/>
    <w:basedOn w:val="DefaultParagraphFont"/>
    <w:link w:val="Salutation"/>
    <w:uiPriority w:val="99"/>
    <w:semiHidden/>
    <w:rsid w:val="00C31D8F"/>
  </w:style>
  <w:style w:type="paragraph" w:styleId="Signature">
    <w:name w:val="Signature"/>
    <w:basedOn w:val="Normal"/>
    <w:link w:val="SignatureChar"/>
    <w:uiPriority w:val="99"/>
    <w:semiHidden/>
    <w:unhideWhenUsed/>
    <w:rsid w:val="00C31D8F"/>
    <w:pPr>
      <w:spacing w:before="0" w:after="0"/>
      <w:ind w:left="4252"/>
    </w:pPr>
  </w:style>
  <w:style w:type="character" w:customStyle="1" w:styleId="SignatureChar">
    <w:name w:val="Signature Char"/>
    <w:basedOn w:val="DefaultParagraphFont"/>
    <w:link w:val="Signature"/>
    <w:uiPriority w:val="99"/>
    <w:semiHidden/>
    <w:rsid w:val="00C31D8F"/>
  </w:style>
  <w:style w:type="paragraph" w:styleId="Subtitle">
    <w:name w:val="Subtitle"/>
    <w:basedOn w:val="Normal"/>
    <w:next w:val="Normal"/>
    <w:link w:val="SubtitleChar"/>
    <w:uiPriority w:val="11"/>
    <w:qFormat/>
    <w:rsid w:val="00C31D8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1D8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31D8F"/>
    <w:pPr>
      <w:spacing w:after="0"/>
      <w:ind w:left="220" w:hanging="220"/>
    </w:pPr>
  </w:style>
  <w:style w:type="paragraph" w:styleId="TableofFigures">
    <w:name w:val="table of figures"/>
    <w:basedOn w:val="Normal"/>
    <w:next w:val="Normal"/>
    <w:uiPriority w:val="99"/>
    <w:semiHidden/>
    <w:unhideWhenUsed/>
    <w:rsid w:val="00C31D8F"/>
    <w:pPr>
      <w:spacing w:after="0"/>
    </w:pPr>
  </w:style>
  <w:style w:type="paragraph" w:styleId="Title">
    <w:name w:val="Title"/>
    <w:basedOn w:val="Normal"/>
    <w:next w:val="Normal"/>
    <w:link w:val="TitleChar"/>
    <w:uiPriority w:val="10"/>
    <w:qFormat/>
    <w:rsid w:val="00C31D8F"/>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D8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31D8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31D8F"/>
    <w:pPr>
      <w:spacing w:after="100"/>
    </w:pPr>
  </w:style>
  <w:style w:type="paragraph" w:styleId="TOC2">
    <w:name w:val="toc 2"/>
    <w:basedOn w:val="Normal"/>
    <w:next w:val="Normal"/>
    <w:autoRedefine/>
    <w:uiPriority w:val="39"/>
    <w:semiHidden/>
    <w:unhideWhenUsed/>
    <w:rsid w:val="00C31D8F"/>
    <w:pPr>
      <w:spacing w:after="100"/>
      <w:ind w:left="220"/>
    </w:pPr>
  </w:style>
  <w:style w:type="paragraph" w:styleId="TOC3">
    <w:name w:val="toc 3"/>
    <w:basedOn w:val="Normal"/>
    <w:next w:val="Normal"/>
    <w:autoRedefine/>
    <w:uiPriority w:val="39"/>
    <w:semiHidden/>
    <w:unhideWhenUsed/>
    <w:rsid w:val="00C31D8F"/>
    <w:pPr>
      <w:spacing w:after="100"/>
      <w:ind w:left="440"/>
    </w:pPr>
  </w:style>
  <w:style w:type="paragraph" w:styleId="TOC4">
    <w:name w:val="toc 4"/>
    <w:basedOn w:val="Normal"/>
    <w:next w:val="Normal"/>
    <w:autoRedefine/>
    <w:uiPriority w:val="39"/>
    <w:semiHidden/>
    <w:unhideWhenUsed/>
    <w:rsid w:val="00C31D8F"/>
    <w:pPr>
      <w:spacing w:after="100"/>
      <w:ind w:left="660"/>
    </w:pPr>
  </w:style>
  <w:style w:type="paragraph" w:styleId="TOC5">
    <w:name w:val="toc 5"/>
    <w:basedOn w:val="Normal"/>
    <w:next w:val="Normal"/>
    <w:autoRedefine/>
    <w:uiPriority w:val="39"/>
    <w:semiHidden/>
    <w:unhideWhenUsed/>
    <w:rsid w:val="00C31D8F"/>
    <w:pPr>
      <w:spacing w:after="100"/>
      <w:ind w:left="880"/>
    </w:pPr>
  </w:style>
  <w:style w:type="paragraph" w:styleId="TOC6">
    <w:name w:val="toc 6"/>
    <w:basedOn w:val="Normal"/>
    <w:next w:val="Normal"/>
    <w:autoRedefine/>
    <w:uiPriority w:val="39"/>
    <w:semiHidden/>
    <w:unhideWhenUsed/>
    <w:rsid w:val="00C31D8F"/>
    <w:pPr>
      <w:spacing w:after="100"/>
      <w:ind w:left="1100"/>
    </w:pPr>
  </w:style>
  <w:style w:type="paragraph" w:styleId="TOC7">
    <w:name w:val="toc 7"/>
    <w:basedOn w:val="Normal"/>
    <w:next w:val="Normal"/>
    <w:autoRedefine/>
    <w:uiPriority w:val="39"/>
    <w:semiHidden/>
    <w:unhideWhenUsed/>
    <w:rsid w:val="00C31D8F"/>
    <w:pPr>
      <w:spacing w:after="100"/>
      <w:ind w:left="1320"/>
    </w:pPr>
  </w:style>
  <w:style w:type="paragraph" w:styleId="TOC8">
    <w:name w:val="toc 8"/>
    <w:basedOn w:val="Normal"/>
    <w:next w:val="Normal"/>
    <w:autoRedefine/>
    <w:uiPriority w:val="39"/>
    <w:semiHidden/>
    <w:unhideWhenUsed/>
    <w:rsid w:val="00C31D8F"/>
    <w:pPr>
      <w:spacing w:after="100"/>
      <w:ind w:left="1540"/>
    </w:pPr>
  </w:style>
  <w:style w:type="paragraph" w:styleId="TOC9">
    <w:name w:val="toc 9"/>
    <w:basedOn w:val="Normal"/>
    <w:next w:val="Normal"/>
    <w:autoRedefine/>
    <w:uiPriority w:val="39"/>
    <w:semiHidden/>
    <w:unhideWhenUsed/>
    <w:rsid w:val="00C31D8F"/>
    <w:pPr>
      <w:spacing w:after="100"/>
      <w:ind w:left="1760"/>
    </w:pPr>
  </w:style>
  <w:style w:type="paragraph" w:styleId="TOCHeading">
    <w:name w:val="TOC Heading"/>
    <w:basedOn w:val="Heading1"/>
    <w:next w:val="Normal"/>
    <w:uiPriority w:val="39"/>
    <w:semiHidden/>
    <w:unhideWhenUsed/>
    <w:qFormat/>
    <w:rsid w:val="00C31D8F"/>
    <w:pPr>
      <w:numPr>
        <w:numId w:val="0"/>
      </w:numPr>
      <w:spacing w:before="240"/>
      <w:outlineLvl w:val="9"/>
    </w:pPr>
    <w:rPr>
      <w:b w:val="0"/>
      <w:bCs w:val="0"/>
      <w:caps w:val="0"/>
      <w:color w:val="365F91" w:themeColor="accent1" w:themeShade="BF"/>
      <w:sz w:val="32"/>
      <w:szCs w:val="32"/>
    </w:rPr>
  </w:style>
  <w:style w:type="paragraph" w:customStyle="1" w:styleId="LineSeparator">
    <w:name w:val="Line Separator"/>
    <w:basedOn w:val="Normal"/>
    <w:qFormat/>
    <w:rsid w:val="00B96F29"/>
    <w:pPr>
      <w:pBdr>
        <w:bottom w:val="single" w:sz="12" w:space="1" w:color="auto"/>
      </w:pBdr>
      <w:spacing w:before="20" w:after="80"/>
    </w:pPr>
    <w:rPr>
      <w:rFonts w:eastAsia="MS Mincho" w:cs="Times New Roman"/>
      <w:color w:val="000000"/>
      <w:sz w:val="8"/>
      <w:szCs w:val="8"/>
      <w:lang w:val="en-US"/>
    </w:rPr>
  </w:style>
  <w:style w:type="paragraph" w:customStyle="1" w:styleId="blacktriangle">
    <w:name w:val="black triangle"/>
    <w:basedOn w:val="Normal"/>
    <w:qFormat/>
    <w:rsid w:val="00B96F29"/>
    <w:pPr>
      <w:numPr>
        <w:numId w:val="37"/>
      </w:numPr>
      <w:tabs>
        <w:tab w:val="left" w:pos="284"/>
        <w:tab w:val="left" w:pos="567"/>
        <w:tab w:val="left" w:pos="851"/>
        <w:tab w:val="left" w:pos="1134"/>
        <w:tab w:val="left" w:pos="1418"/>
      </w:tabs>
      <w:spacing w:before="120" w:after="80" w:line="260" w:lineRule="exact"/>
      <w:ind w:left="567" w:hanging="567"/>
    </w:pPr>
    <w:rPr>
      <w:rFonts w:eastAsia="Times New Roman" w:cs="Times New Roman"/>
      <w:sz w:val="20"/>
      <w:szCs w:val="20"/>
      <w:lang w:eastAsia="en-AU"/>
    </w:rPr>
  </w:style>
  <w:style w:type="character" w:styleId="Mention">
    <w:name w:val="Mention"/>
    <w:basedOn w:val="DefaultParagraphFont"/>
    <w:uiPriority w:val="99"/>
    <w:unhideWhenUsed/>
    <w:rsid w:val="002C00E1"/>
    <w:rPr>
      <w:color w:val="2B579A"/>
      <w:shd w:val="clear" w:color="auto" w:fill="E1DFDD"/>
    </w:rPr>
  </w:style>
  <w:style w:type="table" w:styleId="TableGridLight">
    <w:name w:val="Grid Table Light"/>
    <w:basedOn w:val="TableNormal"/>
    <w:uiPriority w:val="40"/>
    <w:rsid w:val="00A547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E41EFB"/>
    <w:pPr>
      <w:spacing w:after="0" w:line="240" w:lineRule="auto"/>
    </w:pPr>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5962">
      <w:bodyDiv w:val="1"/>
      <w:marLeft w:val="0"/>
      <w:marRight w:val="0"/>
      <w:marTop w:val="0"/>
      <w:marBottom w:val="0"/>
      <w:divBdr>
        <w:top w:val="none" w:sz="0" w:space="0" w:color="auto"/>
        <w:left w:val="none" w:sz="0" w:space="0" w:color="auto"/>
        <w:bottom w:val="none" w:sz="0" w:space="0" w:color="auto"/>
        <w:right w:val="none" w:sz="0" w:space="0" w:color="auto"/>
      </w:divBdr>
    </w:div>
    <w:div w:id="156967087">
      <w:bodyDiv w:val="1"/>
      <w:marLeft w:val="0"/>
      <w:marRight w:val="0"/>
      <w:marTop w:val="0"/>
      <w:marBottom w:val="0"/>
      <w:divBdr>
        <w:top w:val="none" w:sz="0" w:space="0" w:color="auto"/>
        <w:left w:val="none" w:sz="0" w:space="0" w:color="auto"/>
        <w:bottom w:val="none" w:sz="0" w:space="0" w:color="auto"/>
        <w:right w:val="none" w:sz="0" w:space="0" w:color="auto"/>
      </w:divBdr>
    </w:div>
    <w:div w:id="169031647">
      <w:bodyDiv w:val="1"/>
      <w:marLeft w:val="0"/>
      <w:marRight w:val="0"/>
      <w:marTop w:val="0"/>
      <w:marBottom w:val="0"/>
      <w:divBdr>
        <w:top w:val="none" w:sz="0" w:space="0" w:color="auto"/>
        <w:left w:val="none" w:sz="0" w:space="0" w:color="auto"/>
        <w:bottom w:val="none" w:sz="0" w:space="0" w:color="auto"/>
        <w:right w:val="none" w:sz="0" w:space="0" w:color="auto"/>
      </w:divBdr>
    </w:div>
    <w:div w:id="232786007">
      <w:bodyDiv w:val="1"/>
      <w:marLeft w:val="0"/>
      <w:marRight w:val="0"/>
      <w:marTop w:val="0"/>
      <w:marBottom w:val="0"/>
      <w:divBdr>
        <w:top w:val="none" w:sz="0" w:space="0" w:color="auto"/>
        <w:left w:val="none" w:sz="0" w:space="0" w:color="auto"/>
        <w:bottom w:val="none" w:sz="0" w:space="0" w:color="auto"/>
        <w:right w:val="none" w:sz="0" w:space="0" w:color="auto"/>
      </w:divBdr>
    </w:div>
    <w:div w:id="234970483">
      <w:bodyDiv w:val="1"/>
      <w:marLeft w:val="0"/>
      <w:marRight w:val="0"/>
      <w:marTop w:val="0"/>
      <w:marBottom w:val="0"/>
      <w:divBdr>
        <w:top w:val="none" w:sz="0" w:space="0" w:color="auto"/>
        <w:left w:val="none" w:sz="0" w:space="0" w:color="auto"/>
        <w:bottom w:val="none" w:sz="0" w:space="0" w:color="auto"/>
        <w:right w:val="none" w:sz="0" w:space="0" w:color="auto"/>
      </w:divBdr>
    </w:div>
    <w:div w:id="236942518">
      <w:bodyDiv w:val="1"/>
      <w:marLeft w:val="0"/>
      <w:marRight w:val="0"/>
      <w:marTop w:val="0"/>
      <w:marBottom w:val="0"/>
      <w:divBdr>
        <w:top w:val="none" w:sz="0" w:space="0" w:color="auto"/>
        <w:left w:val="none" w:sz="0" w:space="0" w:color="auto"/>
        <w:bottom w:val="none" w:sz="0" w:space="0" w:color="auto"/>
        <w:right w:val="none" w:sz="0" w:space="0" w:color="auto"/>
      </w:divBdr>
    </w:div>
    <w:div w:id="290483466">
      <w:bodyDiv w:val="1"/>
      <w:marLeft w:val="0"/>
      <w:marRight w:val="0"/>
      <w:marTop w:val="0"/>
      <w:marBottom w:val="0"/>
      <w:divBdr>
        <w:top w:val="none" w:sz="0" w:space="0" w:color="auto"/>
        <w:left w:val="none" w:sz="0" w:space="0" w:color="auto"/>
        <w:bottom w:val="none" w:sz="0" w:space="0" w:color="auto"/>
        <w:right w:val="none" w:sz="0" w:space="0" w:color="auto"/>
      </w:divBdr>
    </w:div>
    <w:div w:id="308632598">
      <w:bodyDiv w:val="1"/>
      <w:marLeft w:val="0"/>
      <w:marRight w:val="0"/>
      <w:marTop w:val="0"/>
      <w:marBottom w:val="0"/>
      <w:divBdr>
        <w:top w:val="none" w:sz="0" w:space="0" w:color="auto"/>
        <w:left w:val="none" w:sz="0" w:space="0" w:color="auto"/>
        <w:bottom w:val="none" w:sz="0" w:space="0" w:color="auto"/>
        <w:right w:val="none" w:sz="0" w:space="0" w:color="auto"/>
      </w:divBdr>
    </w:div>
    <w:div w:id="344208207">
      <w:bodyDiv w:val="1"/>
      <w:marLeft w:val="0"/>
      <w:marRight w:val="0"/>
      <w:marTop w:val="0"/>
      <w:marBottom w:val="0"/>
      <w:divBdr>
        <w:top w:val="none" w:sz="0" w:space="0" w:color="auto"/>
        <w:left w:val="none" w:sz="0" w:space="0" w:color="auto"/>
        <w:bottom w:val="none" w:sz="0" w:space="0" w:color="auto"/>
        <w:right w:val="none" w:sz="0" w:space="0" w:color="auto"/>
      </w:divBdr>
    </w:div>
    <w:div w:id="370376419">
      <w:bodyDiv w:val="1"/>
      <w:marLeft w:val="0"/>
      <w:marRight w:val="0"/>
      <w:marTop w:val="0"/>
      <w:marBottom w:val="0"/>
      <w:divBdr>
        <w:top w:val="none" w:sz="0" w:space="0" w:color="auto"/>
        <w:left w:val="none" w:sz="0" w:space="0" w:color="auto"/>
        <w:bottom w:val="none" w:sz="0" w:space="0" w:color="auto"/>
        <w:right w:val="none" w:sz="0" w:space="0" w:color="auto"/>
      </w:divBdr>
    </w:div>
    <w:div w:id="397938740">
      <w:bodyDiv w:val="1"/>
      <w:marLeft w:val="0"/>
      <w:marRight w:val="0"/>
      <w:marTop w:val="0"/>
      <w:marBottom w:val="0"/>
      <w:divBdr>
        <w:top w:val="none" w:sz="0" w:space="0" w:color="auto"/>
        <w:left w:val="none" w:sz="0" w:space="0" w:color="auto"/>
        <w:bottom w:val="none" w:sz="0" w:space="0" w:color="auto"/>
        <w:right w:val="none" w:sz="0" w:space="0" w:color="auto"/>
      </w:divBdr>
    </w:div>
    <w:div w:id="464202185">
      <w:bodyDiv w:val="1"/>
      <w:marLeft w:val="0"/>
      <w:marRight w:val="0"/>
      <w:marTop w:val="0"/>
      <w:marBottom w:val="0"/>
      <w:divBdr>
        <w:top w:val="none" w:sz="0" w:space="0" w:color="auto"/>
        <w:left w:val="none" w:sz="0" w:space="0" w:color="auto"/>
        <w:bottom w:val="none" w:sz="0" w:space="0" w:color="auto"/>
        <w:right w:val="none" w:sz="0" w:space="0" w:color="auto"/>
      </w:divBdr>
    </w:div>
    <w:div w:id="473714167">
      <w:bodyDiv w:val="1"/>
      <w:marLeft w:val="0"/>
      <w:marRight w:val="0"/>
      <w:marTop w:val="0"/>
      <w:marBottom w:val="0"/>
      <w:divBdr>
        <w:top w:val="none" w:sz="0" w:space="0" w:color="auto"/>
        <w:left w:val="none" w:sz="0" w:space="0" w:color="auto"/>
        <w:bottom w:val="none" w:sz="0" w:space="0" w:color="auto"/>
        <w:right w:val="none" w:sz="0" w:space="0" w:color="auto"/>
      </w:divBdr>
    </w:div>
    <w:div w:id="502475473">
      <w:bodyDiv w:val="1"/>
      <w:marLeft w:val="0"/>
      <w:marRight w:val="0"/>
      <w:marTop w:val="0"/>
      <w:marBottom w:val="0"/>
      <w:divBdr>
        <w:top w:val="none" w:sz="0" w:space="0" w:color="auto"/>
        <w:left w:val="none" w:sz="0" w:space="0" w:color="auto"/>
        <w:bottom w:val="none" w:sz="0" w:space="0" w:color="auto"/>
        <w:right w:val="none" w:sz="0" w:space="0" w:color="auto"/>
      </w:divBdr>
    </w:div>
    <w:div w:id="508367992">
      <w:bodyDiv w:val="1"/>
      <w:marLeft w:val="0"/>
      <w:marRight w:val="0"/>
      <w:marTop w:val="0"/>
      <w:marBottom w:val="0"/>
      <w:divBdr>
        <w:top w:val="none" w:sz="0" w:space="0" w:color="auto"/>
        <w:left w:val="none" w:sz="0" w:space="0" w:color="auto"/>
        <w:bottom w:val="none" w:sz="0" w:space="0" w:color="auto"/>
        <w:right w:val="none" w:sz="0" w:space="0" w:color="auto"/>
      </w:divBdr>
    </w:div>
    <w:div w:id="602880828">
      <w:bodyDiv w:val="1"/>
      <w:marLeft w:val="0"/>
      <w:marRight w:val="0"/>
      <w:marTop w:val="0"/>
      <w:marBottom w:val="0"/>
      <w:divBdr>
        <w:top w:val="none" w:sz="0" w:space="0" w:color="auto"/>
        <w:left w:val="none" w:sz="0" w:space="0" w:color="auto"/>
        <w:bottom w:val="none" w:sz="0" w:space="0" w:color="auto"/>
        <w:right w:val="none" w:sz="0" w:space="0" w:color="auto"/>
      </w:divBdr>
    </w:div>
    <w:div w:id="663629575">
      <w:bodyDiv w:val="1"/>
      <w:marLeft w:val="0"/>
      <w:marRight w:val="0"/>
      <w:marTop w:val="0"/>
      <w:marBottom w:val="0"/>
      <w:divBdr>
        <w:top w:val="none" w:sz="0" w:space="0" w:color="auto"/>
        <w:left w:val="none" w:sz="0" w:space="0" w:color="auto"/>
        <w:bottom w:val="none" w:sz="0" w:space="0" w:color="auto"/>
        <w:right w:val="none" w:sz="0" w:space="0" w:color="auto"/>
      </w:divBdr>
    </w:div>
    <w:div w:id="688139087">
      <w:bodyDiv w:val="1"/>
      <w:marLeft w:val="0"/>
      <w:marRight w:val="0"/>
      <w:marTop w:val="0"/>
      <w:marBottom w:val="0"/>
      <w:divBdr>
        <w:top w:val="none" w:sz="0" w:space="0" w:color="auto"/>
        <w:left w:val="none" w:sz="0" w:space="0" w:color="auto"/>
        <w:bottom w:val="none" w:sz="0" w:space="0" w:color="auto"/>
        <w:right w:val="none" w:sz="0" w:space="0" w:color="auto"/>
      </w:divBdr>
    </w:div>
    <w:div w:id="696010691">
      <w:bodyDiv w:val="1"/>
      <w:marLeft w:val="0"/>
      <w:marRight w:val="0"/>
      <w:marTop w:val="0"/>
      <w:marBottom w:val="0"/>
      <w:divBdr>
        <w:top w:val="none" w:sz="0" w:space="0" w:color="auto"/>
        <w:left w:val="none" w:sz="0" w:space="0" w:color="auto"/>
        <w:bottom w:val="none" w:sz="0" w:space="0" w:color="auto"/>
        <w:right w:val="none" w:sz="0" w:space="0" w:color="auto"/>
      </w:divBdr>
    </w:div>
    <w:div w:id="750736139">
      <w:bodyDiv w:val="1"/>
      <w:marLeft w:val="0"/>
      <w:marRight w:val="0"/>
      <w:marTop w:val="0"/>
      <w:marBottom w:val="0"/>
      <w:divBdr>
        <w:top w:val="none" w:sz="0" w:space="0" w:color="auto"/>
        <w:left w:val="none" w:sz="0" w:space="0" w:color="auto"/>
        <w:bottom w:val="none" w:sz="0" w:space="0" w:color="auto"/>
        <w:right w:val="none" w:sz="0" w:space="0" w:color="auto"/>
      </w:divBdr>
    </w:div>
    <w:div w:id="793014187">
      <w:bodyDiv w:val="1"/>
      <w:marLeft w:val="0"/>
      <w:marRight w:val="0"/>
      <w:marTop w:val="0"/>
      <w:marBottom w:val="0"/>
      <w:divBdr>
        <w:top w:val="none" w:sz="0" w:space="0" w:color="auto"/>
        <w:left w:val="none" w:sz="0" w:space="0" w:color="auto"/>
        <w:bottom w:val="none" w:sz="0" w:space="0" w:color="auto"/>
        <w:right w:val="none" w:sz="0" w:space="0" w:color="auto"/>
      </w:divBdr>
    </w:div>
    <w:div w:id="833957953">
      <w:bodyDiv w:val="1"/>
      <w:marLeft w:val="0"/>
      <w:marRight w:val="0"/>
      <w:marTop w:val="0"/>
      <w:marBottom w:val="0"/>
      <w:divBdr>
        <w:top w:val="none" w:sz="0" w:space="0" w:color="auto"/>
        <w:left w:val="none" w:sz="0" w:space="0" w:color="auto"/>
        <w:bottom w:val="none" w:sz="0" w:space="0" w:color="auto"/>
        <w:right w:val="none" w:sz="0" w:space="0" w:color="auto"/>
      </w:divBdr>
    </w:div>
    <w:div w:id="901599869">
      <w:bodyDiv w:val="1"/>
      <w:marLeft w:val="0"/>
      <w:marRight w:val="0"/>
      <w:marTop w:val="0"/>
      <w:marBottom w:val="0"/>
      <w:divBdr>
        <w:top w:val="none" w:sz="0" w:space="0" w:color="auto"/>
        <w:left w:val="none" w:sz="0" w:space="0" w:color="auto"/>
        <w:bottom w:val="none" w:sz="0" w:space="0" w:color="auto"/>
        <w:right w:val="none" w:sz="0" w:space="0" w:color="auto"/>
      </w:divBdr>
    </w:div>
    <w:div w:id="906066084">
      <w:bodyDiv w:val="1"/>
      <w:marLeft w:val="0"/>
      <w:marRight w:val="0"/>
      <w:marTop w:val="0"/>
      <w:marBottom w:val="0"/>
      <w:divBdr>
        <w:top w:val="none" w:sz="0" w:space="0" w:color="auto"/>
        <w:left w:val="none" w:sz="0" w:space="0" w:color="auto"/>
        <w:bottom w:val="none" w:sz="0" w:space="0" w:color="auto"/>
        <w:right w:val="none" w:sz="0" w:space="0" w:color="auto"/>
      </w:divBdr>
    </w:div>
    <w:div w:id="910190718">
      <w:bodyDiv w:val="1"/>
      <w:marLeft w:val="0"/>
      <w:marRight w:val="0"/>
      <w:marTop w:val="0"/>
      <w:marBottom w:val="0"/>
      <w:divBdr>
        <w:top w:val="none" w:sz="0" w:space="0" w:color="auto"/>
        <w:left w:val="none" w:sz="0" w:space="0" w:color="auto"/>
        <w:bottom w:val="none" w:sz="0" w:space="0" w:color="auto"/>
        <w:right w:val="none" w:sz="0" w:space="0" w:color="auto"/>
      </w:divBdr>
    </w:div>
    <w:div w:id="942685191">
      <w:bodyDiv w:val="1"/>
      <w:marLeft w:val="0"/>
      <w:marRight w:val="0"/>
      <w:marTop w:val="0"/>
      <w:marBottom w:val="0"/>
      <w:divBdr>
        <w:top w:val="none" w:sz="0" w:space="0" w:color="auto"/>
        <w:left w:val="none" w:sz="0" w:space="0" w:color="auto"/>
        <w:bottom w:val="none" w:sz="0" w:space="0" w:color="auto"/>
        <w:right w:val="none" w:sz="0" w:space="0" w:color="auto"/>
      </w:divBdr>
    </w:div>
    <w:div w:id="959455404">
      <w:bodyDiv w:val="1"/>
      <w:marLeft w:val="0"/>
      <w:marRight w:val="0"/>
      <w:marTop w:val="0"/>
      <w:marBottom w:val="0"/>
      <w:divBdr>
        <w:top w:val="none" w:sz="0" w:space="0" w:color="auto"/>
        <w:left w:val="none" w:sz="0" w:space="0" w:color="auto"/>
        <w:bottom w:val="none" w:sz="0" w:space="0" w:color="auto"/>
        <w:right w:val="none" w:sz="0" w:space="0" w:color="auto"/>
      </w:divBdr>
    </w:div>
    <w:div w:id="1084378737">
      <w:bodyDiv w:val="1"/>
      <w:marLeft w:val="0"/>
      <w:marRight w:val="0"/>
      <w:marTop w:val="0"/>
      <w:marBottom w:val="0"/>
      <w:divBdr>
        <w:top w:val="none" w:sz="0" w:space="0" w:color="auto"/>
        <w:left w:val="none" w:sz="0" w:space="0" w:color="auto"/>
        <w:bottom w:val="none" w:sz="0" w:space="0" w:color="auto"/>
        <w:right w:val="none" w:sz="0" w:space="0" w:color="auto"/>
      </w:divBdr>
    </w:div>
    <w:div w:id="1091587676">
      <w:bodyDiv w:val="1"/>
      <w:marLeft w:val="0"/>
      <w:marRight w:val="0"/>
      <w:marTop w:val="0"/>
      <w:marBottom w:val="0"/>
      <w:divBdr>
        <w:top w:val="none" w:sz="0" w:space="0" w:color="auto"/>
        <w:left w:val="none" w:sz="0" w:space="0" w:color="auto"/>
        <w:bottom w:val="none" w:sz="0" w:space="0" w:color="auto"/>
        <w:right w:val="none" w:sz="0" w:space="0" w:color="auto"/>
      </w:divBdr>
    </w:div>
    <w:div w:id="1130395728">
      <w:bodyDiv w:val="1"/>
      <w:marLeft w:val="0"/>
      <w:marRight w:val="0"/>
      <w:marTop w:val="0"/>
      <w:marBottom w:val="0"/>
      <w:divBdr>
        <w:top w:val="none" w:sz="0" w:space="0" w:color="auto"/>
        <w:left w:val="none" w:sz="0" w:space="0" w:color="auto"/>
        <w:bottom w:val="none" w:sz="0" w:space="0" w:color="auto"/>
        <w:right w:val="none" w:sz="0" w:space="0" w:color="auto"/>
      </w:divBdr>
    </w:div>
    <w:div w:id="1133250669">
      <w:bodyDiv w:val="1"/>
      <w:marLeft w:val="0"/>
      <w:marRight w:val="0"/>
      <w:marTop w:val="0"/>
      <w:marBottom w:val="0"/>
      <w:divBdr>
        <w:top w:val="none" w:sz="0" w:space="0" w:color="auto"/>
        <w:left w:val="none" w:sz="0" w:space="0" w:color="auto"/>
        <w:bottom w:val="none" w:sz="0" w:space="0" w:color="auto"/>
        <w:right w:val="none" w:sz="0" w:space="0" w:color="auto"/>
      </w:divBdr>
    </w:div>
    <w:div w:id="1206211035">
      <w:bodyDiv w:val="1"/>
      <w:marLeft w:val="0"/>
      <w:marRight w:val="0"/>
      <w:marTop w:val="0"/>
      <w:marBottom w:val="0"/>
      <w:divBdr>
        <w:top w:val="none" w:sz="0" w:space="0" w:color="auto"/>
        <w:left w:val="none" w:sz="0" w:space="0" w:color="auto"/>
        <w:bottom w:val="none" w:sz="0" w:space="0" w:color="auto"/>
        <w:right w:val="none" w:sz="0" w:space="0" w:color="auto"/>
      </w:divBdr>
    </w:div>
    <w:div w:id="1224413535">
      <w:bodyDiv w:val="1"/>
      <w:marLeft w:val="0"/>
      <w:marRight w:val="0"/>
      <w:marTop w:val="0"/>
      <w:marBottom w:val="0"/>
      <w:divBdr>
        <w:top w:val="none" w:sz="0" w:space="0" w:color="auto"/>
        <w:left w:val="none" w:sz="0" w:space="0" w:color="auto"/>
        <w:bottom w:val="none" w:sz="0" w:space="0" w:color="auto"/>
        <w:right w:val="none" w:sz="0" w:space="0" w:color="auto"/>
      </w:divBdr>
    </w:div>
    <w:div w:id="1229340945">
      <w:bodyDiv w:val="1"/>
      <w:marLeft w:val="0"/>
      <w:marRight w:val="0"/>
      <w:marTop w:val="0"/>
      <w:marBottom w:val="0"/>
      <w:divBdr>
        <w:top w:val="none" w:sz="0" w:space="0" w:color="auto"/>
        <w:left w:val="none" w:sz="0" w:space="0" w:color="auto"/>
        <w:bottom w:val="none" w:sz="0" w:space="0" w:color="auto"/>
        <w:right w:val="none" w:sz="0" w:space="0" w:color="auto"/>
      </w:divBdr>
    </w:div>
    <w:div w:id="1239024872">
      <w:bodyDiv w:val="1"/>
      <w:marLeft w:val="0"/>
      <w:marRight w:val="0"/>
      <w:marTop w:val="0"/>
      <w:marBottom w:val="0"/>
      <w:divBdr>
        <w:top w:val="none" w:sz="0" w:space="0" w:color="auto"/>
        <w:left w:val="none" w:sz="0" w:space="0" w:color="auto"/>
        <w:bottom w:val="none" w:sz="0" w:space="0" w:color="auto"/>
        <w:right w:val="none" w:sz="0" w:space="0" w:color="auto"/>
      </w:divBdr>
    </w:div>
    <w:div w:id="1248926845">
      <w:bodyDiv w:val="1"/>
      <w:marLeft w:val="0"/>
      <w:marRight w:val="0"/>
      <w:marTop w:val="0"/>
      <w:marBottom w:val="0"/>
      <w:divBdr>
        <w:top w:val="none" w:sz="0" w:space="0" w:color="auto"/>
        <w:left w:val="none" w:sz="0" w:space="0" w:color="auto"/>
        <w:bottom w:val="none" w:sz="0" w:space="0" w:color="auto"/>
        <w:right w:val="none" w:sz="0" w:space="0" w:color="auto"/>
      </w:divBdr>
    </w:div>
    <w:div w:id="1278830148">
      <w:bodyDiv w:val="1"/>
      <w:marLeft w:val="0"/>
      <w:marRight w:val="0"/>
      <w:marTop w:val="0"/>
      <w:marBottom w:val="0"/>
      <w:divBdr>
        <w:top w:val="none" w:sz="0" w:space="0" w:color="auto"/>
        <w:left w:val="none" w:sz="0" w:space="0" w:color="auto"/>
        <w:bottom w:val="none" w:sz="0" w:space="0" w:color="auto"/>
        <w:right w:val="none" w:sz="0" w:space="0" w:color="auto"/>
      </w:divBdr>
    </w:div>
    <w:div w:id="1281717088">
      <w:bodyDiv w:val="1"/>
      <w:marLeft w:val="0"/>
      <w:marRight w:val="0"/>
      <w:marTop w:val="0"/>
      <w:marBottom w:val="0"/>
      <w:divBdr>
        <w:top w:val="none" w:sz="0" w:space="0" w:color="auto"/>
        <w:left w:val="none" w:sz="0" w:space="0" w:color="auto"/>
        <w:bottom w:val="none" w:sz="0" w:space="0" w:color="auto"/>
        <w:right w:val="none" w:sz="0" w:space="0" w:color="auto"/>
      </w:divBdr>
    </w:div>
    <w:div w:id="1286472540">
      <w:bodyDiv w:val="1"/>
      <w:marLeft w:val="0"/>
      <w:marRight w:val="0"/>
      <w:marTop w:val="0"/>
      <w:marBottom w:val="0"/>
      <w:divBdr>
        <w:top w:val="none" w:sz="0" w:space="0" w:color="auto"/>
        <w:left w:val="none" w:sz="0" w:space="0" w:color="auto"/>
        <w:bottom w:val="none" w:sz="0" w:space="0" w:color="auto"/>
        <w:right w:val="none" w:sz="0" w:space="0" w:color="auto"/>
      </w:divBdr>
    </w:div>
    <w:div w:id="1310137778">
      <w:bodyDiv w:val="1"/>
      <w:marLeft w:val="0"/>
      <w:marRight w:val="0"/>
      <w:marTop w:val="0"/>
      <w:marBottom w:val="0"/>
      <w:divBdr>
        <w:top w:val="none" w:sz="0" w:space="0" w:color="auto"/>
        <w:left w:val="none" w:sz="0" w:space="0" w:color="auto"/>
        <w:bottom w:val="none" w:sz="0" w:space="0" w:color="auto"/>
        <w:right w:val="none" w:sz="0" w:space="0" w:color="auto"/>
      </w:divBdr>
    </w:div>
    <w:div w:id="1343781122">
      <w:bodyDiv w:val="1"/>
      <w:marLeft w:val="0"/>
      <w:marRight w:val="0"/>
      <w:marTop w:val="0"/>
      <w:marBottom w:val="0"/>
      <w:divBdr>
        <w:top w:val="none" w:sz="0" w:space="0" w:color="auto"/>
        <w:left w:val="none" w:sz="0" w:space="0" w:color="auto"/>
        <w:bottom w:val="none" w:sz="0" w:space="0" w:color="auto"/>
        <w:right w:val="none" w:sz="0" w:space="0" w:color="auto"/>
      </w:divBdr>
    </w:div>
    <w:div w:id="1356808641">
      <w:bodyDiv w:val="1"/>
      <w:marLeft w:val="0"/>
      <w:marRight w:val="0"/>
      <w:marTop w:val="0"/>
      <w:marBottom w:val="0"/>
      <w:divBdr>
        <w:top w:val="none" w:sz="0" w:space="0" w:color="auto"/>
        <w:left w:val="none" w:sz="0" w:space="0" w:color="auto"/>
        <w:bottom w:val="none" w:sz="0" w:space="0" w:color="auto"/>
        <w:right w:val="none" w:sz="0" w:space="0" w:color="auto"/>
      </w:divBdr>
    </w:div>
    <w:div w:id="1415932311">
      <w:bodyDiv w:val="1"/>
      <w:marLeft w:val="0"/>
      <w:marRight w:val="0"/>
      <w:marTop w:val="0"/>
      <w:marBottom w:val="0"/>
      <w:divBdr>
        <w:top w:val="none" w:sz="0" w:space="0" w:color="auto"/>
        <w:left w:val="none" w:sz="0" w:space="0" w:color="auto"/>
        <w:bottom w:val="none" w:sz="0" w:space="0" w:color="auto"/>
        <w:right w:val="none" w:sz="0" w:space="0" w:color="auto"/>
      </w:divBdr>
    </w:div>
    <w:div w:id="1423338139">
      <w:bodyDiv w:val="1"/>
      <w:marLeft w:val="0"/>
      <w:marRight w:val="0"/>
      <w:marTop w:val="0"/>
      <w:marBottom w:val="0"/>
      <w:divBdr>
        <w:top w:val="none" w:sz="0" w:space="0" w:color="auto"/>
        <w:left w:val="none" w:sz="0" w:space="0" w:color="auto"/>
        <w:bottom w:val="none" w:sz="0" w:space="0" w:color="auto"/>
        <w:right w:val="none" w:sz="0" w:space="0" w:color="auto"/>
      </w:divBdr>
    </w:div>
    <w:div w:id="1440416877">
      <w:bodyDiv w:val="1"/>
      <w:marLeft w:val="0"/>
      <w:marRight w:val="0"/>
      <w:marTop w:val="0"/>
      <w:marBottom w:val="0"/>
      <w:divBdr>
        <w:top w:val="none" w:sz="0" w:space="0" w:color="auto"/>
        <w:left w:val="none" w:sz="0" w:space="0" w:color="auto"/>
        <w:bottom w:val="none" w:sz="0" w:space="0" w:color="auto"/>
        <w:right w:val="none" w:sz="0" w:space="0" w:color="auto"/>
      </w:divBdr>
    </w:div>
    <w:div w:id="1455520065">
      <w:bodyDiv w:val="1"/>
      <w:marLeft w:val="0"/>
      <w:marRight w:val="0"/>
      <w:marTop w:val="0"/>
      <w:marBottom w:val="0"/>
      <w:divBdr>
        <w:top w:val="none" w:sz="0" w:space="0" w:color="auto"/>
        <w:left w:val="none" w:sz="0" w:space="0" w:color="auto"/>
        <w:bottom w:val="none" w:sz="0" w:space="0" w:color="auto"/>
        <w:right w:val="none" w:sz="0" w:space="0" w:color="auto"/>
      </w:divBdr>
    </w:div>
    <w:div w:id="1477797772">
      <w:bodyDiv w:val="1"/>
      <w:marLeft w:val="0"/>
      <w:marRight w:val="0"/>
      <w:marTop w:val="0"/>
      <w:marBottom w:val="0"/>
      <w:divBdr>
        <w:top w:val="none" w:sz="0" w:space="0" w:color="auto"/>
        <w:left w:val="none" w:sz="0" w:space="0" w:color="auto"/>
        <w:bottom w:val="none" w:sz="0" w:space="0" w:color="auto"/>
        <w:right w:val="none" w:sz="0" w:space="0" w:color="auto"/>
      </w:divBdr>
    </w:div>
    <w:div w:id="1484784148">
      <w:bodyDiv w:val="1"/>
      <w:marLeft w:val="0"/>
      <w:marRight w:val="0"/>
      <w:marTop w:val="0"/>
      <w:marBottom w:val="0"/>
      <w:divBdr>
        <w:top w:val="none" w:sz="0" w:space="0" w:color="auto"/>
        <w:left w:val="none" w:sz="0" w:space="0" w:color="auto"/>
        <w:bottom w:val="none" w:sz="0" w:space="0" w:color="auto"/>
        <w:right w:val="none" w:sz="0" w:space="0" w:color="auto"/>
      </w:divBdr>
    </w:div>
    <w:div w:id="1535921547">
      <w:bodyDiv w:val="1"/>
      <w:marLeft w:val="0"/>
      <w:marRight w:val="0"/>
      <w:marTop w:val="0"/>
      <w:marBottom w:val="0"/>
      <w:divBdr>
        <w:top w:val="none" w:sz="0" w:space="0" w:color="auto"/>
        <w:left w:val="none" w:sz="0" w:space="0" w:color="auto"/>
        <w:bottom w:val="none" w:sz="0" w:space="0" w:color="auto"/>
        <w:right w:val="none" w:sz="0" w:space="0" w:color="auto"/>
      </w:divBdr>
    </w:div>
    <w:div w:id="1558861772">
      <w:bodyDiv w:val="1"/>
      <w:marLeft w:val="0"/>
      <w:marRight w:val="0"/>
      <w:marTop w:val="0"/>
      <w:marBottom w:val="0"/>
      <w:divBdr>
        <w:top w:val="none" w:sz="0" w:space="0" w:color="auto"/>
        <w:left w:val="none" w:sz="0" w:space="0" w:color="auto"/>
        <w:bottom w:val="none" w:sz="0" w:space="0" w:color="auto"/>
        <w:right w:val="none" w:sz="0" w:space="0" w:color="auto"/>
      </w:divBdr>
    </w:div>
    <w:div w:id="1565721655">
      <w:bodyDiv w:val="1"/>
      <w:marLeft w:val="0"/>
      <w:marRight w:val="0"/>
      <w:marTop w:val="0"/>
      <w:marBottom w:val="0"/>
      <w:divBdr>
        <w:top w:val="none" w:sz="0" w:space="0" w:color="auto"/>
        <w:left w:val="none" w:sz="0" w:space="0" w:color="auto"/>
        <w:bottom w:val="none" w:sz="0" w:space="0" w:color="auto"/>
        <w:right w:val="none" w:sz="0" w:space="0" w:color="auto"/>
      </w:divBdr>
    </w:div>
    <w:div w:id="1576278753">
      <w:bodyDiv w:val="1"/>
      <w:marLeft w:val="0"/>
      <w:marRight w:val="0"/>
      <w:marTop w:val="0"/>
      <w:marBottom w:val="0"/>
      <w:divBdr>
        <w:top w:val="none" w:sz="0" w:space="0" w:color="auto"/>
        <w:left w:val="none" w:sz="0" w:space="0" w:color="auto"/>
        <w:bottom w:val="none" w:sz="0" w:space="0" w:color="auto"/>
        <w:right w:val="none" w:sz="0" w:space="0" w:color="auto"/>
      </w:divBdr>
    </w:div>
    <w:div w:id="1590699655">
      <w:bodyDiv w:val="1"/>
      <w:marLeft w:val="0"/>
      <w:marRight w:val="0"/>
      <w:marTop w:val="0"/>
      <w:marBottom w:val="0"/>
      <w:divBdr>
        <w:top w:val="none" w:sz="0" w:space="0" w:color="auto"/>
        <w:left w:val="none" w:sz="0" w:space="0" w:color="auto"/>
        <w:bottom w:val="none" w:sz="0" w:space="0" w:color="auto"/>
        <w:right w:val="none" w:sz="0" w:space="0" w:color="auto"/>
      </w:divBdr>
    </w:div>
    <w:div w:id="1631671904">
      <w:bodyDiv w:val="1"/>
      <w:marLeft w:val="0"/>
      <w:marRight w:val="0"/>
      <w:marTop w:val="0"/>
      <w:marBottom w:val="0"/>
      <w:divBdr>
        <w:top w:val="none" w:sz="0" w:space="0" w:color="auto"/>
        <w:left w:val="none" w:sz="0" w:space="0" w:color="auto"/>
        <w:bottom w:val="none" w:sz="0" w:space="0" w:color="auto"/>
        <w:right w:val="none" w:sz="0" w:space="0" w:color="auto"/>
      </w:divBdr>
    </w:div>
    <w:div w:id="1699116523">
      <w:bodyDiv w:val="1"/>
      <w:marLeft w:val="0"/>
      <w:marRight w:val="0"/>
      <w:marTop w:val="0"/>
      <w:marBottom w:val="0"/>
      <w:divBdr>
        <w:top w:val="none" w:sz="0" w:space="0" w:color="auto"/>
        <w:left w:val="none" w:sz="0" w:space="0" w:color="auto"/>
        <w:bottom w:val="none" w:sz="0" w:space="0" w:color="auto"/>
        <w:right w:val="none" w:sz="0" w:space="0" w:color="auto"/>
      </w:divBdr>
    </w:div>
    <w:div w:id="1738505858">
      <w:bodyDiv w:val="1"/>
      <w:marLeft w:val="0"/>
      <w:marRight w:val="0"/>
      <w:marTop w:val="0"/>
      <w:marBottom w:val="0"/>
      <w:divBdr>
        <w:top w:val="none" w:sz="0" w:space="0" w:color="auto"/>
        <w:left w:val="none" w:sz="0" w:space="0" w:color="auto"/>
        <w:bottom w:val="none" w:sz="0" w:space="0" w:color="auto"/>
        <w:right w:val="none" w:sz="0" w:space="0" w:color="auto"/>
      </w:divBdr>
    </w:div>
    <w:div w:id="1829250971">
      <w:bodyDiv w:val="1"/>
      <w:marLeft w:val="0"/>
      <w:marRight w:val="0"/>
      <w:marTop w:val="0"/>
      <w:marBottom w:val="0"/>
      <w:divBdr>
        <w:top w:val="none" w:sz="0" w:space="0" w:color="auto"/>
        <w:left w:val="none" w:sz="0" w:space="0" w:color="auto"/>
        <w:bottom w:val="none" w:sz="0" w:space="0" w:color="auto"/>
        <w:right w:val="none" w:sz="0" w:space="0" w:color="auto"/>
      </w:divBdr>
    </w:div>
    <w:div w:id="1844783320">
      <w:bodyDiv w:val="1"/>
      <w:marLeft w:val="0"/>
      <w:marRight w:val="0"/>
      <w:marTop w:val="0"/>
      <w:marBottom w:val="0"/>
      <w:divBdr>
        <w:top w:val="none" w:sz="0" w:space="0" w:color="auto"/>
        <w:left w:val="none" w:sz="0" w:space="0" w:color="auto"/>
        <w:bottom w:val="none" w:sz="0" w:space="0" w:color="auto"/>
        <w:right w:val="none" w:sz="0" w:space="0" w:color="auto"/>
      </w:divBdr>
    </w:div>
    <w:div w:id="1852647977">
      <w:bodyDiv w:val="1"/>
      <w:marLeft w:val="0"/>
      <w:marRight w:val="0"/>
      <w:marTop w:val="0"/>
      <w:marBottom w:val="0"/>
      <w:divBdr>
        <w:top w:val="none" w:sz="0" w:space="0" w:color="auto"/>
        <w:left w:val="none" w:sz="0" w:space="0" w:color="auto"/>
        <w:bottom w:val="none" w:sz="0" w:space="0" w:color="auto"/>
        <w:right w:val="none" w:sz="0" w:space="0" w:color="auto"/>
      </w:divBdr>
    </w:div>
    <w:div w:id="1887721953">
      <w:bodyDiv w:val="1"/>
      <w:marLeft w:val="0"/>
      <w:marRight w:val="0"/>
      <w:marTop w:val="0"/>
      <w:marBottom w:val="0"/>
      <w:divBdr>
        <w:top w:val="none" w:sz="0" w:space="0" w:color="auto"/>
        <w:left w:val="none" w:sz="0" w:space="0" w:color="auto"/>
        <w:bottom w:val="none" w:sz="0" w:space="0" w:color="auto"/>
        <w:right w:val="none" w:sz="0" w:space="0" w:color="auto"/>
      </w:divBdr>
    </w:div>
    <w:div w:id="1905289696">
      <w:bodyDiv w:val="1"/>
      <w:marLeft w:val="0"/>
      <w:marRight w:val="0"/>
      <w:marTop w:val="0"/>
      <w:marBottom w:val="0"/>
      <w:divBdr>
        <w:top w:val="none" w:sz="0" w:space="0" w:color="auto"/>
        <w:left w:val="none" w:sz="0" w:space="0" w:color="auto"/>
        <w:bottom w:val="none" w:sz="0" w:space="0" w:color="auto"/>
        <w:right w:val="none" w:sz="0" w:space="0" w:color="auto"/>
      </w:divBdr>
    </w:div>
    <w:div w:id="1940941550">
      <w:bodyDiv w:val="1"/>
      <w:marLeft w:val="0"/>
      <w:marRight w:val="0"/>
      <w:marTop w:val="0"/>
      <w:marBottom w:val="0"/>
      <w:divBdr>
        <w:top w:val="none" w:sz="0" w:space="0" w:color="auto"/>
        <w:left w:val="none" w:sz="0" w:space="0" w:color="auto"/>
        <w:bottom w:val="none" w:sz="0" w:space="0" w:color="auto"/>
        <w:right w:val="none" w:sz="0" w:space="0" w:color="auto"/>
      </w:divBdr>
    </w:div>
    <w:div w:id="2006320049">
      <w:bodyDiv w:val="1"/>
      <w:marLeft w:val="0"/>
      <w:marRight w:val="0"/>
      <w:marTop w:val="0"/>
      <w:marBottom w:val="0"/>
      <w:divBdr>
        <w:top w:val="none" w:sz="0" w:space="0" w:color="auto"/>
        <w:left w:val="none" w:sz="0" w:space="0" w:color="auto"/>
        <w:bottom w:val="none" w:sz="0" w:space="0" w:color="auto"/>
        <w:right w:val="none" w:sz="0" w:space="0" w:color="auto"/>
      </w:divBdr>
    </w:div>
    <w:div w:id="2017801588">
      <w:bodyDiv w:val="1"/>
      <w:marLeft w:val="0"/>
      <w:marRight w:val="0"/>
      <w:marTop w:val="0"/>
      <w:marBottom w:val="0"/>
      <w:divBdr>
        <w:top w:val="none" w:sz="0" w:space="0" w:color="auto"/>
        <w:left w:val="none" w:sz="0" w:space="0" w:color="auto"/>
        <w:bottom w:val="none" w:sz="0" w:space="0" w:color="auto"/>
        <w:right w:val="none" w:sz="0" w:space="0" w:color="auto"/>
      </w:divBdr>
    </w:div>
    <w:div w:id="2027825837">
      <w:bodyDiv w:val="1"/>
      <w:marLeft w:val="0"/>
      <w:marRight w:val="0"/>
      <w:marTop w:val="0"/>
      <w:marBottom w:val="0"/>
      <w:divBdr>
        <w:top w:val="none" w:sz="0" w:space="0" w:color="auto"/>
        <w:left w:val="none" w:sz="0" w:space="0" w:color="auto"/>
        <w:bottom w:val="none" w:sz="0" w:space="0" w:color="auto"/>
        <w:right w:val="none" w:sz="0" w:space="0" w:color="auto"/>
      </w:divBdr>
    </w:div>
    <w:div w:id="2042630841">
      <w:bodyDiv w:val="1"/>
      <w:marLeft w:val="0"/>
      <w:marRight w:val="0"/>
      <w:marTop w:val="0"/>
      <w:marBottom w:val="0"/>
      <w:divBdr>
        <w:top w:val="none" w:sz="0" w:space="0" w:color="auto"/>
        <w:left w:val="none" w:sz="0" w:space="0" w:color="auto"/>
        <w:bottom w:val="none" w:sz="0" w:space="0" w:color="auto"/>
        <w:right w:val="none" w:sz="0" w:space="0" w:color="auto"/>
      </w:divBdr>
    </w:div>
    <w:div w:id="2045474881">
      <w:bodyDiv w:val="1"/>
      <w:marLeft w:val="0"/>
      <w:marRight w:val="0"/>
      <w:marTop w:val="0"/>
      <w:marBottom w:val="0"/>
      <w:divBdr>
        <w:top w:val="none" w:sz="0" w:space="0" w:color="auto"/>
        <w:left w:val="none" w:sz="0" w:space="0" w:color="auto"/>
        <w:bottom w:val="none" w:sz="0" w:space="0" w:color="auto"/>
        <w:right w:val="none" w:sz="0" w:space="0" w:color="auto"/>
      </w:divBdr>
    </w:div>
    <w:div w:id="2053071614">
      <w:bodyDiv w:val="1"/>
      <w:marLeft w:val="0"/>
      <w:marRight w:val="0"/>
      <w:marTop w:val="0"/>
      <w:marBottom w:val="0"/>
      <w:divBdr>
        <w:top w:val="none" w:sz="0" w:space="0" w:color="auto"/>
        <w:left w:val="none" w:sz="0" w:space="0" w:color="auto"/>
        <w:bottom w:val="none" w:sz="0" w:space="0" w:color="auto"/>
        <w:right w:val="none" w:sz="0" w:space="0" w:color="auto"/>
      </w:divBdr>
    </w:div>
    <w:div w:id="2097364519">
      <w:bodyDiv w:val="1"/>
      <w:marLeft w:val="0"/>
      <w:marRight w:val="0"/>
      <w:marTop w:val="0"/>
      <w:marBottom w:val="0"/>
      <w:divBdr>
        <w:top w:val="none" w:sz="0" w:space="0" w:color="auto"/>
        <w:left w:val="none" w:sz="0" w:space="0" w:color="auto"/>
        <w:bottom w:val="none" w:sz="0" w:space="0" w:color="auto"/>
        <w:right w:val="none" w:sz="0" w:space="0" w:color="auto"/>
      </w:divBdr>
    </w:div>
    <w:div w:id="21216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rowheadpharma.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467c47-69f4-47af-b8b9-0805f9bd6ea5" xsi:nil="true"/>
    <lcf76f155ced4ddcb4097134ff3c332f xmlns="db665423-64a7-4e56-af05-ef1c2c724c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82F9F8F99EFE43A13B18F8BEDFB571" ma:contentTypeVersion="11" ma:contentTypeDescription="Create a new document." ma:contentTypeScope="" ma:versionID="24668a3df15194ce5f50de581f799c6d">
  <xsd:schema xmlns:xsd="http://www.w3.org/2001/XMLSchema" xmlns:xs="http://www.w3.org/2001/XMLSchema" xmlns:p="http://schemas.microsoft.com/office/2006/metadata/properties" xmlns:ns2="db665423-64a7-4e56-af05-ef1c2c724c47" xmlns:ns3="04467c47-69f4-47af-b8b9-0805f9bd6ea5" targetNamespace="http://schemas.microsoft.com/office/2006/metadata/properties" ma:root="true" ma:fieldsID="b8870e3fdafd5722db50860059f73070" ns2:_="" ns3:_="">
    <xsd:import namespace="db665423-64a7-4e56-af05-ef1c2c724c47"/>
    <xsd:import namespace="04467c47-69f4-47af-b8b9-0805f9bd6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65423-64a7-4e56-af05-ef1c2c724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ccb92-4cc6-4a11-9f55-27de19e21a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67c47-69f4-47af-b8b9-0805f9bd6e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aa9da1-c8ef-4e35-a6e4-7558814496f7}" ma:internalName="TaxCatchAll" ma:showField="CatchAllData" ma:web="04467c47-69f4-47af-b8b9-0805f9bd6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4A607-A48A-4D40-B490-A420A3E9B567}">
  <ds:schemaRefs>
    <ds:schemaRef ds:uri="http://schemas.microsoft.com/office/2006/metadata/properties"/>
    <ds:schemaRef ds:uri="http://schemas.microsoft.com/office/infopath/2007/PartnerControls"/>
    <ds:schemaRef ds:uri="04467c47-69f4-47af-b8b9-0805f9bd6ea5"/>
    <ds:schemaRef ds:uri="db665423-64a7-4e56-af05-ef1c2c724c47"/>
  </ds:schemaRefs>
</ds:datastoreItem>
</file>

<file path=customXml/itemProps2.xml><?xml version="1.0" encoding="utf-8"?>
<ds:datastoreItem xmlns:ds="http://schemas.openxmlformats.org/officeDocument/2006/customXml" ds:itemID="{CE0EF236-8D51-4008-B5A2-9CF8A13E37CD}">
  <ds:schemaRefs>
    <ds:schemaRef ds:uri="http://schemas.openxmlformats.org/officeDocument/2006/bibliography"/>
  </ds:schemaRefs>
</ds:datastoreItem>
</file>

<file path=customXml/itemProps3.xml><?xml version="1.0" encoding="utf-8"?>
<ds:datastoreItem xmlns:ds="http://schemas.openxmlformats.org/officeDocument/2006/customXml" ds:itemID="{C0D48DE4-E488-44FF-809C-44EAEF4FE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65423-64a7-4e56-af05-ef1c2c724c47"/>
    <ds:schemaRef ds:uri="04467c47-69f4-47af-b8b9-0805f9bd6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34BE8-2556-445D-947E-8D7F0B074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Attachment: Product information for Redemplo</vt:lpstr>
    </vt:vector>
  </TitlesOfParts>
  <Manager/>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Redemplo</dc:title>
  <dc:subject>Prescription medicines</dc:subject>
  <dc:creator>Arrowhead Australia Pty Ltd</dc:creator>
  <cp:keywords/>
  <cp:lastPrinted>2025-10-23T04:48:00Z</cp:lastPrinted>
  <dcterms:created xsi:type="dcterms:W3CDTF">2026-07-22T04:14:00Z</dcterms:created>
  <dcterms:modified xsi:type="dcterms:W3CDTF">2026-07-22T04:21:00Z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0x0101008182F9F8F99EFE43A13B18F8BEDFB571</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700767a4,388a7cfd,ab07ef7</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b2938a2,3e37a072,11fad411</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2026-07-21T04:29:14Z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e7a1e1f5-24eb-4593-8377-f253546ebbf9</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