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059BE9" w14:textId="77777777" w:rsidR="00F02AEC" w:rsidRDefault="00F02AEC" w:rsidP="00B03B68"/>
    <w:p w14:paraId="6F3B0FF6" w14:textId="77777777" w:rsidR="00692401" w:rsidRDefault="00692401" w:rsidP="00B03B68"/>
    <w:p w14:paraId="47E033CC" w14:textId="77777777" w:rsidR="00692401" w:rsidRDefault="00692401" w:rsidP="00B03B68"/>
    <w:p w14:paraId="7F2FF472" w14:textId="77777777" w:rsidR="00692401" w:rsidRDefault="00692401" w:rsidP="0095170C">
      <w:pPr>
        <w:pStyle w:val="Title"/>
      </w:pPr>
      <w:r w:rsidRPr="00692401">
        <w:t>Notice of interim decisions to amend (or not amend) the current Poisons Standard</w:t>
      </w:r>
    </w:p>
    <w:p w14:paraId="6DC1A35C" w14:textId="40A7DD28" w:rsidR="00692401" w:rsidRPr="00B03B68" w:rsidRDefault="00317EF8" w:rsidP="0095170C">
      <w:pPr>
        <w:pStyle w:val="Subtitle"/>
        <w:ind w:left="0"/>
        <w:sectPr w:rsidR="00692401" w:rsidRPr="00B03B68" w:rsidSect="00CB0550">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titlePg/>
          <w:docGrid w:linePitch="360"/>
        </w:sectPr>
      </w:pPr>
      <w:r w:rsidRPr="00080DF2">
        <w:t>June</w:t>
      </w:r>
      <w:r w:rsidR="00E56702" w:rsidRPr="00080DF2">
        <w:t xml:space="preserve"> 20</w:t>
      </w:r>
      <w:r w:rsidR="00751CE3" w:rsidRPr="00080DF2">
        <w:t>26</w:t>
      </w:r>
    </w:p>
    <w:p w14:paraId="38A4FAA1" w14:textId="77777777" w:rsidR="00F02AEC" w:rsidRPr="00CC381E" w:rsidRDefault="00F02AEC" w:rsidP="00CC381E">
      <w:pPr>
        <w:pStyle w:val="LegalSubheading"/>
        <w:rPr>
          <w:b/>
          <w:bCs/>
        </w:rPr>
      </w:pPr>
      <w:r w:rsidRPr="00CC381E">
        <w:rPr>
          <w:b/>
          <w:bCs/>
        </w:rPr>
        <w:lastRenderedPageBreak/>
        <w:t>Copyright</w:t>
      </w:r>
    </w:p>
    <w:p w14:paraId="2C2FD638" w14:textId="11CE28FB" w:rsidR="00930D58" w:rsidRPr="00CC381E" w:rsidRDefault="00F02AEC" w:rsidP="00CC381E">
      <w:pPr>
        <w:pStyle w:val="LegalSubheading"/>
      </w:pPr>
      <w:r w:rsidRPr="00CC381E">
        <w:t>© Commonwealth of Australia 202</w:t>
      </w:r>
      <w:r w:rsidR="00606058">
        <w:t>6</w:t>
      </w:r>
      <w:r w:rsidRPr="00CC381E">
        <w:br/>
        <w:t xml:space="preserve">This work is copyright. You may reproduce the whole or part of this work in unaltered form for your own personal use or, if you are part of an organisation, for internal use within your organisation, but only if you or your organisation do not use the reproduction for any commercial purpose and retain this copyright notice and all disclaimer notices as part of that reproduction. Apart from rights to use as permitted by the Copyright Act 1968 or allowed by this copyright notice, all other rights are reserved and you are not allowed to reproduce the whole or any part of this work in any way (electronic or otherwise) without first being given specific written permission from the Commonwealth to do so. Requests and inquiries concerning reproduction and rights are to be sent to the TGA Copyright Officer, Therapeutic Goods Administration, PO Box 100, Woden ACT 2606 or emailed to </w:t>
      </w:r>
      <w:hyperlink r:id="rId17" w:history="1">
        <w:r w:rsidR="009C3322" w:rsidRPr="008F03D8">
          <w:rPr>
            <w:rStyle w:val="Hyperlink"/>
          </w:rPr>
          <w:t>tga.copyright@tga.gov.au</w:t>
        </w:r>
      </w:hyperlink>
      <w:r w:rsidRPr="00CC381E">
        <w:t>.</w:t>
      </w:r>
    </w:p>
    <w:p w14:paraId="4239F31E" w14:textId="77777777" w:rsidR="0090744F" w:rsidRPr="00CC381E" w:rsidRDefault="0090744F" w:rsidP="00CC381E">
      <w:pPr>
        <w:pStyle w:val="LegalSubheading"/>
        <w:rPr>
          <w:b/>
          <w:bCs/>
        </w:rPr>
      </w:pPr>
      <w:r w:rsidRPr="00CC381E">
        <w:rPr>
          <w:b/>
          <w:bCs/>
        </w:rPr>
        <w:t>Confidentiality</w:t>
      </w:r>
    </w:p>
    <w:p w14:paraId="44309865" w14:textId="77777777" w:rsidR="00CC381E" w:rsidRDefault="0090744F" w:rsidP="00751544">
      <w:pPr>
        <w:pStyle w:val="LegalSubheading"/>
      </w:pPr>
      <w:r w:rsidRPr="00CC381E">
        <w:t>All submissions received will be placed on the TGA’s Internet site, unless marked confidential. Any confidential material contained within your submission should be provided under a separate cover and clearly marked “IN CONFIDENCE”. Reasons for a claim to confidentiality must be included in the space provided on the TGA submission form. For submission made by individuals, all personal details, other than your name, will be removed from your submission before it is published on the TGA’s Internet site. In addition, a list of parties making submissions will be published. If you do not wish to be identified with your submission you must specifically request this in the space provided on the submission form.</w:t>
      </w:r>
    </w:p>
    <w:sdt>
      <w:sdtPr>
        <w:rPr>
          <w:rFonts w:eastAsiaTheme="minorEastAsia" w:cstheme="minorBidi"/>
          <w:b w:val="0"/>
          <w:color w:val="auto"/>
          <w:sz w:val="20"/>
        </w:rPr>
        <w:id w:val="21514769"/>
        <w:docPartObj>
          <w:docPartGallery w:val="Table of Contents"/>
          <w:docPartUnique/>
        </w:docPartObj>
      </w:sdtPr>
      <w:sdtEndPr>
        <w:rPr>
          <w:rFonts w:cs="Times New Roman"/>
          <w:b/>
          <w:color w:val="333F48"/>
          <w:sz w:val="32"/>
        </w:rPr>
      </w:sdtEndPr>
      <w:sdtContent>
        <w:p w14:paraId="17533402" w14:textId="77777777" w:rsidR="00F02AEC" w:rsidRPr="00B03B68" w:rsidRDefault="00F02AEC" w:rsidP="000579C9">
          <w:pPr>
            <w:pStyle w:val="NonTOCheading2"/>
          </w:pPr>
          <w:r w:rsidRPr="00B03B68">
            <w:t>Contents</w:t>
          </w:r>
        </w:p>
        <w:p w14:paraId="18BA42FC" w14:textId="3AD89CFB" w:rsidR="002704F1" w:rsidRDefault="00F02AEC">
          <w:pPr>
            <w:pStyle w:val="TOC1"/>
            <w:rPr>
              <w:rFonts w:asciiTheme="minorHAnsi" w:eastAsiaTheme="minorEastAsia" w:hAnsiTheme="minorHAnsi" w:cstheme="minorBidi"/>
              <w:b w:val="0"/>
              <w:noProof/>
              <w:color w:val="auto"/>
              <w:kern w:val="2"/>
              <w:sz w:val="24"/>
              <w:szCs w:val="24"/>
              <w:lang w:eastAsia="en-AU"/>
              <w14:ligatures w14:val="standardContextual"/>
            </w:rPr>
          </w:pPr>
          <w:r w:rsidRPr="00B03B68">
            <w:fldChar w:fldCharType="begin"/>
          </w:r>
          <w:r w:rsidRPr="00B03B68">
            <w:instrText xml:space="preserve"> TOC \h \z \u \t "Heading 2,1,Heading 3,2,Heading 4,3" </w:instrText>
          </w:r>
          <w:r w:rsidRPr="00B03B68">
            <w:fldChar w:fldCharType="separate"/>
          </w:r>
          <w:hyperlink w:anchor="_Toc230034881" w:history="1">
            <w:r w:rsidR="002704F1" w:rsidRPr="0035249D">
              <w:rPr>
                <w:rStyle w:val="Hyperlink"/>
                <w:noProof/>
              </w:rPr>
              <w:t>Notice of interim decisions made under Regulation 42ZCZN of the Therapeutic Goods Regulations 1990</w:t>
            </w:r>
            <w:r w:rsidR="002704F1">
              <w:rPr>
                <w:noProof/>
                <w:webHidden/>
              </w:rPr>
              <w:tab/>
            </w:r>
            <w:r w:rsidR="002704F1">
              <w:rPr>
                <w:noProof/>
                <w:webHidden/>
              </w:rPr>
              <w:fldChar w:fldCharType="begin"/>
            </w:r>
            <w:r w:rsidR="002704F1">
              <w:rPr>
                <w:noProof/>
                <w:webHidden/>
              </w:rPr>
              <w:instrText xml:space="preserve"> PAGEREF _Toc230034881 \h </w:instrText>
            </w:r>
            <w:r w:rsidR="002704F1">
              <w:rPr>
                <w:noProof/>
                <w:webHidden/>
              </w:rPr>
            </w:r>
            <w:r w:rsidR="002704F1">
              <w:rPr>
                <w:noProof/>
                <w:webHidden/>
              </w:rPr>
              <w:fldChar w:fldCharType="separate"/>
            </w:r>
            <w:r w:rsidR="00FB55CA">
              <w:rPr>
                <w:noProof/>
                <w:webHidden/>
              </w:rPr>
              <w:t>4</w:t>
            </w:r>
            <w:r w:rsidR="002704F1">
              <w:rPr>
                <w:noProof/>
                <w:webHidden/>
              </w:rPr>
              <w:fldChar w:fldCharType="end"/>
            </w:r>
          </w:hyperlink>
        </w:p>
        <w:p w14:paraId="3CA88DA6" w14:textId="7CB035D5" w:rsidR="002704F1" w:rsidRDefault="002704F1">
          <w:pPr>
            <w:pStyle w:val="TOC1"/>
            <w:rPr>
              <w:rFonts w:asciiTheme="minorHAnsi" w:eastAsiaTheme="minorEastAsia" w:hAnsiTheme="minorHAnsi" w:cstheme="minorBidi"/>
              <w:b w:val="0"/>
              <w:noProof/>
              <w:color w:val="auto"/>
              <w:kern w:val="2"/>
              <w:sz w:val="24"/>
              <w:szCs w:val="24"/>
              <w:lang w:eastAsia="en-AU"/>
              <w14:ligatures w14:val="standardContextual"/>
            </w:rPr>
          </w:pPr>
          <w:hyperlink w:anchor="_Toc230034882" w:history="1">
            <w:r w:rsidRPr="0035249D">
              <w:rPr>
                <w:rStyle w:val="Hyperlink"/>
                <w:noProof/>
              </w:rPr>
              <w:t>Interim decisions on proposed amendments referred to the Advisory Committee on Medicines Scheduling (ACMS #47, JUNE 2025)</w:t>
            </w:r>
            <w:r>
              <w:rPr>
                <w:noProof/>
                <w:webHidden/>
              </w:rPr>
              <w:tab/>
            </w:r>
            <w:r>
              <w:rPr>
                <w:noProof/>
                <w:webHidden/>
              </w:rPr>
              <w:fldChar w:fldCharType="begin"/>
            </w:r>
            <w:r>
              <w:rPr>
                <w:noProof/>
                <w:webHidden/>
              </w:rPr>
              <w:instrText xml:space="preserve"> PAGEREF _Toc230034882 \h </w:instrText>
            </w:r>
            <w:r>
              <w:rPr>
                <w:noProof/>
                <w:webHidden/>
              </w:rPr>
            </w:r>
            <w:r>
              <w:rPr>
                <w:noProof/>
                <w:webHidden/>
              </w:rPr>
              <w:fldChar w:fldCharType="separate"/>
            </w:r>
            <w:r w:rsidR="00FB55CA">
              <w:rPr>
                <w:noProof/>
                <w:webHidden/>
              </w:rPr>
              <w:t>5</w:t>
            </w:r>
            <w:r>
              <w:rPr>
                <w:noProof/>
                <w:webHidden/>
              </w:rPr>
              <w:fldChar w:fldCharType="end"/>
            </w:r>
          </w:hyperlink>
        </w:p>
        <w:p w14:paraId="294EDEF4" w14:textId="2C9AAFD8" w:rsidR="002704F1" w:rsidRPr="00317EF8" w:rsidRDefault="002704F1" w:rsidP="00317EF8">
          <w:pPr>
            <w:pStyle w:val="TOC2"/>
            <w:rPr>
              <w:rFonts w:asciiTheme="minorHAnsi" w:eastAsiaTheme="minorEastAsia" w:hAnsiTheme="minorHAnsi" w:cstheme="minorBidi"/>
              <w:color w:val="auto"/>
              <w:kern w:val="2"/>
              <w:lang w:eastAsia="en-AU"/>
              <w14:ligatures w14:val="standardContextual"/>
            </w:rPr>
          </w:pPr>
          <w:hyperlink w:anchor="_Toc230034883" w:history="1">
            <w:r w:rsidRPr="00317EF8">
              <w:rPr>
                <w:rStyle w:val="Hyperlink"/>
              </w:rPr>
              <w:t>Interim decision in relation to somatrogon, lonapegsomatropin and somapacitan</w:t>
            </w:r>
            <w:r w:rsidRPr="00317EF8">
              <w:rPr>
                <w:webHidden/>
              </w:rPr>
              <w:tab/>
            </w:r>
            <w:r w:rsidRPr="00317EF8">
              <w:rPr>
                <w:webHidden/>
              </w:rPr>
              <w:fldChar w:fldCharType="begin"/>
            </w:r>
            <w:r w:rsidRPr="00317EF8">
              <w:rPr>
                <w:webHidden/>
              </w:rPr>
              <w:instrText xml:space="preserve"> PAGEREF _Toc230034883 \h </w:instrText>
            </w:r>
            <w:r w:rsidRPr="00317EF8">
              <w:rPr>
                <w:webHidden/>
              </w:rPr>
            </w:r>
            <w:r w:rsidRPr="00317EF8">
              <w:rPr>
                <w:webHidden/>
              </w:rPr>
              <w:fldChar w:fldCharType="separate"/>
            </w:r>
            <w:r w:rsidR="00FB55CA">
              <w:rPr>
                <w:webHidden/>
              </w:rPr>
              <w:t>5</w:t>
            </w:r>
            <w:r w:rsidRPr="00317EF8">
              <w:rPr>
                <w:webHidden/>
              </w:rPr>
              <w:fldChar w:fldCharType="end"/>
            </w:r>
          </w:hyperlink>
        </w:p>
        <w:p w14:paraId="51CBF6EE" w14:textId="792C1680" w:rsidR="002704F1" w:rsidRPr="00317EF8" w:rsidRDefault="002704F1">
          <w:pPr>
            <w:pStyle w:val="TOC3"/>
            <w:rPr>
              <w:rFonts w:asciiTheme="minorHAnsi" w:eastAsiaTheme="minorEastAsia" w:hAnsiTheme="minorHAnsi" w:cstheme="minorBidi"/>
              <w:noProof/>
              <w:color w:val="auto"/>
              <w:kern w:val="2"/>
              <w:sz w:val="20"/>
              <w:lang w:eastAsia="en-AU"/>
              <w14:ligatures w14:val="standardContextual"/>
            </w:rPr>
          </w:pPr>
          <w:hyperlink w:anchor="_Toc230034884" w:history="1">
            <w:r w:rsidRPr="00317EF8">
              <w:rPr>
                <w:rStyle w:val="Hyperlink"/>
                <w:noProof/>
                <w:sz w:val="20"/>
              </w:rPr>
              <w:t>Proposal</w:t>
            </w:r>
            <w:r w:rsidRPr="00317EF8">
              <w:rPr>
                <w:noProof/>
                <w:webHidden/>
                <w:sz w:val="20"/>
              </w:rPr>
              <w:tab/>
            </w:r>
            <w:r w:rsidRPr="00317EF8">
              <w:rPr>
                <w:noProof/>
                <w:webHidden/>
                <w:sz w:val="20"/>
              </w:rPr>
              <w:fldChar w:fldCharType="begin"/>
            </w:r>
            <w:r w:rsidRPr="00317EF8">
              <w:rPr>
                <w:noProof/>
                <w:webHidden/>
                <w:sz w:val="20"/>
              </w:rPr>
              <w:instrText xml:space="preserve"> PAGEREF _Toc230034884 \h </w:instrText>
            </w:r>
            <w:r w:rsidRPr="00317EF8">
              <w:rPr>
                <w:noProof/>
                <w:webHidden/>
                <w:sz w:val="20"/>
              </w:rPr>
            </w:r>
            <w:r w:rsidRPr="00317EF8">
              <w:rPr>
                <w:noProof/>
                <w:webHidden/>
                <w:sz w:val="20"/>
              </w:rPr>
              <w:fldChar w:fldCharType="separate"/>
            </w:r>
            <w:r w:rsidR="00FB55CA">
              <w:rPr>
                <w:noProof/>
                <w:webHidden/>
                <w:sz w:val="20"/>
              </w:rPr>
              <w:t>5</w:t>
            </w:r>
            <w:r w:rsidRPr="00317EF8">
              <w:rPr>
                <w:noProof/>
                <w:webHidden/>
                <w:sz w:val="20"/>
              </w:rPr>
              <w:fldChar w:fldCharType="end"/>
            </w:r>
          </w:hyperlink>
        </w:p>
        <w:p w14:paraId="18CCDC75" w14:textId="53FB446B" w:rsidR="002704F1" w:rsidRPr="00317EF8" w:rsidRDefault="002704F1">
          <w:pPr>
            <w:pStyle w:val="TOC3"/>
            <w:rPr>
              <w:rFonts w:asciiTheme="minorHAnsi" w:eastAsiaTheme="minorEastAsia" w:hAnsiTheme="minorHAnsi" w:cstheme="minorBidi"/>
              <w:noProof/>
              <w:color w:val="auto"/>
              <w:kern w:val="2"/>
              <w:sz w:val="20"/>
              <w:lang w:eastAsia="en-AU"/>
              <w14:ligatures w14:val="standardContextual"/>
            </w:rPr>
          </w:pPr>
          <w:hyperlink w:anchor="_Toc230034885" w:history="1">
            <w:r w:rsidRPr="00317EF8">
              <w:rPr>
                <w:rStyle w:val="Hyperlink"/>
                <w:noProof/>
                <w:sz w:val="20"/>
              </w:rPr>
              <w:t>Interim decision</w:t>
            </w:r>
            <w:r w:rsidRPr="00317EF8">
              <w:rPr>
                <w:noProof/>
                <w:webHidden/>
                <w:sz w:val="20"/>
              </w:rPr>
              <w:tab/>
            </w:r>
            <w:r w:rsidRPr="00317EF8">
              <w:rPr>
                <w:noProof/>
                <w:webHidden/>
                <w:sz w:val="20"/>
              </w:rPr>
              <w:fldChar w:fldCharType="begin"/>
            </w:r>
            <w:r w:rsidRPr="00317EF8">
              <w:rPr>
                <w:noProof/>
                <w:webHidden/>
                <w:sz w:val="20"/>
              </w:rPr>
              <w:instrText xml:space="preserve"> PAGEREF _Toc230034885 \h </w:instrText>
            </w:r>
            <w:r w:rsidRPr="00317EF8">
              <w:rPr>
                <w:noProof/>
                <w:webHidden/>
                <w:sz w:val="20"/>
              </w:rPr>
            </w:r>
            <w:r w:rsidRPr="00317EF8">
              <w:rPr>
                <w:noProof/>
                <w:webHidden/>
                <w:sz w:val="20"/>
              </w:rPr>
              <w:fldChar w:fldCharType="separate"/>
            </w:r>
            <w:r w:rsidR="00FB55CA">
              <w:rPr>
                <w:noProof/>
                <w:webHidden/>
                <w:sz w:val="20"/>
              </w:rPr>
              <w:t>5</w:t>
            </w:r>
            <w:r w:rsidRPr="00317EF8">
              <w:rPr>
                <w:noProof/>
                <w:webHidden/>
                <w:sz w:val="20"/>
              </w:rPr>
              <w:fldChar w:fldCharType="end"/>
            </w:r>
          </w:hyperlink>
        </w:p>
        <w:p w14:paraId="06323FBC" w14:textId="6DD39D16" w:rsidR="002704F1" w:rsidRPr="00317EF8" w:rsidRDefault="002704F1">
          <w:pPr>
            <w:pStyle w:val="TOC3"/>
            <w:rPr>
              <w:rFonts w:asciiTheme="minorHAnsi" w:eastAsiaTheme="minorEastAsia" w:hAnsiTheme="minorHAnsi" w:cstheme="minorBidi"/>
              <w:noProof/>
              <w:color w:val="auto"/>
              <w:kern w:val="2"/>
              <w:sz w:val="20"/>
              <w:lang w:eastAsia="en-AU"/>
              <w14:ligatures w14:val="standardContextual"/>
            </w:rPr>
          </w:pPr>
          <w:hyperlink w:anchor="_Toc230034886" w:history="1">
            <w:r w:rsidRPr="00317EF8">
              <w:rPr>
                <w:rStyle w:val="Hyperlink"/>
                <w:noProof/>
                <w:sz w:val="20"/>
              </w:rPr>
              <w:t>Materials considered</w:t>
            </w:r>
            <w:r w:rsidRPr="00317EF8">
              <w:rPr>
                <w:noProof/>
                <w:webHidden/>
                <w:sz w:val="20"/>
              </w:rPr>
              <w:tab/>
            </w:r>
            <w:r w:rsidRPr="00317EF8">
              <w:rPr>
                <w:noProof/>
                <w:webHidden/>
                <w:sz w:val="20"/>
              </w:rPr>
              <w:fldChar w:fldCharType="begin"/>
            </w:r>
            <w:r w:rsidRPr="00317EF8">
              <w:rPr>
                <w:noProof/>
                <w:webHidden/>
                <w:sz w:val="20"/>
              </w:rPr>
              <w:instrText xml:space="preserve"> PAGEREF _Toc230034886 \h </w:instrText>
            </w:r>
            <w:r w:rsidRPr="00317EF8">
              <w:rPr>
                <w:noProof/>
                <w:webHidden/>
                <w:sz w:val="20"/>
              </w:rPr>
            </w:r>
            <w:r w:rsidRPr="00317EF8">
              <w:rPr>
                <w:noProof/>
                <w:webHidden/>
                <w:sz w:val="20"/>
              </w:rPr>
              <w:fldChar w:fldCharType="separate"/>
            </w:r>
            <w:r w:rsidR="00FB55CA">
              <w:rPr>
                <w:noProof/>
                <w:webHidden/>
                <w:sz w:val="20"/>
              </w:rPr>
              <w:t>6</w:t>
            </w:r>
            <w:r w:rsidRPr="00317EF8">
              <w:rPr>
                <w:noProof/>
                <w:webHidden/>
                <w:sz w:val="20"/>
              </w:rPr>
              <w:fldChar w:fldCharType="end"/>
            </w:r>
          </w:hyperlink>
        </w:p>
        <w:p w14:paraId="50C3D0DC" w14:textId="714C33E1" w:rsidR="002704F1" w:rsidRPr="00317EF8" w:rsidRDefault="002704F1">
          <w:pPr>
            <w:pStyle w:val="TOC3"/>
            <w:rPr>
              <w:rFonts w:asciiTheme="minorHAnsi" w:eastAsiaTheme="minorEastAsia" w:hAnsiTheme="minorHAnsi" w:cstheme="minorBidi"/>
              <w:noProof/>
              <w:color w:val="auto"/>
              <w:kern w:val="2"/>
              <w:sz w:val="20"/>
              <w:lang w:eastAsia="en-AU"/>
              <w14:ligatures w14:val="standardContextual"/>
            </w:rPr>
          </w:pPr>
          <w:hyperlink w:anchor="_Toc230034887" w:history="1">
            <w:r w:rsidRPr="00317EF8">
              <w:rPr>
                <w:rStyle w:val="Hyperlink"/>
                <w:noProof/>
                <w:sz w:val="20"/>
              </w:rPr>
              <w:t>Summary of Committee advice to the Delegate</w:t>
            </w:r>
            <w:r w:rsidRPr="00317EF8">
              <w:rPr>
                <w:noProof/>
                <w:webHidden/>
                <w:sz w:val="20"/>
              </w:rPr>
              <w:tab/>
            </w:r>
            <w:r w:rsidRPr="00317EF8">
              <w:rPr>
                <w:noProof/>
                <w:webHidden/>
                <w:sz w:val="20"/>
              </w:rPr>
              <w:fldChar w:fldCharType="begin"/>
            </w:r>
            <w:r w:rsidRPr="00317EF8">
              <w:rPr>
                <w:noProof/>
                <w:webHidden/>
                <w:sz w:val="20"/>
              </w:rPr>
              <w:instrText xml:space="preserve"> PAGEREF _Toc230034887 \h </w:instrText>
            </w:r>
            <w:r w:rsidRPr="00317EF8">
              <w:rPr>
                <w:noProof/>
                <w:webHidden/>
                <w:sz w:val="20"/>
              </w:rPr>
            </w:r>
            <w:r w:rsidRPr="00317EF8">
              <w:rPr>
                <w:noProof/>
                <w:webHidden/>
                <w:sz w:val="20"/>
              </w:rPr>
              <w:fldChar w:fldCharType="separate"/>
            </w:r>
            <w:r w:rsidR="00FB55CA">
              <w:rPr>
                <w:noProof/>
                <w:webHidden/>
                <w:sz w:val="20"/>
              </w:rPr>
              <w:t>6</w:t>
            </w:r>
            <w:r w:rsidRPr="00317EF8">
              <w:rPr>
                <w:noProof/>
                <w:webHidden/>
                <w:sz w:val="20"/>
              </w:rPr>
              <w:fldChar w:fldCharType="end"/>
            </w:r>
          </w:hyperlink>
        </w:p>
        <w:p w14:paraId="03305F4B" w14:textId="2E610EC7" w:rsidR="002704F1" w:rsidRPr="00317EF8" w:rsidRDefault="002704F1">
          <w:pPr>
            <w:pStyle w:val="TOC3"/>
            <w:rPr>
              <w:rFonts w:asciiTheme="minorHAnsi" w:eastAsiaTheme="minorEastAsia" w:hAnsiTheme="minorHAnsi" w:cstheme="minorBidi"/>
              <w:noProof/>
              <w:color w:val="auto"/>
              <w:kern w:val="2"/>
              <w:sz w:val="20"/>
              <w:lang w:eastAsia="en-AU"/>
              <w14:ligatures w14:val="standardContextual"/>
            </w:rPr>
          </w:pPr>
          <w:hyperlink w:anchor="_Toc230034888" w:history="1">
            <w:r w:rsidRPr="00317EF8">
              <w:rPr>
                <w:rStyle w:val="Hyperlink"/>
                <w:noProof/>
                <w:sz w:val="20"/>
              </w:rPr>
              <w:t>Reasons for the interim decision (including findings on material questions of fact)</w:t>
            </w:r>
            <w:r w:rsidRPr="00317EF8">
              <w:rPr>
                <w:noProof/>
                <w:webHidden/>
                <w:sz w:val="20"/>
              </w:rPr>
              <w:tab/>
            </w:r>
            <w:r w:rsidRPr="00317EF8">
              <w:rPr>
                <w:noProof/>
                <w:webHidden/>
                <w:sz w:val="20"/>
              </w:rPr>
              <w:fldChar w:fldCharType="begin"/>
            </w:r>
            <w:r w:rsidRPr="00317EF8">
              <w:rPr>
                <w:noProof/>
                <w:webHidden/>
                <w:sz w:val="20"/>
              </w:rPr>
              <w:instrText xml:space="preserve"> PAGEREF _Toc230034888 \h </w:instrText>
            </w:r>
            <w:r w:rsidRPr="00317EF8">
              <w:rPr>
                <w:noProof/>
                <w:webHidden/>
                <w:sz w:val="20"/>
              </w:rPr>
            </w:r>
            <w:r w:rsidRPr="00317EF8">
              <w:rPr>
                <w:noProof/>
                <w:webHidden/>
                <w:sz w:val="20"/>
              </w:rPr>
              <w:fldChar w:fldCharType="separate"/>
            </w:r>
            <w:r w:rsidR="00FB55CA">
              <w:rPr>
                <w:noProof/>
                <w:webHidden/>
                <w:sz w:val="20"/>
              </w:rPr>
              <w:t>7</w:t>
            </w:r>
            <w:r w:rsidRPr="00317EF8">
              <w:rPr>
                <w:noProof/>
                <w:webHidden/>
                <w:sz w:val="20"/>
              </w:rPr>
              <w:fldChar w:fldCharType="end"/>
            </w:r>
          </w:hyperlink>
        </w:p>
        <w:p w14:paraId="71C46BC7" w14:textId="51E98C6E" w:rsidR="002704F1" w:rsidRPr="00317EF8" w:rsidRDefault="002704F1">
          <w:pPr>
            <w:pStyle w:val="TOC3"/>
            <w:rPr>
              <w:rFonts w:asciiTheme="minorHAnsi" w:eastAsiaTheme="minorEastAsia" w:hAnsiTheme="minorHAnsi" w:cstheme="minorBidi"/>
              <w:noProof/>
              <w:color w:val="auto"/>
              <w:kern w:val="2"/>
              <w:sz w:val="20"/>
              <w:lang w:eastAsia="en-AU"/>
              <w14:ligatures w14:val="standardContextual"/>
            </w:rPr>
          </w:pPr>
          <w:hyperlink w:anchor="_Toc230034889" w:history="1">
            <w:r w:rsidRPr="00317EF8">
              <w:rPr>
                <w:rStyle w:val="Hyperlink"/>
                <w:noProof/>
                <w:sz w:val="20"/>
              </w:rPr>
              <w:t>Proposed implementation date</w:t>
            </w:r>
            <w:r w:rsidRPr="00317EF8">
              <w:rPr>
                <w:noProof/>
                <w:webHidden/>
                <w:sz w:val="20"/>
              </w:rPr>
              <w:tab/>
            </w:r>
            <w:r w:rsidRPr="00317EF8">
              <w:rPr>
                <w:noProof/>
                <w:webHidden/>
                <w:sz w:val="20"/>
              </w:rPr>
              <w:fldChar w:fldCharType="begin"/>
            </w:r>
            <w:r w:rsidRPr="00317EF8">
              <w:rPr>
                <w:noProof/>
                <w:webHidden/>
                <w:sz w:val="20"/>
              </w:rPr>
              <w:instrText xml:space="preserve"> PAGEREF _Toc230034889 \h </w:instrText>
            </w:r>
            <w:r w:rsidRPr="00317EF8">
              <w:rPr>
                <w:noProof/>
                <w:webHidden/>
                <w:sz w:val="20"/>
              </w:rPr>
            </w:r>
            <w:r w:rsidRPr="00317EF8">
              <w:rPr>
                <w:noProof/>
                <w:webHidden/>
                <w:sz w:val="20"/>
              </w:rPr>
              <w:fldChar w:fldCharType="separate"/>
            </w:r>
            <w:r w:rsidR="00FB55CA">
              <w:rPr>
                <w:noProof/>
                <w:webHidden/>
                <w:sz w:val="20"/>
              </w:rPr>
              <w:t>8</w:t>
            </w:r>
            <w:r w:rsidRPr="00317EF8">
              <w:rPr>
                <w:noProof/>
                <w:webHidden/>
                <w:sz w:val="20"/>
              </w:rPr>
              <w:fldChar w:fldCharType="end"/>
            </w:r>
          </w:hyperlink>
        </w:p>
        <w:p w14:paraId="17679F98" w14:textId="00013917" w:rsidR="002704F1" w:rsidRPr="00317EF8" w:rsidRDefault="002704F1" w:rsidP="00317EF8">
          <w:pPr>
            <w:pStyle w:val="TOC2"/>
            <w:rPr>
              <w:rFonts w:asciiTheme="minorHAnsi" w:eastAsiaTheme="minorEastAsia" w:hAnsiTheme="minorHAnsi" w:cstheme="minorBidi"/>
              <w:color w:val="auto"/>
              <w:kern w:val="2"/>
              <w:lang w:eastAsia="en-AU"/>
              <w14:ligatures w14:val="standardContextual"/>
            </w:rPr>
          </w:pPr>
          <w:hyperlink w:anchor="_Toc230034890" w:history="1">
            <w:r w:rsidRPr="00317EF8">
              <w:rPr>
                <w:rStyle w:val="Hyperlink"/>
              </w:rPr>
              <w:t>Interim decision in relation to 6-methylnicotine</w:t>
            </w:r>
            <w:r w:rsidRPr="00317EF8">
              <w:rPr>
                <w:webHidden/>
              </w:rPr>
              <w:tab/>
            </w:r>
            <w:r w:rsidRPr="00317EF8">
              <w:rPr>
                <w:webHidden/>
              </w:rPr>
              <w:fldChar w:fldCharType="begin"/>
            </w:r>
            <w:r w:rsidRPr="00317EF8">
              <w:rPr>
                <w:webHidden/>
              </w:rPr>
              <w:instrText xml:space="preserve"> PAGEREF _Toc230034890 \h </w:instrText>
            </w:r>
            <w:r w:rsidRPr="00317EF8">
              <w:rPr>
                <w:webHidden/>
              </w:rPr>
            </w:r>
            <w:r w:rsidRPr="00317EF8">
              <w:rPr>
                <w:webHidden/>
              </w:rPr>
              <w:fldChar w:fldCharType="separate"/>
            </w:r>
            <w:r w:rsidR="00FB55CA">
              <w:rPr>
                <w:webHidden/>
              </w:rPr>
              <w:t>8</w:t>
            </w:r>
            <w:r w:rsidRPr="00317EF8">
              <w:rPr>
                <w:webHidden/>
              </w:rPr>
              <w:fldChar w:fldCharType="end"/>
            </w:r>
          </w:hyperlink>
        </w:p>
        <w:p w14:paraId="7D623CCB" w14:textId="4245A990" w:rsidR="002704F1" w:rsidRPr="00317EF8" w:rsidRDefault="002704F1">
          <w:pPr>
            <w:pStyle w:val="TOC3"/>
            <w:rPr>
              <w:rFonts w:asciiTheme="minorHAnsi" w:eastAsiaTheme="minorEastAsia" w:hAnsiTheme="minorHAnsi" w:cstheme="minorBidi"/>
              <w:noProof/>
              <w:color w:val="auto"/>
              <w:kern w:val="2"/>
              <w:sz w:val="20"/>
              <w:lang w:eastAsia="en-AU"/>
              <w14:ligatures w14:val="standardContextual"/>
            </w:rPr>
          </w:pPr>
          <w:hyperlink w:anchor="_Toc230034891" w:history="1">
            <w:r w:rsidRPr="00317EF8">
              <w:rPr>
                <w:rStyle w:val="Hyperlink"/>
                <w:noProof/>
                <w:sz w:val="20"/>
              </w:rPr>
              <w:t>Proposal</w:t>
            </w:r>
            <w:r w:rsidRPr="00317EF8">
              <w:rPr>
                <w:noProof/>
                <w:webHidden/>
                <w:sz w:val="20"/>
              </w:rPr>
              <w:tab/>
            </w:r>
            <w:r w:rsidRPr="00317EF8">
              <w:rPr>
                <w:noProof/>
                <w:webHidden/>
                <w:sz w:val="20"/>
              </w:rPr>
              <w:fldChar w:fldCharType="begin"/>
            </w:r>
            <w:r w:rsidRPr="00317EF8">
              <w:rPr>
                <w:noProof/>
                <w:webHidden/>
                <w:sz w:val="20"/>
              </w:rPr>
              <w:instrText xml:space="preserve"> PAGEREF _Toc230034891 \h </w:instrText>
            </w:r>
            <w:r w:rsidRPr="00317EF8">
              <w:rPr>
                <w:noProof/>
                <w:webHidden/>
                <w:sz w:val="20"/>
              </w:rPr>
            </w:r>
            <w:r w:rsidRPr="00317EF8">
              <w:rPr>
                <w:noProof/>
                <w:webHidden/>
                <w:sz w:val="20"/>
              </w:rPr>
              <w:fldChar w:fldCharType="separate"/>
            </w:r>
            <w:r w:rsidR="00FB55CA">
              <w:rPr>
                <w:noProof/>
                <w:webHidden/>
                <w:sz w:val="20"/>
              </w:rPr>
              <w:t>8</w:t>
            </w:r>
            <w:r w:rsidRPr="00317EF8">
              <w:rPr>
                <w:noProof/>
                <w:webHidden/>
                <w:sz w:val="20"/>
              </w:rPr>
              <w:fldChar w:fldCharType="end"/>
            </w:r>
          </w:hyperlink>
        </w:p>
        <w:p w14:paraId="3CC328E3" w14:textId="22817845" w:rsidR="002704F1" w:rsidRPr="00317EF8" w:rsidRDefault="002704F1">
          <w:pPr>
            <w:pStyle w:val="TOC3"/>
            <w:rPr>
              <w:rFonts w:asciiTheme="minorHAnsi" w:eastAsiaTheme="minorEastAsia" w:hAnsiTheme="minorHAnsi" w:cstheme="minorBidi"/>
              <w:noProof/>
              <w:color w:val="auto"/>
              <w:kern w:val="2"/>
              <w:sz w:val="20"/>
              <w:lang w:eastAsia="en-AU"/>
              <w14:ligatures w14:val="standardContextual"/>
            </w:rPr>
          </w:pPr>
          <w:hyperlink w:anchor="_Toc230034892" w:history="1">
            <w:r w:rsidRPr="00317EF8">
              <w:rPr>
                <w:rStyle w:val="Hyperlink"/>
                <w:noProof/>
                <w:sz w:val="20"/>
              </w:rPr>
              <w:t>Interim decision</w:t>
            </w:r>
            <w:r w:rsidRPr="00317EF8">
              <w:rPr>
                <w:noProof/>
                <w:webHidden/>
                <w:sz w:val="20"/>
              </w:rPr>
              <w:tab/>
            </w:r>
            <w:r w:rsidRPr="00317EF8">
              <w:rPr>
                <w:noProof/>
                <w:webHidden/>
                <w:sz w:val="20"/>
              </w:rPr>
              <w:fldChar w:fldCharType="begin"/>
            </w:r>
            <w:r w:rsidRPr="00317EF8">
              <w:rPr>
                <w:noProof/>
                <w:webHidden/>
                <w:sz w:val="20"/>
              </w:rPr>
              <w:instrText xml:space="preserve"> PAGEREF _Toc230034892 \h </w:instrText>
            </w:r>
            <w:r w:rsidRPr="00317EF8">
              <w:rPr>
                <w:noProof/>
                <w:webHidden/>
                <w:sz w:val="20"/>
              </w:rPr>
            </w:r>
            <w:r w:rsidRPr="00317EF8">
              <w:rPr>
                <w:noProof/>
                <w:webHidden/>
                <w:sz w:val="20"/>
              </w:rPr>
              <w:fldChar w:fldCharType="separate"/>
            </w:r>
            <w:r w:rsidR="00FB55CA">
              <w:rPr>
                <w:noProof/>
                <w:webHidden/>
                <w:sz w:val="20"/>
              </w:rPr>
              <w:t>9</w:t>
            </w:r>
            <w:r w:rsidRPr="00317EF8">
              <w:rPr>
                <w:noProof/>
                <w:webHidden/>
                <w:sz w:val="20"/>
              </w:rPr>
              <w:fldChar w:fldCharType="end"/>
            </w:r>
          </w:hyperlink>
        </w:p>
        <w:p w14:paraId="26047118" w14:textId="168E59E4" w:rsidR="002704F1" w:rsidRPr="00317EF8" w:rsidRDefault="002704F1">
          <w:pPr>
            <w:pStyle w:val="TOC3"/>
            <w:rPr>
              <w:rFonts w:asciiTheme="minorHAnsi" w:eastAsiaTheme="minorEastAsia" w:hAnsiTheme="minorHAnsi" w:cstheme="minorBidi"/>
              <w:noProof/>
              <w:color w:val="auto"/>
              <w:kern w:val="2"/>
              <w:sz w:val="20"/>
              <w:lang w:eastAsia="en-AU"/>
              <w14:ligatures w14:val="standardContextual"/>
            </w:rPr>
          </w:pPr>
          <w:hyperlink w:anchor="_Toc230034893" w:history="1">
            <w:r w:rsidRPr="00317EF8">
              <w:rPr>
                <w:rStyle w:val="Hyperlink"/>
                <w:noProof/>
                <w:sz w:val="20"/>
              </w:rPr>
              <w:t>Materials considered</w:t>
            </w:r>
            <w:r w:rsidRPr="00317EF8">
              <w:rPr>
                <w:noProof/>
                <w:webHidden/>
                <w:sz w:val="20"/>
              </w:rPr>
              <w:tab/>
            </w:r>
            <w:r w:rsidRPr="00317EF8">
              <w:rPr>
                <w:noProof/>
                <w:webHidden/>
                <w:sz w:val="20"/>
              </w:rPr>
              <w:fldChar w:fldCharType="begin"/>
            </w:r>
            <w:r w:rsidRPr="00317EF8">
              <w:rPr>
                <w:noProof/>
                <w:webHidden/>
                <w:sz w:val="20"/>
              </w:rPr>
              <w:instrText xml:space="preserve"> PAGEREF _Toc230034893 \h </w:instrText>
            </w:r>
            <w:r w:rsidRPr="00317EF8">
              <w:rPr>
                <w:noProof/>
                <w:webHidden/>
                <w:sz w:val="20"/>
              </w:rPr>
            </w:r>
            <w:r w:rsidRPr="00317EF8">
              <w:rPr>
                <w:noProof/>
                <w:webHidden/>
                <w:sz w:val="20"/>
              </w:rPr>
              <w:fldChar w:fldCharType="separate"/>
            </w:r>
            <w:r w:rsidR="00FB55CA">
              <w:rPr>
                <w:noProof/>
                <w:webHidden/>
                <w:sz w:val="20"/>
              </w:rPr>
              <w:t>9</w:t>
            </w:r>
            <w:r w:rsidRPr="00317EF8">
              <w:rPr>
                <w:noProof/>
                <w:webHidden/>
                <w:sz w:val="20"/>
              </w:rPr>
              <w:fldChar w:fldCharType="end"/>
            </w:r>
          </w:hyperlink>
        </w:p>
        <w:p w14:paraId="13737D63" w14:textId="25A5BC56" w:rsidR="002704F1" w:rsidRPr="00317EF8" w:rsidRDefault="002704F1">
          <w:pPr>
            <w:pStyle w:val="TOC3"/>
            <w:rPr>
              <w:rFonts w:asciiTheme="minorHAnsi" w:eastAsiaTheme="minorEastAsia" w:hAnsiTheme="minorHAnsi" w:cstheme="minorBidi"/>
              <w:noProof/>
              <w:color w:val="auto"/>
              <w:kern w:val="2"/>
              <w:sz w:val="20"/>
              <w:lang w:eastAsia="en-AU"/>
              <w14:ligatures w14:val="standardContextual"/>
            </w:rPr>
          </w:pPr>
          <w:hyperlink w:anchor="_Toc230034894" w:history="1">
            <w:r w:rsidRPr="00317EF8">
              <w:rPr>
                <w:rStyle w:val="Hyperlink"/>
                <w:noProof/>
                <w:sz w:val="20"/>
              </w:rPr>
              <w:t>Summary of Committee advice to the Delegate</w:t>
            </w:r>
            <w:r w:rsidRPr="00317EF8">
              <w:rPr>
                <w:noProof/>
                <w:webHidden/>
                <w:sz w:val="20"/>
              </w:rPr>
              <w:tab/>
            </w:r>
            <w:r w:rsidRPr="00317EF8">
              <w:rPr>
                <w:noProof/>
                <w:webHidden/>
                <w:sz w:val="20"/>
              </w:rPr>
              <w:fldChar w:fldCharType="begin"/>
            </w:r>
            <w:r w:rsidRPr="00317EF8">
              <w:rPr>
                <w:noProof/>
                <w:webHidden/>
                <w:sz w:val="20"/>
              </w:rPr>
              <w:instrText xml:space="preserve"> PAGEREF _Toc230034894 \h </w:instrText>
            </w:r>
            <w:r w:rsidRPr="00317EF8">
              <w:rPr>
                <w:noProof/>
                <w:webHidden/>
                <w:sz w:val="20"/>
              </w:rPr>
            </w:r>
            <w:r w:rsidRPr="00317EF8">
              <w:rPr>
                <w:noProof/>
                <w:webHidden/>
                <w:sz w:val="20"/>
              </w:rPr>
              <w:fldChar w:fldCharType="separate"/>
            </w:r>
            <w:r w:rsidR="00FB55CA">
              <w:rPr>
                <w:noProof/>
                <w:webHidden/>
                <w:sz w:val="20"/>
              </w:rPr>
              <w:t>9</w:t>
            </w:r>
            <w:r w:rsidRPr="00317EF8">
              <w:rPr>
                <w:noProof/>
                <w:webHidden/>
                <w:sz w:val="20"/>
              </w:rPr>
              <w:fldChar w:fldCharType="end"/>
            </w:r>
          </w:hyperlink>
        </w:p>
        <w:p w14:paraId="509E065F" w14:textId="714ADFFE" w:rsidR="002704F1" w:rsidRPr="00317EF8" w:rsidRDefault="002704F1">
          <w:pPr>
            <w:pStyle w:val="TOC3"/>
            <w:rPr>
              <w:rFonts w:asciiTheme="minorHAnsi" w:eastAsiaTheme="minorEastAsia" w:hAnsiTheme="minorHAnsi" w:cstheme="minorBidi"/>
              <w:noProof/>
              <w:color w:val="auto"/>
              <w:kern w:val="2"/>
              <w:sz w:val="20"/>
              <w:lang w:eastAsia="en-AU"/>
              <w14:ligatures w14:val="standardContextual"/>
            </w:rPr>
          </w:pPr>
          <w:hyperlink w:anchor="_Toc230034895" w:history="1">
            <w:r w:rsidRPr="00317EF8">
              <w:rPr>
                <w:rStyle w:val="Hyperlink"/>
                <w:noProof/>
                <w:sz w:val="20"/>
              </w:rPr>
              <w:t>Reasons for the interim decision (including findings on material questions of fact)</w:t>
            </w:r>
            <w:r w:rsidRPr="00317EF8">
              <w:rPr>
                <w:noProof/>
                <w:webHidden/>
                <w:sz w:val="20"/>
              </w:rPr>
              <w:tab/>
            </w:r>
            <w:r w:rsidRPr="00317EF8">
              <w:rPr>
                <w:noProof/>
                <w:webHidden/>
                <w:sz w:val="20"/>
              </w:rPr>
              <w:fldChar w:fldCharType="begin"/>
            </w:r>
            <w:r w:rsidRPr="00317EF8">
              <w:rPr>
                <w:noProof/>
                <w:webHidden/>
                <w:sz w:val="20"/>
              </w:rPr>
              <w:instrText xml:space="preserve"> PAGEREF _Toc230034895 \h </w:instrText>
            </w:r>
            <w:r w:rsidRPr="00317EF8">
              <w:rPr>
                <w:noProof/>
                <w:webHidden/>
                <w:sz w:val="20"/>
              </w:rPr>
            </w:r>
            <w:r w:rsidRPr="00317EF8">
              <w:rPr>
                <w:noProof/>
                <w:webHidden/>
                <w:sz w:val="20"/>
              </w:rPr>
              <w:fldChar w:fldCharType="separate"/>
            </w:r>
            <w:r w:rsidR="00FB55CA">
              <w:rPr>
                <w:noProof/>
                <w:webHidden/>
                <w:sz w:val="20"/>
              </w:rPr>
              <w:t>11</w:t>
            </w:r>
            <w:r w:rsidRPr="00317EF8">
              <w:rPr>
                <w:noProof/>
                <w:webHidden/>
                <w:sz w:val="20"/>
              </w:rPr>
              <w:fldChar w:fldCharType="end"/>
            </w:r>
          </w:hyperlink>
        </w:p>
        <w:p w14:paraId="59674852" w14:textId="2A615920" w:rsidR="002704F1" w:rsidRPr="002704F1" w:rsidRDefault="002704F1">
          <w:pPr>
            <w:pStyle w:val="TOC3"/>
            <w:rPr>
              <w:rFonts w:asciiTheme="minorHAnsi" w:eastAsiaTheme="minorEastAsia" w:hAnsiTheme="minorHAnsi" w:cstheme="minorBidi"/>
              <w:noProof/>
              <w:color w:val="auto"/>
              <w:kern w:val="2"/>
              <w:szCs w:val="22"/>
              <w:lang w:eastAsia="en-AU"/>
              <w14:ligatures w14:val="standardContextual"/>
            </w:rPr>
          </w:pPr>
          <w:hyperlink w:anchor="_Toc230034896" w:history="1">
            <w:r w:rsidRPr="00317EF8">
              <w:rPr>
                <w:rStyle w:val="Hyperlink"/>
                <w:noProof/>
                <w:sz w:val="20"/>
              </w:rPr>
              <w:t>Proposed implementation date</w:t>
            </w:r>
            <w:r w:rsidRPr="00317EF8">
              <w:rPr>
                <w:noProof/>
                <w:webHidden/>
                <w:sz w:val="20"/>
              </w:rPr>
              <w:tab/>
            </w:r>
            <w:r w:rsidRPr="00317EF8">
              <w:rPr>
                <w:noProof/>
                <w:webHidden/>
                <w:sz w:val="20"/>
              </w:rPr>
              <w:fldChar w:fldCharType="begin"/>
            </w:r>
            <w:r w:rsidRPr="00317EF8">
              <w:rPr>
                <w:noProof/>
                <w:webHidden/>
                <w:sz w:val="20"/>
              </w:rPr>
              <w:instrText xml:space="preserve"> PAGEREF _Toc230034896 \h </w:instrText>
            </w:r>
            <w:r w:rsidRPr="00317EF8">
              <w:rPr>
                <w:noProof/>
                <w:webHidden/>
                <w:sz w:val="20"/>
              </w:rPr>
            </w:r>
            <w:r w:rsidRPr="00317EF8">
              <w:rPr>
                <w:noProof/>
                <w:webHidden/>
                <w:sz w:val="20"/>
              </w:rPr>
              <w:fldChar w:fldCharType="separate"/>
            </w:r>
            <w:r w:rsidR="00FB55CA">
              <w:rPr>
                <w:noProof/>
                <w:webHidden/>
                <w:sz w:val="20"/>
              </w:rPr>
              <w:t>12</w:t>
            </w:r>
            <w:r w:rsidRPr="00317EF8">
              <w:rPr>
                <w:noProof/>
                <w:webHidden/>
                <w:sz w:val="20"/>
              </w:rPr>
              <w:fldChar w:fldCharType="end"/>
            </w:r>
          </w:hyperlink>
        </w:p>
        <w:p w14:paraId="6A4E5B83" w14:textId="16471129" w:rsidR="002704F1" w:rsidRDefault="002704F1">
          <w:pPr>
            <w:pStyle w:val="TOC1"/>
            <w:rPr>
              <w:rFonts w:asciiTheme="minorHAnsi" w:eastAsiaTheme="minorEastAsia" w:hAnsiTheme="minorHAnsi" w:cstheme="minorBidi"/>
              <w:b w:val="0"/>
              <w:noProof/>
              <w:color w:val="auto"/>
              <w:kern w:val="2"/>
              <w:sz w:val="24"/>
              <w:szCs w:val="24"/>
              <w:lang w:eastAsia="en-AU"/>
              <w14:ligatures w14:val="standardContextual"/>
            </w:rPr>
          </w:pPr>
          <w:hyperlink w:anchor="_Toc230034897" w:history="1">
            <w:r w:rsidRPr="0035249D">
              <w:rPr>
                <w:rStyle w:val="Hyperlink"/>
                <w:noProof/>
              </w:rPr>
              <w:t>Interim decisions on proposed amendments referred to the Advisory Committees on Medicines and Chemicals Scheduling in joint session (ACMS-ACCS #40, JUNE 2025)</w:t>
            </w:r>
            <w:r>
              <w:rPr>
                <w:noProof/>
                <w:webHidden/>
              </w:rPr>
              <w:tab/>
            </w:r>
            <w:r>
              <w:rPr>
                <w:noProof/>
                <w:webHidden/>
              </w:rPr>
              <w:fldChar w:fldCharType="begin"/>
            </w:r>
            <w:r>
              <w:rPr>
                <w:noProof/>
                <w:webHidden/>
              </w:rPr>
              <w:instrText xml:space="preserve"> PAGEREF _Toc230034897 \h </w:instrText>
            </w:r>
            <w:r>
              <w:rPr>
                <w:noProof/>
                <w:webHidden/>
              </w:rPr>
            </w:r>
            <w:r>
              <w:rPr>
                <w:noProof/>
                <w:webHidden/>
              </w:rPr>
              <w:fldChar w:fldCharType="separate"/>
            </w:r>
            <w:r w:rsidR="00FB55CA">
              <w:rPr>
                <w:noProof/>
                <w:webHidden/>
              </w:rPr>
              <w:t>13</w:t>
            </w:r>
            <w:r>
              <w:rPr>
                <w:noProof/>
                <w:webHidden/>
              </w:rPr>
              <w:fldChar w:fldCharType="end"/>
            </w:r>
          </w:hyperlink>
        </w:p>
        <w:p w14:paraId="5B1995BE" w14:textId="657EAF97" w:rsidR="002704F1" w:rsidRPr="00317EF8" w:rsidRDefault="002704F1" w:rsidP="00317EF8">
          <w:pPr>
            <w:pStyle w:val="TOC2"/>
            <w:rPr>
              <w:rFonts w:asciiTheme="minorHAnsi" w:eastAsiaTheme="minorEastAsia" w:hAnsiTheme="minorHAnsi" w:cstheme="minorBidi"/>
              <w:color w:val="auto"/>
              <w:kern w:val="2"/>
              <w:lang w:eastAsia="en-AU"/>
              <w14:ligatures w14:val="standardContextual"/>
            </w:rPr>
          </w:pPr>
          <w:hyperlink w:anchor="_Toc230034898" w:history="1">
            <w:r w:rsidRPr="00317EF8">
              <w:rPr>
                <w:rStyle w:val="Hyperlink"/>
              </w:rPr>
              <w:t>Interim decision in relation to azelaic acid</w:t>
            </w:r>
            <w:r w:rsidRPr="00317EF8">
              <w:rPr>
                <w:webHidden/>
              </w:rPr>
              <w:tab/>
            </w:r>
            <w:r w:rsidRPr="00317EF8">
              <w:rPr>
                <w:webHidden/>
              </w:rPr>
              <w:fldChar w:fldCharType="begin"/>
            </w:r>
            <w:r w:rsidRPr="00317EF8">
              <w:rPr>
                <w:webHidden/>
              </w:rPr>
              <w:instrText xml:space="preserve"> PAGEREF _Toc230034898 \h </w:instrText>
            </w:r>
            <w:r w:rsidRPr="00317EF8">
              <w:rPr>
                <w:webHidden/>
              </w:rPr>
            </w:r>
            <w:r w:rsidRPr="00317EF8">
              <w:rPr>
                <w:webHidden/>
              </w:rPr>
              <w:fldChar w:fldCharType="separate"/>
            </w:r>
            <w:r w:rsidR="00FB55CA">
              <w:rPr>
                <w:webHidden/>
              </w:rPr>
              <w:t>13</w:t>
            </w:r>
            <w:r w:rsidRPr="00317EF8">
              <w:rPr>
                <w:webHidden/>
              </w:rPr>
              <w:fldChar w:fldCharType="end"/>
            </w:r>
          </w:hyperlink>
        </w:p>
        <w:p w14:paraId="7F927C1A" w14:textId="0671D914" w:rsidR="002704F1" w:rsidRPr="00317EF8" w:rsidRDefault="002704F1">
          <w:pPr>
            <w:pStyle w:val="TOC3"/>
            <w:rPr>
              <w:rFonts w:asciiTheme="minorHAnsi" w:eastAsiaTheme="minorEastAsia" w:hAnsiTheme="minorHAnsi" w:cstheme="minorBidi"/>
              <w:noProof/>
              <w:color w:val="auto"/>
              <w:kern w:val="2"/>
              <w:sz w:val="20"/>
              <w:lang w:eastAsia="en-AU"/>
              <w14:ligatures w14:val="standardContextual"/>
            </w:rPr>
          </w:pPr>
          <w:hyperlink w:anchor="_Toc230034899" w:history="1">
            <w:r w:rsidRPr="00317EF8">
              <w:rPr>
                <w:rStyle w:val="Hyperlink"/>
                <w:noProof/>
                <w:sz w:val="20"/>
              </w:rPr>
              <w:t>Proposal</w:t>
            </w:r>
            <w:r w:rsidRPr="00317EF8">
              <w:rPr>
                <w:noProof/>
                <w:webHidden/>
                <w:sz w:val="20"/>
              </w:rPr>
              <w:tab/>
            </w:r>
            <w:r w:rsidRPr="00317EF8">
              <w:rPr>
                <w:noProof/>
                <w:webHidden/>
                <w:sz w:val="20"/>
              </w:rPr>
              <w:fldChar w:fldCharType="begin"/>
            </w:r>
            <w:r w:rsidRPr="00317EF8">
              <w:rPr>
                <w:noProof/>
                <w:webHidden/>
                <w:sz w:val="20"/>
              </w:rPr>
              <w:instrText xml:space="preserve"> PAGEREF _Toc230034899 \h </w:instrText>
            </w:r>
            <w:r w:rsidRPr="00317EF8">
              <w:rPr>
                <w:noProof/>
                <w:webHidden/>
                <w:sz w:val="20"/>
              </w:rPr>
            </w:r>
            <w:r w:rsidRPr="00317EF8">
              <w:rPr>
                <w:noProof/>
                <w:webHidden/>
                <w:sz w:val="20"/>
              </w:rPr>
              <w:fldChar w:fldCharType="separate"/>
            </w:r>
            <w:r w:rsidR="00FB55CA">
              <w:rPr>
                <w:noProof/>
                <w:webHidden/>
                <w:sz w:val="20"/>
              </w:rPr>
              <w:t>13</w:t>
            </w:r>
            <w:r w:rsidRPr="00317EF8">
              <w:rPr>
                <w:noProof/>
                <w:webHidden/>
                <w:sz w:val="20"/>
              </w:rPr>
              <w:fldChar w:fldCharType="end"/>
            </w:r>
          </w:hyperlink>
        </w:p>
        <w:p w14:paraId="31AFE8BB" w14:textId="4706DF86" w:rsidR="002704F1" w:rsidRPr="00317EF8" w:rsidRDefault="002704F1">
          <w:pPr>
            <w:pStyle w:val="TOC3"/>
            <w:rPr>
              <w:rFonts w:asciiTheme="minorHAnsi" w:eastAsiaTheme="minorEastAsia" w:hAnsiTheme="minorHAnsi" w:cstheme="minorBidi"/>
              <w:noProof/>
              <w:color w:val="auto"/>
              <w:kern w:val="2"/>
              <w:sz w:val="20"/>
              <w:lang w:eastAsia="en-AU"/>
              <w14:ligatures w14:val="standardContextual"/>
            </w:rPr>
          </w:pPr>
          <w:hyperlink w:anchor="_Toc230034900" w:history="1">
            <w:r w:rsidRPr="00317EF8">
              <w:rPr>
                <w:rStyle w:val="Hyperlink"/>
                <w:noProof/>
                <w:sz w:val="20"/>
              </w:rPr>
              <w:t>Interim decision</w:t>
            </w:r>
            <w:r w:rsidRPr="00317EF8">
              <w:rPr>
                <w:noProof/>
                <w:webHidden/>
                <w:sz w:val="20"/>
              </w:rPr>
              <w:tab/>
            </w:r>
            <w:r w:rsidRPr="00317EF8">
              <w:rPr>
                <w:noProof/>
                <w:webHidden/>
                <w:sz w:val="20"/>
              </w:rPr>
              <w:fldChar w:fldCharType="begin"/>
            </w:r>
            <w:r w:rsidRPr="00317EF8">
              <w:rPr>
                <w:noProof/>
                <w:webHidden/>
                <w:sz w:val="20"/>
              </w:rPr>
              <w:instrText xml:space="preserve"> PAGEREF _Toc230034900 \h </w:instrText>
            </w:r>
            <w:r w:rsidRPr="00317EF8">
              <w:rPr>
                <w:noProof/>
                <w:webHidden/>
                <w:sz w:val="20"/>
              </w:rPr>
            </w:r>
            <w:r w:rsidRPr="00317EF8">
              <w:rPr>
                <w:noProof/>
                <w:webHidden/>
                <w:sz w:val="20"/>
              </w:rPr>
              <w:fldChar w:fldCharType="separate"/>
            </w:r>
            <w:r w:rsidR="00FB55CA">
              <w:rPr>
                <w:noProof/>
                <w:webHidden/>
                <w:sz w:val="20"/>
              </w:rPr>
              <w:t>13</w:t>
            </w:r>
            <w:r w:rsidRPr="00317EF8">
              <w:rPr>
                <w:noProof/>
                <w:webHidden/>
                <w:sz w:val="20"/>
              </w:rPr>
              <w:fldChar w:fldCharType="end"/>
            </w:r>
          </w:hyperlink>
        </w:p>
        <w:p w14:paraId="44802E5E" w14:textId="125382E7" w:rsidR="002704F1" w:rsidRPr="00317EF8" w:rsidRDefault="002704F1">
          <w:pPr>
            <w:pStyle w:val="TOC3"/>
            <w:rPr>
              <w:rFonts w:asciiTheme="minorHAnsi" w:eastAsiaTheme="minorEastAsia" w:hAnsiTheme="minorHAnsi" w:cstheme="minorBidi"/>
              <w:noProof/>
              <w:color w:val="auto"/>
              <w:kern w:val="2"/>
              <w:sz w:val="20"/>
              <w:lang w:eastAsia="en-AU"/>
              <w14:ligatures w14:val="standardContextual"/>
            </w:rPr>
          </w:pPr>
          <w:hyperlink w:anchor="_Toc230034901" w:history="1">
            <w:r w:rsidRPr="00317EF8">
              <w:rPr>
                <w:rStyle w:val="Hyperlink"/>
                <w:noProof/>
                <w:sz w:val="20"/>
              </w:rPr>
              <w:t>Materials considered</w:t>
            </w:r>
            <w:r w:rsidRPr="00317EF8">
              <w:rPr>
                <w:noProof/>
                <w:webHidden/>
                <w:sz w:val="20"/>
              </w:rPr>
              <w:tab/>
            </w:r>
            <w:r w:rsidRPr="00317EF8">
              <w:rPr>
                <w:noProof/>
                <w:webHidden/>
                <w:sz w:val="20"/>
              </w:rPr>
              <w:fldChar w:fldCharType="begin"/>
            </w:r>
            <w:r w:rsidRPr="00317EF8">
              <w:rPr>
                <w:noProof/>
                <w:webHidden/>
                <w:sz w:val="20"/>
              </w:rPr>
              <w:instrText xml:space="preserve"> PAGEREF _Toc230034901 \h </w:instrText>
            </w:r>
            <w:r w:rsidRPr="00317EF8">
              <w:rPr>
                <w:noProof/>
                <w:webHidden/>
                <w:sz w:val="20"/>
              </w:rPr>
            </w:r>
            <w:r w:rsidRPr="00317EF8">
              <w:rPr>
                <w:noProof/>
                <w:webHidden/>
                <w:sz w:val="20"/>
              </w:rPr>
              <w:fldChar w:fldCharType="separate"/>
            </w:r>
            <w:r w:rsidR="00FB55CA">
              <w:rPr>
                <w:noProof/>
                <w:webHidden/>
                <w:sz w:val="20"/>
              </w:rPr>
              <w:t>13</w:t>
            </w:r>
            <w:r w:rsidRPr="00317EF8">
              <w:rPr>
                <w:noProof/>
                <w:webHidden/>
                <w:sz w:val="20"/>
              </w:rPr>
              <w:fldChar w:fldCharType="end"/>
            </w:r>
          </w:hyperlink>
        </w:p>
        <w:p w14:paraId="047F9D3A" w14:textId="0D5E4B04" w:rsidR="002704F1" w:rsidRPr="00317EF8" w:rsidRDefault="002704F1">
          <w:pPr>
            <w:pStyle w:val="TOC3"/>
            <w:rPr>
              <w:rFonts w:asciiTheme="minorHAnsi" w:eastAsiaTheme="minorEastAsia" w:hAnsiTheme="minorHAnsi" w:cstheme="minorBidi"/>
              <w:noProof/>
              <w:color w:val="auto"/>
              <w:kern w:val="2"/>
              <w:sz w:val="20"/>
              <w:lang w:eastAsia="en-AU"/>
              <w14:ligatures w14:val="standardContextual"/>
            </w:rPr>
          </w:pPr>
          <w:hyperlink w:anchor="_Toc230034902" w:history="1">
            <w:r w:rsidRPr="00317EF8">
              <w:rPr>
                <w:rStyle w:val="Hyperlink"/>
                <w:noProof/>
                <w:sz w:val="20"/>
              </w:rPr>
              <w:t>Summary of Committee advice to the Delegate</w:t>
            </w:r>
            <w:r w:rsidRPr="00317EF8">
              <w:rPr>
                <w:noProof/>
                <w:webHidden/>
                <w:sz w:val="20"/>
              </w:rPr>
              <w:tab/>
            </w:r>
            <w:r w:rsidRPr="00317EF8">
              <w:rPr>
                <w:noProof/>
                <w:webHidden/>
                <w:sz w:val="20"/>
              </w:rPr>
              <w:fldChar w:fldCharType="begin"/>
            </w:r>
            <w:r w:rsidRPr="00317EF8">
              <w:rPr>
                <w:noProof/>
                <w:webHidden/>
                <w:sz w:val="20"/>
              </w:rPr>
              <w:instrText xml:space="preserve"> PAGEREF _Toc230034902 \h </w:instrText>
            </w:r>
            <w:r w:rsidRPr="00317EF8">
              <w:rPr>
                <w:noProof/>
                <w:webHidden/>
                <w:sz w:val="20"/>
              </w:rPr>
            </w:r>
            <w:r w:rsidRPr="00317EF8">
              <w:rPr>
                <w:noProof/>
                <w:webHidden/>
                <w:sz w:val="20"/>
              </w:rPr>
              <w:fldChar w:fldCharType="separate"/>
            </w:r>
            <w:r w:rsidR="00FB55CA">
              <w:rPr>
                <w:noProof/>
                <w:webHidden/>
                <w:sz w:val="20"/>
              </w:rPr>
              <w:t>14</w:t>
            </w:r>
            <w:r w:rsidRPr="00317EF8">
              <w:rPr>
                <w:noProof/>
                <w:webHidden/>
                <w:sz w:val="20"/>
              </w:rPr>
              <w:fldChar w:fldCharType="end"/>
            </w:r>
          </w:hyperlink>
        </w:p>
        <w:p w14:paraId="2EBF5BB7" w14:textId="7C6C9BD5" w:rsidR="002704F1" w:rsidRPr="00317EF8" w:rsidRDefault="002704F1">
          <w:pPr>
            <w:pStyle w:val="TOC3"/>
            <w:rPr>
              <w:rFonts w:asciiTheme="minorHAnsi" w:eastAsiaTheme="minorEastAsia" w:hAnsiTheme="minorHAnsi" w:cstheme="minorBidi"/>
              <w:noProof/>
              <w:color w:val="auto"/>
              <w:kern w:val="2"/>
              <w:sz w:val="20"/>
              <w:lang w:eastAsia="en-AU"/>
              <w14:ligatures w14:val="standardContextual"/>
            </w:rPr>
          </w:pPr>
          <w:hyperlink w:anchor="_Toc230034903" w:history="1">
            <w:r w:rsidRPr="00317EF8">
              <w:rPr>
                <w:rStyle w:val="Hyperlink"/>
                <w:noProof/>
                <w:sz w:val="20"/>
              </w:rPr>
              <w:t>Reasons for the interim decision (including findings on material questions of fact)</w:t>
            </w:r>
            <w:r w:rsidRPr="00317EF8">
              <w:rPr>
                <w:noProof/>
                <w:webHidden/>
                <w:sz w:val="20"/>
              </w:rPr>
              <w:tab/>
            </w:r>
            <w:r w:rsidRPr="00317EF8">
              <w:rPr>
                <w:noProof/>
                <w:webHidden/>
                <w:sz w:val="20"/>
              </w:rPr>
              <w:fldChar w:fldCharType="begin"/>
            </w:r>
            <w:r w:rsidRPr="00317EF8">
              <w:rPr>
                <w:noProof/>
                <w:webHidden/>
                <w:sz w:val="20"/>
              </w:rPr>
              <w:instrText xml:space="preserve"> PAGEREF _Toc230034903 \h </w:instrText>
            </w:r>
            <w:r w:rsidRPr="00317EF8">
              <w:rPr>
                <w:noProof/>
                <w:webHidden/>
                <w:sz w:val="20"/>
              </w:rPr>
            </w:r>
            <w:r w:rsidRPr="00317EF8">
              <w:rPr>
                <w:noProof/>
                <w:webHidden/>
                <w:sz w:val="20"/>
              </w:rPr>
              <w:fldChar w:fldCharType="separate"/>
            </w:r>
            <w:r w:rsidR="00FB55CA">
              <w:rPr>
                <w:noProof/>
                <w:webHidden/>
                <w:sz w:val="20"/>
              </w:rPr>
              <w:t>16</w:t>
            </w:r>
            <w:r w:rsidRPr="00317EF8">
              <w:rPr>
                <w:noProof/>
                <w:webHidden/>
                <w:sz w:val="20"/>
              </w:rPr>
              <w:fldChar w:fldCharType="end"/>
            </w:r>
          </w:hyperlink>
        </w:p>
        <w:p w14:paraId="7E2E444F" w14:textId="29FFB865" w:rsidR="002704F1" w:rsidRPr="00317EF8" w:rsidRDefault="002704F1" w:rsidP="00317EF8">
          <w:pPr>
            <w:pStyle w:val="TOC2"/>
            <w:rPr>
              <w:rFonts w:asciiTheme="minorHAnsi" w:eastAsiaTheme="minorEastAsia" w:hAnsiTheme="minorHAnsi" w:cstheme="minorBidi"/>
              <w:color w:val="auto"/>
              <w:kern w:val="2"/>
              <w:lang w:eastAsia="en-AU"/>
              <w14:ligatures w14:val="standardContextual"/>
            </w:rPr>
          </w:pPr>
          <w:hyperlink w:anchor="_Toc230034904" w:history="1">
            <w:r w:rsidRPr="00317EF8">
              <w:rPr>
                <w:rStyle w:val="Hyperlink"/>
              </w:rPr>
              <w:t>Interim decision in relation to extracts and essential oils primarily composed of methyl salicylate</w:t>
            </w:r>
            <w:r w:rsidRPr="00317EF8">
              <w:rPr>
                <w:webHidden/>
              </w:rPr>
              <w:tab/>
            </w:r>
            <w:r w:rsidRPr="00317EF8">
              <w:rPr>
                <w:webHidden/>
              </w:rPr>
              <w:fldChar w:fldCharType="begin"/>
            </w:r>
            <w:r w:rsidRPr="00317EF8">
              <w:rPr>
                <w:webHidden/>
              </w:rPr>
              <w:instrText xml:space="preserve"> PAGEREF _Toc230034904 \h </w:instrText>
            </w:r>
            <w:r w:rsidRPr="00317EF8">
              <w:rPr>
                <w:webHidden/>
              </w:rPr>
            </w:r>
            <w:r w:rsidRPr="00317EF8">
              <w:rPr>
                <w:webHidden/>
              </w:rPr>
              <w:fldChar w:fldCharType="separate"/>
            </w:r>
            <w:r w:rsidR="00FB55CA">
              <w:rPr>
                <w:webHidden/>
              </w:rPr>
              <w:t>18</w:t>
            </w:r>
            <w:r w:rsidRPr="00317EF8">
              <w:rPr>
                <w:webHidden/>
              </w:rPr>
              <w:fldChar w:fldCharType="end"/>
            </w:r>
          </w:hyperlink>
        </w:p>
        <w:p w14:paraId="4FFF79D1" w14:textId="2608D176" w:rsidR="002704F1" w:rsidRPr="00317EF8" w:rsidRDefault="002704F1">
          <w:pPr>
            <w:pStyle w:val="TOC3"/>
            <w:rPr>
              <w:rFonts w:asciiTheme="minorHAnsi" w:eastAsiaTheme="minorEastAsia" w:hAnsiTheme="minorHAnsi" w:cstheme="minorBidi"/>
              <w:noProof/>
              <w:color w:val="auto"/>
              <w:kern w:val="2"/>
              <w:sz w:val="20"/>
              <w:lang w:eastAsia="en-AU"/>
              <w14:ligatures w14:val="standardContextual"/>
            </w:rPr>
          </w:pPr>
          <w:hyperlink w:anchor="_Toc230034905" w:history="1">
            <w:r w:rsidRPr="00317EF8">
              <w:rPr>
                <w:rStyle w:val="Hyperlink"/>
                <w:noProof/>
                <w:sz w:val="20"/>
              </w:rPr>
              <w:t>Proposal</w:t>
            </w:r>
            <w:r w:rsidRPr="00317EF8">
              <w:rPr>
                <w:noProof/>
                <w:webHidden/>
                <w:sz w:val="20"/>
              </w:rPr>
              <w:tab/>
            </w:r>
            <w:r w:rsidRPr="00317EF8">
              <w:rPr>
                <w:noProof/>
                <w:webHidden/>
                <w:sz w:val="20"/>
              </w:rPr>
              <w:fldChar w:fldCharType="begin"/>
            </w:r>
            <w:r w:rsidRPr="00317EF8">
              <w:rPr>
                <w:noProof/>
                <w:webHidden/>
                <w:sz w:val="20"/>
              </w:rPr>
              <w:instrText xml:space="preserve"> PAGEREF _Toc230034905 \h </w:instrText>
            </w:r>
            <w:r w:rsidRPr="00317EF8">
              <w:rPr>
                <w:noProof/>
                <w:webHidden/>
                <w:sz w:val="20"/>
              </w:rPr>
            </w:r>
            <w:r w:rsidRPr="00317EF8">
              <w:rPr>
                <w:noProof/>
                <w:webHidden/>
                <w:sz w:val="20"/>
              </w:rPr>
              <w:fldChar w:fldCharType="separate"/>
            </w:r>
            <w:r w:rsidR="00FB55CA">
              <w:rPr>
                <w:noProof/>
                <w:webHidden/>
                <w:sz w:val="20"/>
              </w:rPr>
              <w:t>18</w:t>
            </w:r>
            <w:r w:rsidRPr="00317EF8">
              <w:rPr>
                <w:noProof/>
                <w:webHidden/>
                <w:sz w:val="20"/>
              </w:rPr>
              <w:fldChar w:fldCharType="end"/>
            </w:r>
          </w:hyperlink>
        </w:p>
        <w:p w14:paraId="16F12F27" w14:textId="4B18B8E4" w:rsidR="002704F1" w:rsidRPr="00317EF8" w:rsidRDefault="002704F1">
          <w:pPr>
            <w:pStyle w:val="TOC3"/>
            <w:rPr>
              <w:rFonts w:asciiTheme="minorHAnsi" w:eastAsiaTheme="minorEastAsia" w:hAnsiTheme="minorHAnsi" w:cstheme="minorBidi"/>
              <w:noProof/>
              <w:color w:val="auto"/>
              <w:kern w:val="2"/>
              <w:sz w:val="20"/>
              <w:lang w:eastAsia="en-AU"/>
              <w14:ligatures w14:val="standardContextual"/>
            </w:rPr>
          </w:pPr>
          <w:hyperlink w:anchor="_Toc230034906" w:history="1">
            <w:r w:rsidRPr="00317EF8">
              <w:rPr>
                <w:rStyle w:val="Hyperlink"/>
                <w:noProof/>
                <w:sz w:val="20"/>
              </w:rPr>
              <w:t>Interim decision</w:t>
            </w:r>
            <w:r w:rsidRPr="00317EF8">
              <w:rPr>
                <w:noProof/>
                <w:webHidden/>
                <w:sz w:val="20"/>
              </w:rPr>
              <w:tab/>
            </w:r>
            <w:r w:rsidRPr="00317EF8">
              <w:rPr>
                <w:noProof/>
                <w:webHidden/>
                <w:sz w:val="20"/>
              </w:rPr>
              <w:fldChar w:fldCharType="begin"/>
            </w:r>
            <w:r w:rsidRPr="00317EF8">
              <w:rPr>
                <w:noProof/>
                <w:webHidden/>
                <w:sz w:val="20"/>
              </w:rPr>
              <w:instrText xml:space="preserve"> PAGEREF _Toc230034906 \h </w:instrText>
            </w:r>
            <w:r w:rsidRPr="00317EF8">
              <w:rPr>
                <w:noProof/>
                <w:webHidden/>
                <w:sz w:val="20"/>
              </w:rPr>
            </w:r>
            <w:r w:rsidRPr="00317EF8">
              <w:rPr>
                <w:noProof/>
                <w:webHidden/>
                <w:sz w:val="20"/>
              </w:rPr>
              <w:fldChar w:fldCharType="separate"/>
            </w:r>
            <w:r w:rsidR="00FB55CA">
              <w:rPr>
                <w:noProof/>
                <w:webHidden/>
                <w:sz w:val="20"/>
              </w:rPr>
              <w:t>19</w:t>
            </w:r>
            <w:r w:rsidRPr="00317EF8">
              <w:rPr>
                <w:noProof/>
                <w:webHidden/>
                <w:sz w:val="20"/>
              </w:rPr>
              <w:fldChar w:fldCharType="end"/>
            </w:r>
          </w:hyperlink>
        </w:p>
        <w:p w14:paraId="3DAAB80B" w14:textId="762445FE" w:rsidR="002704F1" w:rsidRPr="00317EF8" w:rsidRDefault="002704F1">
          <w:pPr>
            <w:pStyle w:val="TOC3"/>
            <w:rPr>
              <w:rFonts w:asciiTheme="minorHAnsi" w:eastAsiaTheme="minorEastAsia" w:hAnsiTheme="minorHAnsi" w:cstheme="minorBidi"/>
              <w:noProof/>
              <w:color w:val="auto"/>
              <w:kern w:val="2"/>
              <w:sz w:val="20"/>
              <w:lang w:eastAsia="en-AU"/>
              <w14:ligatures w14:val="standardContextual"/>
            </w:rPr>
          </w:pPr>
          <w:hyperlink w:anchor="_Toc230034907" w:history="1">
            <w:r w:rsidRPr="00317EF8">
              <w:rPr>
                <w:rStyle w:val="Hyperlink"/>
                <w:noProof/>
                <w:sz w:val="20"/>
              </w:rPr>
              <w:t>Materials considered</w:t>
            </w:r>
            <w:r w:rsidRPr="00317EF8">
              <w:rPr>
                <w:noProof/>
                <w:webHidden/>
                <w:sz w:val="20"/>
              </w:rPr>
              <w:tab/>
            </w:r>
            <w:r w:rsidRPr="00317EF8">
              <w:rPr>
                <w:noProof/>
                <w:webHidden/>
                <w:sz w:val="20"/>
              </w:rPr>
              <w:fldChar w:fldCharType="begin"/>
            </w:r>
            <w:r w:rsidRPr="00317EF8">
              <w:rPr>
                <w:noProof/>
                <w:webHidden/>
                <w:sz w:val="20"/>
              </w:rPr>
              <w:instrText xml:space="preserve"> PAGEREF _Toc230034907 \h </w:instrText>
            </w:r>
            <w:r w:rsidRPr="00317EF8">
              <w:rPr>
                <w:noProof/>
                <w:webHidden/>
                <w:sz w:val="20"/>
              </w:rPr>
            </w:r>
            <w:r w:rsidRPr="00317EF8">
              <w:rPr>
                <w:noProof/>
                <w:webHidden/>
                <w:sz w:val="20"/>
              </w:rPr>
              <w:fldChar w:fldCharType="separate"/>
            </w:r>
            <w:r w:rsidR="00FB55CA">
              <w:rPr>
                <w:noProof/>
                <w:webHidden/>
                <w:sz w:val="20"/>
              </w:rPr>
              <w:t>20</w:t>
            </w:r>
            <w:r w:rsidRPr="00317EF8">
              <w:rPr>
                <w:noProof/>
                <w:webHidden/>
                <w:sz w:val="20"/>
              </w:rPr>
              <w:fldChar w:fldCharType="end"/>
            </w:r>
          </w:hyperlink>
        </w:p>
        <w:p w14:paraId="596365C5" w14:textId="16BEC854" w:rsidR="002704F1" w:rsidRPr="00317EF8" w:rsidRDefault="002704F1">
          <w:pPr>
            <w:pStyle w:val="TOC3"/>
            <w:rPr>
              <w:rFonts w:asciiTheme="minorHAnsi" w:eastAsiaTheme="minorEastAsia" w:hAnsiTheme="minorHAnsi" w:cstheme="minorBidi"/>
              <w:noProof/>
              <w:color w:val="auto"/>
              <w:kern w:val="2"/>
              <w:sz w:val="20"/>
              <w:lang w:eastAsia="en-AU"/>
              <w14:ligatures w14:val="standardContextual"/>
            </w:rPr>
          </w:pPr>
          <w:hyperlink w:anchor="_Toc230034908" w:history="1">
            <w:r w:rsidRPr="00317EF8">
              <w:rPr>
                <w:rStyle w:val="Hyperlink"/>
                <w:noProof/>
                <w:sz w:val="20"/>
              </w:rPr>
              <w:t>Summary of Committee advice to the Delegate</w:t>
            </w:r>
            <w:r w:rsidRPr="00317EF8">
              <w:rPr>
                <w:noProof/>
                <w:webHidden/>
                <w:sz w:val="20"/>
              </w:rPr>
              <w:tab/>
            </w:r>
            <w:r w:rsidRPr="00317EF8">
              <w:rPr>
                <w:noProof/>
                <w:webHidden/>
                <w:sz w:val="20"/>
              </w:rPr>
              <w:fldChar w:fldCharType="begin"/>
            </w:r>
            <w:r w:rsidRPr="00317EF8">
              <w:rPr>
                <w:noProof/>
                <w:webHidden/>
                <w:sz w:val="20"/>
              </w:rPr>
              <w:instrText xml:space="preserve"> PAGEREF _Toc230034908 \h </w:instrText>
            </w:r>
            <w:r w:rsidRPr="00317EF8">
              <w:rPr>
                <w:noProof/>
                <w:webHidden/>
                <w:sz w:val="20"/>
              </w:rPr>
            </w:r>
            <w:r w:rsidRPr="00317EF8">
              <w:rPr>
                <w:noProof/>
                <w:webHidden/>
                <w:sz w:val="20"/>
              </w:rPr>
              <w:fldChar w:fldCharType="separate"/>
            </w:r>
            <w:r w:rsidR="00FB55CA">
              <w:rPr>
                <w:noProof/>
                <w:webHidden/>
                <w:sz w:val="20"/>
              </w:rPr>
              <w:t>21</w:t>
            </w:r>
            <w:r w:rsidRPr="00317EF8">
              <w:rPr>
                <w:noProof/>
                <w:webHidden/>
                <w:sz w:val="20"/>
              </w:rPr>
              <w:fldChar w:fldCharType="end"/>
            </w:r>
          </w:hyperlink>
        </w:p>
        <w:p w14:paraId="5544265C" w14:textId="213B53FE" w:rsidR="002704F1" w:rsidRPr="00317EF8" w:rsidRDefault="002704F1">
          <w:pPr>
            <w:pStyle w:val="TOC3"/>
            <w:rPr>
              <w:rFonts w:asciiTheme="minorHAnsi" w:eastAsiaTheme="minorEastAsia" w:hAnsiTheme="minorHAnsi" w:cstheme="minorBidi"/>
              <w:noProof/>
              <w:color w:val="auto"/>
              <w:kern w:val="2"/>
              <w:sz w:val="20"/>
              <w:lang w:eastAsia="en-AU"/>
              <w14:ligatures w14:val="standardContextual"/>
            </w:rPr>
          </w:pPr>
          <w:hyperlink w:anchor="_Toc230034909" w:history="1">
            <w:r w:rsidRPr="00317EF8">
              <w:rPr>
                <w:rStyle w:val="Hyperlink"/>
                <w:noProof/>
                <w:sz w:val="20"/>
              </w:rPr>
              <w:t>Reasons for the interim decision (including findings on material questions of fact)</w:t>
            </w:r>
            <w:r w:rsidRPr="00317EF8">
              <w:rPr>
                <w:noProof/>
                <w:webHidden/>
                <w:sz w:val="20"/>
              </w:rPr>
              <w:tab/>
            </w:r>
            <w:r w:rsidRPr="00317EF8">
              <w:rPr>
                <w:noProof/>
                <w:webHidden/>
                <w:sz w:val="20"/>
              </w:rPr>
              <w:fldChar w:fldCharType="begin"/>
            </w:r>
            <w:r w:rsidRPr="00317EF8">
              <w:rPr>
                <w:noProof/>
                <w:webHidden/>
                <w:sz w:val="20"/>
              </w:rPr>
              <w:instrText xml:space="preserve"> PAGEREF _Toc230034909 \h </w:instrText>
            </w:r>
            <w:r w:rsidRPr="00317EF8">
              <w:rPr>
                <w:noProof/>
                <w:webHidden/>
                <w:sz w:val="20"/>
              </w:rPr>
            </w:r>
            <w:r w:rsidRPr="00317EF8">
              <w:rPr>
                <w:noProof/>
                <w:webHidden/>
                <w:sz w:val="20"/>
              </w:rPr>
              <w:fldChar w:fldCharType="separate"/>
            </w:r>
            <w:r w:rsidR="00FB55CA">
              <w:rPr>
                <w:noProof/>
                <w:webHidden/>
                <w:sz w:val="20"/>
              </w:rPr>
              <w:t>23</w:t>
            </w:r>
            <w:r w:rsidRPr="00317EF8">
              <w:rPr>
                <w:noProof/>
                <w:webHidden/>
                <w:sz w:val="20"/>
              </w:rPr>
              <w:fldChar w:fldCharType="end"/>
            </w:r>
          </w:hyperlink>
        </w:p>
        <w:p w14:paraId="32807190" w14:textId="576D2DA7" w:rsidR="002704F1" w:rsidRPr="002704F1" w:rsidRDefault="002704F1">
          <w:pPr>
            <w:pStyle w:val="TOC3"/>
            <w:rPr>
              <w:rFonts w:asciiTheme="minorHAnsi" w:eastAsiaTheme="minorEastAsia" w:hAnsiTheme="minorHAnsi" w:cstheme="minorBidi"/>
              <w:noProof/>
              <w:color w:val="auto"/>
              <w:kern w:val="2"/>
              <w:szCs w:val="22"/>
              <w:lang w:eastAsia="en-AU"/>
              <w14:ligatures w14:val="standardContextual"/>
            </w:rPr>
          </w:pPr>
          <w:hyperlink w:anchor="_Toc230034910" w:history="1">
            <w:r w:rsidRPr="00317EF8">
              <w:rPr>
                <w:rStyle w:val="Hyperlink"/>
                <w:noProof/>
                <w:sz w:val="20"/>
              </w:rPr>
              <w:t>Proposed implementation date</w:t>
            </w:r>
            <w:r w:rsidRPr="00317EF8">
              <w:rPr>
                <w:noProof/>
                <w:webHidden/>
                <w:sz w:val="20"/>
              </w:rPr>
              <w:tab/>
            </w:r>
            <w:r w:rsidRPr="00317EF8">
              <w:rPr>
                <w:noProof/>
                <w:webHidden/>
                <w:sz w:val="20"/>
              </w:rPr>
              <w:fldChar w:fldCharType="begin"/>
            </w:r>
            <w:r w:rsidRPr="00317EF8">
              <w:rPr>
                <w:noProof/>
                <w:webHidden/>
                <w:sz w:val="20"/>
              </w:rPr>
              <w:instrText xml:space="preserve"> PAGEREF _Toc230034910 \h </w:instrText>
            </w:r>
            <w:r w:rsidRPr="00317EF8">
              <w:rPr>
                <w:noProof/>
                <w:webHidden/>
                <w:sz w:val="20"/>
              </w:rPr>
            </w:r>
            <w:r w:rsidRPr="00317EF8">
              <w:rPr>
                <w:noProof/>
                <w:webHidden/>
                <w:sz w:val="20"/>
              </w:rPr>
              <w:fldChar w:fldCharType="separate"/>
            </w:r>
            <w:r w:rsidR="00FB55CA">
              <w:rPr>
                <w:noProof/>
                <w:webHidden/>
                <w:sz w:val="20"/>
              </w:rPr>
              <w:t>24</w:t>
            </w:r>
            <w:r w:rsidRPr="00317EF8">
              <w:rPr>
                <w:noProof/>
                <w:webHidden/>
                <w:sz w:val="20"/>
              </w:rPr>
              <w:fldChar w:fldCharType="end"/>
            </w:r>
          </w:hyperlink>
        </w:p>
        <w:p w14:paraId="3931698D" w14:textId="77777777" w:rsidR="00317EF8" w:rsidRDefault="00F02AEC" w:rsidP="00B81C73">
          <w:pPr>
            <w:pStyle w:val="TOC1"/>
            <w:rPr>
              <w:rFonts w:eastAsiaTheme="minorEastAsia"/>
            </w:rPr>
          </w:pPr>
          <w:r w:rsidRPr="00B03B68">
            <w:rPr>
              <w:b w:val="0"/>
            </w:rPr>
            <w:fldChar w:fldCharType="end"/>
          </w:r>
        </w:p>
      </w:sdtContent>
    </w:sdt>
    <w:p w14:paraId="52EC67BD" w14:textId="77777777" w:rsidR="00F02AEC" w:rsidRPr="00B03B68" w:rsidRDefault="00522B11" w:rsidP="0095170C">
      <w:pPr>
        <w:pStyle w:val="Heading2"/>
      </w:pPr>
      <w:bookmarkStart w:id="0" w:name="_Toc230034881"/>
      <w:r w:rsidRPr="00B03B68">
        <w:lastRenderedPageBreak/>
        <w:t>Notice of interim decisions made under Regulation 42ZCZN of the Therapeutic Goods Regulations 1990</w:t>
      </w:r>
      <w:bookmarkEnd w:id="0"/>
    </w:p>
    <w:p w14:paraId="5254A49C" w14:textId="77777777" w:rsidR="00522B11" w:rsidRPr="00B03B68" w:rsidRDefault="00522B11" w:rsidP="00CC381E">
      <w:r w:rsidRPr="00B03B68">
        <w:t>This web publication constitutes a notice for the purposes of regulation 42ZCZP of the Therapeutic Goods Regulations 1990 (the Regulations). In accordance with regulation 42ZCZP, this notice sets out:</w:t>
      </w:r>
    </w:p>
    <w:p w14:paraId="143BE48B" w14:textId="1A2ED989" w:rsidR="00522B11" w:rsidRPr="00B03B68" w:rsidRDefault="00522B11" w:rsidP="00B81C73">
      <w:pPr>
        <w:pStyle w:val="ListBullet"/>
        <w:ind w:left="567" w:hanging="283"/>
      </w:pPr>
      <w:r w:rsidRPr="00B03B68">
        <w:t>the interim decision</w:t>
      </w:r>
      <w:r w:rsidR="00343127">
        <w:t>s</w:t>
      </w:r>
      <w:r w:rsidRPr="00B03B68">
        <w:t xml:space="preserve"> made by a delegate of the Secretary </w:t>
      </w:r>
      <w:r w:rsidR="006E3F78" w:rsidRPr="00501B8C">
        <w:t xml:space="preserve">of the Department of Health and Aged Care responsible for scheduling of medicines and chemicals (the </w:t>
      </w:r>
      <w:r w:rsidR="006E3F78" w:rsidRPr="005A346D">
        <w:t>Delegate</w:t>
      </w:r>
      <w:r w:rsidR="006E3F78" w:rsidRPr="00501B8C">
        <w:t>)</w:t>
      </w:r>
      <w:r w:rsidR="006E3F78" w:rsidRPr="00354E7E">
        <w:rPr>
          <w:vertAlign w:val="superscript"/>
        </w:rPr>
        <w:footnoteReference w:id="1"/>
      </w:r>
      <w:r w:rsidR="006E3F78">
        <w:t xml:space="preserve"> </w:t>
      </w:r>
      <w:r w:rsidRPr="00B03B68">
        <w:t xml:space="preserve">under regulation 42ZCZN in relation to proposed </w:t>
      </w:r>
      <w:r w:rsidRPr="009D205C">
        <w:t>amendmen</w:t>
      </w:r>
      <w:r w:rsidR="009D205C">
        <w:t>ts</w:t>
      </w:r>
      <w:r w:rsidRPr="009D205C">
        <w:t xml:space="preserve"> to the current </w:t>
      </w:r>
      <w:r w:rsidRPr="00B03B68">
        <w:t xml:space="preserve">Poisons Standard which </w:t>
      </w:r>
      <w:r w:rsidRPr="005A346D">
        <w:t>were</w:t>
      </w:r>
      <w:r w:rsidRPr="00B03B68">
        <w:t xml:space="preserve"> referred to an expert advisory committee</w:t>
      </w:r>
      <w:r w:rsidR="009421DD" w:rsidRPr="00354E7E">
        <w:rPr>
          <w:vertAlign w:val="superscript"/>
        </w:rPr>
        <w:footnoteReference w:id="2"/>
      </w:r>
      <w:r w:rsidRPr="00B03B68">
        <w:t xml:space="preserve"> under subdivision 3D.2 of the Regulations </w:t>
      </w:r>
      <w:r w:rsidR="005A346D">
        <w:t>in June 2025.</w:t>
      </w:r>
    </w:p>
    <w:p w14:paraId="58BB633D" w14:textId="72A7BAF2" w:rsidR="00522B11" w:rsidRPr="00B03B68" w:rsidRDefault="00522B11" w:rsidP="00B81C73">
      <w:pPr>
        <w:pStyle w:val="ListBullet"/>
        <w:ind w:left="567" w:hanging="283"/>
      </w:pPr>
      <w:r w:rsidRPr="00B03B68">
        <w:t>the proposed date of effect of the proposed amendment</w:t>
      </w:r>
      <w:r w:rsidRPr="005A346D">
        <w:t>s</w:t>
      </w:r>
      <w:r w:rsidRPr="00B03B68">
        <w:t xml:space="preserve"> (in circumstances where the interim decision proposes an amendment to the current Poisons Standard).</w:t>
      </w:r>
    </w:p>
    <w:p w14:paraId="27DB0496" w14:textId="77FF4742" w:rsidR="00522B11" w:rsidRPr="00B03B68" w:rsidRDefault="00522B11" w:rsidP="00CC381E">
      <w:r w:rsidRPr="005A346D">
        <w:rPr>
          <w:rFonts w:eastAsia="Cambria" w:cs="Times New Roman"/>
        </w:rPr>
        <w:t>In accordance with regulation 42ZCZP, interested persons (including the applicant requesting the amendment) are invited to make submissions to the Secretary in relation to these interim decision</w:t>
      </w:r>
      <w:r w:rsidR="005A346D" w:rsidRPr="005A346D">
        <w:rPr>
          <w:rFonts w:eastAsia="Cambria" w:cs="Times New Roman"/>
        </w:rPr>
        <w:t>s</w:t>
      </w:r>
      <w:r w:rsidR="005A346D">
        <w:t xml:space="preserve"> </w:t>
      </w:r>
      <w:r w:rsidRPr="00B03B68">
        <w:t xml:space="preserve">on or before </w:t>
      </w:r>
      <w:r w:rsidR="00B17C28" w:rsidRPr="00A64B41">
        <w:rPr>
          <w:b/>
          <w:bCs/>
        </w:rPr>
        <w:t>10</w:t>
      </w:r>
      <w:r w:rsidR="00ED65B8" w:rsidRPr="00A64B41">
        <w:rPr>
          <w:b/>
          <w:bCs/>
        </w:rPr>
        <w:t xml:space="preserve"> July</w:t>
      </w:r>
      <w:r w:rsidR="00E56702" w:rsidRPr="00A64B41">
        <w:rPr>
          <w:b/>
          <w:bCs/>
        </w:rPr>
        <w:t xml:space="preserve"> 2026</w:t>
      </w:r>
      <w:r w:rsidRPr="00B03B68">
        <w:t>.</w:t>
      </w:r>
    </w:p>
    <w:p w14:paraId="184BB7C6" w14:textId="77777777" w:rsidR="00522B11" w:rsidRPr="00B03B68" w:rsidRDefault="00522B11" w:rsidP="00CC381E">
      <w:r w:rsidRPr="00B03B68">
        <w:t xml:space="preserve">Submissions should be provided through our </w:t>
      </w:r>
      <w:hyperlink r:id="rId18" w:tgtFrame="_blank" w:history="1">
        <w:r w:rsidRPr="00B03B68">
          <w:rPr>
            <w:rStyle w:val="Hyperlink"/>
          </w:rPr>
          <w:t>consultation hub</w:t>
        </w:r>
      </w:hyperlink>
      <w:r w:rsidRPr="00B03B68">
        <w:t>. Submissions will be considered by the Delegate in making the final decision.</w:t>
      </w:r>
    </w:p>
    <w:p w14:paraId="2BD5F322" w14:textId="77777777" w:rsidR="00522B11" w:rsidRPr="00B03B68" w:rsidRDefault="00522B11" w:rsidP="00CC381E">
      <w:r w:rsidRPr="00B03B68">
        <w:t>Please note that in accordance with subregulation 42ZCZQ(4) of the Regulations, the Secretary must publish all relevant submissions received, unless the Secretary considers the information to be confidential information.</w:t>
      </w:r>
    </w:p>
    <w:p w14:paraId="49DD2EC6" w14:textId="77777777" w:rsidR="00522B11" w:rsidRPr="00CC381E" w:rsidRDefault="00522B11" w:rsidP="00CC381E">
      <w:pPr>
        <w:rPr>
          <w:b/>
          <w:bCs/>
        </w:rPr>
      </w:pPr>
      <w:r w:rsidRPr="00CC381E">
        <w:rPr>
          <w:b/>
          <w:bCs/>
        </w:rPr>
        <w:t>Defined terms</w:t>
      </w:r>
    </w:p>
    <w:p w14:paraId="45585073" w14:textId="77777777" w:rsidR="00522B11" w:rsidRPr="00B03B68" w:rsidRDefault="00522B11" w:rsidP="00CC381E">
      <w:r w:rsidRPr="00B03B68">
        <w:t>In this notice the following defined terms are used in addition to those above:</w:t>
      </w:r>
    </w:p>
    <w:p w14:paraId="6813228B" w14:textId="77777777" w:rsidR="00522B11" w:rsidRPr="00B03B68" w:rsidRDefault="00522B11" w:rsidP="00B81C73">
      <w:pPr>
        <w:pStyle w:val="ListBullet"/>
        <w:ind w:left="567" w:hanging="283"/>
      </w:pPr>
      <w:r w:rsidRPr="00B03B68">
        <w:t xml:space="preserve">the </w:t>
      </w:r>
      <w:r w:rsidRPr="00B81C73">
        <w:rPr>
          <w:i/>
          <w:iCs/>
        </w:rPr>
        <w:t>Therapeutic Goods Act 1989 (Cth)</w:t>
      </w:r>
      <w:r w:rsidRPr="00B03B68">
        <w:t xml:space="preserve"> (the </w:t>
      </w:r>
      <w:r w:rsidRPr="00E56702">
        <w:rPr>
          <w:b/>
          <w:bCs/>
        </w:rPr>
        <w:t>Act</w:t>
      </w:r>
      <w:r w:rsidRPr="00B03B68">
        <w:t>)</w:t>
      </w:r>
    </w:p>
    <w:p w14:paraId="4121155F" w14:textId="77777777" w:rsidR="00522B11" w:rsidRPr="00B03B68" w:rsidRDefault="00522B11" w:rsidP="00B81C73">
      <w:pPr>
        <w:pStyle w:val="ListBullet"/>
        <w:ind w:left="567" w:hanging="283"/>
      </w:pPr>
      <w:r w:rsidRPr="00B03B68">
        <w:t xml:space="preserve">the Scheduling Policy Framework 2018 (the </w:t>
      </w:r>
      <w:r w:rsidRPr="00E56702">
        <w:rPr>
          <w:b/>
          <w:bCs/>
        </w:rPr>
        <w:t>SPF</w:t>
      </w:r>
      <w:r w:rsidRPr="00B03B68">
        <w:t>)</w:t>
      </w:r>
    </w:p>
    <w:p w14:paraId="2D3DC66A" w14:textId="77777777" w:rsidR="00522B11" w:rsidRPr="00B03B68" w:rsidRDefault="00522B11" w:rsidP="00B81C73">
      <w:pPr>
        <w:pStyle w:val="ListBullet"/>
        <w:ind w:left="567" w:hanging="283"/>
      </w:pPr>
      <w:r w:rsidRPr="00B03B68">
        <w:t xml:space="preserve">the Scheduling handbook: Guidance for amending the Poisons Standard (the </w:t>
      </w:r>
      <w:r w:rsidRPr="00E56702">
        <w:rPr>
          <w:b/>
          <w:bCs/>
        </w:rPr>
        <w:t>Handbook</w:t>
      </w:r>
      <w:r w:rsidRPr="00B03B68">
        <w:t>)</w:t>
      </w:r>
      <w:r w:rsidR="00CC381E">
        <w:t xml:space="preserve">, </w:t>
      </w:r>
      <w:r w:rsidRPr="00B03B68">
        <w:t>and</w:t>
      </w:r>
    </w:p>
    <w:p w14:paraId="35F18F60" w14:textId="77777777" w:rsidR="00522B11" w:rsidRPr="00B03B68" w:rsidRDefault="00522B11" w:rsidP="00B81C73">
      <w:pPr>
        <w:pStyle w:val="ListBullet"/>
        <w:ind w:left="567" w:hanging="283"/>
      </w:pPr>
      <w:r w:rsidRPr="00B03B68">
        <w:t xml:space="preserve">the Therapeutic Goods Administration (the </w:t>
      </w:r>
      <w:r w:rsidRPr="00E56702">
        <w:rPr>
          <w:b/>
          <w:bCs/>
        </w:rPr>
        <w:t>TGA</w:t>
      </w:r>
      <w:r w:rsidRPr="00B03B68">
        <w:t>).</w:t>
      </w:r>
    </w:p>
    <w:p w14:paraId="0F161891" w14:textId="77777777" w:rsidR="009421DD" w:rsidRPr="00B03B68" w:rsidRDefault="00522B11" w:rsidP="00B03B68">
      <w:r w:rsidRPr="00B03B68">
        <w:t>Note: additional terms are also be defined for individual decisions.</w:t>
      </w:r>
      <w:r w:rsidR="009421DD" w:rsidRPr="00B03B68">
        <w:br w:type="page"/>
      </w:r>
    </w:p>
    <w:p w14:paraId="5DB9191D" w14:textId="69D69367" w:rsidR="00F02AEC" w:rsidRPr="00B03B68" w:rsidRDefault="009421DD" w:rsidP="00CC381E">
      <w:pPr>
        <w:pStyle w:val="Heading2"/>
      </w:pPr>
      <w:bookmarkStart w:id="1" w:name="_Toc230034882"/>
      <w:r w:rsidRPr="00B03B68">
        <w:lastRenderedPageBreak/>
        <w:t>Interim decision</w:t>
      </w:r>
      <w:r w:rsidRPr="005A346D">
        <w:t>s</w:t>
      </w:r>
      <w:r w:rsidRPr="00B03B68">
        <w:t xml:space="preserve"> on proposed amendments referred to the Advisory Committee on Medicines Scheduling (ACMS</w:t>
      </w:r>
      <w:r w:rsidR="005212A2" w:rsidRPr="00B03B68">
        <w:t> </w:t>
      </w:r>
      <w:r w:rsidR="000E4F1C">
        <w:t>#47</w:t>
      </w:r>
      <w:r w:rsidRPr="00B03B68">
        <w:t>,</w:t>
      </w:r>
      <w:r w:rsidR="000E4F1C">
        <w:t xml:space="preserve"> JUNE 2025</w:t>
      </w:r>
      <w:r w:rsidRPr="00B03B68">
        <w:t>)</w:t>
      </w:r>
      <w:bookmarkEnd w:id="1"/>
    </w:p>
    <w:p w14:paraId="21054E58" w14:textId="373AFFE2" w:rsidR="00F02AEC" w:rsidRPr="00B03B68" w:rsidRDefault="009421DD" w:rsidP="00CC381E">
      <w:pPr>
        <w:pStyle w:val="Heading3"/>
      </w:pPr>
      <w:bookmarkStart w:id="2" w:name="_Toc230034883"/>
      <w:r w:rsidRPr="00B03B68">
        <w:t xml:space="preserve">Interim decision in relation to </w:t>
      </w:r>
      <w:r w:rsidR="000E4F1C">
        <w:t>s</w:t>
      </w:r>
      <w:r w:rsidR="000E4F1C" w:rsidRPr="000E4F1C">
        <w:t>omatrogon, lonapegsomatropin and somapacitan</w:t>
      </w:r>
      <w:bookmarkEnd w:id="2"/>
    </w:p>
    <w:p w14:paraId="639B5385" w14:textId="77777777" w:rsidR="009421DD" w:rsidRPr="00B03B68" w:rsidRDefault="00BF6B60" w:rsidP="00CC381E">
      <w:pPr>
        <w:pStyle w:val="Heading4"/>
      </w:pPr>
      <w:bookmarkStart w:id="3" w:name="_Toc230034884"/>
      <w:bookmarkStart w:id="4" w:name="_Toc323739592"/>
      <w:bookmarkStart w:id="5" w:name="_Toc356305219"/>
      <w:r w:rsidRPr="00B03B68">
        <w:t>Proposal</w:t>
      </w:r>
      <w:bookmarkEnd w:id="3"/>
    </w:p>
    <w:p w14:paraId="5EBAEDB0" w14:textId="1634FEA5" w:rsidR="00A83A2C" w:rsidRDefault="00BF6B60" w:rsidP="00B03B68">
      <w:r w:rsidRPr="00B03B68">
        <w:t xml:space="preserve">The </w:t>
      </w:r>
      <w:r w:rsidR="00881ACA" w:rsidRPr="00881ACA">
        <w:t>Department of Health</w:t>
      </w:r>
      <w:r w:rsidR="00881ACA">
        <w:t>, Disability and Ageing</w:t>
      </w:r>
      <w:r w:rsidR="00881ACA" w:rsidRPr="00881ACA">
        <w:t xml:space="preserve"> </w:t>
      </w:r>
      <w:r w:rsidR="00881ACA">
        <w:t>has</w:t>
      </w:r>
      <w:r w:rsidRPr="00B03B68">
        <w:t xml:space="preserve"> proposed </w:t>
      </w:r>
      <w:r w:rsidR="00A236C0">
        <w:t>creating</w:t>
      </w:r>
      <w:r w:rsidRPr="00ED4839">
        <w:t xml:space="preserve"> new</w:t>
      </w:r>
      <w:r w:rsidR="003C2146">
        <w:t xml:space="preserve"> Prescription </w:t>
      </w:r>
      <w:r w:rsidR="00D027B3">
        <w:t>only</w:t>
      </w:r>
      <w:r w:rsidR="00D027B3" w:rsidRPr="00ED4839">
        <w:t xml:space="preserve"> </w:t>
      </w:r>
      <w:r w:rsidR="00D027B3">
        <w:t>(</w:t>
      </w:r>
      <w:r w:rsidRPr="00ED4839">
        <w:t xml:space="preserve">Schedule </w:t>
      </w:r>
      <w:r w:rsidR="00ED4839" w:rsidRPr="00ED4839">
        <w:t>4</w:t>
      </w:r>
      <w:r w:rsidR="00D027B3">
        <w:t>)</w:t>
      </w:r>
      <w:r w:rsidRPr="00ED4839">
        <w:t xml:space="preserve"> entr</w:t>
      </w:r>
      <w:r w:rsidR="00ED4839" w:rsidRPr="00ED4839">
        <w:t>ies</w:t>
      </w:r>
      <w:r w:rsidRPr="00ED4839">
        <w:t xml:space="preserve"> for </w:t>
      </w:r>
      <w:r w:rsidR="00ED4839" w:rsidRPr="00ED4839">
        <w:t>somatrogon</w:t>
      </w:r>
      <w:r w:rsidR="00666E8F">
        <w:t xml:space="preserve"> and</w:t>
      </w:r>
      <w:r w:rsidR="00ED4839" w:rsidRPr="00ED4839">
        <w:t xml:space="preserve"> lonapegsomatropin</w:t>
      </w:r>
      <w:r w:rsidR="004C18EE">
        <w:t xml:space="preserve"> in the current Poisons </w:t>
      </w:r>
      <w:r w:rsidR="00A83A2C">
        <w:t>Standard</w:t>
      </w:r>
      <w:r w:rsidR="004C18EE">
        <w:t>.</w:t>
      </w:r>
    </w:p>
    <w:p w14:paraId="58DFEF14" w14:textId="4BD424F5" w:rsidR="00BF6B60" w:rsidRDefault="00C21397" w:rsidP="00B03B68">
      <w:r>
        <w:t>Somatrogon</w:t>
      </w:r>
      <w:r w:rsidR="00C2175C">
        <w:t xml:space="preserve"> and</w:t>
      </w:r>
      <w:r>
        <w:t xml:space="preserve"> lonapegsomatropin </w:t>
      </w:r>
      <w:r w:rsidR="00767F93">
        <w:t>are human growth hormone analogues primarily used for the treatment of growth failure in paediatric patients</w:t>
      </w:r>
      <w:r w:rsidR="00B7564C">
        <w:t>,</w:t>
      </w:r>
      <w:r w:rsidR="00657FFC">
        <w:t xml:space="preserve"> caused by inadequate </w:t>
      </w:r>
      <w:r w:rsidR="008339E8">
        <w:t xml:space="preserve">endogenous growth hormone </w:t>
      </w:r>
      <w:r w:rsidR="00E56702">
        <w:t>production</w:t>
      </w:r>
      <w:r w:rsidR="00767F93">
        <w:t>.</w:t>
      </w:r>
      <w:r w:rsidR="000E3D95">
        <w:t xml:space="preserve"> </w:t>
      </w:r>
      <w:r w:rsidR="00C2175C">
        <w:t xml:space="preserve">Somapacitan </w:t>
      </w:r>
      <w:r w:rsidR="00A83A2C">
        <w:t xml:space="preserve">is a functional analogue of these two substances </w:t>
      </w:r>
      <w:r w:rsidR="00283934">
        <w:t>but</w:t>
      </w:r>
      <w:r w:rsidR="00A83A2C">
        <w:t xml:space="preserve"> </w:t>
      </w:r>
      <w:r w:rsidR="00393410">
        <w:t xml:space="preserve">is also used </w:t>
      </w:r>
      <w:r w:rsidR="00CC462C">
        <w:t>as replacement therapy</w:t>
      </w:r>
      <w:r w:rsidR="00CC462C" w:rsidRPr="00CC462C">
        <w:t xml:space="preserve"> in adults with growth hormone deficiency</w:t>
      </w:r>
      <w:r w:rsidR="002F25F3">
        <w:t xml:space="preserve">. </w:t>
      </w:r>
      <w:r w:rsidR="00B7564C">
        <w:t>While s</w:t>
      </w:r>
      <w:r w:rsidR="00BD3116">
        <w:t xml:space="preserve">omapacitan </w:t>
      </w:r>
      <w:r w:rsidR="00274437">
        <w:t xml:space="preserve">is currently scheduled as </w:t>
      </w:r>
      <w:r w:rsidR="004701C0">
        <w:t xml:space="preserve">a </w:t>
      </w:r>
      <w:r w:rsidR="00274437">
        <w:t xml:space="preserve">Prescription </w:t>
      </w:r>
      <w:r w:rsidR="004379F7">
        <w:t xml:space="preserve">only </w:t>
      </w:r>
      <w:r w:rsidR="00274437">
        <w:t xml:space="preserve">(Schedule 4) </w:t>
      </w:r>
      <w:r w:rsidR="004701C0">
        <w:t>medicine</w:t>
      </w:r>
      <w:r w:rsidR="00B7564C">
        <w:t xml:space="preserve">, somatrogon and </w:t>
      </w:r>
      <w:r w:rsidR="00B7564C" w:rsidRPr="00ED4839">
        <w:t>lonapegsomatropin</w:t>
      </w:r>
      <w:r w:rsidR="00B7564C" w:rsidRPr="00B03B68">
        <w:t xml:space="preserve"> </w:t>
      </w:r>
      <w:r w:rsidR="00B7564C">
        <w:t>are currently not</w:t>
      </w:r>
      <w:r w:rsidR="00B7564C" w:rsidRPr="00B03B68">
        <w:t xml:space="preserve"> </w:t>
      </w:r>
      <w:r w:rsidR="00B7564C">
        <w:t>scheduled</w:t>
      </w:r>
      <w:r w:rsidR="00612C01">
        <w:t>.</w:t>
      </w:r>
    </w:p>
    <w:p w14:paraId="00C98246" w14:textId="24BC48AD" w:rsidR="00541CB4" w:rsidRPr="00B03B68" w:rsidRDefault="009C3322" w:rsidP="00B03B68">
      <w:r>
        <w:t>A</w:t>
      </w:r>
      <w:r w:rsidR="00CC4564" w:rsidRPr="00CC4564">
        <w:t>dditional controls on the possession and supply of somatrogon, lonapegsomatropin and somapacitan, inclusion of all 3 substances in Appendix D has also been proposed.</w:t>
      </w:r>
    </w:p>
    <w:p w14:paraId="21E3C356" w14:textId="77777777" w:rsidR="00BF6B60" w:rsidRPr="00B03B68" w:rsidRDefault="002008D8" w:rsidP="00A616BE">
      <w:pPr>
        <w:pStyle w:val="Heading4"/>
      </w:pPr>
      <w:bookmarkStart w:id="6" w:name="_Toc230034885"/>
      <w:r w:rsidRPr="00B03B68">
        <w:t>Interim decision</w:t>
      </w:r>
      <w:bookmarkEnd w:id="6"/>
    </w:p>
    <w:p w14:paraId="39C97164" w14:textId="3B4DC8CE" w:rsidR="002008D8" w:rsidRPr="00B03B68" w:rsidRDefault="002008D8" w:rsidP="00B03B68">
      <w:r w:rsidRPr="00B03B68">
        <w:t>Pursuant to regulation 42ZCZN of the Regulations, the Delegate has, in relation to the proposed amendment</w:t>
      </w:r>
      <w:r w:rsidR="009D47B6">
        <w:t>s</w:t>
      </w:r>
      <w:r w:rsidRPr="00B03B68">
        <w:t xml:space="preserve">, made an interim decision </w:t>
      </w:r>
      <w:r w:rsidRPr="003D52DA">
        <w:t xml:space="preserve">to amend the current Poisons Standard in relation to </w:t>
      </w:r>
      <w:r w:rsidR="003D52DA" w:rsidRPr="003D52DA">
        <w:t>somatrogon</w:t>
      </w:r>
      <w:r w:rsidR="00C52BA5">
        <w:t>,</w:t>
      </w:r>
      <w:r w:rsidR="00A616BE">
        <w:t xml:space="preserve"> </w:t>
      </w:r>
      <w:r w:rsidR="003D52DA" w:rsidRPr="003D52DA">
        <w:t xml:space="preserve">lonapegsomatropin and </w:t>
      </w:r>
      <w:r w:rsidR="00C52BA5">
        <w:t xml:space="preserve">somapacitan </w:t>
      </w:r>
      <w:r w:rsidRPr="003D52DA">
        <w:t>as follows</w:t>
      </w:r>
      <w:r w:rsidR="00C52BA5">
        <w:t>.</w:t>
      </w:r>
      <w:r w:rsidR="00196C69">
        <w:rPr>
          <w:rStyle w:val="FootnoteReference"/>
        </w:rPr>
        <w:footnoteReference w:id="3"/>
      </w:r>
      <w:r w:rsidR="00C52BA5">
        <w:t xml:space="preserve"> </w:t>
      </w:r>
      <w:r w:rsidR="006C1DEC" w:rsidRPr="006C1DEC">
        <w:t xml:space="preserve">Due the similarities in their function and therapeutic use, all 3 substances </w:t>
      </w:r>
      <w:r w:rsidR="008B4BCE">
        <w:t>have been</w:t>
      </w:r>
      <w:r w:rsidR="006C1DEC" w:rsidRPr="006C1DEC">
        <w:t xml:space="preserve"> considered together.</w:t>
      </w:r>
    </w:p>
    <w:p w14:paraId="742BCB22" w14:textId="77777777" w:rsidR="00AC682E" w:rsidRPr="00DC5038" w:rsidRDefault="00AC682E" w:rsidP="00AC682E">
      <w:pPr>
        <w:spacing w:before="180" w:after="180" w:line="240" w:lineRule="atLeast"/>
        <w:ind w:left="425"/>
        <w:rPr>
          <w:b/>
          <w:bCs/>
          <w:lang w:eastAsia="en-AU"/>
        </w:rPr>
      </w:pPr>
      <w:r w:rsidRPr="00DC5038">
        <w:rPr>
          <w:b/>
          <w:bCs/>
        </w:rPr>
        <w:t>Schedule 4 – New entry</w:t>
      </w:r>
    </w:p>
    <w:p w14:paraId="4F1CE018" w14:textId="77777777" w:rsidR="00AC682E" w:rsidRPr="00DC5038" w:rsidRDefault="00AC682E" w:rsidP="00B81C73">
      <w:pPr>
        <w:spacing w:before="120" w:line="240" w:lineRule="atLeast"/>
        <w:ind w:left="720"/>
        <w:rPr>
          <w:color w:val="00B050"/>
        </w:rPr>
      </w:pPr>
      <w:r w:rsidRPr="00DC5038">
        <w:rPr>
          <w:color w:val="00B050"/>
        </w:rPr>
        <w:t># SOMATROGON</w:t>
      </w:r>
    </w:p>
    <w:p w14:paraId="21CDE597" w14:textId="77777777" w:rsidR="00AC682E" w:rsidRPr="00DC5038" w:rsidRDefault="00AC682E" w:rsidP="00AC682E">
      <w:pPr>
        <w:ind w:left="426"/>
        <w:rPr>
          <w:b/>
          <w:bCs/>
          <w:lang w:eastAsia="en-AU"/>
        </w:rPr>
      </w:pPr>
      <w:r w:rsidRPr="00DC5038">
        <w:rPr>
          <w:b/>
          <w:bCs/>
        </w:rPr>
        <w:t>Schedule 4 – New entry</w:t>
      </w:r>
    </w:p>
    <w:p w14:paraId="72EDA8C5" w14:textId="77777777" w:rsidR="00AC682E" w:rsidRPr="00DC5038" w:rsidRDefault="00AC682E" w:rsidP="00B81C73">
      <w:pPr>
        <w:spacing w:before="120" w:line="240" w:lineRule="atLeast"/>
        <w:ind w:left="720"/>
        <w:rPr>
          <w:color w:val="00B050"/>
        </w:rPr>
      </w:pPr>
      <w:r w:rsidRPr="00DC5038">
        <w:rPr>
          <w:color w:val="00B050"/>
        </w:rPr>
        <w:t># LONAPEGSOMATROPIN</w:t>
      </w:r>
    </w:p>
    <w:p w14:paraId="22708262" w14:textId="77777777" w:rsidR="00AC682E" w:rsidRPr="00DC5038" w:rsidRDefault="00AC682E" w:rsidP="00AC682E">
      <w:pPr>
        <w:ind w:left="426"/>
        <w:rPr>
          <w:b/>
          <w:bCs/>
        </w:rPr>
      </w:pPr>
      <w:r w:rsidRPr="00DC5038">
        <w:rPr>
          <w:b/>
          <w:bCs/>
        </w:rPr>
        <w:t xml:space="preserve">Index </w:t>
      </w:r>
    </w:p>
    <w:p w14:paraId="5146A3F8" w14:textId="67CB6A33" w:rsidR="00AC682E" w:rsidRPr="00256845" w:rsidRDefault="00AC682E" w:rsidP="00B81C73">
      <w:pPr>
        <w:spacing w:before="120" w:line="240" w:lineRule="atLeast"/>
        <w:ind w:left="720"/>
        <w:rPr>
          <w:b/>
          <w:bCs/>
          <w:color w:val="00B050"/>
        </w:rPr>
      </w:pPr>
      <w:r w:rsidRPr="00256845">
        <w:rPr>
          <w:b/>
          <w:bCs/>
          <w:color w:val="00B050"/>
        </w:rPr>
        <w:t>SOMATROGON</w:t>
      </w:r>
    </w:p>
    <w:p w14:paraId="1E0D4E0B" w14:textId="029E2A0E" w:rsidR="00AC682E" w:rsidRPr="00DC5038" w:rsidRDefault="00AC682E" w:rsidP="00B81C73">
      <w:pPr>
        <w:spacing w:before="120" w:line="240" w:lineRule="atLeast"/>
        <w:ind w:left="720"/>
        <w:rPr>
          <w:color w:val="00B050"/>
        </w:rPr>
      </w:pPr>
      <w:r w:rsidRPr="00DC5038">
        <w:rPr>
          <w:color w:val="00B050"/>
        </w:rPr>
        <w:t>Schedule 4</w:t>
      </w:r>
    </w:p>
    <w:p w14:paraId="7F77B384" w14:textId="79951820" w:rsidR="00AC682E" w:rsidRDefault="00AC682E" w:rsidP="00CC462C">
      <w:pPr>
        <w:spacing w:after="0"/>
        <w:ind w:left="720"/>
        <w:rPr>
          <w:color w:val="00B050"/>
        </w:rPr>
      </w:pPr>
      <w:r w:rsidRPr="00DC5038">
        <w:rPr>
          <w:color w:val="00B050"/>
        </w:rPr>
        <w:t>Appendix D, clause 5</w:t>
      </w:r>
    </w:p>
    <w:p w14:paraId="2E2EBFA6" w14:textId="26BB46BA" w:rsidR="00AC682E" w:rsidRPr="00256845" w:rsidRDefault="00AC682E" w:rsidP="00EF783F">
      <w:pPr>
        <w:spacing w:before="120" w:line="240" w:lineRule="atLeast"/>
        <w:ind w:left="720"/>
        <w:rPr>
          <w:b/>
          <w:bCs/>
          <w:color w:val="00B050"/>
        </w:rPr>
      </w:pPr>
      <w:r w:rsidRPr="00256845">
        <w:rPr>
          <w:b/>
          <w:bCs/>
          <w:color w:val="00B050"/>
        </w:rPr>
        <w:t>LONAPEGSOMATROPIN</w:t>
      </w:r>
    </w:p>
    <w:p w14:paraId="527AFDF9" w14:textId="01E0C391" w:rsidR="00AC682E" w:rsidRPr="00DC5038" w:rsidRDefault="00AC682E" w:rsidP="00EF783F">
      <w:pPr>
        <w:spacing w:before="120" w:line="240" w:lineRule="atLeast"/>
        <w:ind w:left="720"/>
        <w:rPr>
          <w:color w:val="00B050"/>
        </w:rPr>
      </w:pPr>
      <w:r w:rsidRPr="00DC5038">
        <w:rPr>
          <w:color w:val="00B050"/>
        </w:rPr>
        <w:t>Schedule 4</w:t>
      </w:r>
    </w:p>
    <w:p w14:paraId="536E1BE9" w14:textId="48A876C2" w:rsidR="00AC682E" w:rsidRPr="00DC5038" w:rsidRDefault="00AC682E" w:rsidP="00CC462C">
      <w:pPr>
        <w:spacing w:after="0"/>
        <w:ind w:left="720"/>
        <w:rPr>
          <w:color w:val="00B050"/>
        </w:rPr>
      </w:pPr>
      <w:r w:rsidRPr="00DC5038">
        <w:rPr>
          <w:color w:val="00B050"/>
        </w:rPr>
        <w:t>Appendix D, clause 5</w:t>
      </w:r>
    </w:p>
    <w:p w14:paraId="4231AD69" w14:textId="08BFFF0E" w:rsidR="00AC682E" w:rsidRPr="00256845" w:rsidRDefault="00AC682E" w:rsidP="00EF783F">
      <w:pPr>
        <w:spacing w:before="120" w:line="240" w:lineRule="atLeast"/>
        <w:ind w:left="720"/>
        <w:rPr>
          <w:b/>
          <w:bCs/>
        </w:rPr>
      </w:pPr>
      <w:r w:rsidRPr="00256845">
        <w:rPr>
          <w:b/>
          <w:bCs/>
        </w:rPr>
        <w:t>SOMAPACITAN</w:t>
      </w:r>
    </w:p>
    <w:p w14:paraId="06D660FA" w14:textId="420FFB97" w:rsidR="00AC682E" w:rsidRPr="00DC5038" w:rsidRDefault="00AC682E" w:rsidP="00EF783F">
      <w:pPr>
        <w:spacing w:before="120" w:line="240" w:lineRule="atLeast"/>
        <w:ind w:left="720"/>
      </w:pPr>
      <w:r w:rsidRPr="00DC5038">
        <w:t>Schedule 4</w:t>
      </w:r>
    </w:p>
    <w:p w14:paraId="69530367" w14:textId="01B619FF" w:rsidR="00AC682E" w:rsidRPr="00DC5038" w:rsidRDefault="00AC682E" w:rsidP="00CC462C">
      <w:pPr>
        <w:spacing w:after="0"/>
        <w:ind w:left="720"/>
        <w:rPr>
          <w:color w:val="00B050"/>
        </w:rPr>
      </w:pPr>
      <w:r w:rsidRPr="00DC5038">
        <w:rPr>
          <w:color w:val="00B050"/>
        </w:rPr>
        <w:t>Appendix D, clause 5</w:t>
      </w:r>
    </w:p>
    <w:p w14:paraId="246C4A57" w14:textId="77777777" w:rsidR="00CC462C" w:rsidRDefault="00CC462C">
      <w:pPr>
        <w:rPr>
          <w:b/>
          <w:bCs/>
        </w:rPr>
      </w:pPr>
      <w:r>
        <w:rPr>
          <w:b/>
          <w:bCs/>
        </w:rPr>
        <w:br w:type="page"/>
      </w:r>
    </w:p>
    <w:p w14:paraId="30B6632E" w14:textId="6447754F" w:rsidR="00AC682E" w:rsidRPr="00683CFB" w:rsidRDefault="00AC682E" w:rsidP="00A239C9">
      <w:pPr>
        <w:spacing w:before="120" w:after="180" w:line="240" w:lineRule="atLeast"/>
        <w:ind w:left="425"/>
        <w:rPr>
          <w:b/>
          <w:bCs/>
        </w:rPr>
      </w:pPr>
      <w:r w:rsidRPr="00683CFB">
        <w:rPr>
          <w:b/>
          <w:bCs/>
        </w:rPr>
        <w:lastRenderedPageBreak/>
        <w:t xml:space="preserve">Appendix D, clause 5 </w:t>
      </w:r>
      <w:r w:rsidR="00166032">
        <w:rPr>
          <w:rFonts w:cs="Arial"/>
          <w:b/>
          <w:bCs/>
        </w:rPr>
        <w:t>–</w:t>
      </w:r>
      <w:r w:rsidRPr="00683CFB">
        <w:rPr>
          <w:b/>
          <w:bCs/>
        </w:rPr>
        <w:t xml:space="preserve"> Additional controls on possession or supply of poisons included in Schedule 4 or 8</w:t>
      </w:r>
    </w:p>
    <w:tbl>
      <w:tblPr>
        <w:tblW w:w="868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40"/>
        <w:gridCol w:w="7545"/>
      </w:tblGrid>
      <w:tr w:rsidR="00AC682E" w:rsidRPr="00DC5038" w14:paraId="33F6E4CC" w14:textId="77777777" w:rsidTr="00683CFB">
        <w:trPr>
          <w:trHeight w:val="300"/>
        </w:trPr>
        <w:tc>
          <w:tcPr>
            <w:tcW w:w="1140" w:type="dxa"/>
            <w:tcBorders>
              <w:top w:val="single" w:sz="6" w:space="0" w:color="auto"/>
              <w:left w:val="nil"/>
              <w:bottom w:val="single" w:sz="12" w:space="0" w:color="auto"/>
              <w:right w:val="nil"/>
            </w:tcBorders>
            <w:hideMark/>
          </w:tcPr>
          <w:p w14:paraId="6007B09A" w14:textId="77777777" w:rsidR="00AC682E" w:rsidRPr="00DC5038" w:rsidRDefault="00AC682E">
            <w:pPr>
              <w:spacing w:after="0" w:line="240" w:lineRule="auto"/>
              <w:textAlignment w:val="baseline"/>
              <w:rPr>
                <w:rFonts w:ascii="Times New Roman" w:eastAsia="Times New Roman" w:hAnsi="Times New Roman" w:cs="Times New Roman"/>
                <w:lang w:eastAsia="en-AU"/>
              </w:rPr>
            </w:pPr>
            <w:r w:rsidRPr="00DC5038">
              <w:rPr>
                <w:rFonts w:eastAsia="Times New Roman" w:cs="Arial"/>
                <w:b/>
                <w:bCs/>
                <w:lang w:eastAsia="en-AU"/>
              </w:rPr>
              <w:t>Item</w:t>
            </w:r>
            <w:r w:rsidRPr="00DC5038">
              <w:rPr>
                <w:rFonts w:eastAsia="Times New Roman" w:cs="Arial"/>
                <w:lang w:eastAsia="en-AU"/>
              </w:rPr>
              <w:t> </w:t>
            </w:r>
          </w:p>
        </w:tc>
        <w:tc>
          <w:tcPr>
            <w:tcW w:w="7545" w:type="dxa"/>
            <w:tcBorders>
              <w:top w:val="single" w:sz="6" w:space="0" w:color="auto"/>
              <w:left w:val="nil"/>
              <w:bottom w:val="single" w:sz="12" w:space="0" w:color="auto"/>
              <w:right w:val="nil"/>
            </w:tcBorders>
            <w:hideMark/>
          </w:tcPr>
          <w:p w14:paraId="220EFC6F" w14:textId="77777777" w:rsidR="00AC682E" w:rsidRPr="00DC5038" w:rsidRDefault="00AC682E">
            <w:pPr>
              <w:spacing w:after="0" w:line="240" w:lineRule="auto"/>
              <w:textAlignment w:val="baseline"/>
              <w:rPr>
                <w:rFonts w:ascii="Times New Roman" w:eastAsia="Times New Roman" w:hAnsi="Times New Roman" w:cs="Times New Roman"/>
                <w:lang w:eastAsia="en-AU"/>
              </w:rPr>
            </w:pPr>
            <w:r w:rsidRPr="00DC5038">
              <w:rPr>
                <w:rFonts w:eastAsia="Times New Roman" w:cs="Arial"/>
                <w:b/>
                <w:bCs/>
                <w:lang w:eastAsia="en-AU"/>
              </w:rPr>
              <w:t>Poison</w:t>
            </w:r>
            <w:r w:rsidRPr="00DC5038">
              <w:rPr>
                <w:rFonts w:eastAsia="Times New Roman" w:cs="Arial"/>
                <w:lang w:eastAsia="en-AU"/>
              </w:rPr>
              <w:t> </w:t>
            </w:r>
          </w:p>
        </w:tc>
      </w:tr>
      <w:tr w:rsidR="00AC682E" w:rsidRPr="00DC5038" w14:paraId="764B54B6" w14:textId="77777777" w:rsidTr="00683CFB">
        <w:trPr>
          <w:trHeight w:val="300"/>
        </w:trPr>
        <w:tc>
          <w:tcPr>
            <w:tcW w:w="1140" w:type="dxa"/>
            <w:tcBorders>
              <w:top w:val="single" w:sz="12" w:space="0" w:color="auto"/>
              <w:left w:val="nil"/>
              <w:bottom w:val="single" w:sz="12" w:space="0" w:color="auto"/>
              <w:right w:val="nil"/>
            </w:tcBorders>
            <w:hideMark/>
          </w:tcPr>
          <w:p w14:paraId="21B441F9" w14:textId="77777777" w:rsidR="00AC682E" w:rsidRPr="00DC5038" w:rsidRDefault="00AC682E">
            <w:pPr>
              <w:spacing w:after="0" w:line="240" w:lineRule="auto"/>
              <w:textAlignment w:val="baseline"/>
              <w:rPr>
                <w:rFonts w:ascii="Times New Roman" w:eastAsia="Times New Roman" w:hAnsi="Times New Roman" w:cs="Times New Roman"/>
                <w:lang w:eastAsia="en-AU"/>
              </w:rPr>
            </w:pPr>
            <w:r w:rsidRPr="00DC5038">
              <w:rPr>
                <w:rFonts w:eastAsia="Times New Roman" w:cs="Arial"/>
                <w:color w:val="00B050"/>
                <w:lang w:eastAsia="en-AU"/>
              </w:rPr>
              <w:t>26 </w:t>
            </w:r>
          </w:p>
        </w:tc>
        <w:tc>
          <w:tcPr>
            <w:tcW w:w="7545" w:type="dxa"/>
            <w:tcBorders>
              <w:top w:val="single" w:sz="12" w:space="0" w:color="auto"/>
              <w:left w:val="nil"/>
              <w:bottom w:val="single" w:sz="12" w:space="0" w:color="auto"/>
              <w:right w:val="nil"/>
            </w:tcBorders>
            <w:vAlign w:val="center"/>
            <w:hideMark/>
          </w:tcPr>
          <w:p w14:paraId="1B53BB76" w14:textId="77777777" w:rsidR="00AC682E" w:rsidRPr="00DC5038" w:rsidRDefault="00AC682E">
            <w:pPr>
              <w:spacing w:after="0" w:line="240" w:lineRule="auto"/>
              <w:textAlignment w:val="baseline"/>
              <w:rPr>
                <w:rFonts w:ascii="Times New Roman" w:eastAsia="Times New Roman" w:hAnsi="Times New Roman" w:cs="Times New Roman"/>
                <w:lang w:eastAsia="en-AU"/>
              </w:rPr>
            </w:pPr>
            <w:r w:rsidRPr="00DC5038">
              <w:rPr>
                <w:rFonts w:eastAsia="Times New Roman" w:cs="Arial"/>
                <w:color w:val="00B050"/>
                <w:lang w:eastAsia="en-AU"/>
              </w:rPr>
              <w:t>LONAPEGSOMATROPIN </w:t>
            </w:r>
          </w:p>
        </w:tc>
      </w:tr>
      <w:tr w:rsidR="00AC682E" w:rsidRPr="00DC5038" w14:paraId="3D278B51" w14:textId="77777777" w:rsidTr="00683CFB">
        <w:trPr>
          <w:trHeight w:val="300"/>
        </w:trPr>
        <w:tc>
          <w:tcPr>
            <w:tcW w:w="1140" w:type="dxa"/>
            <w:tcBorders>
              <w:top w:val="single" w:sz="12" w:space="0" w:color="auto"/>
              <w:left w:val="nil"/>
              <w:bottom w:val="single" w:sz="12" w:space="0" w:color="auto"/>
              <w:right w:val="nil"/>
            </w:tcBorders>
            <w:hideMark/>
          </w:tcPr>
          <w:p w14:paraId="42FDC8D2" w14:textId="77777777" w:rsidR="00AC682E" w:rsidRPr="00DC5038" w:rsidRDefault="00AC682E">
            <w:pPr>
              <w:spacing w:after="0" w:line="240" w:lineRule="auto"/>
              <w:textAlignment w:val="baseline"/>
              <w:rPr>
                <w:rFonts w:ascii="Times New Roman" w:eastAsia="Times New Roman" w:hAnsi="Times New Roman" w:cs="Times New Roman"/>
                <w:lang w:eastAsia="en-AU"/>
              </w:rPr>
            </w:pPr>
            <w:r w:rsidRPr="00DC5038">
              <w:rPr>
                <w:rFonts w:eastAsia="Times New Roman" w:cs="Arial"/>
                <w:color w:val="00B050"/>
                <w:lang w:eastAsia="en-AU"/>
              </w:rPr>
              <w:t>34 </w:t>
            </w:r>
          </w:p>
        </w:tc>
        <w:tc>
          <w:tcPr>
            <w:tcW w:w="7545" w:type="dxa"/>
            <w:tcBorders>
              <w:top w:val="single" w:sz="12" w:space="0" w:color="auto"/>
              <w:left w:val="nil"/>
              <w:bottom w:val="single" w:sz="12" w:space="0" w:color="auto"/>
              <w:right w:val="nil"/>
            </w:tcBorders>
            <w:vAlign w:val="center"/>
            <w:hideMark/>
          </w:tcPr>
          <w:p w14:paraId="1D0E0020" w14:textId="77777777" w:rsidR="00AC682E" w:rsidRPr="00DC5038" w:rsidRDefault="00AC682E">
            <w:pPr>
              <w:spacing w:after="0" w:line="240" w:lineRule="auto"/>
              <w:textAlignment w:val="baseline"/>
              <w:rPr>
                <w:rFonts w:ascii="Times New Roman" w:eastAsia="Times New Roman" w:hAnsi="Times New Roman" w:cs="Times New Roman"/>
                <w:lang w:eastAsia="en-AU"/>
              </w:rPr>
            </w:pPr>
            <w:r w:rsidRPr="00DC5038">
              <w:rPr>
                <w:rFonts w:eastAsia="Times New Roman" w:cs="Arial"/>
                <w:color w:val="00B050"/>
                <w:lang w:eastAsia="en-AU"/>
              </w:rPr>
              <w:t>SOMATROGON </w:t>
            </w:r>
          </w:p>
        </w:tc>
      </w:tr>
      <w:tr w:rsidR="00AC682E" w:rsidRPr="00DC5038" w14:paraId="77441828" w14:textId="77777777" w:rsidTr="00683CFB">
        <w:trPr>
          <w:trHeight w:val="300"/>
        </w:trPr>
        <w:tc>
          <w:tcPr>
            <w:tcW w:w="1140" w:type="dxa"/>
            <w:tcBorders>
              <w:top w:val="single" w:sz="12" w:space="0" w:color="auto"/>
              <w:left w:val="nil"/>
              <w:bottom w:val="single" w:sz="6" w:space="0" w:color="auto"/>
              <w:right w:val="nil"/>
            </w:tcBorders>
            <w:hideMark/>
          </w:tcPr>
          <w:p w14:paraId="3118650A" w14:textId="77777777" w:rsidR="00AC682E" w:rsidRPr="00DC5038" w:rsidRDefault="00AC682E">
            <w:pPr>
              <w:spacing w:after="0" w:line="240" w:lineRule="auto"/>
              <w:textAlignment w:val="baseline"/>
              <w:rPr>
                <w:rFonts w:ascii="Times New Roman" w:eastAsia="Times New Roman" w:hAnsi="Times New Roman" w:cs="Times New Roman"/>
                <w:lang w:eastAsia="en-AU"/>
              </w:rPr>
            </w:pPr>
            <w:r w:rsidRPr="00DC5038">
              <w:rPr>
                <w:rFonts w:eastAsia="Times New Roman" w:cs="Arial"/>
                <w:color w:val="00B050"/>
                <w:lang w:eastAsia="en-AU"/>
              </w:rPr>
              <w:t>35 </w:t>
            </w:r>
          </w:p>
        </w:tc>
        <w:tc>
          <w:tcPr>
            <w:tcW w:w="7545" w:type="dxa"/>
            <w:tcBorders>
              <w:top w:val="single" w:sz="12" w:space="0" w:color="auto"/>
              <w:left w:val="nil"/>
              <w:bottom w:val="single" w:sz="6" w:space="0" w:color="auto"/>
              <w:right w:val="nil"/>
            </w:tcBorders>
            <w:vAlign w:val="center"/>
            <w:hideMark/>
          </w:tcPr>
          <w:p w14:paraId="0FE8F678" w14:textId="77777777" w:rsidR="00AC682E" w:rsidRPr="00DC5038" w:rsidRDefault="00AC682E">
            <w:pPr>
              <w:spacing w:after="0" w:line="240" w:lineRule="auto"/>
              <w:textAlignment w:val="baseline"/>
              <w:rPr>
                <w:rFonts w:ascii="Times New Roman" w:eastAsia="Times New Roman" w:hAnsi="Times New Roman" w:cs="Times New Roman"/>
                <w:lang w:eastAsia="en-AU"/>
              </w:rPr>
            </w:pPr>
            <w:r w:rsidRPr="00DC5038">
              <w:rPr>
                <w:rFonts w:eastAsia="Times New Roman" w:cs="Arial"/>
                <w:color w:val="00B050"/>
                <w:lang w:eastAsia="en-AU"/>
              </w:rPr>
              <w:t>SOMAPACITAN </w:t>
            </w:r>
          </w:p>
        </w:tc>
      </w:tr>
    </w:tbl>
    <w:p w14:paraId="0A9408DD" w14:textId="77777777" w:rsidR="00205945" w:rsidRPr="00B03B68" w:rsidRDefault="00205945" w:rsidP="00A042CD">
      <w:pPr>
        <w:pStyle w:val="Heading4"/>
      </w:pPr>
      <w:bookmarkStart w:id="7" w:name="_Toc230034886"/>
      <w:r w:rsidRPr="00B03B68">
        <w:t>Materials considered</w:t>
      </w:r>
      <w:bookmarkEnd w:id="7"/>
    </w:p>
    <w:p w14:paraId="6C24C1B3" w14:textId="77777777" w:rsidR="005A34E2" w:rsidRPr="00B03B68" w:rsidRDefault="00205945" w:rsidP="00B03B68">
      <w:r w:rsidRPr="00B03B68">
        <w:t>In making this interim decision, the Delegate considered the following material:</w:t>
      </w:r>
    </w:p>
    <w:p w14:paraId="5927F1CD" w14:textId="1E24DFA3" w:rsidR="00205945" w:rsidRPr="00B03B68" w:rsidRDefault="00B81C73" w:rsidP="00B81C73">
      <w:pPr>
        <w:pStyle w:val="ListBullet"/>
        <w:ind w:left="567" w:hanging="283"/>
      </w:pPr>
      <w:r>
        <w:t>t</w:t>
      </w:r>
      <w:r w:rsidR="00205945" w:rsidRPr="00B03B68">
        <w:t>he</w:t>
      </w:r>
      <w:sdt>
        <w:sdtPr>
          <w:alias w:val="Hyperlink to TGA website"/>
          <w:tag w:val="Hyperlink to TGA website"/>
          <w:id w:val="41648376"/>
          <w:placeholder>
            <w:docPart w:val="5F834FA51FA84CABB111F538A8567C41"/>
          </w:placeholder>
        </w:sdtPr>
        <w:sdtEndPr/>
        <w:sdtContent>
          <w:r w:rsidR="00205945" w:rsidRPr="00B03B68">
            <w:t xml:space="preserve"> application</w:t>
          </w:r>
        </w:sdtContent>
      </w:sdt>
      <w:r w:rsidR="00205945" w:rsidRPr="00B03B68">
        <w:t xml:space="preserve"> to amend the current Poisons Standard with respect to </w:t>
      </w:r>
      <w:sdt>
        <w:sdtPr>
          <w:id w:val="-1679116484"/>
          <w:placeholder>
            <w:docPart w:val="DE47628AA4424D72AB72D9CD90A0DA12"/>
          </w:placeholder>
        </w:sdtPr>
        <w:sdtEndPr/>
        <w:sdtContent>
          <w:r w:rsidR="003B6ECB" w:rsidRPr="003B6ECB">
            <w:t>somatrogon, lonapegsomatropin and somapacitan</w:t>
          </w:r>
        </w:sdtContent>
      </w:sdt>
      <w:r w:rsidR="00205945" w:rsidRPr="00B03B68">
        <w:t xml:space="preserve"> (the </w:t>
      </w:r>
      <w:r w:rsidR="00205945" w:rsidRPr="00683CFB">
        <w:rPr>
          <w:b/>
          <w:bCs/>
        </w:rPr>
        <w:t>Application</w:t>
      </w:r>
      <w:r w:rsidR="00205945" w:rsidRPr="00B03B68">
        <w:t>)</w:t>
      </w:r>
    </w:p>
    <w:p w14:paraId="6C743663" w14:textId="3DBF5594" w:rsidR="005A34E2" w:rsidRPr="00990F63" w:rsidRDefault="00453186" w:rsidP="00B81C73">
      <w:pPr>
        <w:pStyle w:val="ListBullet"/>
        <w:ind w:left="567" w:hanging="283"/>
      </w:pPr>
      <w:sdt>
        <w:sdtPr>
          <w:id w:val="-189071562"/>
          <w:placeholder>
            <w:docPart w:val="F57B25EFCBD7415591DAA5C69F5305F1"/>
          </w:placeholder>
        </w:sdtPr>
        <w:sdtEndPr/>
        <w:sdtContent>
          <w:r w:rsidR="00B81C73">
            <w:t>th</w:t>
          </w:r>
          <w:r w:rsidR="00205945">
            <w:t>e</w:t>
          </w:r>
          <w:r w:rsidR="00C73C0C">
            <w:t xml:space="preserve"> </w:t>
          </w:r>
          <w:r w:rsidR="00B81C73">
            <w:t>2</w:t>
          </w:r>
          <w:r w:rsidR="00C73C0C">
            <w:t xml:space="preserve"> </w:t>
          </w:r>
          <w:hyperlink r:id="rId19" w:history="1">
            <w:r w:rsidR="00205945" w:rsidRPr="00C90B17">
              <w:rPr>
                <w:rStyle w:val="Hyperlink"/>
              </w:rPr>
              <w:t>public submissions</w:t>
            </w:r>
          </w:hyperlink>
          <w:r w:rsidR="00841711">
            <w:t xml:space="preserve"> </w:t>
          </w:r>
          <w:r w:rsidR="00205945">
            <w:t xml:space="preserve">received in response to the </w:t>
          </w:r>
          <w:hyperlink r:id="rId20" w:history="1">
            <w:r w:rsidR="00205945" w:rsidRPr="00CC462C">
              <w:rPr>
                <w:rStyle w:val="Hyperlink"/>
              </w:rPr>
              <w:t>pre-meeting consultation</w:t>
            </w:r>
          </w:hyperlink>
          <w:r w:rsidR="00205945">
            <w:t xml:space="preserve"> under regulation 42ZCZK of the Regulations</w:t>
          </w:r>
        </w:sdtContent>
      </w:sdt>
      <w:r w:rsidR="00205945">
        <w:t xml:space="preserve"> (the </w:t>
      </w:r>
      <w:r w:rsidR="00205945" w:rsidRPr="72B837F8">
        <w:rPr>
          <w:b/>
          <w:bCs/>
        </w:rPr>
        <w:t>Submissions</w:t>
      </w:r>
      <w:r w:rsidR="00205945">
        <w:t>)</w:t>
      </w:r>
    </w:p>
    <w:p w14:paraId="415769E7" w14:textId="1CF652C2" w:rsidR="00205945" w:rsidRPr="00B03B68" w:rsidRDefault="00453186" w:rsidP="00B81C73">
      <w:pPr>
        <w:pStyle w:val="ListBullet"/>
        <w:ind w:left="567" w:hanging="283"/>
      </w:pPr>
      <w:sdt>
        <w:sdtPr>
          <w:id w:val="-1404066247"/>
          <w:placeholder>
            <w:docPart w:val="DE47628AA4424D72AB72D9CD90A0DA12"/>
          </w:placeholder>
        </w:sdtPr>
        <w:sdtEndPr>
          <w:rPr>
            <w:highlight w:val="yellow"/>
          </w:rPr>
        </w:sdtEndPr>
        <w:sdtContent>
          <w:r w:rsidR="00B81C73">
            <w:t>t</w:t>
          </w:r>
          <w:r w:rsidR="00205945" w:rsidRPr="00B03B68">
            <w:t>he advice received from the</w:t>
          </w:r>
          <w:r w:rsidR="00C73C0C">
            <w:t xml:space="preserve"> </w:t>
          </w:r>
          <w:r w:rsidR="00FE5551">
            <w:t>47</w:t>
          </w:r>
          <w:r w:rsidR="00FE5551" w:rsidRPr="00FE5551">
            <w:rPr>
              <w:vertAlign w:val="superscript"/>
            </w:rPr>
            <w:t>th</w:t>
          </w:r>
          <w:r w:rsidR="00FE5551">
            <w:t xml:space="preserve"> </w:t>
          </w:r>
          <w:r w:rsidR="00205945" w:rsidRPr="00B03B68">
            <w:t xml:space="preserve">meeting of the </w:t>
          </w:r>
          <w:r w:rsidR="00205945" w:rsidRPr="00C73C0C">
            <w:t>Advisory Committee on Medicines Scheduling</w:t>
          </w:r>
        </w:sdtContent>
      </w:sdt>
    </w:p>
    <w:p w14:paraId="51869929" w14:textId="3B026AB9" w:rsidR="00205945" w:rsidRPr="00B03B68" w:rsidRDefault="00B81C73" w:rsidP="00B81C73">
      <w:pPr>
        <w:pStyle w:val="ListBullet"/>
        <w:ind w:left="567" w:hanging="283"/>
      </w:pPr>
      <w:r>
        <w:t>s</w:t>
      </w:r>
      <w:r w:rsidR="00205945" w:rsidRPr="00B03B68">
        <w:t>ubsection 52E(1) of the Act, in particular (a) risks and benefits of the use of a substance; (b) the purposes for which a substance is to be used and the extent of use of a substance; (c) the toxicity of a substance; (d) the dosage, formulation, labelling, packaging and presentation of a substance; (e) the potential for abuse of a substance; and (f) any other matters that the Secretary considers necessary to protect public health</w:t>
      </w:r>
    </w:p>
    <w:p w14:paraId="33AE965B" w14:textId="2F0515B8" w:rsidR="00205945" w:rsidRPr="00B03B68" w:rsidRDefault="00B81C73" w:rsidP="00B81C73">
      <w:pPr>
        <w:pStyle w:val="ListBullet"/>
        <w:ind w:left="567" w:hanging="283"/>
      </w:pPr>
      <w:r>
        <w:t>t</w:t>
      </w:r>
      <w:r w:rsidR="00205945" w:rsidRPr="00B03B68">
        <w:t>he SPF</w:t>
      </w:r>
      <w:r w:rsidR="004667F5" w:rsidRPr="00B03B68">
        <w:t>,</w:t>
      </w:r>
      <w:r w:rsidR="00205945" w:rsidRPr="00B03B68">
        <w:t xml:space="preserve"> and</w:t>
      </w:r>
    </w:p>
    <w:p w14:paraId="4BCB0071" w14:textId="4FC43F97" w:rsidR="00205945" w:rsidRPr="00B03B68" w:rsidRDefault="00B81C73" w:rsidP="00B81C73">
      <w:pPr>
        <w:pStyle w:val="ListBullet"/>
        <w:ind w:left="567" w:hanging="283"/>
      </w:pPr>
      <w:r>
        <w:t>t</w:t>
      </w:r>
      <w:r w:rsidR="00205945" w:rsidRPr="00B03B68">
        <w:t>he</w:t>
      </w:r>
      <w:r w:rsidR="009031DD" w:rsidRPr="00B03B68">
        <w:t xml:space="preserve"> Handbook</w:t>
      </w:r>
      <w:r w:rsidR="00205945" w:rsidRPr="00B03B68">
        <w:t>.</w:t>
      </w:r>
    </w:p>
    <w:p w14:paraId="45DCD1A8" w14:textId="77777777" w:rsidR="009031DD" w:rsidRPr="00B03B68" w:rsidRDefault="009031DD" w:rsidP="00A042CD">
      <w:pPr>
        <w:pStyle w:val="Heading4"/>
      </w:pPr>
      <w:bookmarkStart w:id="8" w:name="_Toc230034887"/>
      <w:r w:rsidRPr="00B03B68">
        <w:t>Summary of Committee advice to the Delegate</w:t>
      </w:r>
      <w:bookmarkEnd w:id="8"/>
    </w:p>
    <w:p w14:paraId="03E7AE8B" w14:textId="462EC10A" w:rsidR="004608F3" w:rsidRPr="00B03B68" w:rsidRDefault="0FAA5F64" w:rsidP="00063DEC">
      <w:r>
        <w:t xml:space="preserve">The Committee recommended that the Poisons Standard be amended in relation to </w:t>
      </w:r>
      <w:r w:rsidR="63A294B1">
        <w:t xml:space="preserve">somatrogon, </w:t>
      </w:r>
      <w:r w:rsidR="6311EA99">
        <w:t>lonapegsomatropin and somapacitan</w:t>
      </w:r>
      <w:r w:rsidR="19A32D05">
        <w:t>.</w:t>
      </w:r>
      <w:r w:rsidR="2C85BDEA">
        <w:t xml:space="preserve"> </w:t>
      </w:r>
      <w:r w:rsidR="6447FA94">
        <w:t xml:space="preserve">They agreed on the creation of separate entries for somatrogon and lonapegsomatropin </w:t>
      </w:r>
      <w:r w:rsidR="74E23774">
        <w:t>as this approach would avoid confusion and support law enforcement activities.</w:t>
      </w:r>
      <w:r w:rsidR="6447FA94">
        <w:t xml:space="preserve"> </w:t>
      </w:r>
      <w:r w:rsidR="74E23774">
        <w:t xml:space="preserve">They also agreed on </w:t>
      </w:r>
      <w:r w:rsidR="6447FA94">
        <w:t xml:space="preserve">the inclusion of </w:t>
      </w:r>
      <w:r w:rsidR="0372E64E">
        <w:t xml:space="preserve">all </w:t>
      </w:r>
      <w:r w:rsidR="371384AD">
        <w:t xml:space="preserve">3 </w:t>
      </w:r>
      <w:r w:rsidR="0372E64E">
        <w:t xml:space="preserve">substances in </w:t>
      </w:r>
      <w:r w:rsidR="6447FA94">
        <w:t xml:space="preserve">Appendix D </w:t>
      </w:r>
      <w:r w:rsidR="566D149D">
        <w:t>due to their potential for misuse as lipolytic and anabolic agents</w:t>
      </w:r>
      <w:r w:rsidR="74E23774">
        <w:t xml:space="preserve"> and need for medical </w:t>
      </w:r>
      <w:r w:rsidR="5E715832">
        <w:t>diagnosis of the</w:t>
      </w:r>
      <w:r w:rsidR="74E23774">
        <w:t xml:space="preserve"> indications</w:t>
      </w:r>
      <w:r w:rsidR="5E715832">
        <w:t xml:space="preserve"> and </w:t>
      </w:r>
      <w:r w:rsidR="0265D8B8">
        <w:t>oversight during treatment</w:t>
      </w:r>
      <w:r w:rsidR="566D149D">
        <w:t>.</w:t>
      </w:r>
    </w:p>
    <w:p w14:paraId="6CC90118" w14:textId="3602EB42" w:rsidR="009031DD" w:rsidRPr="00B03B68" w:rsidRDefault="009031DD" w:rsidP="00B03B68">
      <w:r>
        <w:t>The Committee recommended</w:t>
      </w:r>
      <w:r w:rsidR="00DF1403">
        <w:t xml:space="preserve"> implementation</w:t>
      </w:r>
      <w:r w:rsidR="00204258">
        <w:t xml:space="preserve"> </w:t>
      </w:r>
      <w:r w:rsidR="009C3322">
        <w:t xml:space="preserve">in the first available Poisons Standard update after the Final Decision, </w:t>
      </w:r>
      <w:r w:rsidR="00204258">
        <w:t xml:space="preserve">as </w:t>
      </w:r>
      <w:r w:rsidR="009C3322">
        <w:t xml:space="preserve">it would </w:t>
      </w:r>
      <w:r w:rsidR="00204258">
        <w:t>provide regulatory clarity and minimises risks of abuse or misuse while minimally impacting the industry.</w:t>
      </w:r>
    </w:p>
    <w:p w14:paraId="763BEFC6" w14:textId="727C8B74" w:rsidR="002008D8" w:rsidRPr="00B03B68" w:rsidRDefault="009031DD" w:rsidP="00B03B68">
      <w:r w:rsidRPr="00B03B68">
        <w:t>Members agreed that the relevant matters under subsection 52E(1) of the Act included: (a) risks and benefits of the use of a substance; (b) the purposes for which a substance is to be used and the extent of use of a substance; (c) the toxicity of a substance; (d) the dosage, formulation, labelling, packaging and presentation of a substance; (e) the potential for abuse of a substance; and (f) any other matters that the Secretary considers necessary to protect public health.</w:t>
      </w:r>
    </w:p>
    <w:p w14:paraId="746A7B15" w14:textId="77777777" w:rsidR="00915A60" w:rsidRPr="00B03B68" w:rsidRDefault="00915A60" w:rsidP="00B03B68">
      <w:r w:rsidRPr="00B03B68">
        <w:t>The reasons for the advice included:</w:t>
      </w:r>
    </w:p>
    <w:p w14:paraId="3400D415" w14:textId="77777777" w:rsidR="00915A60" w:rsidRDefault="00915A60" w:rsidP="001F77DA">
      <w:pPr>
        <w:pStyle w:val="Heading5"/>
        <w:numPr>
          <w:ilvl w:val="0"/>
          <w:numId w:val="11"/>
        </w:numPr>
      </w:pPr>
      <w:r w:rsidRPr="00B03B68">
        <w:t>the risks and benefits of the use of a substance</w:t>
      </w:r>
    </w:p>
    <w:p w14:paraId="1ED5026C" w14:textId="77777777" w:rsidR="00915A60" w:rsidRDefault="00915A60" w:rsidP="001330F6">
      <w:pPr>
        <w:pStyle w:val="Heading6"/>
      </w:pPr>
      <w:r w:rsidRPr="00B03B68">
        <w:t>Risks:</w:t>
      </w:r>
    </w:p>
    <w:p w14:paraId="355213A0" w14:textId="5C32B228" w:rsidR="001330F6" w:rsidRPr="001330F6" w:rsidRDefault="00B433BC" w:rsidP="00B81C73">
      <w:pPr>
        <w:pStyle w:val="ListBullet2"/>
      </w:pPr>
      <w:r w:rsidRPr="00B433BC">
        <w:t xml:space="preserve">The risk profiles of all </w:t>
      </w:r>
      <w:r w:rsidR="00D0124D">
        <w:t>3</w:t>
      </w:r>
      <w:r w:rsidRPr="00B433BC">
        <w:t xml:space="preserve"> </w:t>
      </w:r>
      <w:r w:rsidR="00EC210D">
        <w:t>substances</w:t>
      </w:r>
      <w:r w:rsidR="00980349" w:rsidRPr="00B433BC">
        <w:t xml:space="preserve"> </w:t>
      </w:r>
      <w:r w:rsidRPr="00B433BC">
        <w:t>are similar to that of somatropin, which is currently captured under Schedule 4 and Appendix D due to its abuse potential and requirement for medical oversight for the indication (treatment of stunted growth due to growth hormone deficiency in children and adolescents)</w:t>
      </w:r>
      <w:r w:rsidR="00D11252">
        <w:t>.</w:t>
      </w:r>
    </w:p>
    <w:p w14:paraId="28C7AA2F" w14:textId="77777777" w:rsidR="00915A60" w:rsidRDefault="00915A60" w:rsidP="001330F6">
      <w:pPr>
        <w:pStyle w:val="Heading6"/>
      </w:pPr>
      <w:r w:rsidRPr="00B03B68">
        <w:lastRenderedPageBreak/>
        <w:t>Benefits:</w:t>
      </w:r>
    </w:p>
    <w:p w14:paraId="0ED88460" w14:textId="0EF4C3C0" w:rsidR="001330F6" w:rsidRDefault="00A272C6" w:rsidP="00B81C73">
      <w:pPr>
        <w:pStyle w:val="ListBullet2"/>
      </w:pPr>
      <w:r w:rsidRPr="00A272C6">
        <w:t>An effective treatment for growth hormone deficiency in children and adolescents</w:t>
      </w:r>
      <w:r w:rsidR="00D11252">
        <w:t>.</w:t>
      </w:r>
    </w:p>
    <w:p w14:paraId="76F3AD00" w14:textId="77777777" w:rsidR="00915A60" w:rsidRPr="00B03B68" w:rsidRDefault="00915A60" w:rsidP="001F77DA">
      <w:pPr>
        <w:pStyle w:val="Heading5"/>
        <w:numPr>
          <w:ilvl w:val="0"/>
          <w:numId w:val="11"/>
        </w:numPr>
      </w:pPr>
      <w:r w:rsidRPr="00B03B68">
        <w:t>the purposes for which a substance is to be used and the extent of use of a substance</w:t>
      </w:r>
    </w:p>
    <w:p w14:paraId="7D40E0B1" w14:textId="54AF4245" w:rsidR="001330F6" w:rsidRDefault="00AA4232" w:rsidP="00B81C73">
      <w:pPr>
        <w:pStyle w:val="ListBullet2"/>
      </w:pPr>
      <w:r w:rsidRPr="00AA4232">
        <w:t>Restricted growth due to growth hormone deficiency in children and adolescents. A relatively uncommon but serious condition.</w:t>
      </w:r>
    </w:p>
    <w:p w14:paraId="336AB7B7" w14:textId="77777777" w:rsidR="00915A60" w:rsidRPr="00B03B68" w:rsidRDefault="00915A60" w:rsidP="001F77DA">
      <w:pPr>
        <w:pStyle w:val="Heading5"/>
        <w:numPr>
          <w:ilvl w:val="0"/>
          <w:numId w:val="11"/>
        </w:numPr>
      </w:pPr>
      <w:r w:rsidRPr="00B03B68">
        <w:t>the toxicity of a substance</w:t>
      </w:r>
    </w:p>
    <w:p w14:paraId="48A34FD6" w14:textId="386E9317" w:rsidR="00645C44" w:rsidRPr="00645C44" w:rsidRDefault="00645C44" w:rsidP="00B81C73">
      <w:pPr>
        <w:pStyle w:val="ListBullet2"/>
      </w:pPr>
      <w:r w:rsidRPr="00645C44">
        <w:t xml:space="preserve">The safety profiles of all </w:t>
      </w:r>
      <w:r w:rsidR="00D0124D">
        <w:t>3</w:t>
      </w:r>
      <w:r w:rsidRPr="00645C44">
        <w:t xml:space="preserve"> drugs are similar to that of somatropin.</w:t>
      </w:r>
    </w:p>
    <w:p w14:paraId="191E845D" w14:textId="77777777" w:rsidR="00915A60" w:rsidRPr="00B03B68" w:rsidRDefault="00915A60" w:rsidP="001F77DA">
      <w:pPr>
        <w:pStyle w:val="Heading5"/>
        <w:numPr>
          <w:ilvl w:val="0"/>
          <w:numId w:val="11"/>
        </w:numPr>
      </w:pPr>
      <w:r w:rsidRPr="00B03B68">
        <w:t>the dosage, formulation, labelling, packaging and presentation of a substance</w:t>
      </w:r>
    </w:p>
    <w:p w14:paraId="42C8A80C" w14:textId="49EA7BCF" w:rsidR="00B96678" w:rsidRDefault="007F6614" w:rsidP="00B81C73">
      <w:pPr>
        <w:pStyle w:val="ListBullet2"/>
      </w:pPr>
      <w:r w:rsidRPr="007F6614">
        <w:t xml:space="preserve">All </w:t>
      </w:r>
      <w:r w:rsidR="00935690">
        <w:t>3</w:t>
      </w:r>
      <w:r w:rsidRPr="007F6614">
        <w:t xml:space="preserve"> medications are available as pre-filled pens to be administered weekly via subcutaneous injection</w:t>
      </w:r>
      <w:r w:rsidR="00751CE3">
        <w:t>.</w:t>
      </w:r>
    </w:p>
    <w:p w14:paraId="04996EFE" w14:textId="77777777" w:rsidR="00915A60" w:rsidRPr="00B03B68" w:rsidRDefault="00915A60" w:rsidP="001F77DA">
      <w:pPr>
        <w:pStyle w:val="Heading5"/>
        <w:numPr>
          <w:ilvl w:val="0"/>
          <w:numId w:val="11"/>
        </w:numPr>
      </w:pPr>
      <w:r w:rsidRPr="00B03B68">
        <w:t>the potential for abuse of a substance</w:t>
      </w:r>
    </w:p>
    <w:p w14:paraId="0D43B555" w14:textId="34FF120F" w:rsidR="00B96678" w:rsidRDefault="00C85F4D" w:rsidP="00B81C73">
      <w:pPr>
        <w:pStyle w:val="ListBullet2"/>
      </w:pPr>
      <w:r w:rsidRPr="00C85F4D">
        <w:t>There have been many reports of the misuse of growth hormones and their analogues by bodybuilders and in sports. The World Anti-Doping Agency has listed somatrogon, lonapegsomatropin and somapacitan as prohibited substances due to the potential misuse of their lipolytic and anabolic properties in sports.</w:t>
      </w:r>
    </w:p>
    <w:p w14:paraId="2C29BD14" w14:textId="77777777" w:rsidR="00915A60" w:rsidRDefault="00915A60" w:rsidP="001F77DA">
      <w:pPr>
        <w:pStyle w:val="Heading5"/>
        <w:numPr>
          <w:ilvl w:val="0"/>
          <w:numId w:val="11"/>
        </w:numPr>
      </w:pPr>
      <w:r w:rsidRPr="00B03B68">
        <w:t>any other matters that the Secretary considers necessary to protect public health</w:t>
      </w:r>
    </w:p>
    <w:p w14:paraId="58476089" w14:textId="609AFEA9" w:rsidR="00B96678" w:rsidRDefault="00D62ECC" w:rsidP="00B81C73">
      <w:pPr>
        <w:pStyle w:val="ListBullet2"/>
      </w:pPr>
      <w:r w:rsidRPr="00D62ECC">
        <w:t>Growth failure due to insufficient endogenous growth hormone is a condition requiring medical diagnosis and oversight during treatment.</w:t>
      </w:r>
    </w:p>
    <w:p w14:paraId="0EF3540F" w14:textId="77777777" w:rsidR="00915A60" w:rsidRPr="00B03B68" w:rsidRDefault="00915A60" w:rsidP="00A042CD">
      <w:pPr>
        <w:pStyle w:val="Heading4"/>
      </w:pPr>
      <w:bookmarkStart w:id="9" w:name="_Toc230034888"/>
      <w:r w:rsidRPr="00B03B68">
        <w:t>Reasons for the interim decision (including findings on material questions of fact)</w:t>
      </w:r>
      <w:bookmarkEnd w:id="9"/>
    </w:p>
    <w:p w14:paraId="27EC834A" w14:textId="52F35577" w:rsidR="00915A60" w:rsidRPr="00B03B68" w:rsidRDefault="00915A60" w:rsidP="00B03B68">
      <w:r w:rsidRPr="00B03B68">
        <w:t xml:space="preserve">I </w:t>
      </w:r>
      <w:r w:rsidRPr="00E95C1D">
        <w:t>agree</w:t>
      </w:r>
      <w:r w:rsidRPr="00B03B68">
        <w:t xml:space="preserve"> with the Committee's findings on the relevant provisions of section 52E of the Act.</w:t>
      </w:r>
    </w:p>
    <w:p w14:paraId="37757E6E" w14:textId="3A59AB0D" w:rsidR="00915A60" w:rsidRDefault="0000766B" w:rsidP="65202AAA">
      <w:pPr>
        <w:rPr>
          <w:strike/>
        </w:rPr>
      </w:pPr>
      <w:r>
        <w:t xml:space="preserve">Two </w:t>
      </w:r>
      <w:r w:rsidR="00915A60">
        <w:t>public submission</w:t>
      </w:r>
      <w:r w:rsidR="00EA25A8">
        <w:t>s</w:t>
      </w:r>
      <w:r w:rsidR="00BA0CE9">
        <w:t xml:space="preserve"> were</w:t>
      </w:r>
      <w:r w:rsidR="00915A60">
        <w:t xml:space="preserve"> received during the pre-meeting consultation period</w:t>
      </w:r>
      <w:r w:rsidR="00F91420">
        <w:t>,</w:t>
      </w:r>
      <w:r w:rsidR="00BA0CE9">
        <w:t xml:space="preserve"> both of which were supportive of the proposal. One submitter provided </w:t>
      </w:r>
      <w:r w:rsidR="00642CEA">
        <w:t>written justification for the support</w:t>
      </w:r>
      <w:r w:rsidR="0016467E">
        <w:t xml:space="preserve"> while the other did not</w:t>
      </w:r>
      <w:r w:rsidR="00F91420">
        <w:t>.</w:t>
      </w:r>
    </w:p>
    <w:p w14:paraId="4D137A9F" w14:textId="2BE5BEEB" w:rsidR="00AB4FB2" w:rsidRDefault="00730E29" w:rsidP="00B03B68">
      <w:r>
        <w:t>S</w:t>
      </w:r>
      <w:r w:rsidR="00AB4FB2" w:rsidRPr="00AB4FB2">
        <w:t xml:space="preserve">omatrogon, lonapegsomatropin and somapacitan function similarly as somatropin, a synthetic human growth hormone, </w:t>
      </w:r>
      <w:r w:rsidR="00AB4FB2">
        <w:t>but</w:t>
      </w:r>
      <w:r w:rsidR="00AB4FB2" w:rsidRPr="00AB4FB2">
        <w:t xml:space="preserve"> differ from somatropin in their primary structures and pharmacokinetics.</w:t>
      </w:r>
      <w:r w:rsidR="00691BC3">
        <w:t xml:space="preserve"> </w:t>
      </w:r>
      <w:r w:rsidR="00691BC3" w:rsidRPr="00691BC3">
        <w:t>Somapacitan varies from somatropin by one amino acid change which allows it to bind albumin.</w:t>
      </w:r>
      <w:r w:rsidR="00691BC3">
        <w:t xml:space="preserve"> </w:t>
      </w:r>
      <w:r w:rsidR="00691BC3" w:rsidRPr="00691BC3">
        <w:t xml:space="preserve">Somatrogon carries the same 191 amino acid sequence of somatropin but additionally contains </w:t>
      </w:r>
      <w:r w:rsidR="00A93743">
        <w:t>3</w:t>
      </w:r>
      <w:r w:rsidR="00691BC3" w:rsidRPr="00691BC3">
        <w:t xml:space="preserve"> copies of the C-terminal peptide from the beta chain of human chorionic gonadotropin</w:t>
      </w:r>
      <w:r w:rsidR="00CE703A">
        <w:t>.</w:t>
      </w:r>
      <w:r w:rsidR="009549CD">
        <w:t xml:space="preserve"> </w:t>
      </w:r>
      <w:r w:rsidR="009549CD" w:rsidRPr="009549CD">
        <w:t>Lonapegsomatropin consists of unmodified somatropin sequence attached covalently to an inert carrier molecule, methoxypolyethylene glycol, via a transient linker.</w:t>
      </w:r>
      <w:r w:rsidR="009549CD">
        <w:t xml:space="preserve"> These structural modifications allow</w:t>
      </w:r>
      <w:r w:rsidR="0031036B">
        <w:t xml:space="preserve"> for</w:t>
      </w:r>
      <w:r w:rsidR="009549CD">
        <w:t xml:space="preserve"> </w:t>
      </w:r>
      <w:r w:rsidR="00D35CE1">
        <w:t>r</w:t>
      </w:r>
      <w:r w:rsidR="00D35CE1" w:rsidRPr="00D35CE1">
        <w:t xml:space="preserve">educed clearance from the body </w:t>
      </w:r>
      <w:r w:rsidR="00D35CE1">
        <w:t>(</w:t>
      </w:r>
      <w:r w:rsidR="00D75311">
        <w:t>s</w:t>
      </w:r>
      <w:r w:rsidR="00D75311" w:rsidRPr="00AB4FB2">
        <w:t>omatrogon</w:t>
      </w:r>
      <w:r w:rsidR="00D75311">
        <w:t xml:space="preserve"> and</w:t>
      </w:r>
      <w:r w:rsidR="00D75311" w:rsidRPr="00AB4FB2">
        <w:t xml:space="preserve"> somapacitan</w:t>
      </w:r>
      <w:r w:rsidR="00D75311">
        <w:t>) or sustained release (</w:t>
      </w:r>
      <w:r w:rsidR="00D75311" w:rsidRPr="00AB4FB2">
        <w:t>lonapegsomatropin</w:t>
      </w:r>
      <w:r w:rsidR="00D75311">
        <w:t>)</w:t>
      </w:r>
      <w:r w:rsidR="00DC7FA2">
        <w:t>,</w:t>
      </w:r>
      <w:r w:rsidR="00D75311" w:rsidRPr="00D35CE1">
        <w:t xml:space="preserve"> </w:t>
      </w:r>
      <w:r w:rsidR="00D35CE1" w:rsidRPr="00D35CE1">
        <w:t>allowing for less frequent dosing than somatropin</w:t>
      </w:r>
      <w:r>
        <w:t xml:space="preserve"> (s</w:t>
      </w:r>
      <w:r w:rsidR="00984DBC">
        <w:t xml:space="preserve">ection </w:t>
      </w:r>
      <w:r>
        <w:t>52E(1)(a) of the Act)</w:t>
      </w:r>
      <w:r w:rsidR="00D75311">
        <w:t>.</w:t>
      </w:r>
    </w:p>
    <w:p w14:paraId="02A5C7A3" w14:textId="661BA028" w:rsidR="005E5984" w:rsidRDefault="00C67AF0" w:rsidP="00B03B68">
      <w:r>
        <w:t>Regarding s</w:t>
      </w:r>
      <w:r w:rsidR="00984DBC">
        <w:t>ection</w:t>
      </w:r>
      <w:r>
        <w:t xml:space="preserve"> 52E(1)(b</w:t>
      </w:r>
      <w:r w:rsidR="001F3C41">
        <w:t xml:space="preserve">) of the Act, </w:t>
      </w:r>
      <w:r w:rsidR="009412F2">
        <w:t xml:space="preserve">all </w:t>
      </w:r>
      <w:r w:rsidR="00892090">
        <w:t xml:space="preserve">3 </w:t>
      </w:r>
      <w:r w:rsidR="009C3322">
        <w:t xml:space="preserve">substances </w:t>
      </w:r>
      <w:r w:rsidR="00EA1FED">
        <w:t xml:space="preserve">serve the purpose of </w:t>
      </w:r>
      <w:r w:rsidR="00565401">
        <w:t xml:space="preserve">treating </w:t>
      </w:r>
      <w:r w:rsidR="0055455B">
        <w:t>growth hormone deficiency</w:t>
      </w:r>
      <w:r w:rsidR="00565401">
        <w:t xml:space="preserve"> in chil</w:t>
      </w:r>
      <w:r w:rsidR="00653453">
        <w:t>dren and adolescents</w:t>
      </w:r>
      <w:r w:rsidR="003E12C4">
        <w:t>. Whilst the condition is relatively uncommon, i</w:t>
      </w:r>
      <w:r w:rsidR="005D3930">
        <w:t xml:space="preserve">f left untreated </w:t>
      </w:r>
      <w:r w:rsidR="00084144">
        <w:t>growth hormone deficiency</w:t>
      </w:r>
      <w:r w:rsidR="005D3930">
        <w:t xml:space="preserve"> can lead to </w:t>
      </w:r>
      <w:r w:rsidR="00872B14">
        <w:t>delayed puberty and</w:t>
      </w:r>
      <w:r w:rsidR="000300D2">
        <w:t xml:space="preserve"> permanent</w:t>
      </w:r>
      <w:r w:rsidR="00872B14">
        <w:t xml:space="preserve"> </w:t>
      </w:r>
      <w:r w:rsidR="00961AB5">
        <w:t>s</w:t>
      </w:r>
      <w:r w:rsidR="00FC22B8">
        <w:t>hort stature</w:t>
      </w:r>
      <w:r w:rsidR="00FC22B8">
        <w:rPr>
          <w:rStyle w:val="FootnoteReference"/>
        </w:rPr>
        <w:footnoteReference w:id="4"/>
      </w:r>
      <w:r w:rsidR="00872B14">
        <w:t xml:space="preserve">. </w:t>
      </w:r>
      <w:r w:rsidR="007A49E7">
        <w:t>However, d</w:t>
      </w:r>
      <w:r w:rsidR="00EA003A" w:rsidRPr="00EA003A">
        <w:t>iagnosis, management or monitoring</w:t>
      </w:r>
      <w:r w:rsidR="00EA003A">
        <w:t xml:space="preserve"> of</w:t>
      </w:r>
      <w:r w:rsidR="00347019">
        <w:t xml:space="preserve"> growth hormone deficiency </w:t>
      </w:r>
      <w:r w:rsidR="00CC2350">
        <w:t>require</w:t>
      </w:r>
      <w:r w:rsidR="00EA003A">
        <w:t>s</w:t>
      </w:r>
      <w:r w:rsidR="00CC2350">
        <w:t xml:space="preserve"> </w:t>
      </w:r>
      <w:r w:rsidR="00A30BFA">
        <w:t xml:space="preserve">medical </w:t>
      </w:r>
      <w:r w:rsidR="00BC43AF">
        <w:t xml:space="preserve">intervention </w:t>
      </w:r>
      <w:r w:rsidR="003046ED">
        <w:t>(</w:t>
      </w:r>
      <w:r w:rsidR="00084144">
        <w:t>Schedule 4, factor 1</w:t>
      </w:r>
      <w:r w:rsidR="003046ED">
        <w:t>)</w:t>
      </w:r>
      <w:r w:rsidR="00EB5FCE">
        <w:t>.</w:t>
      </w:r>
      <w:r w:rsidR="003046ED" w:rsidDel="008252F7">
        <w:t xml:space="preserve"> </w:t>
      </w:r>
      <w:r w:rsidR="008252F7">
        <w:t>Treatment typically involves dosage adjustment over time</w:t>
      </w:r>
      <w:r w:rsidR="001B03AD">
        <w:t xml:space="preserve"> </w:t>
      </w:r>
      <w:r w:rsidR="00084144">
        <w:t xml:space="preserve">(Schedule 4, </w:t>
      </w:r>
      <w:r w:rsidR="009C3322">
        <w:lastRenderedPageBreak/>
        <w:t>factor </w:t>
      </w:r>
      <w:r w:rsidR="00084144">
        <w:t>2) and un</w:t>
      </w:r>
      <w:r w:rsidR="008252F7">
        <w:t xml:space="preserve">monitored and prolonged use </w:t>
      </w:r>
      <w:r w:rsidR="009E3DBF">
        <w:t>of gr</w:t>
      </w:r>
      <w:r w:rsidR="00703FDB">
        <w:t xml:space="preserve">owth hormones </w:t>
      </w:r>
      <w:r w:rsidR="008252F7">
        <w:t>run</w:t>
      </w:r>
      <w:r w:rsidR="001B03AD">
        <w:t>s</w:t>
      </w:r>
      <w:r w:rsidR="008252F7">
        <w:t xml:space="preserve"> the risk of </w:t>
      </w:r>
      <w:r w:rsidR="001B03AD">
        <w:t xml:space="preserve">the patient </w:t>
      </w:r>
      <w:r w:rsidR="008252F7">
        <w:t>developing conditions such as diabetes or acromegaly, which can be permanent and/or life-threatening</w:t>
      </w:r>
      <w:r w:rsidR="00D86F8C">
        <w:t xml:space="preserve"> </w:t>
      </w:r>
      <w:r w:rsidR="00BC43AF">
        <w:t>(</w:t>
      </w:r>
      <w:r w:rsidR="002F6ED8">
        <w:t>S</w:t>
      </w:r>
      <w:r w:rsidR="00C01795">
        <w:t>ched</w:t>
      </w:r>
      <w:r w:rsidR="004F3FAA">
        <w:t>ule 4, factor</w:t>
      </w:r>
      <w:r w:rsidR="00084144">
        <w:t> 4</w:t>
      </w:r>
      <w:r w:rsidR="004F3FAA">
        <w:t>)</w:t>
      </w:r>
      <w:r w:rsidR="00A57E63">
        <w:t>.</w:t>
      </w:r>
    </w:p>
    <w:p w14:paraId="19E6A888" w14:textId="7A4E289B" w:rsidR="006107E5" w:rsidRDefault="006A1C5E" w:rsidP="00B03B68">
      <w:r>
        <w:t>Regarding</w:t>
      </w:r>
      <w:r w:rsidR="00505EB5">
        <w:t xml:space="preserve"> the risks and toxic</w:t>
      </w:r>
      <w:r w:rsidR="008208CF">
        <w:t>ity</w:t>
      </w:r>
      <w:r w:rsidR="00952364">
        <w:t xml:space="preserve">, </w:t>
      </w:r>
      <w:r w:rsidR="008208CF">
        <w:t>s</w:t>
      </w:r>
      <w:r w:rsidR="00984DBC">
        <w:t>ections</w:t>
      </w:r>
      <w:r w:rsidR="008208CF">
        <w:t xml:space="preserve"> </w:t>
      </w:r>
      <w:r w:rsidR="009E6FD2">
        <w:t>52E(1)</w:t>
      </w:r>
      <w:r w:rsidR="00E41A90">
        <w:t>(a) and</w:t>
      </w:r>
      <w:r w:rsidR="00E07F96">
        <w:t xml:space="preserve"> </w:t>
      </w:r>
      <w:r w:rsidR="009E6FD2">
        <w:t>(c)</w:t>
      </w:r>
      <w:r w:rsidR="008E12FC">
        <w:t xml:space="preserve"> </w:t>
      </w:r>
      <w:r w:rsidR="00627959">
        <w:t xml:space="preserve">of the </w:t>
      </w:r>
      <w:r w:rsidR="009E6FD2">
        <w:t>Act</w:t>
      </w:r>
      <w:r w:rsidR="008E12FC">
        <w:t xml:space="preserve">, all </w:t>
      </w:r>
      <w:r w:rsidR="00F174D3">
        <w:t xml:space="preserve">3 </w:t>
      </w:r>
      <w:r w:rsidR="008208CF">
        <w:t xml:space="preserve">substances </w:t>
      </w:r>
      <w:r w:rsidR="008E12FC">
        <w:t xml:space="preserve">have safety profiles </w:t>
      </w:r>
      <w:r w:rsidR="008208CF">
        <w:t xml:space="preserve">comparable </w:t>
      </w:r>
      <w:r w:rsidR="008E12FC">
        <w:t xml:space="preserve">to </w:t>
      </w:r>
      <w:r w:rsidR="00E4615C">
        <w:t>the Schedule 4 substance, soma</w:t>
      </w:r>
      <w:r w:rsidR="00D952DF">
        <w:t>t</w:t>
      </w:r>
      <w:r w:rsidR="00E4615C">
        <w:t>ropin</w:t>
      </w:r>
      <w:r w:rsidR="00815FB6">
        <w:t xml:space="preserve">. </w:t>
      </w:r>
      <w:r w:rsidR="00146D72">
        <w:t xml:space="preserve">As of </w:t>
      </w:r>
      <w:r w:rsidR="000301AC">
        <w:t>January 2026,</w:t>
      </w:r>
      <w:r w:rsidR="00146D72">
        <w:t xml:space="preserve"> </w:t>
      </w:r>
      <w:r w:rsidR="00A06845">
        <w:t xml:space="preserve">there were </w:t>
      </w:r>
      <w:r w:rsidR="003E7ACE">
        <w:t>2</w:t>
      </w:r>
      <w:r w:rsidR="000301AC">
        <w:t>18</w:t>
      </w:r>
      <w:r w:rsidR="00A06845">
        <w:t xml:space="preserve"> </w:t>
      </w:r>
      <w:r w:rsidR="006D5127">
        <w:t>reports of adverse events</w:t>
      </w:r>
      <w:r w:rsidR="00B6327A">
        <w:t xml:space="preserve"> (AE)</w:t>
      </w:r>
      <w:r w:rsidR="000A1CA3">
        <w:t xml:space="preserve"> </w:t>
      </w:r>
      <w:r w:rsidR="000645A7">
        <w:t xml:space="preserve">from somatropin </w:t>
      </w:r>
      <w:r w:rsidR="00196EBD">
        <w:t xml:space="preserve">on the TGA’s </w:t>
      </w:r>
      <w:hyperlink r:id="rId21" w:history="1">
        <w:r w:rsidR="00EF2B56" w:rsidRPr="00981461">
          <w:rPr>
            <w:rStyle w:val="Hyperlink"/>
          </w:rPr>
          <w:t>Database of Adverse Event Notifications</w:t>
        </w:r>
      </w:hyperlink>
      <w:r w:rsidR="004B37E1">
        <w:t>.</w:t>
      </w:r>
      <w:r w:rsidR="00E07F96">
        <w:t xml:space="preserve"> </w:t>
      </w:r>
      <w:r w:rsidR="00204258">
        <w:t xml:space="preserve">Three </w:t>
      </w:r>
      <w:r w:rsidR="006D5127">
        <w:t xml:space="preserve">of </w:t>
      </w:r>
      <w:r w:rsidR="00256CAD">
        <w:t xml:space="preserve">these </w:t>
      </w:r>
      <w:r w:rsidR="00B6327A">
        <w:t>AEs</w:t>
      </w:r>
      <w:r w:rsidR="00256CAD">
        <w:t xml:space="preserve"> </w:t>
      </w:r>
      <w:r w:rsidR="007654D9">
        <w:t xml:space="preserve">resulted in </w:t>
      </w:r>
      <w:r w:rsidR="006B6A0F">
        <w:t>death</w:t>
      </w:r>
      <w:r w:rsidR="00A70C95">
        <w:t xml:space="preserve"> </w:t>
      </w:r>
      <w:r w:rsidR="00ED0AA5">
        <w:t>and</w:t>
      </w:r>
      <w:r w:rsidR="007654D9">
        <w:t xml:space="preserve"> in </w:t>
      </w:r>
      <w:r w:rsidR="003E7ACE">
        <w:t>18</w:t>
      </w:r>
      <w:r w:rsidR="002C0B32">
        <w:t>5</w:t>
      </w:r>
      <w:r w:rsidR="007654D9">
        <w:t xml:space="preserve"> </w:t>
      </w:r>
      <w:r w:rsidR="004E41DB">
        <w:t>cases</w:t>
      </w:r>
      <w:r w:rsidR="00F116BF">
        <w:t>,</w:t>
      </w:r>
      <w:r w:rsidR="007654D9">
        <w:t xml:space="preserve"> </w:t>
      </w:r>
      <w:r w:rsidR="00C21296">
        <w:t xml:space="preserve">somatropin was the </w:t>
      </w:r>
      <w:r w:rsidR="00D64C18">
        <w:t>single suspected medicine</w:t>
      </w:r>
      <w:r w:rsidR="00EF2B56">
        <w:t xml:space="preserve">. </w:t>
      </w:r>
      <w:r w:rsidR="001E59B7">
        <w:t>A</w:t>
      </w:r>
      <w:r w:rsidR="00B306D4">
        <w:t xml:space="preserve"> large portion of the </w:t>
      </w:r>
      <w:r w:rsidR="00D5637B">
        <w:t>AE</w:t>
      </w:r>
      <w:r w:rsidR="0014557F">
        <w:t>s</w:t>
      </w:r>
      <w:r w:rsidR="00B306D4">
        <w:t xml:space="preserve"> </w:t>
      </w:r>
      <w:r w:rsidR="00442C4F">
        <w:t xml:space="preserve">were associated with </w:t>
      </w:r>
      <w:r w:rsidR="005F3461">
        <w:t>dosing</w:t>
      </w:r>
      <w:r w:rsidR="00F5562B">
        <w:t xml:space="preserve">, such as </w:t>
      </w:r>
      <w:r w:rsidR="005F3461">
        <w:t>missing doses or administering an incorrect dose</w:t>
      </w:r>
      <w:r w:rsidR="00502452">
        <w:t xml:space="preserve"> (Schedule 4, factor</w:t>
      </w:r>
      <w:r w:rsidR="00204258">
        <w:t>s</w:t>
      </w:r>
      <w:r w:rsidR="00502452">
        <w:t xml:space="preserve"> </w:t>
      </w:r>
      <w:r w:rsidR="005E5B38">
        <w:t>4</w:t>
      </w:r>
      <w:r w:rsidR="00204258">
        <w:t xml:space="preserve"> and 5</w:t>
      </w:r>
      <w:r w:rsidR="005E5B38">
        <w:t>)</w:t>
      </w:r>
      <w:r w:rsidR="005F3461">
        <w:t>.</w:t>
      </w:r>
      <w:r w:rsidR="00442C4F">
        <w:t xml:space="preserve"> </w:t>
      </w:r>
      <w:r w:rsidR="003E64E2">
        <w:t xml:space="preserve">There were </w:t>
      </w:r>
      <w:r w:rsidR="005D4FFC">
        <w:t>9</w:t>
      </w:r>
      <w:r w:rsidR="0096371A">
        <w:t xml:space="preserve"> </w:t>
      </w:r>
      <w:r w:rsidR="00F62CDF">
        <w:t>AE</w:t>
      </w:r>
      <w:r w:rsidR="00AD4AE1">
        <w:t xml:space="preserve">s </w:t>
      </w:r>
      <w:r w:rsidR="003E64E2">
        <w:t xml:space="preserve">for products containing somatrogon as an active ingredient, and </w:t>
      </w:r>
      <w:r w:rsidR="00EF2B56">
        <w:t xml:space="preserve">no </w:t>
      </w:r>
      <w:r w:rsidR="00DA2057">
        <w:t xml:space="preserve">reports of </w:t>
      </w:r>
      <w:r w:rsidR="00EC5E7B">
        <w:t xml:space="preserve">AEs </w:t>
      </w:r>
      <w:r w:rsidR="00923B6B">
        <w:t>for lonapegsomatropin or somapacitan.</w:t>
      </w:r>
    </w:p>
    <w:p w14:paraId="2514BEB8" w14:textId="73439519" w:rsidR="00B73FBA" w:rsidRDefault="00E4299B" w:rsidP="00B03B68">
      <w:r>
        <w:t>With consideration to</w:t>
      </w:r>
      <w:r w:rsidR="00727355">
        <w:t xml:space="preserve"> </w:t>
      </w:r>
      <w:r w:rsidR="00984DBC">
        <w:t xml:space="preserve">section </w:t>
      </w:r>
      <w:r w:rsidR="00727355">
        <w:t>52E</w:t>
      </w:r>
      <w:r w:rsidR="00461A0F">
        <w:t xml:space="preserve"> </w:t>
      </w:r>
      <w:r w:rsidR="00727355">
        <w:t xml:space="preserve">(1)(d) of the Act, all </w:t>
      </w:r>
      <w:r w:rsidR="00376BDF">
        <w:t xml:space="preserve">3 </w:t>
      </w:r>
      <w:r w:rsidR="009C3322">
        <w:t xml:space="preserve">substances </w:t>
      </w:r>
      <w:r w:rsidR="002D3F38">
        <w:t>are long-acting derivatives of somatropi</w:t>
      </w:r>
      <w:r w:rsidR="001678BA">
        <w:t xml:space="preserve">n. </w:t>
      </w:r>
      <w:r w:rsidR="002D0790">
        <w:t>At present</w:t>
      </w:r>
      <w:r w:rsidR="003313DD">
        <w:t xml:space="preserve">, </w:t>
      </w:r>
      <w:r w:rsidR="003148DC">
        <w:t xml:space="preserve">the </w:t>
      </w:r>
      <w:hyperlink r:id="rId22" w:history="1">
        <w:r w:rsidR="00204258" w:rsidRPr="00C666F7">
          <w:rPr>
            <w:rStyle w:val="Hyperlink"/>
          </w:rPr>
          <w:t>Australian Register of Therapeutic Goods</w:t>
        </w:r>
      </w:hyperlink>
      <w:r w:rsidR="00204258" w:rsidRPr="00DF1403">
        <w:t xml:space="preserve"> </w:t>
      </w:r>
      <w:r w:rsidR="003148DC">
        <w:t xml:space="preserve">lists </w:t>
      </w:r>
      <w:r w:rsidR="009C3322">
        <w:t xml:space="preserve">2 </w:t>
      </w:r>
      <w:r w:rsidR="003313DD">
        <w:t xml:space="preserve">products containing somatrogon, </w:t>
      </w:r>
      <w:r w:rsidR="009C3322">
        <w:t xml:space="preserve">9 </w:t>
      </w:r>
      <w:r w:rsidR="003313DD">
        <w:t xml:space="preserve">containing lonapegsomatropin and </w:t>
      </w:r>
      <w:r w:rsidR="00A93743">
        <w:t>3</w:t>
      </w:r>
      <w:r w:rsidR="003313DD">
        <w:t xml:space="preserve"> containing somapacitan</w:t>
      </w:r>
      <w:r w:rsidR="005D3C36">
        <w:t>.</w:t>
      </w:r>
      <w:r w:rsidR="003313DD">
        <w:t xml:space="preserve"> </w:t>
      </w:r>
      <w:r w:rsidR="00962A0E">
        <w:t xml:space="preserve">Somatrogon and </w:t>
      </w:r>
      <w:r w:rsidR="0001556B">
        <w:t xml:space="preserve">somapacitan </w:t>
      </w:r>
      <w:r w:rsidR="002D3F38">
        <w:t>are available as pre-filled pens</w:t>
      </w:r>
      <w:r w:rsidR="0001556B">
        <w:t xml:space="preserve">, whilst lonapegsomatropin </w:t>
      </w:r>
      <w:r w:rsidR="00330A2C">
        <w:t xml:space="preserve">is </w:t>
      </w:r>
      <w:r w:rsidR="00EC5BC0">
        <w:t xml:space="preserve">primarily sold in </w:t>
      </w:r>
      <w:r w:rsidR="006A1563">
        <w:t xml:space="preserve">dual-chamber </w:t>
      </w:r>
      <w:r w:rsidR="00EC5BC0">
        <w:t>cartr</w:t>
      </w:r>
      <w:r w:rsidR="006A1563">
        <w:t xml:space="preserve">idges for </w:t>
      </w:r>
      <w:r w:rsidR="00955A30">
        <w:t xml:space="preserve">reconstitution </w:t>
      </w:r>
      <w:r w:rsidR="00E11FC8">
        <w:t>via</w:t>
      </w:r>
      <w:r w:rsidR="00955A30">
        <w:t xml:space="preserve"> an auto-injector.</w:t>
      </w:r>
      <w:r w:rsidR="002D3F38">
        <w:t xml:space="preserve"> </w:t>
      </w:r>
      <w:r w:rsidR="006260A3">
        <w:t xml:space="preserve">All </w:t>
      </w:r>
      <w:r w:rsidR="005B064D">
        <w:t>3</w:t>
      </w:r>
      <w:r w:rsidR="006260A3">
        <w:t xml:space="preserve"> </w:t>
      </w:r>
      <w:r w:rsidR="009C3322">
        <w:t xml:space="preserve">substances </w:t>
      </w:r>
      <w:r w:rsidR="003F3583">
        <w:t xml:space="preserve">require </w:t>
      </w:r>
      <w:r w:rsidR="002D3F38">
        <w:t>once-weekly administration via subcutaneous injection</w:t>
      </w:r>
      <w:r w:rsidR="004E51AE">
        <w:t xml:space="preserve"> (</w:t>
      </w:r>
      <w:r w:rsidR="00145BD5">
        <w:t>Schedule 4, factor 2)</w:t>
      </w:r>
      <w:r w:rsidR="002D3F38">
        <w:t>.</w:t>
      </w:r>
    </w:p>
    <w:p w14:paraId="1D58F437" w14:textId="35472543" w:rsidR="006A0C2F" w:rsidRDefault="006A1C5E" w:rsidP="00B03B68">
      <w:r>
        <w:t xml:space="preserve">With reference to </w:t>
      </w:r>
      <w:r w:rsidR="006A0C2F">
        <w:t>s</w:t>
      </w:r>
      <w:r w:rsidR="00984DBC">
        <w:t>ection</w:t>
      </w:r>
      <w:r w:rsidR="006A0C2F">
        <w:t xml:space="preserve"> 52E(1)</w:t>
      </w:r>
      <w:r w:rsidR="00101E6B">
        <w:t>(e) of the Act</w:t>
      </w:r>
      <w:r w:rsidR="00E92521">
        <w:t>,</w:t>
      </w:r>
      <w:r w:rsidR="00FB1035">
        <w:t xml:space="preserve"> </w:t>
      </w:r>
      <w:r w:rsidR="00397BC9">
        <w:t>the in</w:t>
      </w:r>
      <w:r w:rsidR="00741678">
        <w:t>c</w:t>
      </w:r>
      <w:r w:rsidR="00397BC9">
        <w:t>l</w:t>
      </w:r>
      <w:r w:rsidR="00741678">
        <w:t xml:space="preserve">usion </w:t>
      </w:r>
      <w:r w:rsidR="00362AF5">
        <w:t xml:space="preserve">of somatrogon, lonapegsomatropin and somapacitan in </w:t>
      </w:r>
      <w:r w:rsidR="00741678">
        <w:t xml:space="preserve">Appendix D entries reflects their </w:t>
      </w:r>
      <w:r w:rsidR="000149D0">
        <w:t>potential for misuse and abuse</w:t>
      </w:r>
      <w:r w:rsidR="00204258">
        <w:t xml:space="preserve"> (Schedule 4, factor 3)</w:t>
      </w:r>
      <w:r w:rsidR="002A302A">
        <w:t xml:space="preserve">. </w:t>
      </w:r>
      <w:r w:rsidR="009F6204">
        <w:t>G</w:t>
      </w:r>
      <w:r w:rsidR="00241A82">
        <w:t>rowth hormones</w:t>
      </w:r>
      <w:r w:rsidR="007B73CD">
        <w:t xml:space="preserve"> </w:t>
      </w:r>
      <w:r w:rsidR="00D03F2C">
        <w:t xml:space="preserve">have been </w:t>
      </w:r>
      <w:r w:rsidR="001E2B3B">
        <w:t>reported to be used</w:t>
      </w:r>
      <w:r w:rsidR="00241A82">
        <w:t xml:space="preserve"> </w:t>
      </w:r>
      <w:r w:rsidR="00D03F2C">
        <w:t xml:space="preserve">in sports and bodybuilding </w:t>
      </w:r>
      <w:r w:rsidR="00241A82">
        <w:t>for their lipolytic and anabolic properties</w:t>
      </w:r>
      <w:r w:rsidR="00AF2743">
        <w:t xml:space="preserve">. The </w:t>
      </w:r>
      <w:r w:rsidR="00BC2DE6">
        <w:t xml:space="preserve">World Anti-Doping Agency </w:t>
      </w:r>
      <w:r w:rsidR="00D479AE">
        <w:t xml:space="preserve">includes </w:t>
      </w:r>
      <w:r w:rsidR="000149D0">
        <w:t xml:space="preserve">each of the </w:t>
      </w:r>
      <w:r w:rsidR="00AF7E03">
        <w:t>3</w:t>
      </w:r>
      <w:r w:rsidR="000149D0">
        <w:t xml:space="preserve"> substances on its </w:t>
      </w:r>
      <w:r w:rsidR="0058393E">
        <w:t xml:space="preserve">International Standard </w:t>
      </w:r>
      <w:r w:rsidR="000149D0">
        <w:t xml:space="preserve">Prohibited List under class </w:t>
      </w:r>
      <w:r w:rsidR="00284AF5">
        <w:t>S2</w:t>
      </w:r>
      <w:r w:rsidR="00673B24">
        <w:t xml:space="preserve">. </w:t>
      </w:r>
      <w:r w:rsidR="00D07DD7">
        <w:t xml:space="preserve">Illicit </w:t>
      </w:r>
      <w:r w:rsidR="00260D12">
        <w:t xml:space="preserve">possession </w:t>
      </w:r>
      <w:r w:rsidR="009C3035">
        <w:t>and use</w:t>
      </w:r>
      <w:r w:rsidR="00D07DD7">
        <w:t xml:space="preserve"> of </w:t>
      </w:r>
      <w:r w:rsidR="004675C0">
        <w:t xml:space="preserve">human </w:t>
      </w:r>
      <w:r w:rsidR="008B4E91">
        <w:t>growth hormones and their analogues</w:t>
      </w:r>
      <w:r w:rsidR="00664E82">
        <w:t xml:space="preserve"> </w:t>
      </w:r>
      <w:r w:rsidR="001A40BB">
        <w:t>pose a concern for both the TGA and law enforcement agencies</w:t>
      </w:r>
      <w:r w:rsidR="00050607">
        <w:t xml:space="preserve">. I </w:t>
      </w:r>
      <w:r w:rsidR="00C6659A">
        <w:t>agree with the Committee</w:t>
      </w:r>
      <w:r w:rsidR="006A154B">
        <w:t>’s stance</w:t>
      </w:r>
      <w:r w:rsidR="00050607">
        <w:t xml:space="preserve"> that </w:t>
      </w:r>
      <w:r w:rsidR="00B63C3C">
        <w:t>separate</w:t>
      </w:r>
      <w:r w:rsidR="00F44DFB">
        <w:t>ly</w:t>
      </w:r>
      <w:r w:rsidR="00B63C3C">
        <w:t xml:space="preserve"> </w:t>
      </w:r>
      <w:r w:rsidR="00A44CF4">
        <w:t xml:space="preserve">listing each of </w:t>
      </w:r>
      <w:r w:rsidR="00050607">
        <w:t>the</w:t>
      </w:r>
      <w:r w:rsidR="00B63C3C">
        <w:t>se 3</w:t>
      </w:r>
      <w:r w:rsidR="00050607">
        <w:t xml:space="preserve"> substances will </w:t>
      </w:r>
      <w:r w:rsidR="00124096">
        <w:t>supp</w:t>
      </w:r>
      <w:r w:rsidR="00EA02D6">
        <w:t>ort</w:t>
      </w:r>
      <w:r w:rsidR="00D912A9">
        <w:t xml:space="preserve"> </w:t>
      </w:r>
      <w:r w:rsidR="006D2AA6">
        <w:t>enforcement activities against</w:t>
      </w:r>
      <w:r w:rsidR="004F3C71">
        <w:t xml:space="preserve"> </w:t>
      </w:r>
      <w:r w:rsidR="006D2AA6">
        <w:t xml:space="preserve">illicit </w:t>
      </w:r>
      <w:r w:rsidR="000E2045">
        <w:t>possession</w:t>
      </w:r>
      <w:r w:rsidR="000F70A5">
        <w:t>, supply and use of the</w:t>
      </w:r>
      <w:r w:rsidR="005F6BCC">
        <w:t xml:space="preserve">se </w:t>
      </w:r>
      <w:r w:rsidR="006D2AA6">
        <w:t>substances</w:t>
      </w:r>
      <w:r w:rsidR="005F6BCC">
        <w:t>.</w:t>
      </w:r>
    </w:p>
    <w:p w14:paraId="315AAE83" w14:textId="70864ADE" w:rsidR="00721D38" w:rsidRPr="004672A7" w:rsidRDefault="000259D6" w:rsidP="00B03B68">
      <w:r>
        <w:t xml:space="preserve">Inclusion of </w:t>
      </w:r>
      <w:r w:rsidR="00786F53">
        <w:t xml:space="preserve">all </w:t>
      </w:r>
      <w:r w:rsidR="0038101F">
        <w:t xml:space="preserve">3 </w:t>
      </w:r>
      <w:r w:rsidR="00786F53">
        <w:t xml:space="preserve">substances </w:t>
      </w:r>
      <w:r w:rsidR="00D428BD">
        <w:t xml:space="preserve">in </w:t>
      </w:r>
      <w:r w:rsidR="0038101F">
        <w:t xml:space="preserve">Schedule 4 and Appendix D </w:t>
      </w:r>
      <w:r w:rsidR="3CB8BF54">
        <w:t>ensures</w:t>
      </w:r>
      <w:r w:rsidR="00786F53">
        <w:t xml:space="preserve"> that </w:t>
      </w:r>
      <w:r w:rsidR="00CD49A1">
        <w:t>the</w:t>
      </w:r>
      <w:r w:rsidR="00564183">
        <w:t>ir use remains</w:t>
      </w:r>
      <w:r w:rsidR="5D8C1FE7">
        <w:t xml:space="preserve"> safe and</w:t>
      </w:r>
      <w:r w:rsidR="00564183">
        <w:t xml:space="preserve"> </w:t>
      </w:r>
      <w:r w:rsidR="40709531">
        <w:t xml:space="preserve">professionally </w:t>
      </w:r>
      <w:r w:rsidR="00564183">
        <w:t>monitored</w:t>
      </w:r>
      <w:r w:rsidR="00503407">
        <w:t xml:space="preserve">. </w:t>
      </w:r>
      <w:r w:rsidR="00800FCF">
        <w:t xml:space="preserve">Noting the </w:t>
      </w:r>
      <w:r w:rsidR="00546A36">
        <w:t xml:space="preserve">need for medical supervision in diagnosing </w:t>
      </w:r>
      <w:r w:rsidR="00873798">
        <w:t xml:space="preserve">and treating growth hormone </w:t>
      </w:r>
      <w:r w:rsidR="00A31BE4">
        <w:t xml:space="preserve">deficiency, misuse potential of the 3 substances and </w:t>
      </w:r>
      <w:r w:rsidR="00454E96">
        <w:t xml:space="preserve">limited number of products available in the market, I have decided </w:t>
      </w:r>
      <w:r w:rsidR="009C3322">
        <w:t>that the decision should be implemented in the next Poisons Standard update</w:t>
      </w:r>
      <w:r w:rsidR="00454E96">
        <w:t>.</w:t>
      </w:r>
    </w:p>
    <w:p w14:paraId="2C0C0EE1" w14:textId="77777777" w:rsidR="00915A60" w:rsidRPr="00B03B68" w:rsidRDefault="00694D49" w:rsidP="00B96678">
      <w:pPr>
        <w:pStyle w:val="Heading4"/>
      </w:pPr>
      <w:bookmarkStart w:id="10" w:name="_Toc230034889"/>
      <w:r>
        <w:t>Proposed i</w:t>
      </w:r>
      <w:r w:rsidR="00915A60" w:rsidRPr="00B03B68">
        <w:t>mplementation date</w:t>
      </w:r>
      <w:bookmarkEnd w:id="10"/>
    </w:p>
    <w:p w14:paraId="65A38628" w14:textId="01B729C3" w:rsidR="00915A60" w:rsidRPr="00B03B68" w:rsidRDefault="0009349F" w:rsidP="00B03B68">
      <w:r>
        <w:t xml:space="preserve">1 </w:t>
      </w:r>
      <w:r w:rsidR="00545746">
        <w:t>October</w:t>
      </w:r>
      <w:r>
        <w:t xml:space="preserve"> 202</w:t>
      </w:r>
      <w:r w:rsidR="008D65D5">
        <w:t>6</w:t>
      </w:r>
    </w:p>
    <w:p w14:paraId="147B9D54" w14:textId="75A1DAE4" w:rsidR="003132D9" w:rsidRPr="00B03B68" w:rsidRDefault="003132D9" w:rsidP="00D779FB">
      <w:pPr>
        <w:pStyle w:val="Heading3"/>
      </w:pPr>
      <w:bookmarkStart w:id="11" w:name="_Toc230034890"/>
      <w:bookmarkEnd w:id="4"/>
      <w:bookmarkEnd w:id="5"/>
      <w:r w:rsidRPr="00B03B68">
        <w:t>Interim decision in relation to</w:t>
      </w:r>
      <w:r>
        <w:t xml:space="preserve"> 6-methylnicotine</w:t>
      </w:r>
      <w:bookmarkEnd w:id="11"/>
    </w:p>
    <w:p w14:paraId="654F6679" w14:textId="77777777" w:rsidR="003132D9" w:rsidRPr="00B03B68" w:rsidRDefault="003132D9" w:rsidP="003132D9">
      <w:pPr>
        <w:pStyle w:val="Heading4"/>
      </w:pPr>
      <w:bookmarkStart w:id="12" w:name="_Toc230034891"/>
      <w:r>
        <w:t>Proposal</w:t>
      </w:r>
      <w:bookmarkEnd w:id="12"/>
    </w:p>
    <w:p w14:paraId="5267C7E0" w14:textId="041248CD" w:rsidR="003132D9" w:rsidRDefault="003132D9" w:rsidP="00D779FB">
      <w:pPr>
        <w:spacing w:before="120" w:line="257" w:lineRule="auto"/>
      </w:pPr>
      <w:r w:rsidRPr="533767CA">
        <w:rPr>
          <w:rFonts w:eastAsia="Arial" w:cs="Arial"/>
        </w:rPr>
        <w:t>The Department of Health</w:t>
      </w:r>
      <w:r w:rsidR="00A93743">
        <w:rPr>
          <w:rFonts w:eastAsia="Arial" w:cs="Arial"/>
        </w:rPr>
        <w:t>, Disability</w:t>
      </w:r>
      <w:r w:rsidRPr="533767CA">
        <w:rPr>
          <w:rFonts w:eastAsia="Arial" w:cs="Arial"/>
        </w:rPr>
        <w:t xml:space="preserve"> and Age</w:t>
      </w:r>
      <w:r w:rsidR="00A93743">
        <w:rPr>
          <w:rFonts w:eastAsia="Arial" w:cs="Arial"/>
        </w:rPr>
        <w:t>ing</w:t>
      </w:r>
      <w:r w:rsidRPr="533767CA">
        <w:rPr>
          <w:rFonts w:eastAsia="Arial" w:cs="Arial"/>
        </w:rPr>
        <w:t xml:space="preserve"> proposed the creation of a Dangerous Poison (Schedule 7) entry for 6-methylnicotine. 6‑Methylnicotine has been reported to be present in several e-cigarette liquids being sold in Australia that are advertised as nicotine-free or a nicotine-alternative.</w:t>
      </w:r>
      <w:r w:rsidR="00D779FB">
        <w:rPr>
          <w:rStyle w:val="FootnoteReference"/>
          <w:rFonts w:eastAsia="Arial" w:cs="Arial"/>
        </w:rPr>
        <w:footnoteReference w:id="5"/>
      </w:r>
      <w:r w:rsidR="00D779FB">
        <w:rPr>
          <w:rFonts w:eastAsia="Arial" w:cs="Arial"/>
        </w:rPr>
        <w:t xml:space="preserve"> </w:t>
      </w:r>
      <w:r w:rsidRPr="533767CA">
        <w:rPr>
          <w:rFonts w:eastAsia="Arial" w:cs="Arial"/>
        </w:rPr>
        <w:t xml:space="preserve">There is evidence that 6-methylnicotine is also being added to preparations such as oral pouches. The proposal </w:t>
      </w:r>
      <w:r w:rsidR="00D779FB">
        <w:rPr>
          <w:rFonts w:eastAsia="Arial" w:cs="Arial"/>
        </w:rPr>
        <w:t>was</w:t>
      </w:r>
      <w:r w:rsidRPr="533767CA">
        <w:rPr>
          <w:rFonts w:eastAsia="Arial" w:cs="Arial"/>
        </w:rPr>
        <w:t xml:space="preserve"> initiated to mitigate the potential public health risks arising from 6‑methylnicotine.</w:t>
      </w:r>
    </w:p>
    <w:p w14:paraId="726BBF47" w14:textId="77777777" w:rsidR="003132D9" w:rsidRPr="00B03B68" w:rsidRDefault="003132D9" w:rsidP="003132D9">
      <w:pPr>
        <w:pStyle w:val="Heading4"/>
      </w:pPr>
      <w:bookmarkStart w:id="13" w:name="_Toc230034892"/>
      <w:r w:rsidRPr="00B03B68">
        <w:lastRenderedPageBreak/>
        <w:t>Interim decision</w:t>
      </w:r>
      <w:bookmarkEnd w:id="13"/>
    </w:p>
    <w:p w14:paraId="2A95FE01" w14:textId="0366D2CB" w:rsidR="003132D9" w:rsidRPr="00B03B68" w:rsidRDefault="003132D9" w:rsidP="003132D9">
      <w:r>
        <w:t>Pursuant to regulation 42ZCZN of the Regulations, the Delegate has, in relation to the proposed amendment, made an interim decision to amend the current Poisons Standard as follows:</w:t>
      </w:r>
      <w:r w:rsidR="00196C69">
        <w:rPr>
          <w:rStyle w:val="FootnoteReference"/>
        </w:rPr>
        <w:footnoteReference w:id="6"/>
      </w:r>
    </w:p>
    <w:p w14:paraId="573E45E7" w14:textId="77777777" w:rsidR="003132D9" w:rsidRPr="00DB3FF5" w:rsidRDefault="003132D9" w:rsidP="003132D9">
      <w:pPr>
        <w:ind w:left="426"/>
        <w:rPr>
          <w:b/>
          <w:bCs/>
          <w:lang w:eastAsia="en-AU"/>
        </w:rPr>
      </w:pPr>
      <w:r w:rsidRPr="00DB3FF5">
        <w:rPr>
          <w:b/>
          <w:bCs/>
        </w:rPr>
        <w:t>Schedule 9 – New entry</w:t>
      </w:r>
    </w:p>
    <w:p w14:paraId="0B0C8B15" w14:textId="77777777" w:rsidR="003132D9" w:rsidRPr="00256845" w:rsidRDefault="003132D9" w:rsidP="00EF783F">
      <w:pPr>
        <w:spacing w:before="120" w:line="240" w:lineRule="atLeast"/>
        <w:ind w:left="720"/>
        <w:rPr>
          <w:color w:val="00B050"/>
          <w:u w:val="single"/>
        </w:rPr>
      </w:pPr>
      <w:r w:rsidRPr="00256845">
        <w:rPr>
          <w:color w:val="00B050"/>
          <w:u w:val="single"/>
        </w:rPr>
        <w:t>6-METHYLNICOTINE</w:t>
      </w:r>
    </w:p>
    <w:p w14:paraId="7B406823" w14:textId="77777777" w:rsidR="003132D9" w:rsidRPr="00DB3FF5" w:rsidRDefault="003132D9" w:rsidP="003132D9">
      <w:pPr>
        <w:ind w:left="426"/>
        <w:rPr>
          <w:b/>
          <w:bCs/>
        </w:rPr>
      </w:pPr>
      <w:r w:rsidRPr="00DB3FF5">
        <w:rPr>
          <w:b/>
          <w:bCs/>
        </w:rPr>
        <w:t>Index – New entry</w:t>
      </w:r>
    </w:p>
    <w:p w14:paraId="5B033CA9" w14:textId="77777777" w:rsidR="00256845" w:rsidRPr="00256845" w:rsidRDefault="003132D9" w:rsidP="00256845">
      <w:pPr>
        <w:spacing w:before="120" w:line="240" w:lineRule="auto"/>
        <w:ind w:left="720"/>
        <w:rPr>
          <w:b/>
          <w:bCs/>
          <w:color w:val="00B050"/>
          <w:u w:val="single"/>
        </w:rPr>
      </w:pPr>
      <w:r w:rsidRPr="00256845">
        <w:rPr>
          <w:b/>
          <w:bCs/>
          <w:color w:val="00B050"/>
          <w:u w:val="single"/>
        </w:rPr>
        <w:t>6-METHYLNICOTINE</w:t>
      </w:r>
    </w:p>
    <w:p w14:paraId="7006E86C" w14:textId="739FF83D" w:rsidR="00F8262B" w:rsidRPr="00B81C73" w:rsidRDefault="003132D9" w:rsidP="00256845">
      <w:pPr>
        <w:spacing w:before="120" w:line="240" w:lineRule="auto"/>
        <w:ind w:left="720"/>
        <w:rPr>
          <w:color w:val="00B050"/>
        </w:rPr>
      </w:pPr>
      <w:r w:rsidRPr="00256845">
        <w:rPr>
          <w:color w:val="00B050"/>
          <w:u w:val="single"/>
        </w:rPr>
        <w:t>Cross-reference: CAS No. 13270-56-9</w:t>
      </w:r>
    </w:p>
    <w:p w14:paraId="0E672DAE" w14:textId="77777777" w:rsidR="003132D9" w:rsidRPr="00787E80" w:rsidRDefault="003132D9" w:rsidP="00256845">
      <w:pPr>
        <w:ind w:left="567" w:firstLine="142"/>
        <w:rPr>
          <w:color w:val="00B050"/>
          <w:u w:val="single"/>
        </w:rPr>
      </w:pPr>
      <w:r w:rsidRPr="533767CA">
        <w:rPr>
          <w:color w:val="00B050"/>
          <w:u w:val="single"/>
        </w:rPr>
        <w:t>Schedule 9</w:t>
      </w:r>
    </w:p>
    <w:p w14:paraId="27501799" w14:textId="77777777" w:rsidR="003132D9" w:rsidRPr="00B03B68" w:rsidRDefault="003132D9" w:rsidP="003132D9">
      <w:pPr>
        <w:pStyle w:val="Heading4"/>
      </w:pPr>
      <w:bookmarkStart w:id="14" w:name="_Toc230034893"/>
      <w:r w:rsidRPr="00B03B68">
        <w:t>Materials considered</w:t>
      </w:r>
      <w:bookmarkEnd w:id="14"/>
    </w:p>
    <w:p w14:paraId="46A60294" w14:textId="77777777" w:rsidR="003132D9" w:rsidRPr="00B03B68" w:rsidRDefault="003132D9" w:rsidP="003132D9">
      <w:r w:rsidRPr="00B03B68">
        <w:t>In making this interim decision, the Delegate considered the following material:</w:t>
      </w:r>
    </w:p>
    <w:p w14:paraId="69BDB1DE" w14:textId="2C71E9C9" w:rsidR="003132D9" w:rsidRPr="00B03B68" w:rsidRDefault="00256845" w:rsidP="00B81C73">
      <w:pPr>
        <w:pStyle w:val="ListBullet"/>
        <w:ind w:left="567" w:hanging="283"/>
      </w:pPr>
      <w:r>
        <w:t>t</w:t>
      </w:r>
      <w:r w:rsidR="003132D9">
        <w:t>he</w:t>
      </w:r>
      <w:sdt>
        <w:sdtPr>
          <w:alias w:val="Hyperlink to TGA website"/>
          <w:tag w:val="Hyperlink to TGA website"/>
          <w:id w:val="-341624049"/>
          <w:placeholder>
            <w:docPart w:val="B9471DBBB0594C70A333F9F7FBABB0DB"/>
          </w:placeholder>
        </w:sdtPr>
        <w:sdtEndPr/>
        <w:sdtContent>
          <w:r w:rsidR="003132D9">
            <w:t xml:space="preserve"> application</w:t>
          </w:r>
        </w:sdtContent>
      </w:sdt>
      <w:r w:rsidR="003132D9">
        <w:t xml:space="preserve"> to amend the current Poisons Standard with respect to </w:t>
      </w:r>
      <w:sdt>
        <w:sdtPr>
          <w:id w:val="-94568696"/>
          <w:placeholder>
            <w:docPart w:val="41C7287D82824A7D8F978AED29161D22"/>
          </w:placeholder>
        </w:sdtPr>
        <w:sdtEndPr/>
        <w:sdtContent>
          <w:r w:rsidR="003132D9">
            <w:t>6-methylnicotine</w:t>
          </w:r>
        </w:sdtContent>
      </w:sdt>
      <w:r w:rsidR="003132D9">
        <w:t xml:space="preserve"> (the </w:t>
      </w:r>
      <w:r w:rsidR="003132D9" w:rsidRPr="005A7D5D">
        <w:rPr>
          <w:b/>
          <w:bCs/>
        </w:rPr>
        <w:t>Application</w:t>
      </w:r>
      <w:r w:rsidR="003132D9">
        <w:t>)</w:t>
      </w:r>
    </w:p>
    <w:p w14:paraId="2D5D8424" w14:textId="30149256" w:rsidR="003132D9" w:rsidRPr="00B03B68" w:rsidRDefault="00256845" w:rsidP="00B81C73">
      <w:pPr>
        <w:pStyle w:val="ListBullet"/>
        <w:ind w:left="567" w:hanging="283"/>
      </w:pPr>
      <w:r>
        <w:t>t</w:t>
      </w:r>
      <w:sdt>
        <w:sdtPr>
          <w:id w:val="1453989548"/>
          <w:placeholder>
            <w:docPart w:val="237A5F6C5F754915B656227907912483"/>
          </w:placeholder>
        </w:sdtPr>
        <w:sdtEndPr/>
        <w:sdtContent>
          <w:r w:rsidR="003132D9">
            <w:t xml:space="preserve">he 163 </w:t>
          </w:r>
          <w:hyperlink r:id="rId23" w:history="1">
            <w:r w:rsidR="003132D9" w:rsidRPr="00A10980">
              <w:rPr>
                <w:rStyle w:val="Hyperlink"/>
              </w:rPr>
              <w:t>public submissions</w:t>
            </w:r>
          </w:hyperlink>
          <w:r w:rsidR="003132D9">
            <w:t xml:space="preserve">, with 9 including a written component, received in response to the </w:t>
          </w:r>
          <w:hyperlink r:id="rId24" w:history="1">
            <w:r w:rsidR="003132D9" w:rsidRPr="001E120A">
              <w:rPr>
                <w:rStyle w:val="Hyperlink"/>
              </w:rPr>
              <w:t>pre-meeting consultation</w:t>
            </w:r>
          </w:hyperlink>
          <w:r w:rsidR="003132D9">
            <w:t xml:space="preserve"> under regulation 42ZCZK of the Regulations</w:t>
          </w:r>
        </w:sdtContent>
      </w:sdt>
      <w:r w:rsidR="003132D9">
        <w:t xml:space="preserve"> (the </w:t>
      </w:r>
      <w:r w:rsidR="003132D9" w:rsidRPr="005A7D5D">
        <w:rPr>
          <w:b/>
          <w:bCs/>
        </w:rPr>
        <w:t>Submissions</w:t>
      </w:r>
      <w:r w:rsidR="003132D9">
        <w:t>)</w:t>
      </w:r>
    </w:p>
    <w:p w14:paraId="77A32188" w14:textId="221AD14E" w:rsidR="003132D9" w:rsidRPr="00B03B68" w:rsidRDefault="00256845" w:rsidP="00B81C73">
      <w:pPr>
        <w:pStyle w:val="ListBullet"/>
        <w:ind w:left="567" w:hanging="283"/>
      </w:pPr>
      <w:r>
        <w:t>t</w:t>
      </w:r>
      <w:sdt>
        <w:sdtPr>
          <w:id w:val="26307647"/>
          <w:placeholder>
            <w:docPart w:val="41C7287D82824A7D8F978AED29161D22"/>
          </w:placeholder>
        </w:sdtPr>
        <w:sdtEndPr>
          <w:rPr>
            <w:highlight w:val="yellow"/>
          </w:rPr>
        </w:sdtEndPr>
        <w:sdtContent>
          <w:r w:rsidR="003132D9">
            <w:t>he advice received from the 47</w:t>
          </w:r>
          <w:r w:rsidR="003132D9" w:rsidRPr="533767CA">
            <w:rPr>
              <w:vertAlign w:val="superscript"/>
            </w:rPr>
            <w:t>th</w:t>
          </w:r>
          <w:r w:rsidR="003132D9">
            <w:t xml:space="preserve"> meeting of the Advisory Committee on Medicines Scheduling</w:t>
          </w:r>
        </w:sdtContent>
      </w:sdt>
      <w:r w:rsidR="003132D9">
        <w:t xml:space="preserve"> (the </w:t>
      </w:r>
      <w:r w:rsidR="003132D9" w:rsidRPr="005A7D5D">
        <w:rPr>
          <w:b/>
          <w:bCs/>
        </w:rPr>
        <w:t>Committee)</w:t>
      </w:r>
    </w:p>
    <w:p w14:paraId="484A510C" w14:textId="289D5E4D" w:rsidR="003132D9" w:rsidRPr="00B03B68" w:rsidRDefault="00256845" w:rsidP="00B81C73">
      <w:pPr>
        <w:pStyle w:val="ListBullet"/>
        <w:ind w:left="567" w:hanging="283"/>
      </w:pPr>
      <w:r>
        <w:t>s</w:t>
      </w:r>
      <w:r w:rsidR="003132D9" w:rsidRPr="00B03B68">
        <w:t>ubsection 52E(1) of the Act, in particular (a) risks and benefits of the use of a substance; (b) the purposes for which a substance is to be used and the extent of use of a substance; (c) the toxicity of a substance; (d) the dosage, formulation, labelling, packaging and presentation of a substance; (e) the potential for abuse of a substance; and (f) any other matters that the Secretary considers necessary to protect public health</w:t>
      </w:r>
    </w:p>
    <w:p w14:paraId="66140FE6" w14:textId="42EBA20C" w:rsidR="003132D9" w:rsidRPr="00B03B68" w:rsidRDefault="00256845" w:rsidP="00B81C73">
      <w:pPr>
        <w:pStyle w:val="ListBullet"/>
        <w:ind w:left="567" w:hanging="283"/>
      </w:pPr>
      <w:r>
        <w:t>t</w:t>
      </w:r>
      <w:r w:rsidR="003132D9" w:rsidRPr="00B03B68">
        <w:t>he SPF, and</w:t>
      </w:r>
    </w:p>
    <w:p w14:paraId="2AB2E2E4" w14:textId="7E085AC7" w:rsidR="003132D9" w:rsidRPr="00B03B68" w:rsidRDefault="00256845" w:rsidP="00B81C73">
      <w:pPr>
        <w:pStyle w:val="ListBullet"/>
        <w:ind w:left="567" w:hanging="283"/>
      </w:pPr>
      <w:r>
        <w:t>t</w:t>
      </w:r>
      <w:r w:rsidR="003132D9" w:rsidRPr="00B03B68">
        <w:t>he Handbook.</w:t>
      </w:r>
    </w:p>
    <w:p w14:paraId="2BB713BB" w14:textId="77777777" w:rsidR="003132D9" w:rsidRPr="00B03B68" w:rsidRDefault="003132D9" w:rsidP="003132D9">
      <w:pPr>
        <w:pStyle w:val="Heading4"/>
      </w:pPr>
      <w:bookmarkStart w:id="15" w:name="_Toc230034894"/>
      <w:r w:rsidRPr="00B03B68">
        <w:t>Summary of Committee advice to the Delegate</w:t>
      </w:r>
      <w:bookmarkEnd w:id="15"/>
    </w:p>
    <w:p w14:paraId="297CAAAD" w14:textId="1EC0D18D" w:rsidR="003132D9" w:rsidRPr="004860AC" w:rsidRDefault="003132D9" w:rsidP="003132D9">
      <w:r>
        <w:t xml:space="preserve">The Committee recommended the creation of a new Prohibited substance (Schedule 9) entry for </w:t>
      </w:r>
      <w:r>
        <w:br/>
        <w:t xml:space="preserve">6-methylnicotine in the Poisons Standard. This advice was based on the </w:t>
      </w:r>
      <w:r w:rsidR="00C90B17">
        <w:t>substance’s</w:t>
      </w:r>
      <w:r>
        <w:t xml:space="preserve"> high potency, acute toxicity, increased potential for addiction, and its emerging use in consumer products marketed as nicotine-free alternatives. The Committee expressed concerns about misleading safety claims and the appeal of such products to vulnerable populations, including younger users.</w:t>
      </w:r>
    </w:p>
    <w:p w14:paraId="2EAC7C1A" w14:textId="79B286F4" w:rsidR="003132D9" w:rsidRPr="00B03B68" w:rsidRDefault="003132D9" w:rsidP="003132D9">
      <w:r w:rsidRPr="00B03B68">
        <w:t>Members agreed that the relevant matters under subsection 52E(1) of the Act included: (a) risks and benefits of the use of a substance; (b) the purposes for which a substance is to be used and the extent of use of a substance; (c) the toxicity of a substance; (d) the dosage, formulation, labelling, packaging and presentation of a substance; (e) the potential for abuse of a substance; and (f) any other matters that the Secretary considers necessary to protect public health</w:t>
      </w:r>
      <w:r>
        <w:t>.</w:t>
      </w:r>
    </w:p>
    <w:p w14:paraId="5572A1EA" w14:textId="77777777" w:rsidR="00A93743" w:rsidRDefault="00A93743">
      <w:r>
        <w:br w:type="page"/>
      </w:r>
    </w:p>
    <w:p w14:paraId="2A21AF56" w14:textId="4C7F948C" w:rsidR="003132D9" w:rsidRPr="00B03B68" w:rsidRDefault="003132D9" w:rsidP="003132D9">
      <w:r>
        <w:lastRenderedPageBreak/>
        <w:t>The reasons for the advice included:</w:t>
      </w:r>
    </w:p>
    <w:p w14:paraId="6950516D" w14:textId="77777777" w:rsidR="003132D9" w:rsidRDefault="003132D9" w:rsidP="001F77DA">
      <w:pPr>
        <w:pStyle w:val="Heading5"/>
        <w:numPr>
          <w:ilvl w:val="0"/>
          <w:numId w:val="83"/>
        </w:numPr>
      </w:pPr>
      <w:r w:rsidRPr="00B03B68">
        <w:t>the risks and benefits of the use of a substance</w:t>
      </w:r>
    </w:p>
    <w:p w14:paraId="4950C4F9" w14:textId="2EC45677" w:rsidR="003132D9" w:rsidRDefault="003132D9" w:rsidP="003132D9">
      <w:pPr>
        <w:pStyle w:val="Heading6"/>
      </w:pPr>
      <w:r w:rsidRPr="00B03B68">
        <w:t>Risks</w:t>
      </w:r>
    </w:p>
    <w:p w14:paraId="3AA16065" w14:textId="4A5F9044" w:rsidR="003132D9" w:rsidRDefault="003132D9" w:rsidP="003132D9">
      <w:pPr>
        <w:pStyle w:val="ListBullet2"/>
      </w:pPr>
      <w:r>
        <w:t>6-methylnicotine is between 2 and 5 times more potent than nicotine and therefore may lead to increased risks of harm at lower doses</w:t>
      </w:r>
      <w:r w:rsidR="007C063C">
        <w:t>.</w:t>
      </w:r>
    </w:p>
    <w:p w14:paraId="5BFBD7A9" w14:textId="170BF5BD" w:rsidR="003132D9" w:rsidRDefault="003132D9" w:rsidP="008A6CC9">
      <w:pPr>
        <w:pStyle w:val="ListBullet2"/>
      </w:pPr>
      <w:r>
        <w:t>6-methylnicotine poses toxicity risks including potential to increase the risk of damage to lung cells, including via cancer pathways</w:t>
      </w:r>
      <w:r w:rsidR="007C063C">
        <w:t>.</w:t>
      </w:r>
    </w:p>
    <w:p w14:paraId="31FC38C3" w14:textId="06CA8117" w:rsidR="003132D9" w:rsidRDefault="003132D9" w:rsidP="008A6CC9">
      <w:pPr>
        <w:pStyle w:val="ListBullet2"/>
      </w:pPr>
      <w:r>
        <w:t xml:space="preserve">There is greater potential to damage from </w:t>
      </w:r>
      <w:r w:rsidR="00791998" w:rsidRPr="00791998">
        <w:rPr>
          <w:lang w:val="en-US"/>
        </w:rPr>
        <w:t xml:space="preserve">reactive oxygen species </w:t>
      </w:r>
      <w:r w:rsidR="00791998">
        <w:rPr>
          <w:lang w:val="en-US"/>
        </w:rPr>
        <w:t>(</w:t>
      </w:r>
      <w:r>
        <w:t>ROS</w:t>
      </w:r>
      <w:r w:rsidR="00791998">
        <w:t>)</w:t>
      </w:r>
      <w:r>
        <w:t xml:space="preserve"> generated during heating</w:t>
      </w:r>
      <w:r w:rsidR="008A6CC9">
        <w:t>.</w:t>
      </w:r>
    </w:p>
    <w:p w14:paraId="74D762BE" w14:textId="25448123" w:rsidR="003132D9" w:rsidRDefault="003132D9" w:rsidP="003132D9">
      <w:pPr>
        <w:pStyle w:val="Heading6"/>
      </w:pPr>
      <w:r w:rsidRPr="00B03B68">
        <w:t>Benefits</w:t>
      </w:r>
    </w:p>
    <w:p w14:paraId="05F401FF" w14:textId="77777777" w:rsidR="003132D9" w:rsidRPr="00572A47" w:rsidRDefault="003132D9" w:rsidP="003132D9">
      <w:pPr>
        <w:pStyle w:val="ListBullet2"/>
      </w:pPr>
      <w:r>
        <w:t>No identified benefits.</w:t>
      </w:r>
    </w:p>
    <w:p w14:paraId="7CFD478F" w14:textId="77777777" w:rsidR="003132D9" w:rsidRPr="00B03B68" w:rsidRDefault="003132D9" w:rsidP="001F77DA">
      <w:pPr>
        <w:pStyle w:val="Heading5"/>
      </w:pPr>
      <w:r w:rsidRPr="00B03B68">
        <w:t>the purposes for which a substance is to be used and the extent of use of a substance</w:t>
      </w:r>
    </w:p>
    <w:p w14:paraId="1BAF346F" w14:textId="654C1054" w:rsidR="003132D9" w:rsidRDefault="003132D9" w:rsidP="003132D9">
      <w:pPr>
        <w:pStyle w:val="ListBullet2"/>
      </w:pPr>
      <w:r>
        <w:t xml:space="preserve">There is no evidence for </w:t>
      </w:r>
      <w:r w:rsidR="007C063C">
        <w:t xml:space="preserve">the </w:t>
      </w:r>
      <w:r>
        <w:t>therapeutic use</w:t>
      </w:r>
      <w:r w:rsidR="007C063C">
        <w:t xml:space="preserve"> or </w:t>
      </w:r>
      <w:r>
        <w:t>efficacy of 6-methylnicotine in smoking cessation</w:t>
      </w:r>
    </w:p>
    <w:p w14:paraId="2B7B46FD" w14:textId="22A15A8E" w:rsidR="003132D9" w:rsidRDefault="003132D9" w:rsidP="003132D9">
      <w:pPr>
        <w:pStyle w:val="ListBullet2"/>
      </w:pPr>
      <w:r>
        <w:t>No known use in industry</w:t>
      </w:r>
      <w:r w:rsidR="008A6CC9">
        <w:t>.</w:t>
      </w:r>
    </w:p>
    <w:p w14:paraId="335F2862" w14:textId="77777777" w:rsidR="003132D9" w:rsidRPr="00B03B68" w:rsidRDefault="003132D9" w:rsidP="001F77DA">
      <w:pPr>
        <w:pStyle w:val="Heading5"/>
      </w:pPr>
      <w:r w:rsidRPr="00B03B68">
        <w:t>the toxicity of a substance</w:t>
      </w:r>
    </w:p>
    <w:p w14:paraId="649D1496" w14:textId="127D41C1" w:rsidR="003132D9" w:rsidRDefault="003132D9" w:rsidP="003132D9">
      <w:pPr>
        <w:pStyle w:val="ListBullet2"/>
      </w:pPr>
      <w:r>
        <w:t>Human bronchial epithelial cells exposed to 6-methylnicotine, demonstrated a significant increase in cytotoxicity and intracellular ROS induction in a dose-specific manner compared to nicotine</w:t>
      </w:r>
      <w:r w:rsidR="00FB55CA">
        <w:t>.</w:t>
      </w:r>
    </w:p>
    <w:p w14:paraId="5A369EB2" w14:textId="77777777" w:rsidR="008A6CC9" w:rsidRDefault="003132D9" w:rsidP="008A6CC9">
      <w:pPr>
        <w:pStyle w:val="ListBullet2"/>
      </w:pPr>
      <w:r>
        <w:t>The European Chemicals Agency considers 6-methyl nicotine to be acutely toxic.</w:t>
      </w:r>
    </w:p>
    <w:p w14:paraId="1AE40B02" w14:textId="391CDF4F" w:rsidR="003132D9" w:rsidRDefault="008A6CC9" w:rsidP="008A6CC9">
      <w:pPr>
        <w:pStyle w:val="ListBullet2"/>
      </w:pPr>
      <w:r>
        <w:t>Concerns regarding psychotropic effects.</w:t>
      </w:r>
    </w:p>
    <w:p w14:paraId="39870366" w14:textId="77777777" w:rsidR="003132D9" w:rsidRPr="00B03B68" w:rsidRDefault="003132D9" w:rsidP="001F77DA">
      <w:pPr>
        <w:pStyle w:val="Heading5"/>
      </w:pPr>
      <w:r w:rsidRPr="00B03B68">
        <w:t>the dosage, formulation, labelling, packaging and presentation of a substance</w:t>
      </w:r>
    </w:p>
    <w:p w14:paraId="0B9A3853" w14:textId="6A5033AC" w:rsidR="003132D9" w:rsidRDefault="00921443" w:rsidP="003132D9">
      <w:pPr>
        <w:pStyle w:val="ListBullet2"/>
      </w:pPr>
      <w:r w:rsidRPr="00DB3FF5">
        <w:t>There are no substances containing 6-methylnicotine available on the ARTG</w:t>
      </w:r>
      <w:r w:rsidR="00FB55CA">
        <w:t>.</w:t>
      </w:r>
    </w:p>
    <w:p w14:paraId="366F7A94" w14:textId="77777777" w:rsidR="003132D9" w:rsidRDefault="003132D9" w:rsidP="003132D9">
      <w:pPr>
        <w:pStyle w:val="ListBullet2"/>
      </w:pPr>
      <w:r>
        <w:t>Present in unregulated pouches, vaping products and e-liquids. Often presented as nicotine free alternatives or safer alternatives to conventional nicotine.</w:t>
      </w:r>
    </w:p>
    <w:p w14:paraId="6DBE62F8" w14:textId="77777777" w:rsidR="003132D9" w:rsidRPr="00B03B68" w:rsidRDefault="003132D9" w:rsidP="001F77DA">
      <w:pPr>
        <w:pStyle w:val="Heading5"/>
      </w:pPr>
      <w:r w:rsidRPr="00B03B68">
        <w:t>the potential for abuse of a substance</w:t>
      </w:r>
    </w:p>
    <w:p w14:paraId="42770AFB" w14:textId="5A516CBF" w:rsidR="003132D9" w:rsidRDefault="00921443" w:rsidP="003132D9">
      <w:pPr>
        <w:pStyle w:val="ListBullet2"/>
      </w:pPr>
      <w:r w:rsidRPr="00DB3FF5">
        <w:t xml:space="preserve">Evidence suggests 6-methylnicotine is potentially more addictive than nicotine, thereby has potential for </w:t>
      </w:r>
      <w:r>
        <w:t xml:space="preserve">misuse or </w:t>
      </w:r>
      <w:r w:rsidRPr="00DB3FF5">
        <w:t>abuse.</w:t>
      </w:r>
    </w:p>
    <w:p w14:paraId="6BED1CD7" w14:textId="77777777" w:rsidR="003132D9" w:rsidRDefault="003132D9" w:rsidP="001F77DA">
      <w:pPr>
        <w:pStyle w:val="Heading5"/>
      </w:pPr>
      <w:r w:rsidRPr="00B03B68">
        <w:t>any other matters that the Secretary considers necessary to protect public health</w:t>
      </w:r>
    </w:p>
    <w:p w14:paraId="02786643" w14:textId="707D6171" w:rsidR="003132D9" w:rsidRDefault="003132D9" w:rsidP="003132D9">
      <w:pPr>
        <w:pStyle w:val="ListBullet2"/>
      </w:pPr>
      <w:r>
        <w:t>Consideration of how a class-based approach to scheduling nicotine analogues could occur</w:t>
      </w:r>
      <w:r w:rsidR="00FB55CA">
        <w:t>.</w:t>
      </w:r>
    </w:p>
    <w:p w14:paraId="0EAC94E1" w14:textId="21DB2DEB" w:rsidR="008A6CC9" w:rsidRDefault="003132D9" w:rsidP="008A6CC9">
      <w:pPr>
        <w:pStyle w:val="ListBullet2"/>
      </w:pPr>
      <w:r>
        <w:t>6-methylnicotine is not permitted for use in vaping products as per TGO 110 order</w:t>
      </w:r>
      <w:r w:rsidR="00FB55CA">
        <w:t>.</w:t>
      </w:r>
    </w:p>
    <w:p w14:paraId="16088F50" w14:textId="15101A6C" w:rsidR="003132D9" w:rsidRDefault="003132D9" w:rsidP="008A6CC9">
      <w:pPr>
        <w:pStyle w:val="ListBullet2"/>
      </w:pPr>
      <w:r>
        <w:t>Enforcement challenges need to be considered</w:t>
      </w:r>
      <w:r w:rsidR="00FB55CA">
        <w:t>.</w:t>
      </w:r>
    </w:p>
    <w:p w14:paraId="6CA17582" w14:textId="25D26A24" w:rsidR="003132D9" w:rsidRDefault="003132D9" w:rsidP="008A6CC9">
      <w:pPr>
        <w:pStyle w:val="ListBullet2"/>
      </w:pPr>
      <w:r>
        <w:t>Consider research uses</w:t>
      </w:r>
      <w:r w:rsidR="00FB55CA">
        <w:t>.</w:t>
      </w:r>
    </w:p>
    <w:p w14:paraId="10D35F67" w14:textId="30174C21" w:rsidR="003132D9" w:rsidRDefault="003132D9" w:rsidP="008A6CC9">
      <w:pPr>
        <w:pStyle w:val="ListBullet2"/>
      </w:pPr>
      <w:r>
        <w:t>Use in younger people could be a gateway to use of tobacco and other nicotine products and their associated harms</w:t>
      </w:r>
      <w:r w:rsidR="008A6CC9">
        <w:t>.</w:t>
      </w:r>
    </w:p>
    <w:p w14:paraId="17FFA1ED" w14:textId="77777777" w:rsidR="003132D9" w:rsidRPr="00B03B68" w:rsidRDefault="003132D9" w:rsidP="003132D9">
      <w:pPr>
        <w:pStyle w:val="Heading4"/>
      </w:pPr>
      <w:bookmarkStart w:id="16" w:name="_Toc230034895"/>
      <w:r w:rsidRPr="00B03B68">
        <w:lastRenderedPageBreak/>
        <w:t>Reasons for the interim decision (including findings on material questions of fact)</w:t>
      </w:r>
      <w:bookmarkEnd w:id="16"/>
    </w:p>
    <w:p w14:paraId="44F3BAB8" w14:textId="00B88591" w:rsidR="003132D9" w:rsidRPr="002C6F29" w:rsidRDefault="003132D9" w:rsidP="003132D9">
      <w:pPr>
        <w:rPr>
          <w:rFonts w:cs="Arial"/>
        </w:rPr>
      </w:pPr>
      <w:r w:rsidRPr="533767CA">
        <w:rPr>
          <w:rFonts w:cs="Arial"/>
        </w:rPr>
        <w:t>I agree with the Committee's findings on the relevant provisions of section 52E of the Act and its recommendation to create a new Prohibited substance (Schedule 9) entry for 6-methylnicotine in the Poisons Standard.</w:t>
      </w:r>
    </w:p>
    <w:p w14:paraId="554EF278" w14:textId="660B4B3C" w:rsidR="003132D9" w:rsidRPr="002C6F29" w:rsidRDefault="003132D9" w:rsidP="003132D9">
      <w:pPr>
        <w:rPr>
          <w:rFonts w:cs="Arial"/>
        </w:rPr>
      </w:pPr>
      <w:r w:rsidRPr="002C6F29">
        <w:rPr>
          <w:rFonts w:cs="Arial"/>
        </w:rPr>
        <w:t>I have considered the 163 public submissions received during the pre-meeting consultation period</w:t>
      </w:r>
      <w:r w:rsidR="009904DB">
        <w:rPr>
          <w:rFonts w:cs="Arial"/>
        </w:rPr>
        <w:t>, 148 of which were</w:t>
      </w:r>
      <w:r w:rsidRPr="002C6F29">
        <w:rPr>
          <w:rFonts w:cs="Arial"/>
        </w:rPr>
        <w:t xml:space="preserve"> fully supportive of the </w:t>
      </w:r>
      <w:r w:rsidR="0076757D">
        <w:rPr>
          <w:rFonts w:cs="Arial"/>
        </w:rPr>
        <w:t xml:space="preserve">original </w:t>
      </w:r>
      <w:r w:rsidRPr="002C6F29">
        <w:rPr>
          <w:rFonts w:cs="Arial"/>
        </w:rPr>
        <w:t>proposal</w:t>
      </w:r>
      <w:r w:rsidR="0076757D">
        <w:rPr>
          <w:rFonts w:cs="Arial"/>
        </w:rPr>
        <w:t xml:space="preserve"> to classify the substance as a Dangerous Poison (Schedule 7)</w:t>
      </w:r>
      <w:r w:rsidRPr="002C6F29">
        <w:rPr>
          <w:rFonts w:cs="Arial"/>
        </w:rPr>
        <w:t xml:space="preserve">, 14 partially supportive and 1 opposed. </w:t>
      </w:r>
      <w:r w:rsidR="009904DB">
        <w:rPr>
          <w:rFonts w:cs="Arial"/>
        </w:rPr>
        <w:t>Nine public submissions provided written justifications</w:t>
      </w:r>
      <w:r w:rsidRPr="002C6F29">
        <w:rPr>
          <w:rFonts w:cs="Arial"/>
        </w:rPr>
        <w:t xml:space="preserve"> citing concerns about toxicity, addictiveness, and lack of therapeutic benefit. </w:t>
      </w:r>
      <w:r w:rsidR="009904DB" w:rsidRPr="002C6F29">
        <w:rPr>
          <w:rFonts w:cs="Arial"/>
        </w:rPr>
        <w:t>Interested parties were also given the option to indicate support or opposition without providing written comments. These responses were counted toward overall support but did not include reasons, limiting the extent of my consideration to noting that the majority were in favour of the scheduling proposal.</w:t>
      </w:r>
      <w:r w:rsidR="009904DB">
        <w:rPr>
          <w:rFonts w:cs="Arial"/>
        </w:rPr>
        <w:t xml:space="preserve"> </w:t>
      </w:r>
      <w:r w:rsidRPr="002C6F29">
        <w:rPr>
          <w:rFonts w:cs="Arial"/>
        </w:rPr>
        <w:t>These submissions reinforced the Committee’s advice that urgent regulatory action is necessary.</w:t>
      </w:r>
    </w:p>
    <w:p w14:paraId="5B9D4B19" w14:textId="27BCA7E8" w:rsidR="003132D9" w:rsidRPr="000B68FA" w:rsidRDefault="003132D9" w:rsidP="003132D9">
      <w:pPr>
        <w:rPr>
          <w:rFonts w:cs="Arial"/>
          <w:lang w:val="en-US"/>
        </w:rPr>
      </w:pPr>
      <w:r w:rsidRPr="533767CA">
        <w:rPr>
          <w:rFonts w:cs="Arial"/>
        </w:rPr>
        <w:t xml:space="preserve">In assessing the </w:t>
      </w:r>
      <w:r w:rsidR="009904DB">
        <w:rPr>
          <w:rFonts w:cs="Arial"/>
        </w:rPr>
        <w:t>matters</w:t>
      </w:r>
      <w:r w:rsidRPr="533767CA">
        <w:rPr>
          <w:rFonts w:cs="Arial"/>
        </w:rPr>
        <w:t xml:space="preserve"> under </w:t>
      </w:r>
      <w:r w:rsidR="009904DB">
        <w:rPr>
          <w:rFonts w:cs="Arial"/>
        </w:rPr>
        <w:t>sections</w:t>
      </w:r>
      <w:r w:rsidRPr="533767CA">
        <w:rPr>
          <w:rFonts w:cs="Arial"/>
        </w:rPr>
        <w:t xml:space="preserve"> 52E(1)(a) and (c), I agree with the Committee that </w:t>
      </w:r>
      <w:r w:rsidR="009904DB">
        <w:t>6-methylnicotine</w:t>
      </w:r>
      <w:r w:rsidRPr="533767CA">
        <w:rPr>
          <w:rFonts w:cs="Arial"/>
        </w:rPr>
        <w:t xml:space="preserve"> is a synthetic analogue of nicotine rather than a derivative</w:t>
      </w:r>
      <w:r w:rsidRPr="533767CA">
        <w:rPr>
          <w:rFonts w:asciiTheme="minorHAnsi" w:eastAsiaTheme="minorEastAsia" w:hAnsiTheme="minorHAnsi"/>
          <w:sz w:val="22"/>
          <w:szCs w:val="22"/>
          <w:lang w:val="en-US"/>
        </w:rPr>
        <w:t xml:space="preserve">. </w:t>
      </w:r>
      <w:r w:rsidRPr="533767CA">
        <w:rPr>
          <w:rFonts w:cs="Arial"/>
          <w:lang w:val="en-US"/>
        </w:rPr>
        <w:t xml:space="preserve">Evidence </w:t>
      </w:r>
      <w:r w:rsidR="00774429">
        <w:rPr>
          <w:rFonts w:cs="Arial"/>
          <w:lang w:val="en-US"/>
        </w:rPr>
        <w:t>supports</w:t>
      </w:r>
      <w:r w:rsidR="00774429" w:rsidRPr="533767CA">
        <w:rPr>
          <w:rFonts w:cs="Arial"/>
          <w:lang w:val="en-US"/>
        </w:rPr>
        <w:t xml:space="preserve"> </w:t>
      </w:r>
      <w:r w:rsidRPr="533767CA">
        <w:rPr>
          <w:rFonts w:cs="Arial"/>
          <w:lang w:val="en-US"/>
        </w:rPr>
        <w:t xml:space="preserve">that it poses a substantially greater health hazard than nicotine. Functional activity studies show stronger binding to nicotinic cholinergic receptors, with estimates of </w:t>
      </w:r>
      <w:r w:rsidR="004421EA">
        <w:rPr>
          <w:rFonts w:cs="Arial"/>
          <w:lang w:val="en-US"/>
        </w:rPr>
        <w:t>2–5</w:t>
      </w:r>
      <w:r w:rsidRPr="533767CA">
        <w:rPr>
          <w:rFonts w:cs="Arial"/>
          <w:lang w:val="en-US"/>
        </w:rPr>
        <w:t xml:space="preserve"> times greater potency and significantly increased psychotropic effects.</w:t>
      </w:r>
      <w:r w:rsidR="00946FCA">
        <w:rPr>
          <w:rStyle w:val="FootnoteReference"/>
          <w:rFonts w:cs="Arial"/>
          <w:lang w:val="en-US"/>
        </w:rPr>
        <w:footnoteReference w:id="7"/>
      </w:r>
      <w:r w:rsidRPr="533767CA">
        <w:rPr>
          <w:rFonts w:cs="Arial"/>
          <w:lang w:val="en-US"/>
        </w:rPr>
        <w:t xml:space="preserve"> Toxicological research reveals elevated ROS, oxidative stress, and DNA damage, raising serious concerns about carcinogenic pathways.</w:t>
      </w:r>
      <w:r w:rsidR="00946FCA">
        <w:rPr>
          <w:rStyle w:val="FootnoteReference"/>
          <w:rFonts w:cs="Arial"/>
          <w:lang w:val="en-US"/>
        </w:rPr>
        <w:footnoteReference w:id="8"/>
      </w:r>
      <w:r w:rsidR="00946FCA" w:rsidRPr="533767CA">
        <w:rPr>
          <w:rFonts w:cs="Arial"/>
          <w:lang w:val="en-US"/>
        </w:rPr>
        <w:t xml:space="preserve"> </w:t>
      </w:r>
      <w:r w:rsidRPr="533767CA">
        <w:rPr>
          <w:rFonts w:cs="Arial"/>
          <w:lang w:val="en-US"/>
        </w:rPr>
        <w:t xml:space="preserve">Thermal breakdown in e-cigarette liquids produces elevated levels of cytotoxic compounds and ROS, resulting in greater cellular damage compared to nicotine. The </w:t>
      </w:r>
      <w:hyperlink r:id="rId25" w:history="1">
        <w:r w:rsidR="00946FCA" w:rsidRPr="002A0EC1">
          <w:rPr>
            <w:rStyle w:val="Hyperlink"/>
          </w:rPr>
          <w:t>European Chemicals Agency</w:t>
        </w:r>
      </w:hyperlink>
      <w:r w:rsidR="00946FCA">
        <w:t xml:space="preserve"> </w:t>
      </w:r>
      <w:r w:rsidRPr="533767CA">
        <w:rPr>
          <w:rFonts w:cs="Arial"/>
          <w:lang w:val="en-US"/>
        </w:rPr>
        <w:t>classifies 6-methylnicotine as acutely toxic, and animal studies confirm lower median lethal doses than nicotine. There are no identified therapeutic benefits, and the risks outweigh any claims of safety.</w:t>
      </w:r>
    </w:p>
    <w:p w14:paraId="3C56DBF8" w14:textId="7427E42A" w:rsidR="003132D9" w:rsidRPr="00FD20A7" w:rsidRDefault="003132D9" w:rsidP="003132D9">
      <w:pPr>
        <w:rPr>
          <w:rFonts w:cs="Arial"/>
          <w:lang w:val="en-US"/>
        </w:rPr>
      </w:pPr>
      <w:r w:rsidRPr="533767CA">
        <w:rPr>
          <w:rFonts w:cs="Arial"/>
        </w:rPr>
        <w:t>With respect to s</w:t>
      </w:r>
      <w:r w:rsidR="009904DB">
        <w:rPr>
          <w:rFonts w:cs="Arial"/>
        </w:rPr>
        <w:t xml:space="preserve">ection </w:t>
      </w:r>
      <w:r w:rsidRPr="533767CA">
        <w:rPr>
          <w:rFonts w:cs="Arial"/>
        </w:rPr>
        <w:t xml:space="preserve">52E(1)(b), I note that </w:t>
      </w:r>
      <w:r w:rsidRPr="533767CA">
        <w:rPr>
          <w:rFonts w:cs="Arial"/>
          <w:lang w:val="en-US"/>
        </w:rPr>
        <w:t xml:space="preserve">there is no evidence of approved therapeutic use or efficacy for 6-methylnicotine. Despite this, it has been detected in </w:t>
      </w:r>
      <w:r w:rsidR="007C063C">
        <w:rPr>
          <w:rFonts w:cs="Arial"/>
          <w:lang w:val="en-US"/>
        </w:rPr>
        <w:t>unapproved</w:t>
      </w:r>
      <w:r w:rsidR="007C063C" w:rsidRPr="533767CA">
        <w:rPr>
          <w:rFonts w:cs="Arial"/>
          <w:lang w:val="en-US"/>
        </w:rPr>
        <w:t xml:space="preserve"> </w:t>
      </w:r>
      <w:r w:rsidRPr="533767CA">
        <w:rPr>
          <w:rFonts w:cs="Arial"/>
          <w:lang w:val="en-US"/>
        </w:rPr>
        <w:t>consumer products such as oral pouches and vaping liquids, often marketed as “nicotine-free” alternatives. These products are increasingly accessible and used recreationally, particularly among younger demographics, indicating a growing extent of use without any approved medical purpose.</w:t>
      </w:r>
    </w:p>
    <w:p w14:paraId="5E112B1C" w14:textId="60246A0F" w:rsidR="009904DB" w:rsidRDefault="003132D9" w:rsidP="003132D9">
      <w:pPr>
        <w:rPr>
          <w:rFonts w:cs="Arial"/>
        </w:rPr>
      </w:pPr>
      <w:r w:rsidRPr="533767CA">
        <w:rPr>
          <w:rFonts w:cs="Arial"/>
        </w:rPr>
        <w:t>In relation to s</w:t>
      </w:r>
      <w:r w:rsidR="009904DB">
        <w:rPr>
          <w:rFonts w:cs="Arial"/>
        </w:rPr>
        <w:t xml:space="preserve">ection </w:t>
      </w:r>
      <w:r w:rsidRPr="533767CA">
        <w:rPr>
          <w:rFonts w:cs="Arial"/>
        </w:rPr>
        <w:t xml:space="preserve">52E(1)(d), I note that oral pouches sold overseas </w:t>
      </w:r>
      <w:r w:rsidR="0076757D">
        <w:rPr>
          <w:rFonts w:cs="Arial"/>
        </w:rPr>
        <w:t xml:space="preserve">have been identified </w:t>
      </w:r>
      <w:r w:rsidRPr="533767CA">
        <w:rPr>
          <w:rFonts w:cs="Arial"/>
        </w:rPr>
        <w:t>contain</w:t>
      </w:r>
      <w:r w:rsidR="0076757D">
        <w:rPr>
          <w:rFonts w:cs="Arial"/>
        </w:rPr>
        <w:t>ing</w:t>
      </w:r>
      <w:r w:rsidRPr="533767CA">
        <w:rPr>
          <w:rFonts w:cs="Arial"/>
        </w:rPr>
        <w:t xml:space="preserve"> between 4 mg and </w:t>
      </w:r>
      <w:r w:rsidR="00774429" w:rsidRPr="533767CA">
        <w:rPr>
          <w:rFonts w:cs="Arial"/>
        </w:rPr>
        <w:t>20</w:t>
      </w:r>
      <w:r w:rsidR="00774429">
        <w:rPr>
          <w:rFonts w:cs="Arial"/>
        </w:rPr>
        <w:t> </w:t>
      </w:r>
      <w:r w:rsidRPr="533767CA">
        <w:rPr>
          <w:rFonts w:cs="Arial"/>
        </w:rPr>
        <w:t xml:space="preserve">mg of 6-methylnicotine per pouch, which is similar to the amount found in regulated nicotine products. In Australia, some vaping liquids have been found with concentrations as high as </w:t>
      </w:r>
      <w:r w:rsidR="00774429" w:rsidRPr="533767CA">
        <w:rPr>
          <w:rFonts w:cs="Arial"/>
        </w:rPr>
        <w:t>100</w:t>
      </w:r>
      <w:r w:rsidR="00774429">
        <w:rPr>
          <w:rFonts w:cs="Arial"/>
        </w:rPr>
        <w:t> </w:t>
      </w:r>
      <w:r w:rsidRPr="533767CA">
        <w:rPr>
          <w:rFonts w:cs="Arial"/>
        </w:rPr>
        <w:t>mg/</w:t>
      </w:r>
      <w:r w:rsidR="00774429" w:rsidRPr="533767CA">
        <w:rPr>
          <w:rFonts w:cs="Arial"/>
        </w:rPr>
        <w:t>m</w:t>
      </w:r>
      <w:r w:rsidR="00774429">
        <w:rPr>
          <w:rFonts w:cs="Arial"/>
        </w:rPr>
        <w:t>L</w:t>
      </w:r>
      <w:r w:rsidRPr="533767CA">
        <w:rPr>
          <w:rFonts w:cs="Arial"/>
        </w:rPr>
        <w:t>. These products are sold without clear labelling, dosage guidance, or regulatory oversight, creating a high risk of accidental overexposure and misuse. Furthermore, claims that these products are safer than nicotine can mislead the public and undermine existing regulatory controls.</w:t>
      </w:r>
    </w:p>
    <w:p w14:paraId="6B41836C" w14:textId="10CA666A" w:rsidR="003132D9" w:rsidRPr="00EA5E6C" w:rsidRDefault="003132D9" w:rsidP="003132D9">
      <w:pPr>
        <w:rPr>
          <w:rFonts w:cs="Arial"/>
        </w:rPr>
      </w:pPr>
      <w:r w:rsidRPr="533767CA">
        <w:rPr>
          <w:rFonts w:cs="Arial"/>
        </w:rPr>
        <w:t>In considering s</w:t>
      </w:r>
      <w:r w:rsidR="009904DB">
        <w:rPr>
          <w:rFonts w:cs="Arial"/>
        </w:rPr>
        <w:t xml:space="preserve">ections </w:t>
      </w:r>
      <w:r w:rsidRPr="533767CA">
        <w:rPr>
          <w:rFonts w:cs="Arial"/>
        </w:rPr>
        <w:t xml:space="preserve">52E(1)(e) and (f), I am convinced that stronger regulatory controls are essential in light of the significant public health risks posed by 6-methylnicotine. Evidence suggests this substance may be more addictive than nicotine, increasing the risk of dependence, particularly among vulnerable populations. Its availability in unregulated products, often accompanied by misleading claims of reduced harm, raises serious concerns about uptake and potential gateway effects to tobacco use. </w:t>
      </w:r>
      <w:r w:rsidR="00774429">
        <w:rPr>
          <w:rFonts w:cs="Arial"/>
        </w:rPr>
        <w:t xml:space="preserve">Following the implementation of a new regulatory framework for </w:t>
      </w:r>
      <w:r w:rsidRPr="533767CA">
        <w:rPr>
          <w:rFonts w:cs="Arial"/>
        </w:rPr>
        <w:t xml:space="preserve">vaping products </w:t>
      </w:r>
      <w:r w:rsidR="00774429">
        <w:rPr>
          <w:rFonts w:cs="Arial"/>
        </w:rPr>
        <w:t>in 202</w:t>
      </w:r>
      <w:r w:rsidR="007C063C">
        <w:rPr>
          <w:rFonts w:cs="Arial"/>
        </w:rPr>
        <w:t>4</w:t>
      </w:r>
      <w:r w:rsidRPr="533767CA">
        <w:rPr>
          <w:rFonts w:cs="Arial"/>
        </w:rPr>
        <w:t xml:space="preserve">, I am concerned that </w:t>
      </w:r>
      <w:r w:rsidR="00774429">
        <w:rPr>
          <w:rFonts w:cs="Arial"/>
        </w:rPr>
        <w:t xml:space="preserve">certain businesses and </w:t>
      </w:r>
      <w:r w:rsidRPr="533767CA">
        <w:rPr>
          <w:rFonts w:cs="Arial"/>
        </w:rPr>
        <w:t>consumers may increasingly turn to oral pouches containing 6-methylnicotine. These products expose users to a substance that is both potent and addictive, without any approved medical benefit.</w:t>
      </w:r>
    </w:p>
    <w:p w14:paraId="4B5BA744" w14:textId="1D2A1B65" w:rsidR="003132D9" w:rsidRDefault="003132D9" w:rsidP="003132D9">
      <w:pPr>
        <w:rPr>
          <w:rFonts w:cs="Arial"/>
        </w:rPr>
      </w:pPr>
      <w:r w:rsidRPr="533767CA">
        <w:rPr>
          <w:rFonts w:cs="Arial"/>
        </w:rPr>
        <w:t xml:space="preserve">I </w:t>
      </w:r>
      <w:r w:rsidR="00AF58C8">
        <w:rPr>
          <w:rFonts w:cs="Arial"/>
        </w:rPr>
        <w:t xml:space="preserve">agree with </w:t>
      </w:r>
      <w:r w:rsidRPr="533767CA">
        <w:rPr>
          <w:rFonts w:cs="Arial"/>
        </w:rPr>
        <w:t>the Committee</w:t>
      </w:r>
      <w:r w:rsidR="00A575C8">
        <w:rPr>
          <w:rFonts w:cs="Arial"/>
        </w:rPr>
        <w:t xml:space="preserve"> </w:t>
      </w:r>
      <w:r w:rsidR="00774429">
        <w:rPr>
          <w:rFonts w:cs="Arial"/>
        </w:rPr>
        <w:t xml:space="preserve">advice </w:t>
      </w:r>
      <w:r w:rsidR="00A575C8">
        <w:rPr>
          <w:rFonts w:cs="Arial"/>
        </w:rPr>
        <w:t xml:space="preserve">that classifying </w:t>
      </w:r>
      <w:r w:rsidRPr="533767CA">
        <w:rPr>
          <w:rFonts w:cs="Arial"/>
        </w:rPr>
        <w:t xml:space="preserve">6-methylnicotine as </w:t>
      </w:r>
      <w:r w:rsidR="00AF58C8">
        <w:rPr>
          <w:rFonts w:cs="Arial"/>
        </w:rPr>
        <w:t>a Dangerous Poison (</w:t>
      </w:r>
      <w:r w:rsidR="00774429" w:rsidRPr="533767CA">
        <w:rPr>
          <w:rFonts w:cs="Arial"/>
        </w:rPr>
        <w:t>Schedule</w:t>
      </w:r>
      <w:r w:rsidR="00774429">
        <w:rPr>
          <w:rFonts w:cs="Arial"/>
        </w:rPr>
        <w:t> </w:t>
      </w:r>
      <w:r w:rsidRPr="533767CA">
        <w:rPr>
          <w:rFonts w:cs="Arial"/>
        </w:rPr>
        <w:t>7</w:t>
      </w:r>
      <w:r w:rsidR="00AF58C8">
        <w:rPr>
          <w:rFonts w:cs="Arial"/>
        </w:rPr>
        <w:t xml:space="preserve">) </w:t>
      </w:r>
      <w:r w:rsidRPr="533767CA">
        <w:rPr>
          <w:rFonts w:cs="Arial"/>
        </w:rPr>
        <w:t>does not provide sufficient regulatory control</w:t>
      </w:r>
      <w:r w:rsidR="00774429">
        <w:rPr>
          <w:rFonts w:cs="Arial"/>
        </w:rPr>
        <w:t>s to manage the risks</w:t>
      </w:r>
      <w:r w:rsidR="00AF58C8">
        <w:rPr>
          <w:rFonts w:cs="Arial"/>
        </w:rPr>
        <w:t xml:space="preserve">. </w:t>
      </w:r>
      <w:r w:rsidRPr="533767CA">
        <w:rPr>
          <w:rFonts w:cs="Arial"/>
        </w:rPr>
        <w:t xml:space="preserve">A Schedule 7 entry would limit the ability of authorities to </w:t>
      </w:r>
      <w:r w:rsidR="007C063C">
        <w:rPr>
          <w:rFonts w:cs="Arial"/>
        </w:rPr>
        <w:t>take appropriate regulatory action</w:t>
      </w:r>
      <w:r w:rsidRPr="533767CA">
        <w:rPr>
          <w:rFonts w:cs="Arial"/>
        </w:rPr>
        <w:t xml:space="preserve">, making enforcement difficult </w:t>
      </w:r>
      <w:r w:rsidRPr="533767CA">
        <w:rPr>
          <w:rFonts w:cs="Arial"/>
        </w:rPr>
        <w:lastRenderedPageBreak/>
        <w:t xml:space="preserve">and </w:t>
      </w:r>
      <w:r w:rsidR="007C063C">
        <w:rPr>
          <w:rFonts w:cs="Arial"/>
        </w:rPr>
        <w:t>is likely to enable</w:t>
      </w:r>
      <w:r w:rsidR="007C063C" w:rsidRPr="533767CA">
        <w:rPr>
          <w:rFonts w:cs="Arial"/>
        </w:rPr>
        <w:t xml:space="preserve"> </w:t>
      </w:r>
      <w:r w:rsidRPr="533767CA">
        <w:rPr>
          <w:rFonts w:cs="Arial"/>
        </w:rPr>
        <w:t xml:space="preserve">6-methylnicotine </w:t>
      </w:r>
      <w:r w:rsidR="007C063C">
        <w:rPr>
          <w:rFonts w:cs="Arial"/>
        </w:rPr>
        <w:t xml:space="preserve">products </w:t>
      </w:r>
      <w:r w:rsidRPr="533767CA">
        <w:rPr>
          <w:rFonts w:cs="Arial"/>
        </w:rPr>
        <w:t xml:space="preserve">to </w:t>
      </w:r>
      <w:r w:rsidR="007C063C">
        <w:rPr>
          <w:rFonts w:cs="Arial"/>
        </w:rPr>
        <w:t xml:space="preserve">continue being </w:t>
      </w:r>
      <w:r w:rsidRPr="533767CA">
        <w:rPr>
          <w:rFonts w:cs="Arial"/>
        </w:rPr>
        <w:t>accessible to the public. In contrast, Schedule 9 offers a stronger legal framework</w:t>
      </w:r>
      <w:r w:rsidR="004B7F52">
        <w:rPr>
          <w:rFonts w:cs="Arial"/>
        </w:rPr>
        <w:t>,</w:t>
      </w:r>
      <w:r w:rsidRPr="533767CA">
        <w:rPr>
          <w:rFonts w:cs="Arial"/>
        </w:rPr>
        <w:t xml:space="preserve"> enabling more effective enforcement through higher penalties for unlawful supply and possession</w:t>
      </w:r>
      <w:r w:rsidR="00481CD2">
        <w:rPr>
          <w:rFonts w:cs="Arial"/>
        </w:rPr>
        <w:t xml:space="preserve"> under </w:t>
      </w:r>
      <w:r w:rsidR="00481CD2" w:rsidRPr="533767CA">
        <w:rPr>
          <w:rFonts w:cs="Arial"/>
        </w:rPr>
        <w:t>the</w:t>
      </w:r>
      <w:r w:rsidR="00481CD2">
        <w:rPr>
          <w:rFonts w:cs="Arial"/>
        </w:rPr>
        <w:t xml:space="preserve"> Commonwealth and</w:t>
      </w:r>
      <w:r w:rsidR="00481CD2" w:rsidRPr="533767CA">
        <w:rPr>
          <w:rFonts w:cs="Arial"/>
        </w:rPr>
        <w:t xml:space="preserve"> </w:t>
      </w:r>
      <w:r w:rsidR="00481CD2">
        <w:rPr>
          <w:rFonts w:cs="Arial"/>
        </w:rPr>
        <w:t>jurisdictional drug laws</w:t>
      </w:r>
      <w:r w:rsidRPr="533767CA">
        <w:rPr>
          <w:rFonts w:cs="Arial"/>
        </w:rPr>
        <w:t xml:space="preserve">. This level of control </w:t>
      </w:r>
      <w:r w:rsidR="0076757D">
        <w:rPr>
          <w:rFonts w:cs="Arial"/>
        </w:rPr>
        <w:t xml:space="preserve">will </w:t>
      </w:r>
      <w:r w:rsidR="004B7F52">
        <w:rPr>
          <w:rFonts w:cs="Arial"/>
        </w:rPr>
        <w:t>enable the states and territories to more effectively p</w:t>
      </w:r>
      <w:r w:rsidRPr="533767CA">
        <w:rPr>
          <w:rFonts w:cs="Arial"/>
        </w:rPr>
        <w:t>rotect public health and prevent the spread of misleading claims that nicotine analogues are safer alternatives.</w:t>
      </w:r>
    </w:p>
    <w:p w14:paraId="162CBE3D" w14:textId="01F473C0" w:rsidR="003132D9" w:rsidRPr="002C6F29" w:rsidRDefault="003132D9" w:rsidP="003132D9">
      <w:pPr>
        <w:rPr>
          <w:rFonts w:cs="Arial"/>
        </w:rPr>
      </w:pPr>
      <w:r w:rsidRPr="003439AF">
        <w:rPr>
          <w:rFonts w:cs="Arial"/>
        </w:rPr>
        <w:t xml:space="preserve">The Committee has identified a global trend in the development of nicotine analogues like 6-methylnicotine, which are designed to exploit </w:t>
      </w:r>
      <w:r w:rsidR="007C063C">
        <w:rPr>
          <w:rFonts w:cs="Arial"/>
        </w:rPr>
        <w:t>controls</w:t>
      </w:r>
      <w:r w:rsidRPr="003439AF">
        <w:rPr>
          <w:rFonts w:cs="Arial"/>
        </w:rPr>
        <w:t xml:space="preserve"> in existing regulations</w:t>
      </w:r>
      <w:r w:rsidRPr="002C6F29">
        <w:rPr>
          <w:rFonts w:cs="Arial"/>
        </w:rPr>
        <w:t xml:space="preserve">. Suppliers are making “nicotine-free” claims </w:t>
      </w:r>
      <w:r w:rsidR="007C063C">
        <w:rPr>
          <w:rFonts w:cs="Arial"/>
        </w:rPr>
        <w:t xml:space="preserve">in an attempt </w:t>
      </w:r>
      <w:r w:rsidRPr="002C6F29">
        <w:rPr>
          <w:rFonts w:cs="Arial"/>
        </w:rPr>
        <w:t xml:space="preserve">to </w:t>
      </w:r>
      <w:r>
        <w:rPr>
          <w:rFonts w:cs="Arial"/>
        </w:rPr>
        <w:t>avoid</w:t>
      </w:r>
      <w:r w:rsidRPr="002C6F29">
        <w:rPr>
          <w:rFonts w:cs="Arial"/>
        </w:rPr>
        <w:t xml:space="preserve"> </w:t>
      </w:r>
      <w:r>
        <w:rPr>
          <w:rFonts w:cs="Arial"/>
        </w:rPr>
        <w:t>regulation</w:t>
      </w:r>
      <w:r w:rsidRPr="002C6F29">
        <w:rPr>
          <w:rFonts w:cs="Arial"/>
        </w:rPr>
        <w:t xml:space="preserve">, and Australia must </w:t>
      </w:r>
      <w:r>
        <w:rPr>
          <w:rFonts w:cs="Arial"/>
        </w:rPr>
        <w:t>take strong action</w:t>
      </w:r>
      <w:r w:rsidRPr="002C6F29">
        <w:rPr>
          <w:rFonts w:cs="Arial"/>
        </w:rPr>
        <w:t xml:space="preserve"> to prevent similar practices. There are currently no lawful products in Australia that would be affected by this decision, which supports immediate implementation </w:t>
      </w:r>
      <w:r w:rsidR="0076757D">
        <w:rPr>
          <w:rFonts w:cs="Arial"/>
        </w:rPr>
        <w:t xml:space="preserve">and will not </w:t>
      </w:r>
      <w:r w:rsidRPr="002C6F29">
        <w:rPr>
          <w:rFonts w:cs="Arial"/>
        </w:rPr>
        <w:t>disrupt legitimate markets.</w:t>
      </w:r>
    </w:p>
    <w:p w14:paraId="4D8AD82A" w14:textId="64FDA10B" w:rsidR="003132D9" w:rsidRPr="002C6F29" w:rsidRDefault="003132D9" w:rsidP="003132D9">
      <w:pPr>
        <w:rPr>
          <w:rFonts w:cs="Arial"/>
        </w:rPr>
      </w:pPr>
      <w:r w:rsidRPr="533767CA">
        <w:rPr>
          <w:rFonts w:cs="Arial"/>
        </w:rPr>
        <w:t>For these reasons, I am satisfied that listing 6-methylnicotine in Schedule 9 of the Poisons Standard is the most appropriate course of action. This classification addresses serious health risks</w:t>
      </w:r>
      <w:r w:rsidR="00481CD2">
        <w:rPr>
          <w:rFonts w:cs="Arial"/>
        </w:rPr>
        <w:t xml:space="preserve"> and enables </w:t>
      </w:r>
      <w:r w:rsidRPr="533767CA">
        <w:rPr>
          <w:rFonts w:cs="Arial"/>
        </w:rPr>
        <w:t>strict</w:t>
      </w:r>
      <w:r w:rsidR="00481CD2">
        <w:rPr>
          <w:rFonts w:cs="Arial"/>
        </w:rPr>
        <w:t>er</w:t>
      </w:r>
      <w:r w:rsidRPr="533767CA">
        <w:rPr>
          <w:rFonts w:cs="Arial"/>
        </w:rPr>
        <w:t xml:space="preserve"> regulation</w:t>
      </w:r>
      <w:r w:rsidR="00481CD2">
        <w:rPr>
          <w:rFonts w:cs="Arial"/>
        </w:rPr>
        <w:t xml:space="preserve"> required for </w:t>
      </w:r>
      <w:r w:rsidR="00481CD2" w:rsidRPr="533767CA">
        <w:rPr>
          <w:rFonts w:cs="Arial"/>
        </w:rPr>
        <w:t xml:space="preserve">6-methylnicotine </w:t>
      </w:r>
      <w:r w:rsidR="00481CD2">
        <w:rPr>
          <w:rFonts w:cs="Arial"/>
        </w:rPr>
        <w:t>which is a high-risk substance with no therapeutic value</w:t>
      </w:r>
      <w:r w:rsidRPr="533767CA">
        <w:rPr>
          <w:rFonts w:cs="Arial"/>
        </w:rPr>
        <w:t>.</w:t>
      </w:r>
    </w:p>
    <w:p w14:paraId="37A108FC" w14:textId="77777777" w:rsidR="003132D9" w:rsidRPr="00B03B68" w:rsidRDefault="003132D9" w:rsidP="003132D9">
      <w:pPr>
        <w:pStyle w:val="Heading4"/>
      </w:pPr>
      <w:bookmarkStart w:id="17" w:name="_Toc230034896"/>
      <w:r>
        <w:t>Proposed i</w:t>
      </w:r>
      <w:r w:rsidRPr="00B03B68">
        <w:t>mplementation date</w:t>
      </w:r>
      <w:bookmarkEnd w:id="17"/>
    </w:p>
    <w:p w14:paraId="37E26BD6" w14:textId="351FCA1C" w:rsidR="003132D9" w:rsidRPr="00B03B68" w:rsidRDefault="003132D9" w:rsidP="003132D9">
      <w:r>
        <w:t xml:space="preserve">1 </w:t>
      </w:r>
      <w:r w:rsidR="0076757D">
        <w:t>October</w:t>
      </w:r>
      <w:r w:rsidR="00B8126C">
        <w:t xml:space="preserve"> </w:t>
      </w:r>
      <w:r>
        <w:t>2026</w:t>
      </w:r>
    </w:p>
    <w:p w14:paraId="044FC4BE" w14:textId="77777777" w:rsidR="003132D9" w:rsidRDefault="003132D9" w:rsidP="003132D9">
      <w:r>
        <w:br w:type="page"/>
      </w:r>
    </w:p>
    <w:p w14:paraId="0E473CB9" w14:textId="77777777" w:rsidR="00357139" w:rsidRPr="00B03B68" w:rsidRDefault="00357139" w:rsidP="00357139">
      <w:pPr>
        <w:pStyle w:val="Heading2"/>
      </w:pPr>
      <w:bookmarkStart w:id="18" w:name="_Toc213351054"/>
      <w:bookmarkStart w:id="19" w:name="_Toc230034897"/>
      <w:r>
        <w:lastRenderedPageBreak/>
        <w:t>Interim decisions on proposed amendments referred to the Advisory Committees on Medicines and Chemicals Scheduling in joint session (ACMS-ACCS #40, JUNE 2025)</w:t>
      </w:r>
      <w:bookmarkEnd w:id="18"/>
      <w:bookmarkEnd w:id="19"/>
    </w:p>
    <w:p w14:paraId="5DF13503" w14:textId="77777777" w:rsidR="00357139" w:rsidRPr="00B03B68" w:rsidRDefault="00357139" w:rsidP="00357139">
      <w:pPr>
        <w:pStyle w:val="Heading3"/>
      </w:pPr>
      <w:bookmarkStart w:id="20" w:name="_Toc213351055"/>
      <w:bookmarkStart w:id="21" w:name="_Toc230034898"/>
      <w:r w:rsidRPr="00B03B68">
        <w:t xml:space="preserve">Interim decision in relation to </w:t>
      </w:r>
      <w:r w:rsidRPr="00B623D2">
        <w:t>azelaic acid</w:t>
      </w:r>
      <w:bookmarkEnd w:id="20"/>
      <w:bookmarkEnd w:id="21"/>
    </w:p>
    <w:p w14:paraId="098B8996" w14:textId="77777777" w:rsidR="00357139" w:rsidRPr="00B03B68" w:rsidRDefault="00357139" w:rsidP="00357139">
      <w:pPr>
        <w:pStyle w:val="Heading4"/>
      </w:pPr>
      <w:bookmarkStart w:id="22" w:name="_Toc213351056"/>
      <w:bookmarkStart w:id="23" w:name="_Toc230034899"/>
      <w:r w:rsidRPr="00B03B68">
        <w:t>Proposal</w:t>
      </w:r>
      <w:bookmarkEnd w:id="22"/>
      <w:bookmarkEnd w:id="23"/>
    </w:p>
    <w:p w14:paraId="4718A0E6" w14:textId="77777777" w:rsidR="00CE54CE" w:rsidRDefault="00357139" w:rsidP="006C6572">
      <w:pPr>
        <w:autoSpaceDE w:val="0"/>
        <w:autoSpaceDN w:val="0"/>
        <w:adjustRightInd w:val="0"/>
        <w:spacing w:before="120" w:line="240" w:lineRule="auto"/>
        <w:rPr>
          <w:rFonts w:ascii="ArialMT" w:hAnsi="ArialMT" w:cs="ArialMT"/>
        </w:rPr>
      </w:pPr>
      <w:r w:rsidRPr="636C8D5A">
        <w:rPr>
          <w:rFonts w:ascii="ArialMT" w:hAnsi="ArialMT" w:cs="ArialMT"/>
        </w:rPr>
        <w:t>The applicant proposed to amend the current Pharmacy medicine (Schedule 2) entry for azelaic acid in the Poisons Standard</w:t>
      </w:r>
      <w:r w:rsidR="00CE54CE">
        <w:rPr>
          <w:rFonts w:ascii="ArialMT" w:hAnsi="ArialMT" w:cs="ArialMT"/>
        </w:rPr>
        <w:t xml:space="preserve"> as below</w:t>
      </w:r>
      <w:r w:rsidRPr="636C8D5A">
        <w:rPr>
          <w:rFonts w:ascii="ArialMT" w:hAnsi="ArialMT" w:cs="ArialMT"/>
        </w:rPr>
        <w:t>.</w:t>
      </w:r>
    </w:p>
    <w:p w14:paraId="7DCD6975" w14:textId="77777777" w:rsidR="00CE54CE" w:rsidRPr="00CE54CE" w:rsidRDefault="00CE54CE" w:rsidP="00EF783F">
      <w:pPr>
        <w:ind w:left="426"/>
        <w:rPr>
          <w:rFonts w:ascii="ArialMT" w:hAnsi="ArialMT" w:cs="ArialMT"/>
          <w:b/>
          <w:bCs/>
        </w:rPr>
      </w:pPr>
      <w:r w:rsidRPr="00CE54CE">
        <w:rPr>
          <w:rFonts w:ascii="ArialMT" w:hAnsi="ArialMT" w:cs="ArialMT"/>
          <w:b/>
          <w:bCs/>
        </w:rPr>
        <w:t>Schedule 2 – Amend Entry</w:t>
      </w:r>
    </w:p>
    <w:p w14:paraId="4ABBF958" w14:textId="1A7CE7A4" w:rsidR="00CE54CE" w:rsidRDefault="00CE54CE" w:rsidP="006C6572">
      <w:pPr>
        <w:autoSpaceDE w:val="0"/>
        <w:autoSpaceDN w:val="0"/>
        <w:adjustRightInd w:val="0"/>
        <w:spacing w:before="120" w:line="240" w:lineRule="auto"/>
        <w:ind w:left="720"/>
        <w:rPr>
          <w:rFonts w:ascii="ArialMT" w:hAnsi="ArialMT" w:cs="ArialMT"/>
        </w:rPr>
      </w:pPr>
      <w:r w:rsidRPr="00CE54CE">
        <w:rPr>
          <w:rFonts w:ascii="ArialMT" w:hAnsi="ArialMT" w:cs="ArialMT"/>
        </w:rPr>
        <w:t xml:space="preserve">AZELAIC ACID in dermal preparations for human </w:t>
      </w:r>
      <w:r w:rsidRPr="00BF698A">
        <w:rPr>
          <w:rFonts w:ascii="ArialMT" w:hAnsi="ArialMT" w:cs="ArialMT"/>
          <w:strike/>
          <w:color w:val="FF0000"/>
        </w:rPr>
        <w:t>therapeutic</w:t>
      </w:r>
      <w:r w:rsidRPr="00CE54CE">
        <w:rPr>
          <w:rFonts w:ascii="ArialMT" w:hAnsi="ArialMT" w:cs="ArialMT"/>
        </w:rPr>
        <w:t xml:space="preserve"> use except in preparations for</w:t>
      </w:r>
      <w:r>
        <w:rPr>
          <w:rFonts w:ascii="ArialMT" w:hAnsi="ArialMT" w:cs="ArialMT"/>
        </w:rPr>
        <w:t xml:space="preserve"> </w:t>
      </w:r>
      <w:r w:rsidRPr="00CE54CE">
        <w:rPr>
          <w:rFonts w:ascii="ArialMT" w:hAnsi="ArialMT" w:cs="ArialMT"/>
        </w:rPr>
        <w:t>cosmetic use containing 10% or less of azelaic acid.</w:t>
      </w:r>
    </w:p>
    <w:p w14:paraId="4929FCA2" w14:textId="32D88414" w:rsidR="00357139" w:rsidRPr="00A77CD0" w:rsidRDefault="00357139" w:rsidP="006C6572">
      <w:pPr>
        <w:autoSpaceDE w:val="0"/>
        <w:autoSpaceDN w:val="0"/>
        <w:adjustRightInd w:val="0"/>
        <w:spacing w:before="120" w:line="240" w:lineRule="auto"/>
        <w:rPr>
          <w:rFonts w:ascii="ArialMT" w:hAnsi="ArialMT" w:cs="ArialMT"/>
        </w:rPr>
      </w:pPr>
      <w:r w:rsidRPr="636C8D5A">
        <w:rPr>
          <w:rFonts w:ascii="ArialMT" w:hAnsi="ArialMT" w:cs="ArialMT"/>
        </w:rPr>
        <w:t>Under the proposal cosmetic preparations containing 10% or less azelaic acid will be captured as Caution (Schedule 5) and will require cautionary labelling</w:t>
      </w:r>
      <w:r w:rsidR="00CE54CE">
        <w:rPr>
          <w:rFonts w:ascii="ArialMT" w:hAnsi="ArialMT" w:cs="ArialMT"/>
        </w:rPr>
        <w:t xml:space="preserve"> which is same as the current requirement applied to all non-therapeutic preparations of azelaic acid</w:t>
      </w:r>
      <w:r w:rsidRPr="636C8D5A">
        <w:rPr>
          <w:rFonts w:ascii="ArialMT" w:hAnsi="ArialMT" w:cs="ArialMT"/>
        </w:rPr>
        <w:t>. All other preparations for human use containing more than 10% of azelaic acid will be captured under Schedule 2 and will be required to be assessed by the TGA for quality, safety and efficacy prior to being available in the Australian market.</w:t>
      </w:r>
    </w:p>
    <w:p w14:paraId="6ACDB515" w14:textId="77777777" w:rsidR="00357139" w:rsidRPr="00B03B68" w:rsidRDefault="00357139" w:rsidP="00357139">
      <w:pPr>
        <w:pStyle w:val="Heading4"/>
      </w:pPr>
      <w:bookmarkStart w:id="24" w:name="_Toc213351057"/>
      <w:bookmarkStart w:id="25" w:name="_Toc230034900"/>
      <w:r w:rsidRPr="00B03B68">
        <w:t>Interim decision</w:t>
      </w:r>
      <w:bookmarkEnd w:id="24"/>
      <w:bookmarkEnd w:id="25"/>
    </w:p>
    <w:p w14:paraId="70A8C57C" w14:textId="1F7BB657" w:rsidR="00357139" w:rsidRDefault="00357139" w:rsidP="00357139">
      <w:r>
        <w:t>Pursuant to regulation 42ZCZN of the Regulations, the Delegate has, in relation to the proposed amendment, made an interim decision to amend the current Poisons Standard in relation to azelaic acid</w:t>
      </w:r>
      <w:r w:rsidR="00131F50">
        <w:t xml:space="preserve"> as follows</w:t>
      </w:r>
      <w:r w:rsidR="00694F98">
        <w:t>.</w:t>
      </w:r>
      <w:r w:rsidR="0032099F">
        <w:rPr>
          <w:rStyle w:val="FootnoteReference"/>
        </w:rPr>
        <w:footnoteReference w:id="9"/>
      </w:r>
    </w:p>
    <w:p w14:paraId="4C29C3C9" w14:textId="2546DBC3" w:rsidR="00131F50" w:rsidRDefault="00131F50" w:rsidP="00131F50">
      <w:pPr>
        <w:ind w:left="426"/>
        <w:rPr>
          <w:rFonts w:ascii="ArialMT" w:hAnsi="ArialMT" w:cs="ArialMT"/>
          <w:b/>
          <w:bCs/>
        </w:rPr>
      </w:pPr>
      <w:r w:rsidRPr="00CE54CE">
        <w:rPr>
          <w:rFonts w:ascii="ArialMT" w:hAnsi="ArialMT" w:cs="ArialMT"/>
          <w:b/>
          <w:bCs/>
        </w:rPr>
        <w:t>Schedule 2</w:t>
      </w:r>
    </w:p>
    <w:p w14:paraId="767BA26F" w14:textId="2588D1A7" w:rsidR="00131F50" w:rsidRPr="00080DF2" w:rsidRDefault="00131F50" w:rsidP="00080DF2">
      <w:pPr>
        <w:ind w:left="426" w:firstLine="294"/>
        <w:rPr>
          <w:rFonts w:ascii="ArialMT" w:hAnsi="ArialMT" w:cs="ArialMT"/>
        </w:rPr>
      </w:pPr>
      <w:r w:rsidRPr="00080DF2">
        <w:rPr>
          <w:rFonts w:ascii="ArialMT" w:hAnsi="ArialMT" w:cs="ArialMT"/>
        </w:rPr>
        <w:t>AZELAIC ACID in dermal preparations for human therapeutic use.</w:t>
      </w:r>
    </w:p>
    <w:p w14:paraId="6E04AED6" w14:textId="414CF1D7" w:rsidR="00131F50" w:rsidRDefault="00131F50" w:rsidP="00131F50">
      <w:pPr>
        <w:ind w:left="426"/>
        <w:rPr>
          <w:rFonts w:ascii="ArialMT" w:hAnsi="ArialMT" w:cs="ArialMT"/>
          <w:b/>
          <w:bCs/>
        </w:rPr>
      </w:pPr>
      <w:r w:rsidRPr="00CE54CE">
        <w:rPr>
          <w:rFonts w:ascii="ArialMT" w:hAnsi="ArialMT" w:cs="ArialMT"/>
          <w:b/>
          <w:bCs/>
        </w:rPr>
        <w:t xml:space="preserve">Schedule </w:t>
      </w:r>
      <w:r>
        <w:rPr>
          <w:rFonts w:ascii="ArialMT" w:hAnsi="ArialMT" w:cs="ArialMT"/>
          <w:b/>
          <w:bCs/>
        </w:rPr>
        <w:t>3</w:t>
      </w:r>
    </w:p>
    <w:p w14:paraId="1D54EB6E" w14:textId="0983216A" w:rsidR="00131F50" w:rsidRPr="00080DF2" w:rsidRDefault="00131F50" w:rsidP="00080DF2">
      <w:pPr>
        <w:ind w:left="426" w:firstLine="294"/>
        <w:rPr>
          <w:rFonts w:ascii="ArialMT" w:hAnsi="ArialMT" w:cs="ArialMT"/>
        </w:rPr>
      </w:pPr>
      <w:r w:rsidRPr="00080DF2">
        <w:rPr>
          <w:rFonts w:ascii="ArialMT" w:hAnsi="ArialMT" w:cs="ArialMT"/>
        </w:rPr>
        <w:t>AZELAIC ACID for therapeutic use except when included in Schedule 2.</w:t>
      </w:r>
    </w:p>
    <w:p w14:paraId="3E7374E9" w14:textId="0607B55C" w:rsidR="00131F50" w:rsidRDefault="00131F50" w:rsidP="00131F50">
      <w:pPr>
        <w:ind w:left="426"/>
        <w:rPr>
          <w:rFonts w:ascii="ArialMT" w:hAnsi="ArialMT" w:cs="ArialMT"/>
          <w:b/>
          <w:bCs/>
        </w:rPr>
      </w:pPr>
      <w:r w:rsidRPr="00CE54CE">
        <w:rPr>
          <w:rFonts w:ascii="ArialMT" w:hAnsi="ArialMT" w:cs="ArialMT"/>
          <w:b/>
          <w:bCs/>
        </w:rPr>
        <w:t xml:space="preserve">Schedule </w:t>
      </w:r>
      <w:r>
        <w:rPr>
          <w:rFonts w:ascii="ArialMT" w:hAnsi="ArialMT" w:cs="ArialMT"/>
          <w:b/>
          <w:bCs/>
        </w:rPr>
        <w:t>4</w:t>
      </w:r>
    </w:p>
    <w:p w14:paraId="4600446A" w14:textId="77777777" w:rsidR="00131F50" w:rsidRPr="00080DF2" w:rsidRDefault="00131F50" w:rsidP="00080DF2">
      <w:pPr>
        <w:ind w:left="426" w:firstLine="294"/>
        <w:rPr>
          <w:rFonts w:ascii="ArialMT" w:hAnsi="ArialMT" w:cs="ArialMT"/>
        </w:rPr>
      </w:pPr>
      <w:r w:rsidRPr="00080DF2">
        <w:rPr>
          <w:rFonts w:ascii="ArialMT" w:hAnsi="ArialMT" w:cs="ArialMT"/>
        </w:rPr>
        <w:t>AZELAIC ACID except when included in Schedule 2 or 4.</w:t>
      </w:r>
    </w:p>
    <w:p w14:paraId="268038CD" w14:textId="77777777" w:rsidR="00131F50" w:rsidRDefault="00131F50" w:rsidP="00131F50">
      <w:pPr>
        <w:ind w:left="426"/>
        <w:rPr>
          <w:b/>
          <w:bCs/>
        </w:rPr>
      </w:pPr>
    </w:p>
    <w:p w14:paraId="22640002" w14:textId="3E3230A0" w:rsidR="00131F50" w:rsidRPr="00B94C08" w:rsidRDefault="00131F50" w:rsidP="00131F50">
      <w:pPr>
        <w:ind w:left="426"/>
        <w:rPr>
          <w:b/>
          <w:bCs/>
        </w:rPr>
      </w:pPr>
      <w:r w:rsidRPr="74A8A7EE">
        <w:rPr>
          <w:b/>
          <w:bCs/>
        </w:rPr>
        <w:t>Appendix E, Clause 3 - Poisons that must be labelled with first aid instructions</w:t>
      </w:r>
    </w:p>
    <w:tbl>
      <w:tblPr>
        <w:tblW w:w="0" w:type="auto"/>
        <w:tblBorders>
          <w:top w:val="single" w:sz="6" w:space="0" w:color="auto"/>
          <w:left w:val="single" w:sz="6" w:space="0" w:color="auto"/>
          <w:bottom w:val="single" w:sz="6" w:space="0" w:color="auto"/>
          <w:right w:val="single" w:sz="6" w:space="0" w:color="auto"/>
        </w:tblBorders>
        <w:tblLayout w:type="fixed"/>
        <w:tblCellMar>
          <w:top w:w="113" w:type="dxa"/>
          <w:bottom w:w="113" w:type="dxa"/>
        </w:tblCellMar>
        <w:tblLook w:val="04A0" w:firstRow="1" w:lastRow="0" w:firstColumn="1" w:lastColumn="0" w:noHBand="0" w:noVBand="1"/>
      </w:tblPr>
      <w:tblGrid>
        <w:gridCol w:w="915"/>
        <w:gridCol w:w="1395"/>
        <w:gridCol w:w="6375"/>
      </w:tblGrid>
      <w:tr w:rsidR="00131F50" w14:paraId="5E3082FE" w14:textId="77777777" w:rsidTr="00F8777E">
        <w:trPr>
          <w:trHeight w:val="300"/>
        </w:trPr>
        <w:tc>
          <w:tcPr>
            <w:tcW w:w="915" w:type="dxa"/>
            <w:tcBorders>
              <w:top w:val="single" w:sz="6" w:space="0" w:color="002C47"/>
              <w:left w:val="single" w:sz="6" w:space="0" w:color="002C47"/>
              <w:bottom w:val="single" w:sz="6" w:space="0" w:color="002C47"/>
              <w:right w:val="single" w:sz="6" w:space="0" w:color="002C47"/>
            </w:tcBorders>
            <w:shd w:val="clear" w:color="auto" w:fill="B8CCEA"/>
            <w:tcMar>
              <w:left w:w="105" w:type="dxa"/>
              <w:right w:w="105" w:type="dxa"/>
            </w:tcMar>
          </w:tcPr>
          <w:p w14:paraId="71610884" w14:textId="77777777" w:rsidR="00131F50" w:rsidRPr="0032099F" w:rsidRDefault="00131F50" w:rsidP="0032099F">
            <w:pPr>
              <w:spacing w:line="240" w:lineRule="auto"/>
              <w:textAlignment w:val="baseline"/>
              <w:rPr>
                <w:rFonts w:eastAsia="Times New Roman" w:cs="Arial"/>
                <w:b/>
                <w:bCs/>
                <w:color w:val="00348C"/>
                <w:lang w:eastAsia="zh-TW"/>
              </w:rPr>
            </w:pPr>
            <w:r w:rsidRPr="0032099F">
              <w:rPr>
                <w:rFonts w:eastAsia="Times New Roman" w:cs="Arial"/>
                <w:b/>
                <w:bCs/>
                <w:color w:val="00348C"/>
                <w:lang w:eastAsia="zh-TW"/>
              </w:rPr>
              <w:t>Item</w:t>
            </w:r>
          </w:p>
        </w:tc>
        <w:tc>
          <w:tcPr>
            <w:tcW w:w="1395" w:type="dxa"/>
            <w:tcBorders>
              <w:top w:val="single" w:sz="6" w:space="0" w:color="002C47"/>
              <w:left w:val="single" w:sz="6" w:space="0" w:color="002C47"/>
              <w:bottom w:val="single" w:sz="6" w:space="0" w:color="002C47"/>
              <w:right w:val="single" w:sz="6" w:space="0" w:color="002C47"/>
            </w:tcBorders>
            <w:shd w:val="clear" w:color="auto" w:fill="B8CCEA"/>
            <w:tcMar>
              <w:left w:w="105" w:type="dxa"/>
              <w:right w:w="105" w:type="dxa"/>
            </w:tcMar>
          </w:tcPr>
          <w:p w14:paraId="3290AE35" w14:textId="77777777" w:rsidR="00131F50" w:rsidRPr="0032099F" w:rsidRDefault="00131F50" w:rsidP="0032099F">
            <w:pPr>
              <w:spacing w:line="240" w:lineRule="auto"/>
              <w:textAlignment w:val="baseline"/>
              <w:rPr>
                <w:rFonts w:eastAsia="Times New Roman" w:cs="Arial"/>
                <w:b/>
                <w:bCs/>
                <w:color w:val="00348C"/>
                <w:lang w:eastAsia="zh-TW"/>
              </w:rPr>
            </w:pPr>
            <w:r w:rsidRPr="0032099F">
              <w:rPr>
                <w:rFonts w:eastAsia="Times New Roman" w:cs="Arial"/>
                <w:b/>
                <w:bCs/>
                <w:color w:val="00348C"/>
                <w:lang w:eastAsia="zh-TW"/>
              </w:rPr>
              <w:t>Poison</w:t>
            </w:r>
          </w:p>
        </w:tc>
        <w:tc>
          <w:tcPr>
            <w:tcW w:w="6375" w:type="dxa"/>
            <w:tcBorders>
              <w:top w:val="single" w:sz="6" w:space="0" w:color="002C47"/>
              <w:left w:val="single" w:sz="6" w:space="0" w:color="002C47"/>
              <w:bottom w:val="single" w:sz="6" w:space="0" w:color="002C47"/>
              <w:right w:val="single" w:sz="6" w:space="0" w:color="002C47"/>
            </w:tcBorders>
            <w:shd w:val="clear" w:color="auto" w:fill="B8CCEA"/>
            <w:tcMar>
              <w:left w:w="105" w:type="dxa"/>
              <w:right w:w="105" w:type="dxa"/>
            </w:tcMar>
          </w:tcPr>
          <w:p w14:paraId="737803A3" w14:textId="77777777" w:rsidR="00131F50" w:rsidRPr="0032099F" w:rsidRDefault="00131F50" w:rsidP="0032099F">
            <w:pPr>
              <w:spacing w:line="240" w:lineRule="auto"/>
              <w:textAlignment w:val="baseline"/>
              <w:rPr>
                <w:rFonts w:eastAsia="Times New Roman" w:cs="Arial"/>
                <w:b/>
                <w:bCs/>
                <w:color w:val="00348C"/>
                <w:lang w:eastAsia="zh-TW"/>
              </w:rPr>
            </w:pPr>
            <w:r w:rsidRPr="0032099F">
              <w:rPr>
                <w:rFonts w:eastAsia="Times New Roman" w:cs="Arial"/>
                <w:b/>
                <w:bCs/>
                <w:color w:val="00348C"/>
                <w:lang w:eastAsia="zh-TW"/>
              </w:rPr>
              <w:t>Standard statement for first aid instruction</w:t>
            </w:r>
          </w:p>
        </w:tc>
      </w:tr>
      <w:tr w:rsidR="00131F50" w14:paraId="58277B0B" w14:textId="77777777" w:rsidTr="00F8777E">
        <w:trPr>
          <w:trHeight w:val="300"/>
        </w:trPr>
        <w:tc>
          <w:tcPr>
            <w:tcW w:w="915" w:type="dxa"/>
            <w:vMerge w:val="restart"/>
            <w:tcBorders>
              <w:top w:val="single" w:sz="6" w:space="0" w:color="002C47"/>
              <w:left w:val="single" w:sz="6" w:space="0" w:color="002C47"/>
              <w:bottom w:val="single" w:sz="6" w:space="0" w:color="002C47"/>
              <w:right w:val="single" w:sz="4" w:space="0" w:color="auto"/>
            </w:tcBorders>
            <w:tcMar>
              <w:left w:w="105" w:type="dxa"/>
              <w:right w:w="105" w:type="dxa"/>
            </w:tcMar>
          </w:tcPr>
          <w:p w14:paraId="061E3101" w14:textId="77777777" w:rsidR="00131F50" w:rsidRDefault="00131F50" w:rsidP="0032099F">
            <w:pPr>
              <w:spacing w:line="240" w:lineRule="auto"/>
              <w:rPr>
                <w:rFonts w:eastAsia="Arial" w:cs="Arial"/>
                <w:color w:val="000000" w:themeColor="text1"/>
              </w:rPr>
            </w:pPr>
            <w:r w:rsidRPr="74A8A7EE">
              <w:rPr>
                <w:rFonts w:eastAsia="Arial" w:cs="Arial"/>
                <w:color w:val="000000" w:themeColor="text1"/>
              </w:rPr>
              <w:t>32</w:t>
            </w:r>
          </w:p>
        </w:tc>
        <w:tc>
          <w:tcPr>
            <w:tcW w:w="1395" w:type="dxa"/>
            <w:vMerge w:val="restart"/>
            <w:tcBorders>
              <w:top w:val="single" w:sz="6" w:space="0" w:color="002C47"/>
              <w:left w:val="single" w:sz="4" w:space="0" w:color="auto"/>
              <w:bottom w:val="single" w:sz="6" w:space="0" w:color="002C47"/>
              <w:right w:val="single" w:sz="6" w:space="0" w:color="002C47"/>
            </w:tcBorders>
            <w:tcMar>
              <w:left w:w="105" w:type="dxa"/>
              <w:right w:w="105" w:type="dxa"/>
            </w:tcMar>
          </w:tcPr>
          <w:p w14:paraId="4F4AA7F6" w14:textId="77777777" w:rsidR="00131F50" w:rsidRDefault="00131F50" w:rsidP="0032099F">
            <w:pPr>
              <w:spacing w:line="240" w:lineRule="auto"/>
              <w:rPr>
                <w:rFonts w:eastAsia="Arial" w:cs="Arial"/>
                <w:color w:val="000000" w:themeColor="text1"/>
              </w:rPr>
            </w:pPr>
            <w:r w:rsidRPr="74A8A7EE">
              <w:rPr>
                <w:rFonts w:eastAsia="Arial" w:cs="Arial"/>
                <w:color w:val="000000" w:themeColor="text1"/>
              </w:rPr>
              <w:t>AZELAIC ACID</w:t>
            </w:r>
          </w:p>
        </w:tc>
        <w:tc>
          <w:tcPr>
            <w:tcW w:w="6375" w:type="dxa"/>
            <w:tcBorders>
              <w:top w:val="single" w:sz="6" w:space="0" w:color="002C47"/>
              <w:left w:val="single" w:sz="6" w:space="0" w:color="002C47"/>
              <w:bottom w:val="single" w:sz="6" w:space="0" w:color="002C47"/>
              <w:right w:val="single" w:sz="6" w:space="0" w:color="002C47"/>
            </w:tcBorders>
            <w:tcMar>
              <w:left w:w="105" w:type="dxa"/>
              <w:right w:w="105" w:type="dxa"/>
            </w:tcMar>
          </w:tcPr>
          <w:p w14:paraId="7E1A75D5" w14:textId="77777777" w:rsidR="00131F50" w:rsidRDefault="00131F50" w:rsidP="0032099F">
            <w:pPr>
              <w:spacing w:line="240" w:lineRule="auto"/>
              <w:rPr>
                <w:rFonts w:eastAsia="Arial" w:cs="Arial"/>
                <w:color w:val="000000" w:themeColor="text1"/>
              </w:rPr>
            </w:pPr>
            <w:r w:rsidRPr="74A8A7EE">
              <w:rPr>
                <w:rFonts w:eastAsia="Arial" w:cs="Arial"/>
                <w:color w:val="000000" w:themeColor="text1"/>
              </w:rPr>
              <w:t>A – For advice, contact a Poisons Information Centre (e.g. phone Australia 13 11 26; New Zealand 0800 764 766) or a doctor (at once).</w:t>
            </w:r>
          </w:p>
        </w:tc>
      </w:tr>
      <w:tr w:rsidR="00131F50" w14:paraId="499C054D" w14:textId="77777777" w:rsidTr="00F8777E">
        <w:trPr>
          <w:trHeight w:val="300"/>
        </w:trPr>
        <w:tc>
          <w:tcPr>
            <w:tcW w:w="915" w:type="dxa"/>
            <w:vMerge/>
            <w:tcBorders>
              <w:right w:val="single" w:sz="4" w:space="0" w:color="auto"/>
            </w:tcBorders>
            <w:vAlign w:val="center"/>
          </w:tcPr>
          <w:p w14:paraId="7DA828D6" w14:textId="77777777" w:rsidR="00131F50" w:rsidRDefault="00131F50" w:rsidP="0032099F">
            <w:pPr>
              <w:spacing w:line="240" w:lineRule="auto"/>
            </w:pPr>
          </w:p>
        </w:tc>
        <w:tc>
          <w:tcPr>
            <w:tcW w:w="1395" w:type="dxa"/>
            <w:vMerge/>
            <w:tcBorders>
              <w:left w:val="single" w:sz="4" w:space="0" w:color="auto"/>
            </w:tcBorders>
            <w:vAlign w:val="center"/>
          </w:tcPr>
          <w:p w14:paraId="3733A3C3" w14:textId="77777777" w:rsidR="00131F50" w:rsidRDefault="00131F50" w:rsidP="0032099F">
            <w:pPr>
              <w:spacing w:line="240" w:lineRule="auto"/>
            </w:pPr>
          </w:p>
        </w:tc>
        <w:tc>
          <w:tcPr>
            <w:tcW w:w="6375" w:type="dxa"/>
            <w:tcBorders>
              <w:top w:val="single" w:sz="6" w:space="0" w:color="002C47"/>
              <w:left w:val="single" w:sz="6" w:space="0" w:color="002C47"/>
              <w:bottom w:val="single" w:sz="6" w:space="0" w:color="002C47"/>
              <w:right w:val="single" w:sz="6" w:space="0" w:color="002C47"/>
            </w:tcBorders>
            <w:tcMar>
              <w:left w:w="105" w:type="dxa"/>
              <w:right w:w="105" w:type="dxa"/>
            </w:tcMar>
          </w:tcPr>
          <w:p w14:paraId="531E39CB" w14:textId="77777777" w:rsidR="00131F50" w:rsidRDefault="00131F50" w:rsidP="0032099F">
            <w:pPr>
              <w:spacing w:line="240" w:lineRule="auto"/>
              <w:rPr>
                <w:rFonts w:eastAsia="Arial" w:cs="Arial"/>
                <w:color w:val="000000" w:themeColor="text1"/>
              </w:rPr>
            </w:pPr>
            <w:r w:rsidRPr="74A8A7EE">
              <w:rPr>
                <w:rFonts w:eastAsia="Arial" w:cs="Arial"/>
                <w:color w:val="000000" w:themeColor="text1"/>
              </w:rPr>
              <w:t>E1 – If in eyes wash out immediately with water.</w:t>
            </w:r>
          </w:p>
        </w:tc>
      </w:tr>
    </w:tbl>
    <w:p w14:paraId="71BD5DE8" w14:textId="77777777" w:rsidR="0032099F" w:rsidRDefault="0032099F" w:rsidP="00131F50">
      <w:pPr>
        <w:ind w:left="426"/>
        <w:rPr>
          <w:b/>
          <w:bCs/>
        </w:rPr>
      </w:pPr>
    </w:p>
    <w:p w14:paraId="0E50A923" w14:textId="77777777" w:rsidR="0032099F" w:rsidRDefault="0032099F">
      <w:pPr>
        <w:rPr>
          <w:b/>
          <w:bCs/>
        </w:rPr>
      </w:pPr>
      <w:r>
        <w:rPr>
          <w:b/>
          <w:bCs/>
        </w:rPr>
        <w:br w:type="page"/>
      </w:r>
    </w:p>
    <w:p w14:paraId="4C1E0290" w14:textId="08C87C2E" w:rsidR="00131F50" w:rsidRDefault="00131F50" w:rsidP="00131F50">
      <w:pPr>
        <w:ind w:left="426"/>
        <w:rPr>
          <w:b/>
          <w:bCs/>
        </w:rPr>
      </w:pPr>
      <w:r w:rsidRPr="74A8A7EE">
        <w:rPr>
          <w:b/>
          <w:bCs/>
        </w:rPr>
        <w:lastRenderedPageBreak/>
        <w:t xml:space="preserve">Appendix F, Clause 4 - Poisons that must be labelled with warning statements and safety directions </w:t>
      </w:r>
      <w:r w:rsidRPr="00CE54CE">
        <w:rPr>
          <w:rFonts w:ascii="ArialMT" w:hAnsi="ArialMT" w:cs="ArialMT"/>
          <w:b/>
          <w:bCs/>
        </w:rPr>
        <w:t>– Amend Entry</w:t>
      </w:r>
    </w:p>
    <w:tbl>
      <w:tblPr>
        <w:tblW w:w="0" w:type="auto"/>
        <w:tblBorders>
          <w:top w:val="single" w:sz="6" w:space="0" w:color="auto"/>
          <w:left w:val="single" w:sz="6" w:space="0" w:color="auto"/>
          <w:bottom w:val="single" w:sz="6" w:space="0" w:color="auto"/>
          <w:right w:val="single" w:sz="6" w:space="0" w:color="auto"/>
        </w:tblBorders>
        <w:tblLayout w:type="fixed"/>
        <w:tblCellMar>
          <w:top w:w="113" w:type="dxa"/>
          <w:bottom w:w="113" w:type="dxa"/>
        </w:tblCellMar>
        <w:tblLook w:val="04A0" w:firstRow="1" w:lastRow="0" w:firstColumn="1" w:lastColumn="0" w:noHBand="0" w:noVBand="1"/>
      </w:tblPr>
      <w:tblGrid>
        <w:gridCol w:w="915"/>
        <w:gridCol w:w="2153"/>
        <w:gridCol w:w="5587"/>
      </w:tblGrid>
      <w:tr w:rsidR="00131F50" w14:paraId="305B1187" w14:textId="77777777" w:rsidTr="00F8777E">
        <w:trPr>
          <w:trHeight w:val="300"/>
        </w:trPr>
        <w:tc>
          <w:tcPr>
            <w:tcW w:w="915" w:type="dxa"/>
            <w:tcBorders>
              <w:top w:val="single" w:sz="6" w:space="0" w:color="002C47"/>
              <w:left w:val="single" w:sz="6" w:space="0" w:color="002C47"/>
              <w:bottom w:val="single" w:sz="6" w:space="0" w:color="002C47"/>
              <w:right w:val="single" w:sz="6" w:space="0" w:color="002C47"/>
            </w:tcBorders>
            <w:shd w:val="clear" w:color="auto" w:fill="B8CCEA"/>
            <w:tcMar>
              <w:left w:w="105" w:type="dxa"/>
              <w:right w:w="105" w:type="dxa"/>
            </w:tcMar>
          </w:tcPr>
          <w:p w14:paraId="36552FF2" w14:textId="77777777" w:rsidR="00131F50" w:rsidRPr="0032099F" w:rsidRDefault="00131F50" w:rsidP="0032099F">
            <w:pPr>
              <w:spacing w:line="240" w:lineRule="auto"/>
              <w:textAlignment w:val="baseline"/>
              <w:rPr>
                <w:rFonts w:eastAsia="Times New Roman" w:cs="Arial"/>
                <w:b/>
                <w:bCs/>
                <w:color w:val="00348C"/>
                <w:lang w:eastAsia="zh-TW"/>
              </w:rPr>
            </w:pPr>
            <w:r w:rsidRPr="0032099F">
              <w:rPr>
                <w:rFonts w:eastAsia="Times New Roman" w:cs="Arial"/>
                <w:b/>
                <w:bCs/>
                <w:color w:val="00348C"/>
                <w:lang w:eastAsia="zh-TW"/>
              </w:rPr>
              <w:t xml:space="preserve"> Item</w:t>
            </w:r>
          </w:p>
        </w:tc>
        <w:tc>
          <w:tcPr>
            <w:tcW w:w="2153" w:type="dxa"/>
            <w:tcBorders>
              <w:top w:val="single" w:sz="6" w:space="0" w:color="002C47"/>
              <w:left w:val="single" w:sz="6" w:space="0" w:color="002C47"/>
              <w:bottom w:val="single" w:sz="6" w:space="0" w:color="002C47"/>
              <w:right w:val="single" w:sz="6" w:space="0" w:color="002C47"/>
            </w:tcBorders>
            <w:shd w:val="clear" w:color="auto" w:fill="B8CCEA"/>
            <w:tcMar>
              <w:left w:w="105" w:type="dxa"/>
              <w:right w:w="105" w:type="dxa"/>
            </w:tcMar>
          </w:tcPr>
          <w:p w14:paraId="7D1D2463" w14:textId="77777777" w:rsidR="00131F50" w:rsidRPr="0032099F" w:rsidRDefault="00131F50" w:rsidP="0032099F">
            <w:pPr>
              <w:spacing w:line="240" w:lineRule="auto"/>
              <w:textAlignment w:val="baseline"/>
              <w:rPr>
                <w:rFonts w:eastAsia="Times New Roman" w:cs="Arial"/>
                <w:b/>
                <w:bCs/>
                <w:color w:val="00348C"/>
                <w:lang w:eastAsia="zh-TW"/>
              </w:rPr>
            </w:pPr>
            <w:r w:rsidRPr="0032099F">
              <w:rPr>
                <w:rFonts w:eastAsia="Times New Roman" w:cs="Arial"/>
                <w:b/>
                <w:bCs/>
                <w:color w:val="00348C"/>
                <w:lang w:eastAsia="zh-TW"/>
              </w:rPr>
              <w:t>Poison</w:t>
            </w:r>
          </w:p>
        </w:tc>
        <w:tc>
          <w:tcPr>
            <w:tcW w:w="5587" w:type="dxa"/>
            <w:tcBorders>
              <w:top w:val="single" w:sz="6" w:space="0" w:color="002C47"/>
              <w:left w:val="single" w:sz="6" w:space="0" w:color="002C47"/>
              <w:bottom w:val="single" w:sz="6" w:space="0" w:color="002C47"/>
              <w:right w:val="single" w:sz="6" w:space="0" w:color="002C47"/>
            </w:tcBorders>
            <w:shd w:val="clear" w:color="auto" w:fill="B8CCEA"/>
            <w:tcMar>
              <w:left w:w="105" w:type="dxa"/>
              <w:right w:w="105" w:type="dxa"/>
            </w:tcMar>
          </w:tcPr>
          <w:p w14:paraId="6209E31F" w14:textId="7757905E" w:rsidR="00131F50" w:rsidRPr="0032099F" w:rsidRDefault="00131F50" w:rsidP="0032099F">
            <w:pPr>
              <w:spacing w:line="240" w:lineRule="auto"/>
              <w:textAlignment w:val="baseline"/>
              <w:rPr>
                <w:rFonts w:eastAsia="Times New Roman" w:cs="Arial"/>
                <w:b/>
                <w:bCs/>
                <w:color w:val="00348C"/>
                <w:lang w:eastAsia="zh-TW"/>
              </w:rPr>
            </w:pPr>
            <w:r w:rsidRPr="0032099F">
              <w:rPr>
                <w:rFonts w:eastAsia="Times New Roman" w:cs="Arial"/>
                <w:b/>
                <w:bCs/>
                <w:color w:val="00348C"/>
                <w:lang w:eastAsia="zh-TW"/>
              </w:rPr>
              <w:t>Safety directions</w:t>
            </w:r>
          </w:p>
        </w:tc>
      </w:tr>
      <w:tr w:rsidR="00131F50" w14:paraId="6DCF98F9" w14:textId="77777777" w:rsidTr="00F8777E">
        <w:trPr>
          <w:trHeight w:val="300"/>
        </w:trPr>
        <w:tc>
          <w:tcPr>
            <w:tcW w:w="915" w:type="dxa"/>
            <w:vMerge w:val="restart"/>
            <w:tcBorders>
              <w:top w:val="single" w:sz="6" w:space="0" w:color="002C47"/>
              <w:left w:val="single" w:sz="6" w:space="0" w:color="002C47"/>
              <w:bottom w:val="single" w:sz="6" w:space="0" w:color="002C47"/>
              <w:right w:val="single" w:sz="4" w:space="0" w:color="auto"/>
            </w:tcBorders>
            <w:tcMar>
              <w:top w:w="113" w:type="dxa"/>
              <w:left w:w="105" w:type="dxa"/>
              <w:right w:w="105" w:type="dxa"/>
            </w:tcMar>
          </w:tcPr>
          <w:p w14:paraId="30BC25C9" w14:textId="77777777" w:rsidR="00131F50" w:rsidRDefault="00131F50" w:rsidP="0032099F">
            <w:pPr>
              <w:spacing w:line="240" w:lineRule="auto"/>
              <w:rPr>
                <w:rFonts w:eastAsia="Calibri"/>
                <w:color w:val="000000" w:themeColor="text1"/>
              </w:rPr>
            </w:pPr>
            <w:r w:rsidRPr="74A8A7EE">
              <w:rPr>
                <w:rFonts w:eastAsia="Calibri"/>
                <w:color w:val="000000" w:themeColor="text1"/>
              </w:rPr>
              <w:t>33</w:t>
            </w:r>
          </w:p>
        </w:tc>
        <w:tc>
          <w:tcPr>
            <w:tcW w:w="2153" w:type="dxa"/>
            <w:vMerge w:val="restart"/>
            <w:tcBorders>
              <w:top w:val="single" w:sz="6" w:space="0" w:color="002C47"/>
              <w:left w:val="single" w:sz="4" w:space="0" w:color="auto"/>
              <w:bottom w:val="single" w:sz="6" w:space="0" w:color="002C47"/>
              <w:right w:val="single" w:sz="6" w:space="0" w:color="002C47"/>
            </w:tcBorders>
            <w:tcMar>
              <w:top w:w="113" w:type="dxa"/>
              <w:left w:w="105" w:type="dxa"/>
              <w:right w:w="105" w:type="dxa"/>
            </w:tcMar>
          </w:tcPr>
          <w:p w14:paraId="3D025D45" w14:textId="77777777" w:rsidR="00131F50" w:rsidRDefault="00131F50" w:rsidP="0032099F">
            <w:pPr>
              <w:spacing w:line="240" w:lineRule="auto"/>
              <w:rPr>
                <w:rFonts w:eastAsia="Calibri"/>
                <w:color w:val="000000" w:themeColor="text1"/>
              </w:rPr>
            </w:pPr>
            <w:r w:rsidRPr="74A8A7EE">
              <w:rPr>
                <w:rFonts w:eastAsia="Calibri"/>
                <w:color w:val="000000" w:themeColor="text1"/>
              </w:rPr>
              <w:t>AZELAIC ACID</w:t>
            </w:r>
          </w:p>
        </w:tc>
        <w:tc>
          <w:tcPr>
            <w:tcW w:w="5587" w:type="dxa"/>
            <w:tcBorders>
              <w:top w:val="single" w:sz="6" w:space="0" w:color="002C47"/>
              <w:left w:val="single" w:sz="6" w:space="0" w:color="002C47"/>
              <w:bottom w:val="single" w:sz="6" w:space="0" w:color="002C47"/>
              <w:right w:val="single" w:sz="6" w:space="0" w:color="002C47"/>
            </w:tcBorders>
            <w:tcMar>
              <w:top w:w="113" w:type="dxa"/>
              <w:left w:w="105" w:type="dxa"/>
              <w:right w:w="105" w:type="dxa"/>
            </w:tcMar>
          </w:tcPr>
          <w:p w14:paraId="1EC10453" w14:textId="77777777" w:rsidR="00131F50" w:rsidRDefault="00131F50" w:rsidP="0032099F">
            <w:pPr>
              <w:spacing w:line="240" w:lineRule="auto"/>
              <w:rPr>
                <w:rFonts w:eastAsia="Calibri"/>
                <w:color w:val="000000" w:themeColor="text1"/>
              </w:rPr>
            </w:pPr>
            <w:r w:rsidRPr="74A8A7EE">
              <w:rPr>
                <w:rFonts w:eastAsia="Calibri"/>
                <w:color w:val="000000" w:themeColor="text1"/>
              </w:rPr>
              <w:t>1 – Avoid contact with eyes.</w:t>
            </w:r>
          </w:p>
        </w:tc>
      </w:tr>
      <w:tr w:rsidR="00131F50" w14:paraId="01844560" w14:textId="77777777" w:rsidTr="00F8777E">
        <w:trPr>
          <w:trHeight w:val="300"/>
        </w:trPr>
        <w:tc>
          <w:tcPr>
            <w:tcW w:w="915" w:type="dxa"/>
            <w:vMerge/>
            <w:tcBorders>
              <w:right w:val="single" w:sz="4" w:space="0" w:color="auto"/>
            </w:tcBorders>
            <w:tcMar>
              <w:top w:w="113" w:type="dxa"/>
            </w:tcMar>
            <w:vAlign w:val="center"/>
          </w:tcPr>
          <w:p w14:paraId="502C8AD5" w14:textId="77777777" w:rsidR="00131F50" w:rsidRDefault="00131F50" w:rsidP="0032099F">
            <w:pPr>
              <w:spacing w:line="240" w:lineRule="auto"/>
            </w:pPr>
          </w:p>
        </w:tc>
        <w:tc>
          <w:tcPr>
            <w:tcW w:w="2153" w:type="dxa"/>
            <w:vMerge/>
            <w:tcBorders>
              <w:left w:val="single" w:sz="4" w:space="0" w:color="auto"/>
            </w:tcBorders>
            <w:tcMar>
              <w:top w:w="113" w:type="dxa"/>
            </w:tcMar>
            <w:vAlign w:val="center"/>
          </w:tcPr>
          <w:p w14:paraId="57D6E951" w14:textId="77777777" w:rsidR="00131F50" w:rsidRDefault="00131F50" w:rsidP="0032099F">
            <w:pPr>
              <w:spacing w:line="240" w:lineRule="auto"/>
            </w:pPr>
          </w:p>
        </w:tc>
        <w:tc>
          <w:tcPr>
            <w:tcW w:w="5587" w:type="dxa"/>
            <w:tcBorders>
              <w:top w:val="single" w:sz="6" w:space="0" w:color="002C47"/>
              <w:left w:val="single" w:sz="6" w:space="0" w:color="002C47"/>
              <w:bottom w:val="single" w:sz="6" w:space="0" w:color="002C47"/>
              <w:right w:val="single" w:sz="6" w:space="0" w:color="002C47"/>
            </w:tcBorders>
            <w:tcMar>
              <w:top w:w="113" w:type="dxa"/>
              <w:left w:w="105" w:type="dxa"/>
              <w:right w:w="105" w:type="dxa"/>
            </w:tcMar>
          </w:tcPr>
          <w:p w14:paraId="6AC19D64" w14:textId="77777777" w:rsidR="00131F50" w:rsidRPr="00BC6327" w:rsidRDefault="00131F50" w:rsidP="0032099F">
            <w:pPr>
              <w:spacing w:line="240" w:lineRule="auto"/>
              <w:rPr>
                <w:rFonts w:eastAsia="Calibri"/>
                <w:strike/>
                <w:color w:val="FF0000"/>
              </w:rPr>
            </w:pPr>
            <w:r w:rsidRPr="00BC6327">
              <w:rPr>
                <w:rFonts w:eastAsia="Calibri"/>
                <w:strike/>
                <w:color w:val="FF0000"/>
              </w:rPr>
              <w:t>4</w:t>
            </w:r>
            <w:r w:rsidRPr="00BC6327">
              <w:rPr>
                <w:rFonts w:eastAsia="Calibri"/>
                <w:color w:val="FF0000"/>
              </w:rPr>
              <w:t xml:space="preserve"> – </w:t>
            </w:r>
            <w:r w:rsidRPr="00BC6327">
              <w:rPr>
                <w:rFonts w:eastAsia="Calibri"/>
                <w:strike/>
                <w:color w:val="FF0000"/>
              </w:rPr>
              <w:t>Avoid contact with skin.</w:t>
            </w:r>
          </w:p>
          <w:p w14:paraId="20C004C9" w14:textId="754A5D35" w:rsidR="00131F50" w:rsidRDefault="00131F50" w:rsidP="0032099F">
            <w:pPr>
              <w:spacing w:line="240" w:lineRule="auto"/>
              <w:rPr>
                <w:rFonts w:eastAsia="Calibri"/>
                <w:color w:val="000000" w:themeColor="text1"/>
              </w:rPr>
            </w:pPr>
            <w:r w:rsidRPr="00A44D96">
              <w:rPr>
                <w:rFonts w:eastAsia="Calibri"/>
                <w:color w:val="00B050"/>
              </w:rPr>
              <w:t>31 - Do not use on broken skin.</w:t>
            </w:r>
          </w:p>
        </w:tc>
      </w:tr>
    </w:tbl>
    <w:p w14:paraId="6B10CE9F" w14:textId="77777777" w:rsidR="00357139" w:rsidRPr="00B03B68" w:rsidRDefault="00357139" w:rsidP="00357139">
      <w:pPr>
        <w:pStyle w:val="Heading4"/>
      </w:pPr>
      <w:bookmarkStart w:id="26" w:name="_Toc213351058"/>
      <w:bookmarkStart w:id="27" w:name="_Toc230034901"/>
      <w:r w:rsidRPr="00B03B68">
        <w:t>Materials considered</w:t>
      </w:r>
      <w:bookmarkEnd w:id="26"/>
      <w:bookmarkEnd w:id="27"/>
    </w:p>
    <w:p w14:paraId="7ED3889E" w14:textId="77777777" w:rsidR="00357139" w:rsidRPr="00B03B68" w:rsidRDefault="00357139" w:rsidP="00357139">
      <w:r w:rsidRPr="00B03B68">
        <w:t>In making this interim decision, the Delegate considered the following material:</w:t>
      </w:r>
    </w:p>
    <w:p w14:paraId="142D141B" w14:textId="058A0A41" w:rsidR="00357139" w:rsidRPr="00B03B68" w:rsidRDefault="00256845" w:rsidP="00B81C73">
      <w:pPr>
        <w:pStyle w:val="ListBullet"/>
        <w:ind w:left="567" w:hanging="283"/>
      </w:pPr>
      <w:r>
        <w:t>t</w:t>
      </w:r>
      <w:r w:rsidR="00357139">
        <w:t>he</w:t>
      </w:r>
      <w:sdt>
        <w:sdtPr>
          <w:alias w:val="Hyperlink to TGA website"/>
          <w:tag w:val="Hyperlink to TGA website"/>
          <w:id w:val="1445424450"/>
          <w:placeholder>
            <w:docPart w:val="64FF39A4C10C4297B04F26B68C9522F9"/>
          </w:placeholder>
        </w:sdtPr>
        <w:sdtEndPr/>
        <w:sdtContent>
          <w:r w:rsidR="00357139">
            <w:t xml:space="preserve"> application</w:t>
          </w:r>
        </w:sdtContent>
      </w:sdt>
      <w:r w:rsidR="00357139">
        <w:t xml:space="preserve"> to amend the current Poisons Standard with respect to </w:t>
      </w:r>
      <w:sdt>
        <w:sdtPr>
          <w:id w:val="-487792789"/>
          <w:placeholder>
            <w:docPart w:val="EA1E883A60A6405182D17F7608275E7E"/>
          </w:placeholder>
        </w:sdtPr>
        <w:sdtEndPr>
          <w:rPr>
            <w:highlight w:val="yellow"/>
          </w:rPr>
        </w:sdtEndPr>
        <w:sdtContent>
          <w:r w:rsidR="00357139">
            <w:t>azelaic acid</w:t>
          </w:r>
        </w:sdtContent>
      </w:sdt>
      <w:r w:rsidR="00357139">
        <w:t xml:space="preserve"> (the </w:t>
      </w:r>
      <w:r w:rsidR="00357139" w:rsidRPr="00256845">
        <w:rPr>
          <w:b/>
          <w:bCs/>
        </w:rPr>
        <w:t>Application</w:t>
      </w:r>
      <w:r w:rsidR="00357139">
        <w:t>)</w:t>
      </w:r>
    </w:p>
    <w:p w14:paraId="20690948" w14:textId="478D51BD" w:rsidR="00357139" w:rsidRPr="00B03B68" w:rsidRDefault="00256845" w:rsidP="00B81C73">
      <w:pPr>
        <w:pStyle w:val="ListBullet"/>
        <w:ind w:left="567" w:hanging="283"/>
      </w:pPr>
      <w:r>
        <w:t>t</w:t>
      </w:r>
      <w:sdt>
        <w:sdtPr>
          <w:id w:val="2074926659"/>
          <w:placeholder>
            <w:docPart w:val="B6733330E88C438D806B6D10B1E07212"/>
          </w:placeholder>
        </w:sdtPr>
        <w:sdtEndPr/>
        <w:sdtContent>
          <w:r w:rsidR="00357139">
            <w:t xml:space="preserve">he 161 </w:t>
          </w:r>
          <w:hyperlink r:id="rId26">
            <w:r w:rsidR="00357139" w:rsidRPr="3265AB8A">
              <w:rPr>
                <w:rStyle w:val="Hyperlink"/>
              </w:rPr>
              <w:t>public submissions</w:t>
            </w:r>
          </w:hyperlink>
          <w:r w:rsidR="00357139">
            <w:t xml:space="preserve">, with 10 including a written component, received in response to the </w:t>
          </w:r>
          <w:hyperlink r:id="rId27">
            <w:r w:rsidR="00357139" w:rsidRPr="3265AB8A">
              <w:rPr>
                <w:rStyle w:val="Hyperlink"/>
              </w:rPr>
              <w:t>pre-meeting consultation</w:t>
            </w:r>
          </w:hyperlink>
          <w:r w:rsidR="00357139">
            <w:t xml:space="preserve"> under regulation 42ZCZK of the Regulations</w:t>
          </w:r>
        </w:sdtContent>
      </w:sdt>
      <w:r w:rsidR="00357139">
        <w:t xml:space="preserve"> (the </w:t>
      </w:r>
      <w:r w:rsidR="00357139" w:rsidRPr="00256845">
        <w:rPr>
          <w:b/>
          <w:bCs/>
        </w:rPr>
        <w:t>Submissions</w:t>
      </w:r>
      <w:r w:rsidR="00357139">
        <w:t>)</w:t>
      </w:r>
    </w:p>
    <w:p w14:paraId="7895CED8" w14:textId="1C265CC4" w:rsidR="00357139" w:rsidRPr="00B03B68" w:rsidRDefault="00256845" w:rsidP="00B81C73">
      <w:pPr>
        <w:pStyle w:val="ListBullet"/>
        <w:ind w:left="567" w:hanging="283"/>
      </w:pPr>
      <w:r>
        <w:t>t</w:t>
      </w:r>
      <w:sdt>
        <w:sdtPr>
          <w:id w:val="388229779"/>
          <w:placeholder>
            <w:docPart w:val="EA1E883A60A6405182D17F7608275E7E"/>
          </w:placeholder>
        </w:sdtPr>
        <w:sdtEndPr>
          <w:rPr>
            <w:highlight w:val="yellow"/>
          </w:rPr>
        </w:sdtEndPr>
        <w:sdtContent>
          <w:r w:rsidR="00357139">
            <w:t>he advice received from the 40</w:t>
          </w:r>
          <w:r w:rsidR="00357139" w:rsidRPr="74A8A7EE">
            <w:rPr>
              <w:vertAlign w:val="superscript"/>
            </w:rPr>
            <w:t>th</w:t>
          </w:r>
          <w:r w:rsidR="00357139">
            <w:t xml:space="preserve"> meeting of the Advisory Committee on Medicines and Chemicals Scheduling in joint session</w:t>
          </w:r>
        </w:sdtContent>
      </w:sdt>
      <w:r w:rsidR="00357139">
        <w:t xml:space="preserve"> (the </w:t>
      </w:r>
      <w:r w:rsidR="00357139" w:rsidRPr="00256845">
        <w:rPr>
          <w:b/>
          <w:bCs/>
        </w:rPr>
        <w:t>Committee</w:t>
      </w:r>
      <w:r w:rsidR="00357139">
        <w:t>)</w:t>
      </w:r>
    </w:p>
    <w:p w14:paraId="262D1D72" w14:textId="7208E366" w:rsidR="00357139" w:rsidRPr="00B03B68" w:rsidRDefault="00256845" w:rsidP="00B81C73">
      <w:pPr>
        <w:pStyle w:val="ListBullet"/>
        <w:ind w:left="567" w:hanging="283"/>
      </w:pPr>
      <w:r>
        <w:t>s</w:t>
      </w:r>
      <w:r w:rsidR="00357139" w:rsidRPr="00B03B68">
        <w:t>ubsection 52E(1) of the Act, in particular (a) risks and benefits of the use of a substance; (b) the purposes for which a substance is to be used and the extent of use of a substance; (c) the toxicity of a substance; (d) the dosage, formulation, labelling, packaging and presentation of a substance; (e) the potential for abuse of a substance; and (f) any other matters that the Secretary considers necessary to protect public health</w:t>
      </w:r>
    </w:p>
    <w:p w14:paraId="2BCF6453" w14:textId="51FB4211" w:rsidR="00357139" w:rsidRPr="00B03B68" w:rsidRDefault="00256845" w:rsidP="00B81C73">
      <w:pPr>
        <w:pStyle w:val="ListBullet"/>
        <w:ind w:left="567" w:hanging="283"/>
      </w:pPr>
      <w:r>
        <w:t>t</w:t>
      </w:r>
      <w:r w:rsidR="00357139" w:rsidRPr="00B03B68">
        <w:t>he SPF, and</w:t>
      </w:r>
    </w:p>
    <w:p w14:paraId="59B9F64F" w14:textId="3AB0778F" w:rsidR="0076757D" w:rsidRPr="00131F50" w:rsidRDefault="00256845" w:rsidP="00080DF2">
      <w:pPr>
        <w:pStyle w:val="ListBullet"/>
        <w:ind w:left="567" w:hanging="283"/>
        <w:rPr>
          <w:bCs/>
          <w:color w:val="001871"/>
          <w:sz w:val="28"/>
          <w:szCs w:val="26"/>
        </w:rPr>
      </w:pPr>
      <w:r>
        <w:t>t</w:t>
      </w:r>
      <w:r w:rsidR="00357139" w:rsidRPr="00B03B68">
        <w:t>he Handbook.</w:t>
      </w:r>
      <w:bookmarkStart w:id="28" w:name="_Toc213351059"/>
    </w:p>
    <w:p w14:paraId="4FD6EDFE" w14:textId="1F995E0E" w:rsidR="00357139" w:rsidRPr="00B03B68" w:rsidRDefault="00357139" w:rsidP="00357139">
      <w:pPr>
        <w:pStyle w:val="Heading4"/>
      </w:pPr>
      <w:bookmarkStart w:id="29" w:name="_Toc230034902"/>
      <w:r w:rsidRPr="00B03B68">
        <w:t>Summary of Committee advice to the Delegate</w:t>
      </w:r>
      <w:bookmarkEnd w:id="28"/>
      <w:bookmarkEnd w:id="29"/>
    </w:p>
    <w:p w14:paraId="295DF172" w14:textId="109B880D" w:rsidR="00984DBC" w:rsidRDefault="00357139" w:rsidP="00357139">
      <w:r>
        <w:t>The Committee recommended that the current Poisons Standard in relation to azelaic acid be amended</w:t>
      </w:r>
      <w:r w:rsidR="00D86FB5">
        <w:t xml:space="preserve"> as below</w:t>
      </w:r>
      <w:r>
        <w:t xml:space="preserve">, such that cosmetic preparations containing 10% or less azelaic acid are exempted from the current Schedule 5 classification provided they are labelled with appropriate warning statements and safety directions. </w:t>
      </w:r>
      <w:r w:rsidR="00984DBC">
        <w:t xml:space="preserve">Human therapeutic preparations will continue to be captured </w:t>
      </w:r>
      <w:r w:rsidR="004574C6">
        <w:t>as</w:t>
      </w:r>
      <w:r w:rsidR="00984DBC">
        <w:t xml:space="preserve"> Pharmacy only</w:t>
      </w:r>
      <w:r w:rsidR="004574C6">
        <w:t xml:space="preserve"> (Schedule 2</w:t>
      </w:r>
      <w:r w:rsidR="00984DBC">
        <w:t>) and Prescription only</w:t>
      </w:r>
      <w:r w:rsidR="004574C6">
        <w:t xml:space="preserve"> (Schedule 4</w:t>
      </w:r>
      <w:r w:rsidR="00984DBC">
        <w:t>)</w:t>
      </w:r>
      <w:r w:rsidR="004574C6">
        <w:t xml:space="preserve"> medicines</w:t>
      </w:r>
      <w:r w:rsidR="00984DBC">
        <w:t>.</w:t>
      </w:r>
    </w:p>
    <w:p w14:paraId="5C4537D3" w14:textId="134CCD9F" w:rsidR="00D86FB5" w:rsidRPr="00B03B68" w:rsidRDefault="00D86FB5" w:rsidP="00D86FB5">
      <w:r>
        <w:t>The amendments are different from the ones proposed by the applicant</w:t>
      </w:r>
      <w:r w:rsidR="00DA5FC7">
        <w:t xml:space="preserve"> </w:t>
      </w:r>
      <w:r w:rsidR="00CE54CE">
        <w:t xml:space="preserve">and are </w:t>
      </w:r>
      <w:r w:rsidR="00DA5FC7">
        <w:t>as below</w:t>
      </w:r>
      <w:r>
        <w:t>.</w:t>
      </w:r>
      <w:r>
        <w:rPr>
          <w:rStyle w:val="FootnoteReference"/>
        </w:rPr>
        <w:footnoteReference w:id="10"/>
      </w:r>
    </w:p>
    <w:p w14:paraId="667B7464" w14:textId="77777777" w:rsidR="00D86FB5" w:rsidRPr="00B94C08" w:rsidRDefault="00D86FB5" w:rsidP="00EF783F">
      <w:pPr>
        <w:ind w:left="426"/>
        <w:rPr>
          <w:b/>
          <w:bCs/>
        </w:rPr>
      </w:pPr>
      <w:r w:rsidRPr="3265AB8A">
        <w:rPr>
          <w:b/>
          <w:bCs/>
        </w:rPr>
        <w:t>Schedule 5 – Amend Entry</w:t>
      </w:r>
    </w:p>
    <w:p w14:paraId="292D045C" w14:textId="77777777" w:rsidR="00D86FB5" w:rsidRDefault="00D86FB5" w:rsidP="00EF783F">
      <w:pPr>
        <w:spacing w:before="120"/>
        <w:ind w:left="709"/>
      </w:pPr>
      <w:r>
        <w:t xml:space="preserve">AZELAIC ACID </w:t>
      </w:r>
      <w:r w:rsidRPr="636C8D5A">
        <w:rPr>
          <w:b/>
          <w:bCs/>
        </w:rPr>
        <w:t>except</w:t>
      </w:r>
      <w:r>
        <w:t xml:space="preserve"> </w:t>
      </w:r>
    </w:p>
    <w:p w14:paraId="3F0D03B4" w14:textId="77777777" w:rsidR="00D86FB5" w:rsidRDefault="00D86FB5" w:rsidP="00EF783F">
      <w:pPr>
        <w:pStyle w:val="ListParagraph"/>
        <w:numPr>
          <w:ilvl w:val="0"/>
          <w:numId w:val="32"/>
        </w:numPr>
        <w:ind w:left="1134" w:hanging="283"/>
      </w:pPr>
      <w:r>
        <w:t>when included in Schedule 2 or 4; or</w:t>
      </w:r>
    </w:p>
    <w:p w14:paraId="7153F8C3" w14:textId="77777777" w:rsidR="00D86FB5" w:rsidRDefault="00D86FB5" w:rsidP="00EF783F">
      <w:pPr>
        <w:pStyle w:val="ListParagraph"/>
        <w:numPr>
          <w:ilvl w:val="0"/>
          <w:numId w:val="32"/>
        </w:numPr>
        <w:ind w:left="1134" w:hanging="283"/>
      </w:pPr>
      <w:r w:rsidRPr="3265AB8A">
        <w:t>in cosmetic preparations containing 10% or less azelaic acid when labelled with the statements:</w:t>
      </w:r>
    </w:p>
    <w:p w14:paraId="3D7B5204" w14:textId="77777777" w:rsidR="00D86FB5" w:rsidRDefault="00D86FB5" w:rsidP="00EF783F">
      <w:pPr>
        <w:pStyle w:val="ListParagraph"/>
        <w:numPr>
          <w:ilvl w:val="0"/>
          <w:numId w:val="29"/>
        </w:numPr>
        <w:ind w:left="1701" w:hanging="141"/>
      </w:pPr>
      <w:r w:rsidRPr="3265AB8A">
        <w:t xml:space="preserve">Avoid contact with eyes </w:t>
      </w:r>
    </w:p>
    <w:p w14:paraId="3F0642FD" w14:textId="77777777" w:rsidR="00D86FB5" w:rsidRDefault="00D86FB5" w:rsidP="00EF783F">
      <w:pPr>
        <w:pStyle w:val="ListParagraph"/>
        <w:numPr>
          <w:ilvl w:val="0"/>
          <w:numId w:val="29"/>
        </w:numPr>
        <w:ind w:left="1701" w:hanging="141"/>
      </w:pPr>
      <w:r w:rsidRPr="3265AB8A">
        <w:t xml:space="preserve">Avoid contact with broken skin. </w:t>
      </w:r>
    </w:p>
    <w:p w14:paraId="6E44AE16" w14:textId="77777777" w:rsidR="00D86FB5" w:rsidRDefault="00D86FB5" w:rsidP="00EF783F">
      <w:pPr>
        <w:pStyle w:val="ListParagraph"/>
        <w:numPr>
          <w:ilvl w:val="0"/>
          <w:numId w:val="29"/>
        </w:numPr>
        <w:ind w:left="1701" w:hanging="141"/>
      </w:pPr>
      <w:r w:rsidRPr="3265AB8A">
        <w:t>If in eyes wash out immediately with water.</w:t>
      </w:r>
    </w:p>
    <w:p w14:paraId="5BD77B73" w14:textId="77777777" w:rsidR="00D86FB5" w:rsidRDefault="00D86FB5" w:rsidP="00EF783F">
      <w:pPr>
        <w:pStyle w:val="ListParagraph"/>
        <w:numPr>
          <w:ilvl w:val="0"/>
          <w:numId w:val="29"/>
        </w:numPr>
        <w:ind w:left="1701" w:hanging="141"/>
      </w:pPr>
      <w:r w:rsidRPr="3265AB8A">
        <w:lastRenderedPageBreak/>
        <w:t>For advice, contact a Poisons Information Centre (e.g. phone Australia 13 11 26; New Zealand 0800 764 766) or a doctor (at once).</w:t>
      </w:r>
    </w:p>
    <w:p w14:paraId="74A7D58C" w14:textId="77777777" w:rsidR="00D86FB5" w:rsidRPr="00B94C08" w:rsidRDefault="00D86FB5" w:rsidP="00EF783F">
      <w:pPr>
        <w:ind w:left="426"/>
        <w:rPr>
          <w:b/>
          <w:bCs/>
        </w:rPr>
      </w:pPr>
      <w:r w:rsidRPr="74A8A7EE">
        <w:rPr>
          <w:b/>
          <w:bCs/>
        </w:rPr>
        <w:t>Schedule 4</w:t>
      </w:r>
    </w:p>
    <w:p w14:paraId="65B855D7" w14:textId="77777777" w:rsidR="00D86FB5" w:rsidRPr="00B03B68" w:rsidRDefault="00D86FB5" w:rsidP="00EF783F">
      <w:pPr>
        <w:spacing w:before="120"/>
        <w:ind w:left="709"/>
      </w:pPr>
      <w:r>
        <w:t xml:space="preserve">AZELAIC ACID for therapeutic use </w:t>
      </w:r>
      <w:r w:rsidRPr="008E688C">
        <w:rPr>
          <w:b/>
          <w:bCs/>
        </w:rPr>
        <w:t>except</w:t>
      </w:r>
      <w:r>
        <w:t xml:space="preserve"> when included in Schedule 2.</w:t>
      </w:r>
    </w:p>
    <w:p w14:paraId="6BC20E37" w14:textId="13E0F83C" w:rsidR="00D86FB5" w:rsidRPr="00B94C08" w:rsidRDefault="00D86FB5" w:rsidP="00EF783F">
      <w:pPr>
        <w:ind w:left="426"/>
        <w:rPr>
          <w:b/>
          <w:bCs/>
        </w:rPr>
      </w:pPr>
      <w:r w:rsidRPr="74A8A7EE">
        <w:rPr>
          <w:b/>
          <w:bCs/>
        </w:rPr>
        <w:t xml:space="preserve">Schedule 2 </w:t>
      </w:r>
    </w:p>
    <w:p w14:paraId="0EA85084" w14:textId="77777777" w:rsidR="00D86FB5" w:rsidRPr="00415AAD" w:rsidRDefault="00D86FB5" w:rsidP="00EF783F">
      <w:pPr>
        <w:spacing w:before="120"/>
        <w:ind w:left="709"/>
        <w:rPr>
          <w:color w:val="00B050"/>
        </w:rPr>
      </w:pPr>
      <w:r>
        <w:t xml:space="preserve">AZELAIC ACID in dermal preparations for human </w:t>
      </w:r>
      <w:r w:rsidRPr="636C8D5A">
        <w:t xml:space="preserve">therapeutic </w:t>
      </w:r>
      <w:r>
        <w:t>use</w:t>
      </w:r>
    </w:p>
    <w:p w14:paraId="5E3F1988" w14:textId="77777777" w:rsidR="00D86FB5" w:rsidRPr="00B94C08" w:rsidRDefault="00D86FB5" w:rsidP="00D86FB5">
      <w:r>
        <w:t>Azelaic acid preparations captured under the Schedule 5 entry will also require the following first aid instructions (Appendix E, clause 3), and warning statements and safety directions (Appendix F, clause 4).</w:t>
      </w:r>
    </w:p>
    <w:p w14:paraId="20B974C2" w14:textId="77777777" w:rsidR="00D86FB5" w:rsidRPr="00B94C08" w:rsidRDefault="00D86FB5" w:rsidP="00EF783F">
      <w:pPr>
        <w:ind w:left="426"/>
        <w:rPr>
          <w:b/>
          <w:bCs/>
        </w:rPr>
      </w:pPr>
      <w:r w:rsidRPr="74A8A7EE">
        <w:rPr>
          <w:b/>
          <w:bCs/>
        </w:rPr>
        <w:t>Appendix E, Clause 3 - Poisons that must be labelled with first aid instructions</w:t>
      </w:r>
    </w:p>
    <w:tbl>
      <w:tblPr>
        <w:tblW w:w="0" w:type="auto"/>
        <w:tblBorders>
          <w:top w:val="single" w:sz="6" w:space="0" w:color="auto"/>
          <w:left w:val="single" w:sz="6" w:space="0" w:color="auto"/>
          <w:bottom w:val="single" w:sz="6" w:space="0" w:color="auto"/>
          <w:right w:val="single" w:sz="6" w:space="0" w:color="auto"/>
        </w:tblBorders>
        <w:tblLayout w:type="fixed"/>
        <w:tblCellMar>
          <w:top w:w="113" w:type="dxa"/>
          <w:bottom w:w="113" w:type="dxa"/>
        </w:tblCellMar>
        <w:tblLook w:val="04A0" w:firstRow="1" w:lastRow="0" w:firstColumn="1" w:lastColumn="0" w:noHBand="0" w:noVBand="1"/>
      </w:tblPr>
      <w:tblGrid>
        <w:gridCol w:w="915"/>
        <w:gridCol w:w="1395"/>
        <w:gridCol w:w="6375"/>
      </w:tblGrid>
      <w:tr w:rsidR="00D86FB5" w14:paraId="4D2311EB" w14:textId="77777777" w:rsidTr="00F8777E">
        <w:trPr>
          <w:trHeight w:val="300"/>
        </w:trPr>
        <w:tc>
          <w:tcPr>
            <w:tcW w:w="915" w:type="dxa"/>
            <w:tcBorders>
              <w:top w:val="single" w:sz="6" w:space="0" w:color="002C47"/>
              <w:left w:val="single" w:sz="6" w:space="0" w:color="002C47"/>
              <w:bottom w:val="single" w:sz="6" w:space="0" w:color="002C47"/>
              <w:right w:val="single" w:sz="6" w:space="0" w:color="002C47"/>
            </w:tcBorders>
            <w:shd w:val="clear" w:color="auto" w:fill="B8CCEA"/>
            <w:tcMar>
              <w:left w:w="105" w:type="dxa"/>
              <w:right w:w="105" w:type="dxa"/>
            </w:tcMar>
          </w:tcPr>
          <w:p w14:paraId="05C10934" w14:textId="77777777" w:rsidR="00D86FB5" w:rsidRPr="0032099F" w:rsidRDefault="00D86FB5" w:rsidP="0032099F">
            <w:pPr>
              <w:spacing w:line="240" w:lineRule="auto"/>
              <w:textAlignment w:val="baseline"/>
              <w:rPr>
                <w:rFonts w:eastAsia="Times New Roman" w:cs="Arial"/>
                <w:b/>
                <w:bCs/>
                <w:color w:val="00348C"/>
                <w:lang w:eastAsia="zh-TW"/>
              </w:rPr>
            </w:pPr>
            <w:r w:rsidRPr="0032099F">
              <w:rPr>
                <w:rFonts w:eastAsia="Times New Roman" w:cs="Arial"/>
                <w:b/>
                <w:bCs/>
                <w:color w:val="00348C"/>
                <w:lang w:eastAsia="zh-TW"/>
              </w:rPr>
              <w:t>Item</w:t>
            </w:r>
          </w:p>
        </w:tc>
        <w:tc>
          <w:tcPr>
            <w:tcW w:w="1395" w:type="dxa"/>
            <w:tcBorders>
              <w:top w:val="single" w:sz="6" w:space="0" w:color="002C47"/>
              <w:left w:val="single" w:sz="6" w:space="0" w:color="002C47"/>
              <w:bottom w:val="single" w:sz="6" w:space="0" w:color="002C47"/>
              <w:right w:val="single" w:sz="6" w:space="0" w:color="002C47"/>
            </w:tcBorders>
            <w:shd w:val="clear" w:color="auto" w:fill="B8CCEA"/>
            <w:tcMar>
              <w:left w:w="105" w:type="dxa"/>
              <w:right w:w="105" w:type="dxa"/>
            </w:tcMar>
          </w:tcPr>
          <w:p w14:paraId="598AB162" w14:textId="77777777" w:rsidR="00D86FB5" w:rsidRPr="0032099F" w:rsidRDefault="00D86FB5" w:rsidP="0032099F">
            <w:pPr>
              <w:spacing w:line="240" w:lineRule="auto"/>
              <w:textAlignment w:val="baseline"/>
              <w:rPr>
                <w:rFonts w:eastAsia="Times New Roman" w:cs="Arial"/>
                <w:b/>
                <w:bCs/>
                <w:color w:val="00348C"/>
                <w:lang w:eastAsia="zh-TW"/>
              </w:rPr>
            </w:pPr>
            <w:r w:rsidRPr="0032099F">
              <w:rPr>
                <w:rFonts w:eastAsia="Times New Roman" w:cs="Arial"/>
                <w:b/>
                <w:bCs/>
                <w:color w:val="00348C"/>
                <w:lang w:eastAsia="zh-TW"/>
              </w:rPr>
              <w:t>Poison</w:t>
            </w:r>
          </w:p>
        </w:tc>
        <w:tc>
          <w:tcPr>
            <w:tcW w:w="6375" w:type="dxa"/>
            <w:tcBorders>
              <w:top w:val="single" w:sz="6" w:space="0" w:color="002C47"/>
              <w:left w:val="single" w:sz="6" w:space="0" w:color="002C47"/>
              <w:bottom w:val="single" w:sz="6" w:space="0" w:color="002C47"/>
              <w:right w:val="single" w:sz="6" w:space="0" w:color="002C47"/>
            </w:tcBorders>
            <w:shd w:val="clear" w:color="auto" w:fill="B8CCEA"/>
            <w:tcMar>
              <w:left w:w="105" w:type="dxa"/>
              <w:right w:w="105" w:type="dxa"/>
            </w:tcMar>
          </w:tcPr>
          <w:p w14:paraId="38C3DDDC" w14:textId="77777777" w:rsidR="00D86FB5" w:rsidRPr="0032099F" w:rsidRDefault="00D86FB5" w:rsidP="0032099F">
            <w:pPr>
              <w:spacing w:line="240" w:lineRule="auto"/>
              <w:textAlignment w:val="baseline"/>
              <w:rPr>
                <w:rFonts w:eastAsia="Times New Roman" w:cs="Arial"/>
                <w:b/>
                <w:bCs/>
                <w:color w:val="00348C"/>
                <w:lang w:eastAsia="zh-TW"/>
              </w:rPr>
            </w:pPr>
            <w:r w:rsidRPr="0032099F">
              <w:rPr>
                <w:rFonts w:eastAsia="Times New Roman" w:cs="Arial"/>
                <w:b/>
                <w:bCs/>
                <w:color w:val="00348C"/>
                <w:lang w:eastAsia="zh-TW"/>
              </w:rPr>
              <w:t>Standard statement for first aid instruction</w:t>
            </w:r>
          </w:p>
        </w:tc>
      </w:tr>
      <w:tr w:rsidR="00D86FB5" w14:paraId="2D7E575B" w14:textId="77777777" w:rsidTr="00F8777E">
        <w:trPr>
          <w:trHeight w:val="300"/>
        </w:trPr>
        <w:tc>
          <w:tcPr>
            <w:tcW w:w="915" w:type="dxa"/>
            <w:vMerge w:val="restart"/>
            <w:tcBorders>
              <w:top w:val="single" w:sz="6" w:space="0" w:color="002C47"/>
              <w:left w:val="single" w:sz="6" w:space="0" w:color="002C47"/>
              <w:bottom w:val="single" w:sz="6" w:space="0" w:color="002C47"/>
              <w:right w:val="single" w:sz="4" w:space="0" w:color="auto"/>
            </w:tcBorders>
            <w:tcMar>
              <w:left w:w="105" w:type="dxa"/>
              <w:right w:w="105" w:type="dxa"/>
            </w:tcMar>
          </w:tcPr>
          <w:p w14:paraId="55734BC5" w14:textId="77777777" w:rsidR="00D86FB5" w:rsidRDefault="00D86FB5" w:rsidP="0032099F">
            <w:pPr>
              <w:spacing w:line="240" w:lineRule="auto"/>
              <w:rPr>
                <w:rFonts w:eastAsia="Arial" w:cs="Arial"/>
                <w:color w:val="000000" w:themeColor="text1"/>
              </w:rPr>
            </w:pPr>
            <w:r w:rsidRPr="74A8A7EE">
              <w:rPr>
                <w:rFonts w:eastAsia="Arial" w:cs="Arial"/>
                <w:color w:val="000000" w:themeColor="text1"/>
              </w:rPr>
              <w:t>32</w:t>
            </w:r>
          </w:p>
        </w:tc>
        <w:tc>
          <w:tcPr>
            <w:tcW w:w="1395" w:type="dxa"/>
            <w:vMerge w:val="restart"/>
            <w:tcBorders>
              <w:top w:val="single" w:sz="6" w:space="0" w:color="002C47"/>
              <w:left w:val="single" w:sz="4" w:space="0" w:color="auto"/>
              <w:bottom w:val="single" w:sz="6" w:space="0" w:color="002C47"/>
              <w:right w:val="single" w:sz="6" w:space="0" w:color="002C47"/>
            </w:tcBorders>
            <w:tcMar>
              <w:left w:w="105" w:type="dxa"/>
              <w:right w:w="105" w:type="dxa"/>
            </w:tcMar>
          </w:tcPr>
          <w:p w14:paraId="432EB7E2" w14:textId="77777777" w:rsidR="00D86FB5" w:rsidRDefault="00D86FB5" w:rsidP="0032099F">
            <w:pPr>
              <w:spacing w:line="240" w:lineRule="auto"/>
              <w:rPr>
                <w:rFonts w:eastAsia="Arial" w:cs="Arial"/>
                <w:color w:val="000000" w:themeColor="text1"/>
              </w:rPr>
            </w:pPr>
            <w:r w:rsidRPr="74A8A7EE">
              <w:rPr>
                <w:rFonts w:eastAsia="Arial" w:cs="Arial"/>
                <w:color w:val="000000" w:themeColor="text1"/>
              </w:rPr>
              <w:t>AZELAIC ACID</w:t>
            </w:r>
          </w:p>
        </w:tc>
        <w:tc>
          <w:tcPr>
            <w:tcW w:w="6375" w:type="dxa"/>
            <w:tcBorders>
              <w:top w:val="single" w:sz="6" w:space="0" w:color="002C47"/>
              <w:left w:val="single" w:sz="6" w:space="0" w:color="002C47"/>
              <w:bottom w:val="single" w:sz="6" w:space="0" w:color="002C47"/>
              <w:right w:val="single" w:sz="6" w:space="0" w:color="002C47"/>
            </w:tcBorders>
            <w:tcMar>
              <w:left w:w="105" w:type="dxa"/>
              <w:right w:w="105" w:type="dxa"/>
            </w:tcMar>
          </w:tcPr>
          <w:p w14:paraId="7251217B" w14:textId="77777777" w:rsidR="00D86FB5" w:rsidRDefault="00D86FB5" w:rsidP="0032099F">
            <w:pPr>
              <w:spacing w:line="240" w:lineRule="auto"/>
              <w:rPr>
                <w:rFonts w:eastAsia="Arial" w:cs="Arial"/>
                <w:color w:val="000000" w:themeColor="text1"/>
              </w:rPr>
            </w:pPr>
            <w:r w:rsidRPr="74A8A7EE">
              <w:rPr>
                <w:rFonts w:eastAsia="Arial" w:cs="Arial"/>
                <w:color w:val="000000" w:themeColor="text1"/>
              </w:rPr>
              <w:t>A – For advice, contact a Poisons Information Centre (e.g. phone Australia 13 11 26; New Zealand 0800 764 766) or a doctor (at once).</w:t>
            </w:r>
          </w:p>
        </w:tc>
      </w:tr>
      <w:tr w:rsidR="00D86FB5" w14:paraId="42F8851F" w14:textId="77777777" w:rsidTr="00F8777E">
        <w:trPr>
          <w:trHeight w:val="300"/>
        </w:trPr>
        <w:tc>
          <w:tcPr>
            <w:tcW w:w="915" w:type="dxa"/>
            <w:vMerge/>
            <w:tcBorders>
              <w:right w:val="single" w:sz="4" w:space="0" w:color="auto"/>
            </w:tcBorders>
            <w:vAlign w:val="center"/>
          </w:tcPr>
          <w:p w14:paraId="62EA18A5" w14:textId="77777777" w:rsidR="00D86FB5" w:rsidRDefault="00D86FB5" w:rsidP="0032099F">
            <w:pPr>
              <w:spacing w:line="240" w:lineRule="auto"/>
            </w:pPr>
          </w:p>
        </w:tc>
        <w:tc>
          <w:tcPr>
            <w:tcW w:w="1395" w:type="dxa"/>
            <w:vMerge/>
            <w:tcBorders>
              <w:left w:val="single" w:sz="4" w:space="0" w:color="auto"/>
            </w:tcBorders>
            <w:vAlign w:val="center"/>
          </w:tcPr>
          <w:p w14:paraId="49C062EF" w14:textId="77777777" w:rsidR="00D86FB5" w:rsidRDefault="00D86FB5" w:rsidP="0032099F">
            <w:pPr>
              <w:spacing w:line="240" w:lineRule="auto"/>
            </w:pPr>
          </w:p>
        </w:tc>
        <w:tc>
          <w:tcPr>
            <w:tcW w:w="6375" w:type="dxa"/>
            <w:tcBorders>
              <w:top w:val="single" w:sz="6" w:space="0" w:color="002C47"/>
              <w:left w:val="single" w:sz="6" w:space="0" w:color="002C47"/>
              <w:bottom w:val="single" w:sz="6" w:space="0" w:color="002C47"/>
              <w:right w:val="single" w:sz="6" w:space="0" w:color="002C47"/>
            </w:tcBorders>
            <w:tcMar>
              <w:left w:w="105" w:type="dxa"/>
              <w:right w:w="105" w:type="dxa"/>
            </w:tcMar>
          </w:tcPr>
          <w:p w14:paraId="74A0415D" w14:textId="77777777" w:rsidR="00D86FB5" w:rsidRDefault="00D86FB5" w:rsidP="0032099F">
            <w:pPr>
              <w:spacing w:line="240" w:lineRule="auto"/>
              <w:rPr>
                <w:rFonts w:eastAsia="Arial" w:cs="Arial"/>
                <w:color w:val="000000" w:themeColor="text1"/>
              </w:rPr>
            </w:pPr>
            <w:r w:rsidRPr="74A8A7EE">
              <w:rPr>
                <w:rFonts w:eastAsia="Arial" w:cs="Arial"/>
                <w:color w:val="000000" w:themeColor="text1"/>
              </w:rPr>
              <w:t>E1 – If in eyes wash out immediately with water.</w:t>
            </w:r>
          </w:p>
        </w:tc>
      </w:tr>
    </w:tbl>
    <w:p w14:paraId="5317C54F" w14:textId="77777777" w:rsidR="00D86FB5" w:rsidRDefault="00D86FB5" w:rsidP="00D86FB5">
      <w:pPr>
        <w:ind w:firstLine="284"/>
        <w:rPr>
          <w:b/>
          <w:bCs/>
        </w:rPr>
      </w:pPr>
    </w:p>
    <w:p w14:paraId="51F959BD" w14:textId="77777777" w:rsidR="00D86FB5" w:rsidRDefault="00D86FB5" w:rsidP="00EF783F">
      <w:pPr>
        <w:ind w:left="426"/>
        <w:rPr>
          <w:b/>
          <w:bCs/>
        </w:rPr>
      </w:pPr>
      <w:r w:rsidRPr="74A8A7EE">
        <w:rPr>
          <w:b/>
          <w:bCs/>
        </w:rPr>
        <w:t xml:space="preserve">Appendix F, Clause 4 - Poisons that must be labelled with warning statements and safety directions  </w:t>
      </w:r>
    </w:p>
    <w:tbl>
      <w:tblPr>
        <w:tblW w:w="0" w:type="auto"/>
        <w:tblBorders>
          <w:top w:val="single" w:sz="6" w:space="0" w:color="auto"/>
          <w:left w:val="single" w:sz="6" w:space="0" w:color="auto"/>
          <w:bottom w:val="single" w:sz="6" w:space="0" w:color="auto"/>
          <w:right w:val="single" w:sz="6" w:space="0" w:color="auto"/>
        </w:tblBorders>
        <w:tblLayout w:type="fixed"/>
        <w:tblCellMar>
          <w:top w:w="113" w:type="dxa"/>
          <w:bottom w:w="113" w:type="dxa"/>
        </w:tblCellMar>
        <w:tblLook w:val="04A0" w:firstRow="1" w:lastRow="0" w:firstColumn="1" w:lastColumn="0" w:noHBand="0" w:noVBand="1"/>
      </w:tblPr>
      <w:tblGrid>
        <w:gridCol w:w="915"/>
        <w:gridCol w:w="2153"/>
        <w:gridCol w:w="5587"/>
      </w:tblGrid>
      <w:tr w:rsidR="00D86FB5" w14:paraId="196112A0" w14:textId="77777777" w:rsidTr="00F8777E">
        <w:trPr>
          <w:trHeight w:val="300"/>
        </w:trPr>
        <w:tc>
          <w:tcPr>
            <w:tcW w:w="915" w:type="dxa"/>
            <w:tcBorders>
              <w:top w:val="single" w:sz="6" w:space="0" w:color="002C47"/>
              <w:left w:val="single" w:sz="6" w:space="0" w:color="002C47"/>
              <w:bottom w:val="single" w:sz="6" w:space="0" w:color="002C47"/>
              <w:right w:val="single" w:sz="6" w:space="0" w:color="002C47"/>
            </w:tcBorders>
            <w:shd w:val="clear" w:color="auto" w:fill="B8CCEA"/>
            <w:tcMar>
              <w:left w:w="105" w:type="dxa"/>
              <w:right w:w="105" w:type="dxa"/>
            </w:tcMar>
          </w:tcPr>
          <w:p w14:paraId="65F49308" w14:textId="77777777" w:rsidR="00D86FB5" w:rsidRPr="0032099F" w:rsidRDefault="00D86FB5" w:rsidP="0032099F">
            <w:pPr>
              <w:spacing w:line="240" w:lineRule="auto"/>
              <w:textAlignment w:val="baseline"/>
              <w:rPr>
                <w:rFonts w:eastAsia="Times New Roman" w:cs="Arial"/>
                <w:b/>
                <w:bCs/>
                <w:color w:val="00348C"/>
                <w:lang w:eastAsia="zh-TW"/>
              </w:rPr>
            </w:pPr>
            <w:r w:rsidRPr="0032099F">
              <w:rPr>
                <w:rFonts w:eastAsia="Times New Roman" w:cs="Arial"/>
                <w:b/>
                <w:bCs/>
                <w:color w:val="00348C"/>
                <w:lang w:eastAsia="zh-TW"/>
              </w:rPr>
              <w:t xml:space="preserve"> Item</w:t>
            </w:r>
          </w:p>
        </w:tc>
        <w:tc>
          <w:tcPr>
            <w:tcW w:w="2153" w:type="dxa"/>
            <w:tcBorders>
              <w:top w:val="single" w:sz="6" w:space="0" w:color="002C47"/>
              <w:left w:val="single" w:sz="6" w:space="0" w:color="002C47"/>
              <w:bottom w:val="single" w:sz="6" w:space="0" w:color="002C47"/>
              <w:right w:val="single" w:sz="6" w:space="0" w:color="002C47"/>
            </w:tcBorders>
            <w:shd w:val="clear" w:color="auto" w:fill="B8CCEA"/>
            <w:tcMar>
              <w:left w:w="105" w:type="dxa"/>
              <w:right w:w="105" w:type="dxa"/>
            </w:tcMar>
          </w:tcPr>
          <w:p w14:paraId="72B97EE8" w14:textId="77777777" w:rsidR="00D86FB5" w:rsidRPr="0032099F" w:rsidRDefault="00D86FB5" w:rsidP="0032099F">
            <w:pPr>
              <w:spacing w:line="240" w:lineRule="auto"/>
              <w:textAlignment w:val="baseline"/>
              <w:rPr>
                <w:rFonts w:eastAsia="Times New Roman" w:cs="Arial"/>
                <w:b/>
                <w:bCs/>
                <w:color w:val="00348C"/>
                <w:lang w:eastAsia="zh-TW"/>
              </w:rPr>
            </w:pPr>
            <w:r w:rsidRPr="0032099F">
              <w:rPr>
                <w:rFonts w:eastAsia="Times New Roman" w:cs="Arial"/>
                <w:b/>
                <w:bCs/>
                <w:color w:val="00348C"/>
                <w:lang w:eastAsia="zh-TW"/>
              </w:rPr>
              <w:t>Poison</w:t>
            </w:r>
          </w:p>
        </w:tc>
        <w:tc>
          <w:tcPr>
            <w:tcW w:w="5587" w:type="dxa"/>
            <w:tcBorders>
              <w:top w:val="single" w:sz="6" w:space="0" w:color="002C47"/>
              <w:left w:val="single" w:sz="6" w:space="0" w:color="002C47"/>
              <w:bottom w:val="single" w:sz="6" w:space="0" w:color="002C47"/>
              <w:right w:val="single" w:sz="6" w:space="0" w:color="002C47"/>
            </w:tcBorders>
            <w:shd w:val="clear" w:color="auto" w:fill="B8CCEA"/>
            <w:tcMar>
              <w:left w:w="105" w:type="dxa"/>
              <w:right w:w="105" w:type="dxa"/>
            </w:tcMar>
          </w:tcPr>
          <w:p w14:paraId="514684CA" w14:textId="77777777" w:rsidR="00D86FB5" w:rsidRPr="0032099F" w:rsidRDefault="00D86FB5" w:rsidP="0032099F">
            <w:pPr>
              <w:spacing w:line="240" w:lineRule="auto"/>
              <w:textAlignment w:val="baseline"/>
              <w:rPr>
                <w:rFonts w:eastAsia="Times New Roman" w:cs="Arial"/>
                <w:b/>
                <w:bCs/>
                <w:color w:val="00348C"/>
                <w:lang w:eastAsia="zh-TW"/>
              </w:rPr>
            </w:pPr>
            <w:r w:rsidRPr="0032099F">
              <w:rPr>
                <w:rFonts w:eastAsia="Times New Roman" w:cs="Arial"/>
                <w:b/>
                <w:bCs/>
                <w:color w:val="00348C"/>
                <w:lang w:eastAsia="zh-TW"/>
              </w:rPr>
              <w:t xml:space="preserve">Safety directions </w:t>
            </w:r>
          </w:p>
        </w:tc>
      </w:tr>
      <w:tr w:rsidR="00D86FB5" w14:paraId="0DEA3449" w14:textId="77777777" w:rsidTr="00F8777E">
        <w:trPr>
          <w:trHeight w:val="300"/>
        </w:trPr>
        <w:tc>
          <w:tcPr>
            <w:tcW w:w="915" w:type="dxa"/>
            <w:vMerge w:val="restart"/>
            <w:tcBorders>
              <w:top w:val="single" w:sz="6" w:space="0" w:color="002C47"/>
              <w:left w:val="single" w:sz="6" w:space="0" w:color="002C47"/>
              <w:bottom w:val="single" w:sz="6" w:space="0" w:color="002C47"/>
              <w:right w:val="single" w:sz="4" w:space="0" w:color="auto"/>
            </w:tcBorders>
            <w:tcMar>
              <w:top w:w="113" w:type="dxa"/>
              <w:left w:w="105" w:type="dxa"/>
              <w:right w:w="105" w:type="dxa"/>
            </w:tcMar>
          </w:tcPr>
          <w:p w14:paraId="3C14446A" w14:textId="77777777" w:rsidR="00D86FB5" w:rsidRDefault="00D86FB5" w:rsidP="0032099F">
            <w:pPr>
              <w:spacing w:line="240" w:lineRule="auto"/>
              <w:rPr>
                <w:rFonts w:eastAsia="Calibri"/>
                <w:color w:val="000000" w:themeColor="text1"/>
              </w:rPr>
            </w:pPr>
            <w:r w:rsidRPr="74A8A7EE">
              <w:rPr>
                <w:rFonts w:eastAsia="Calibri"/>
                <w:color w:val="000000" w:themeColor="text1"/>
              </w:rPr>
              <w:t>33</w:t>
            </w:r>
          </w:p>
        </w:tc>
        <w:tc>
          <w:tcPr>
            <w:tcW w:w="2153" w:type="dxa"/>
            <w:vMerge w:val="restart"/>
            <w:tcBorders>
              <w:top w:val="single" w:sz="6" w:space="0" w:color="002C47"/>
              <w:left w:val="single" w:sz="4" w:space="0" w:color="auto"/>
              <w:bottom w:val="single" w:sz="6" w:space="0" w:color="002C47"/>
              <w:right w:val="single" w:sz="6" w:space="0" w:color="002C47"/>
            </w:tcBorders>
            <w:tcMar>
              <w:top w:w="113" w:type="dxa"/>
              <w:left w:w="105" w:type="dxa"/>
              <w:right w:w="105" w:type="dxa"/>
            </w:tcMar>
          </w:tcPr>
          <w:p w14:paraId="70916A80" w14:textId="77777777" w:rsidR="00D86FB5" w:rsidRDefault="00D86FB5" w:rsidP="0032099F">
            <w:pPr>
              <w:spacing w:line="240" w:lineRule="auto"/>
              <w:rPr>
                <w:rFonts w:eastAsia="Calibri"/>
                <w:color w:val="000000" w:themeColor="text1"/>
              </w:rPr>
            </w:pPr>
            <w:r w:rsidRPr="74A8A7EE">
              <w:rPr>
                <w:rFonts w:eastAsia="Calibri"/>
                <w:color w:val="000000" w:themeColor="text1"/>
              </w:rPr>
              <w:t>AZELAIC ACID</w:t>
            </w:r>
          </w:p>
        </w:tc>
        <w:tc>
          <w:tcPr>
            <w:tcW w:w="5587" w:type="dxa"/>
            <w:tcBorders>
              <w:top w:val="single" w:sz="6" w:space="0" w:color="002C47"/>
              <w:left w:val="single" w:sz="6" w:space="0" w:color="002C47"/>
              <w:bottom w:val="single" w:sz="6" w:space="0" w:color="002C47"/>
              <w:right w:val="single" w:sz="6" w:space="0" w:color="002C47"/>
            </w:tcBorders>
            <w:tcMar>
              <w:top w:w="113" w:type="dxa"/>
              <w:left w:w="105" w:type="dxa"/>
              <w:right w:w="105" w:type="dxa"/>
            </w:tcMar>
          </w:tcPr>
          <w:p w14:paraId="15AFA218" w14:textId="77777777" w:rsidR="00D86FB5" w:rsidRDefault="00D86FB5" w:rsidP="0032099F">
            <w:pPr>
              <w:spacing w:line="240" w:lineRule="auto"/>
              <w:rPr>
                <w:rFonts w:eastAsia="Calibri"/>
                <w:color w:val="000000" w:themeColor="text1"/>
              </w:rPr>
            </w:pPr>
            <w:r w:rsidRPr="74A8A7EE">
              <w:rPr>
                <w:rFonts w:eastAsia="Calibri"/>
                <w:color w:val="000000" w:themeColor="text1"/>
              </w:rPr>
              <w:t>1 – Avoid contact with eyes.</w:t>
            </w:r>
          </w:p>
        </w:tc>
      </w:tr>
      <w:tr w:rsidR="00D86FB5" w14:paraId="1F3CA4C3" w14:textId="77777777" w:rsidTr="00F8777E">
        <w:trPr>
          <w:trHeight w:val="300"/>
        </w:trPr>
        <w:tc>
          <w:tcPr>
            <w:tcW w:w="915" w:type="dxa"/>
            <w:vMerge/>
            <w:tcBorders>
              <w:right w:val="single" w:sz="4" w:space="0" w:color="auto"/>
            </w:tcBorders>
            <w:tcMar>
              <w:top w:w="113" w:type="dxa"/>
            </w:tcMar>
            <w:vAlign w:val="center"/>
          </w:tcPr>
          <w:p w14:paraId="6CE48585" w14:textId="77777777" w:rsidR="00D86FB5" w:rsidRDefault="00D86FB5" w:rsidP="0032099F">
            <w:pPr>
              <w:spacing w:line="240" w:lineRule="auto"/>
            </w:pPr>
          </w:p>
        </w:tc>
        <w:tc>
          <w:tcPr>
            <w:tcW w:w="2153" w:type="dxa"/>
            <w:vMerge/>
            <w:tcBorders>
              <w:left w:val="single" w:sz="4" w:space="0" w:color="auto"/>
            </w:tcBorders>
            <w:tcMar>
              <w:top w:w="113" w:type="dxa"/>
            </w:tcMar>
            <w:vAlign w:val="center"/>
          </w:tcPr>
          <w:p w14:paraId="15E33794" w14:textId="77777777" w:rsidR="00D86FB5" w:rsidRDefault="00D86FB5" w:rsidP="0032099F">
            <w:pPr>
              <w:spacing w:line="240" w:lineRule="auto"/>
            </w:pPr>
          </w:p>
        </w:tc>
        <w:tc>
          <w:tcPr>
            <w:tcW w:w="5587" w:type="dxa"/>
            <w:tcBorders>
              <w:top w:val="single" w:sz="6" w:space="0" w:color="002C47"/>
              <w:left w:val="single" w:sz="6" w:space="0" w:color="002C47"/>
              <w:bottom w:val="single" w:sz="6" w:space="0" w:color="002C47"/>
              <w:right w:val="single" w:sz="6" w:space="0" w:color="002C47"/>
            </w:tcBorders>
            <w:tcMar>
              <w:top w:w="113" w:type="dxa"/>
              <w:left w:w="105" w:type="dxa"/>
              <w:right w:w="105" w:type="dxa"/>
            </w:tcMar>
          </w:tcPr>
          <w:p w14:paraId="5760786F" w14:textId="7D37F15C" w:rsidR="00BC6327" w:rsidRPr="00BC6327" w:rsidRDefault="00BC6327" w:rsidP="0032099F">
            <w:pPr>
              <w:spacing w:line="240" w:lineRule="auto"/>
              <w:rPr>
                <w:rFonts w:eastAsia="Calibri"/>
                <w:strike/>
                <w:color w:val="FF0000"/>
              </w:rPr>
            </w:pPr>
            <w:r w:rsidRPr="00BC6327">
              <w:rPr>
                <w:rFonts w:eastAsia="Calibri"/>
                <w:strike/>
                <w:color w:val="FF0000"/>
              </w:rPr>
              <w:t>4</w:t>
            </w:r>
            <w:r w:rsidRPr="00BC6327">
              <w:rPr>
                <w:rFonts w:eastAsia="Calibri"/>
                <w:color w:val="FF0000"/>
              </w:rPr>
              <w:t xml:space="preserve"> – </w:t>
            </w:r>
            <w:r w:rsidRPr="00BC6327">
              <w:rPr>
                <w:rFonts w:eastAsia="Calibri"/>
                <w:strike/>
                <w:color w:val="FF0000"/>
              </w:rPr>
              <w:t>Avoid contact with skin.</w:t>
            </w:r>
          </w:p>
          <w:p w14:paraId="48D7F0C6" w14:textId="69B97DC7" w:rsidR="00D86FB5" w:rsidRDefault="00D50BA6" w:rsidP="0032099F">
            <w:pPr>
              <w:spacing w:line="240" w:lineRule="auto"/>
              <w:rPr>
                <w:rFonts w:eastAsia="Calibri"/>
                <w:color w:val="000000" w:themeColor="text1"/>
              </w:rPr>
            </w:pPr>
            <w:r w:rsidRPr="00A44D96">
              <w:rPr>
                <w:rFonts w:eastAsia="Calibri"/>
                <w:color w:val="00B050"/>
              </w:rPr>
              <w:t xml:space="preserve">31 - </w:t>
            </w:r>
            <w:r w:rsidR="005D5F3D" w:rsidRPr="00A44D96">
              <w:rPr>
                <w:rFonts w:eastAsia="Calibri"/>
                <w:color w:val="00B050"/>
              </w:rPr>
              <w:t>Do not use on broken skin.</w:t>
            </w:r>
            <w:r w:rsidR="00A44D96" w:rsidRPr="00A44D96">
              <w:rPr>
                <w:rFonts w:eastAsia="Calibri"/>
                <w:color w:val="00B050"/>
              </w:rPr>
              <w:t xml:space="preserve"> </w:t>
            </w:r>
          </w:p>
        </w:tc>
      </w:tr>
    </w:tbl>
    <w:p w14:paraId="728251B7" w14:textId="77777777" w:rsidR="00F8777E" w:rsidRDefault="00F8777E" w:rsidP="00256845">
      <w:pPr>
        <w:ind w:firstLine="284"/>
        <w:rPr>
          <w:b/>
          <w:bCs/>
        </w:rPr>
      </w:pPr>
    </w:p>
    <w:p w14:paraId="05F597BC" w14:textId="3C06F8C4" w:rsidR="00256845" w:rsidRPr="00F40F73" w:rsidRDefault="00256845" w:rsidP="00256845">
      <w:pPr>
        <w:ind w:firstLine="284"/>
        <w:rPr>
          <w:rFonts w:ascii="Segoe UI" w:eastAsia="Times New Roman" w:hAnsi="Segoe UI" w:cs="Segoe UI"/>
          <w:color w:val="000000"/>
          <w:sz w:val="18"/>
          <w:szCs w:val="18"/>
          <w:lang w:eastAsia="zh-TW"/>
        </w:rPr>
      </w:pPr>
      <w:r w:rsidRPr="00F40F73">
        <w:rPr>
          <w:b/>
          <w:bCs/>
        </w:rPr>
        <w:t>INDEX</w:t>
      </w:r>
    </w:p>
    <w:p w14:paraId="39CAA9B1" w14:textId="0934E2DB" w:rsidR="00256845" w:rsidRPr="00256845" w:rsidRDefault="00256845" w:rsidP="00256845">
      <w:pPr>
        <w:ind w:firstLine="567"/>
        <w:rPr>
          <w:b/>
          <w:bCs/>
        </w:rPr>
      </w:pPr>
      <w:r w:rsidRPr="00256845">
        <w:rPr>
          <w:b/>
          <w:bCs/>
        </w:rPr>
        <w:t>AZELAIC ACID</w:t>
      </w:r>
    </w:p>
    <w:p w14:paraId="62E91143" w14:textId="77777777" w:rsidR="00256845" w:rsidRPr="00F40F73" w:rsidRDefault="00256845" w:rsidP="00256845">
      <w:pPr>
        <w:ind w:firstLine="567"/>
      </w:pPr>
      <w:r w:rsidRPr="00F40F73">
        <w:t>Schedule 6</w:t>
      </w:r>
    </w:p>
    <w:p w14:paraId="2248233D" w14:textId="77777777" w:rsidR="00256845" w:rsidRPr="00F40F73" w:rsidRDefault="00256845" w:rsidP="00256845">
      <w:pPr>
        <w:ind w:firstLine="567"/>
      </w:pPr>
      <w:r w:rsidRPr="00F40F73">
        <w:t>Schedule 5</w:t>
      </w:r>
    </w:p>
    <w:p w14:paraId="447CA437" w14:textId="77777777" w:rsidR="00256845" w:rsidRPr="00F40F73" w:rsidRDefault="00256845" w:rsidP="00256845">
      <w:pPr>
        <w:ind w:firstLine="567"/>
      </w:pPr>
      <w:r w:rsidRPr="00F40F73">
        <w:t>Schedule 4</w:t>
      </w:r>
    </w:p>
    <w:p w14:paraId="7CB4AFA3" w14:textId="77777777" w:rsidR="00256845" w:rsidRPr="00F40F73" w:rsidRDefault="00256845" w:rsidP="00256845">
      <w:pPr>
        <w:ind w:firstLine="567"/>
      </w:pPr>
      <w:r w:rsidRPr="00F40F73">
        <w:t>Appendix E, Clause 3</w:t>
      </w:r>
    </w:p>
    <w:p w14:paraId="21C9E12E" w14:textId="3AC3025E" w:rsidR="00D86FB5" w:rsidRDefault="00256845" w:rsidP="00256845">
      <w:pPr>
        <w:ind w:firstLine="567"/>
      </w:pPr>
      <w:r w:rsidRPr="00256845">
        <w:t>Appendix F, Clause 4</w:t>
      </w:r>
    </w:p>
    <w:p w14:paraId="037506F0" w14:textId="695A5652" w:rsidR="00357139" w:rsidRPr="00B03B68" w:rsidRDefault="00357139" w:rsidP="00357139">
      <w:r>
        <w:t xml:space="preserve">The </w:t>
      </w:r>
      <w:r w:rsidR="00984DBC">
        <w:t xml:space="preserve">Committee considered the </w:t>
      </w:r>
      <w:r>
        <w:t xml:space="preserve">current safety direction ‘avoid contact with skin’ is not suitable for </w:t>
      </w:r>
      <w:r w:rsidR="00984DBC">
        <w:t xml:space="preserve">dermal </w:t>
      </w:r>
      <w:r>
        <w:t xml:space="preserve">cosmetic products and </w:t>
      </w:r>
      <w:r w:rsidR="00984DBC">
        <w:t xml:space="preserve">recommended </w:t>
      </w:r>
      <w:r w:rsidR="004574C6">
        <w:t xml:space="preserve">the direction be revised to </w:t>
      </w:r>
      <w:r>
        <w:t>‘do not use o</w:t>
      </w:r>
      <w:r w:rsidR="004574C6">
        <w:t>n</w:t>
      </w:r>
      <w:r>
        <w:t xml:space="preserve"> broken or peeling skin’.</w:t>
      </w:r>
    </w:p>
    <w:p w14:paraId="3B97DA9D" w14:textId="49AE7004" w:rsidR="00357139" w:rsidRPr="00B03B68" w:rsidRDefault="00357139" w:rsidP="00357139">
      <w:r>
        <w:t xml:space="preserve">The Committee also recommended an </w:t>
      </w:r>
      <w:r w:rsidR="00F70E93">
        <w:t xml:space="preserve">immediate </w:t>
      </w:r>
      <w:r>
        <w:t xml:space="preserve">implementation </w:t>
      </w:r>
      <w:r w:rsidR="00F70E93">
        <w:t>as the changes</w:t>
      </w:r>
      <w:r>
        <w:t xml:space="preserve"> </w:t>
      </w:r>
      <w:r w:rsidR="00F70E93">
        <w:t xml:space="preserve">will facilitate market access for cosmetics with azelaic acid and </w:t>
      </w:r>
      <w:r>
        <w:t>will impose less stringent measures for manufacturers.</w:t>
      </w:r>
    </w:p>
    <w:p w14:paraId="4BAA8011" w14:textId="77777777" w:rsidR="00357139" w:rsidRPr="00B03B68" w:rsidRDefault="00357139" w:rsidP="00357139">
      <w:r>
        <w:t>Members agreed that the relevant matters under subsection 52E(1) of the Act included: (a) risks and benefits of the use of a substance; (b) the purposes for which a substance is to be used and the extent of use of a substance; (c) the toxicity of a substance; (d) the dosage, formulation, labelling, packaging and presentation of a substance; and (f) any other matters that the Secretary considers necessary to protect public health.</w:t>
      </w:r>
    </w:p>
    <w:p w14:paraId="66FFED81" w14:textId="77777777" w:rsidR="00357139" w:rsidRPr="00B03B68" w:rsidRDefault="00357139" w:rsidP="00357139">
      <w:r w:rsidRPr="00B03B68">
        <w:lastRenderedPageBreak/>
        <w:t>The reasons for the advice included:</w:t>
      </w:r>
    </w:p>
    <w:p w14:paraId="03476C32" w14:textId="77777777" w:rsidR="00357139" w:rsidRPr="00B03B68" w:rsidRDefault="00357139" w:rsidP="001F77DA">
      <w:pPr>
        <w:pStyle w:val="Heading5"/>
        <w:numPr>
          <w:ilvl w:val="0"/>
          <w:numId w:val="84"/>
        </w:numPr>
      </w:pPr>
      <w:r w:rsidRPr="00B03B68">
        <w:t>the risks and benefits of the use of a substance</w:t>
      </w:r>
    </w:p>
    <w:p w14:paraId="660E7714" w14:textId="77777777" w:rsidR="00357139" w:rsidRPr="00B03B68" w:rsidRDefault="00357139" w:rsidP="00357139">
      <w:pPr>
        <w:pStyle w:val="Heading6"/>
      </w:pPr>
      <w:r w:rsidRPr="00B03B68">
        <w:t>Risks:</w:t>
      </w:r>
    </w:p>
    <w:p w14:paraId="53FB2DF5" w14:textId="3C41D413" w:rsidR="00357139" w:rsidRDefault="00357139" w:rsidP="00357139">
      <w:pPr>
        <w:pStyle w:val="ListBullet2"/>
      </w:pPr>
      <w:r w:rsidRPr="00C8135B">
        <w:t>Newer formulations such as oil-in-water microemulsions of azelaic acid can significantly increase exposure, skin penetration and risk of irritation</w:t>
      </w:r>
    </w:p>
    <w:p w14:paraId="661EEBDD" w14:textId="77777777" w:rsidR="00357139" w:rsidRDefault="00357139" w:rsidP="00357139">
      <w:pPr>
        <w:pStyle w:val="ListBullet2"/>
      </w:pPr>
      <w:r w:rsidRPr="007312C4">
        <w:t>Self-diagnosis and treatment for dermatological conditions which require medical assessment.</w:t>
      </w:r>
    </w:p>
    <w:p w14:paraId="4B4B71A6" w14:textId="77777777" w:rsidR="00357139" w:rsidRPr="00B03B68" w:rsidRDefault="00357139" w:rsidP="00357139">
      <w:pPr>
        <w:pStyle w:val="Heading6"/>
      </w:pPr>
      <w:r w:rsidRPr="00B03B68">
        <w:t>Benefits:</w:t>
      </w:r>
    </w:p>
    <w:p w14:paraId="2853CA84" w14:textId="77777777" w:rsidR="00357139" w:rsidRDefault="00357139" w:rsidP="00357139">
      <w:pPr>
        <w:pStyle w:val="ListBullet2"/>
      </w:pPr>
      <w:r>
        <w:t>Effective for treatment of mild-to-moderate acne and rosacea</w:t>
      </w:r>
    </w:p>
    <w:p w14:paraId="318D024B" w14:textId="77777777" w:rsidR="00357139" w:rsidRDefault="00357139" w:rsidP="00357139">
      <w:pPr>
        <w:pStyle w:val="ListBullet2"/>
      </w:pPr>
      <w:r>
        <w:t>Confirmed keratolytic, antibacterial, and antioxidant properties</w:t>
      </w:r>
    </w:p>
    <w:p w14:paraId="099DD702" w14:textId="698FA478" w:rsidR="00357139" w:rsidRDefault="00357139" w:rsidP="00357139">
      <w:pPr>
        <w:pStyle w:val="ListBullet2"/>
      </w:pPr>
      <w:r>
        <w:t>Low oral and dermal toxicity with good safety profile for cosmetic use formulations (&lt;10%)</w:t>
      </w:r>
      <w:r w:rsidR="007375BE">
        <w:t>.</w:t>
      </w:r>
    </w:p>
    <w:p w14:paraId="074E2073" w14:textId="77777777" w:rsidR="00357139" w:rsidRPr="00B03B68" w:rsidRDefault="00357139" w:rsidP="001F77DA">
      <w:pPr>
        <w:pStyle w:val="Heading5"/>
      </w:pPr>
      <w:r w:rsidRPr="00B03B68">
        <w:t>the purposes for which a substance is to be used and the extent of use of a substance</w:t>
      </w:r>
    </w:p>
    <w:p w14:paraId="334A410D" w14:textId="21991D58" w:rsidR="00357139" w:rsidRPr="000D72F9" w:rsidRDefault="00357139" w:rsidP="007375BE">
      <w:pPr>
        <w:pStyle w:val="ListBullet2"/>
      </w:pPr>
      <w:r w:rsidRPr="008D4257">
        <w:t>Cosmetic uses:</w:t>
      </w:r>
      <w:r w:rsidR="007375BE">
        <w:t xml:space="preserve"> </w:t>
      </w:r>
      <w:r w:rsidRPr="000014DC">
        <w:t xml:space="preserve">Products containing </w:t>
      </w:r>
      <w:r w:rsidR="004A1B89">
        <w:t>a</w:t>
      </w:r>
      <w:r w:rsidRPr="000014DC">
        <w:t>zelaic acid derivatives also used a</w:t>
      </w:r>
      <w:r>
        <w:t>s</w:t>
      </w:r>
      <w:r w:rsidRPr="000014DC">
        <w:t xml:space="preserve"> buffer in fragrances</w:t>
      </w:r>
      <w:r w:rsidR="004A1B89">
        <w:t>.</w:t>
      </w:r>
    </w:p>
    <w:p w14:paraId="348553FB" w14:textId="115995FB" w:rsidR="00357139" w:rsidRDefault="00357139" w:rsidP="00357139">
      <w:pPr>
        <w:pStyle w:val="ListBullet2"/>
      </w:pPr>
      <w:r w:rsidRPr="000D72F9">
        <w:t>Therapeutic uses: Several topical formulations used to treat rosacea and acne</w:t>
      </w:r>
      <w:r w:rsidR="004A1B89">
        <w:t>.</w:t>
      </w:r>
    </w:p>
    <w:p w14:paraId="79F39F98" w14:textId="465A8852" w:rsidR="00357139" w:rsidRDefault="00357139" w:rsidP="00357139">
      <w:pPr>
        <w:pStyle w:val="ListBullet2"/>
      </w:pPr>
      <w:r w:rsidRPr="00692834">
        <w:t>Emerging veterinarian use of azelaic acid derivatives for seborrheic dermatitis in animals (registered international products) e.g. adelmidrol</w:t>
      </w:r>
      <w:r w:rsidR="004A1B89">
        <w:t>.</w:t>
      </w:r>
    </w:p>
    <w:p w14:paraId="123E7B24" w14:textId="77777777" w:rsidR="00357139" w:rsidRDefault="00357139" w:rsidP="00357139">
      <w:pPr>
        <w:pStyle w:val="ListBullet2"/>
      </w:pPr>
      <w:r w:rsidRPr="009B7FA7">
        <w:t>Industrial uses: wide ranging uses, including in adhesives, lubricants, cleaning products, inks and toners.</w:t>
      </w:r>
    </w:p>
    <w:p w14:paraId="0206BD5E" w14:textId="77777777" w:rsidR="00357139" w:rsidRPr="00B03B68" w:rsidRDefault="00357139" w:rsidP="001F77DA">
      <w:pPr>
        <w:pStyle w:val="Heading5"/>
      </w:pPr>
      <w:r w:rsidRPr="00B03B68">
        <w:t>the toxicity of a substance</w:t>
      </w:r>
    </w:p>
    <w:p w14:paraId="579B75D8" w14:textId="28A0CF6A" w:rsidR="00357139" w:rsidRDefault="00357139" w:rsidP="00357139">
      <w:pPr>
        <w:pStyle w:val="ListBullet2"/>
      </w:pPr>
      <w:r>
        <w:t>Low acute oral and dermal toxicity</w:t>
      </w:r>
    </w:p>
    <w:p w14:paraId="08E769BF" w14:textId="6418FE78" w:rsidR="00357139" w:rsidRDefault="00357139" w:rsidP="00357139">
      <w:pPr>
        <w:pStyle w:val="ListBullet2"/>
      </w:pPr>
      <w:r w:rsidRPr="009E62AE">
        <w:t xml:space="preserve">Azelaic </w:t>
      </w:r>
      <w:r w:rsidR="0076757D">
        <w:t>a</w:t>
      </w:r>
      <w:r w:rsidRPr="009E62AE">
        <w:t xml:space="preserve">cid is not a skin sensitiser; not genotoxic or carcinogenic, </w:t>
      </w:r>
      <w:r>
        <w:t xml:space="preserve">and </w:t>
      </w:r>
      <w:r w:rsidRPr="009E62AE">
        <w:t>not expected to be carcinogenic in humans (US EPA Report)</w:t>
      </w:r>
    </w:p>
    <w:p w14:paraId="30D083A1" w14:textId="5C5B0E82" w:rsidR="00357139" w:rsidRDefault="00357139" w:rsidP="00357139">
      <w:pPr>
        <w:pStyle w:val="ListBullet2"/>
      </w:pPr>
      <w:r w:rsidRPr="004E1A35">
        <w:t>Moderate to severe skin and eye irritation is well documented in higher strength formulations (with products containing 15</w:t>
      </w:r>
      <w:r w:rsidR="00EA3AA4" w:rsidRPr="67B1B9A3">
        <w:rPr>
          <w:rFonts w:eastAsia="Arial" w:cs="Arial"/>
        </w:rPr>
        <w:t>–</w:t>
      </w:r>
      <w:r w:rsidRPr="004E1A35">
        <w:t>20% azelaic acid)</w:t>
      </w:r>
    </w:p>
    <w:p w14:paraId="4A5676A7" w14:textId="131AD77B" w:rsidR="00357139" w:rsidRDefault="00357139" w:rsidP="00357139">
      <w:pPr>
        <w:pStyle w:val="ListBullet2"/>
      </w:pPr>
      <w:r>
        <w:t>Recent studies indicate oil in water microemulsion formulations of azelaic acid have increased dermal permeability and activity</w:t>
      </w:r>
      <w:r w:rsidR="007375BE">
        <w:t>.</w:t>
      </w:r>
      <w:r w:rsidRPr="74A8A7EE">
        <w:rPr>
          <w:rStyle w:val="FootnoteReference"/>
        </w:rPr>
        <w:footnoteReference w:id="11"/>
      </w:r>
    </w:p>
    <w:p w14:paraId="7212C33A" w14:textId="77777777" w:rsidR="00357139" w:rsidRPr="00B03B68" w:rsidRDefault="00357139" w:rsidP="001F77DA">
      <w:pPr>
        <w:pStyle w:val="Heading5"/>
      </w:pPr>
      <w:r w:rsidRPr="00B03B68">
        <w:t>the dosage, formulation, labelling, packaging and presentation of a substance</w:t>
      </w:r>
    </w:p>
    <w:p w14:paraId="54D86AC0" w14:textId="3205EEA4" w:rsidR="00357139" w:rsidRDefault="00357139" w:rsidP="00357139">
      <w:pPr>
        <w:pStyle w:val="ListBullet2"/>
      </w:pPr>
      <w:r>
        <w:t>Therapeutic use: Primarily cream and gel products for topical use</w:t>
      </w:r>
    </w:p>
    <w:p w14:paraId="0D842A22" w14:textId="0EA02DB3" w:rsidR="00357139" w:rsidRDefault="00357139" w:rsidP="00357139">
      <w:pPr>
        <w:pStyle w:val="ListBullet2"/>
      </w:pPr>
      <w:r>
        <w:t>Cosmetic use: Over 40 different cosmetic products and formulations reported on EWG database ranging from facial cleansers to serums, exfoliants, face masks and antiperspirants</w:t>
      </w:r>
    </w:p>
    <w:p w14:paraId="225120C9" w14:textId="2C0CA111" w:rsidR="00357139" w:rsidRDefault="00357139" w:rsidP="00357139">
      <w:pPr>
        <w:pStyle w:val="ListBullet2"/>
      </w:pPr>
      <w:r>
        <w:t>For therapeutic or cosmetic use: cream and gel products available in Australia for topical application</w:t>
      </w:r>
    </w:p>
    <w:p w14:paraId="1D638EF8" w14:textId="40555FAD" w:rsidR="00357139" w:rsidRDefault="00357139" w:rsidP="00357139">
      <w:pPr>
        <w:pStyle w:val="ListBullet2"/>
      </w:pPr>
      <w:r w:rsidRPr="00296269">
        <w:t>Despite the wide range of possible uses, limited information on current industrial/domestic use in Australia</w:t>
      </w:r>
    </w:p>
    <w:p w14:paraId="0F7092AB" w14:textId="0396FA63" w:rsidR="00357139" w:rsidRPr="00B03B68" w:rsidRDefault="00357139" w:rsidP="00357139">
      <w:pPr>
        <w:pStyle w:val="ListBullet2"/>
      </w:pPr>
      <w:r w:rsidRPr="00296269">
        <w:lastRenderedPageBreak/>
        <w:t>Safety directions to be appropriate for cosmetic use (e.g. do not use on broken skin)</w:t>
      </w:r>
      <w:r w:rsidR="0038254F">
        <w:t>.</w:t>
      </w:r>
    </w:p>
    <w:p w14:paraId="6CB7640A" w14:textId="77777777" w:rsidR="00357139" w:rsidRPr="00B03B68" w:rsidRDefault="00357139" w:rsidP="001F77DA">
      <w:pPr>
        <w:pStyle w:val="Heading5"/>
      </w:pPr>
      <w:r w:rsidRPr="00B03B68">
        <w:t>the potential for abuse of a substance</w:t>
      </w:r>
    </w:p>
    <w:p w14:paraId="5285BD22" w14:textId="6E83578B" w:rsidR="00357139" w:rsidRPr="00B03B68" w:rsidRDefault="00357139" w:rsidP="00357139">
      <w:pPr>
        <w:pStyle w:val="ListBullet2"/>
      </w:pPr>
      <w:r>
        <w:t>Nil</w:t>
      </w:r>
      <w:r w:rsidR="0038254F">
        <w:t>.</w:t>
      </w:r>
    </w:p>
    <w:p w14:paraId="6FB59199" w14:textId="77777777" w:rsidR="00357139" w:rsidRPr="00B03B68" w:rsidRDefault="00357139" w:rsidP="001F77DA">
      <w:pPr>
        <w:pStyle w:val="Heading5"/>
      </w:pPr>
      <w:r w:rsidRPr="00B03B68">
        <w:t>any other matters that the Secretary considers necessary to protect public health</w:t>
      </w:r>
    </w:p>
    <w:p w14:paraId="3A58A17E" w14:textId="7DB3DD06" w:rsidR="00357139" w:rsidRDefault="00A575C8" w:rsidP="00357139">
      <w:pPr>
        <w:pStyle w:val="ListBullet2"/>
      </w:pPr>
      <w:r w:rsidRPr="00CB0125">
        <w:t>Azelaic acid is banned in some Asian countries under current regulations for cosmetic use (as a skin whitening agent), although products containing less than 10% azelaic acid as an active ingredient seem to be available</w:t>
      </w:r>
      <w:r w:rsidR="004A1B89">
        <w:t>.</w:t>
      </w:r>
    </w:p>
    <w:p w14:paraId="07C9DD41" w14:textId="2082A5A3" w:rsidR="00357139" w:rsidRDefault="00A575C8" w:rsidP="00357139">
      <w:pPr>
        <w:pStyle w:val="ListBullet2"/>
      </w:pPr>
      <w:r w:rsidRPr="00CB0125">
        <w:t>Overseas cosmetic use includes topical formulation indicated for rosacea, acne and these products have significant potential to be imported into Australia.</w:t>
      </w:r>
    </w:p>
    <w:p w14:paraId="6639C9D2" w14:textId="77777777" w:rsidR="00357139" w:rsidRPr="00B03B68" w:rsidRDefault="00357139" w:rsidP="00357139">
      <w:pPr>
        <w:pStyle w:val="Heading4"/>
      </w:pPr>
      <w:bookmarkStart w:id="30" w:name="_Toc213351060"/>
      <w:bookmarkStart w:id="31" w:name="_Toc230034903"/>
      <w:r>
        <w:t>Reasons for the interim decision (including findings on material questions of fact)</w:t>
      </w:r>
      <w:bookmarkEnd w:id="30"/>
      <w:bookmarkEnd w:id="31"/>
    </w:p>
    <w:p w14:paraId="6E30BE25" w14:textId="1EE7881C" w:rsidR="00131F50" w:rsidRDefault="00C26B19" w:rsidP="00357139">
      <w:pPr>
        <w:rPr>
          <w:rFonts w:eastAsia="Arial" w:cs="Arial"/>
        </w:rPr>
      </w:pPr>
      <w:r w:rsidRPr="00C26B19">
        <w:rPr>
          <w:rFonts w:eastAsia="Arial" w:cs="Arial"/>
        </w:rPr>
        <w:t>I have made an interim decision to amend the current scheduling of</w:t>
      </w:r>
      <w:r>
        <w:rPr>
          <w:rFonts w:eastAsia="Arial" w:cs="Arial"/>
        </w:rPr>
        <w:t xml:space="preserve"> azelaic acid </w:t>
      </w:r>
      <w:r w:rsidR="00D86FB5">
        <w:rPr>
          <w:rFonts w:eastAsia="Arial" w:cs="Arial"/>
        </w:rPr>
        <w:t xml:space="preserve">to </w:t>
      </w:r>
      <w:r w:rsidR="00131F50">
        <w:rPr>
          <w:rFonts w:eastAsia="Arial" w:cs="Arial"/>
        </w:rPr>
        <w:t>revise the Appendix F Safety Directions from “</w:t>
      </w:r>
      <w:r w:rsidR="00131F50" w:rsidRPr="00131F50">
        <w:rPr>
          <w:rFonts w:eastAsia="Arial" w:cs="Arial"/>
        </w:rPr>
        <w:t>Avoid contact with skin</w:t>
      </w:r>
      <w:r w:rsidR="00131F50">
        <w:rPr>
          <w:rFonts w:eastAsia="Arial" w:cs="Arial"/>
        </w:rPr>
        <w:t>” to “</w:t>
      </w:r>
      <w:r w:rsidR="00131F50" w:rsidRPr="00131F50">
        <w:rPr>
          <w:rFonts w:eastAsia="Arial" w:cs="Arial"/>
        </w:rPr>
        <w:t>Do not use on broken skin.</w:t>
      </w:r>
      <w:r w:rsidR="00131F50">
        <w:rPr>
          <w:rFonts w:eastAsia="Arial" w:cs="Arial"/>
        </w:rPr>
        <w:t>”</w:t>
      </w:r>
    </w:p>
    <w:p w14:paraId="4713A94D" w14:textId="256BC998" w:rsidR="00DD6182" w:rsidRDefault="00131F50" w:rsidP="00357139">
      <w:pPr>
        <w:rPr>
          <w:rFonts w:eastAsia="Arial" w:cs="Arial"/>
        </w:rPr>
      </w:pPr>
      <w:r>
        <w:rPr>
          <w:rFonts w:eastAsia="Arial" w:cs="Arial"/>
        </w:rPr>
        <w:t xml:space="preserve">In making this interim decision, I have decided not to </w:t>
      </w:r>
      <w:r w:rsidR="00D86FB5">
        <w:rPr>
          <w:rFonts w:eastAsia="Arial" w:cs="Arial"/>
        </w:rPr>
        <w:t xml:space="preserve">exempt </w:t>
      </w:r>
      <w:r w:rsidR="00D86FB5" w:rsidRPr="636C8D5A">
        <w:rPr>
          <w:rFonts w:ascii="ArialMT" w:hAnsi="ArialMT" w:cs="ArialMT"/>
        </w:rPr>
        <w:t xml:space="preserve">cosmetic preparations containing 10% or less azelaic acid </w:t>
      </w:r>
      <w:r w:rsidR="00D86FB5">
        <w:rPr>
          <w:rFonts w:ascii="ArialMT" w:hAnsi="ArialMT" w:cs="ArialMT"/>
        </w:rPr>
        <w:t xml:space="preserve">from </w:t>
      </w:r>
      <w:r w:rsidR="00D86FB5" w:rsidRPr="636C8D5A">
        <w:rPr>
          <w:rFonts w:ascii="ArialMT" w:hAnsi="ArialMT" w:cs="ArialMT"/>
        </w:rPr>
        <w:t>Schedule 5</w:t>
      </w:r>
      <w:r w:rsidR="00C5202A">
        <w:rPr>
          <w:rFonts w:ascii="ArialMT" w:hAnsi="ArialMT" w:cs="ArialMT"/>
        </w:rPr>
        <w:t xml:space="preserve"> or included in Schedule 2</w:t>
      </w:r>
      <w:r w:rsidR="00D86FB5">
        <w:rPr>
          <w:rFonts w:ascii="ArialMT" w:hAnsi="ArialMT" w:cs="ArialMT"/>
        </w:rPr>
        <w:t>.</w:t>
      </w:r>
    </w:p>
    <w:p w14:paraId="178E7361" w14:textId="4242D66A" w:rsidR="00124224" w:rsidRPr="00124224" w:rsidRDefault="005E1511" w:rsidP="00124224">
      <w:pPr>
        <w:rPr>
          <w:rFonts w:eastAsia="Arial" w:cs="Arial"/>
        </w:rPr>
      </w:pPr>
      <w:r w:rsidRPr="005E1511">
        <w:rPr>
          <w:rFonts w:eastAsia="Arial" w:cs="Arial"/>
        </w:rPr>
        <w:t>I broadly agree with the Committee's findings on the relevant provisions of section 52E of the Act</w:t>
      </w:r>
      <w:r w:rsidR="005D5F3D">
        <w:rPr>
          <w:rFonts w:eastAsia="Arial" w:cs="Arial"/>
        </w:rPr>
        <w:t xml:space="preserve"> except for their considerations of the safety </w:t>
      </w:r>
      <w:r w:rsidR="00CA4017">
        <w:rPr>
          <w:rFonts w:eastAsia="Arial" w:cs="Arial"/>
        </w:rPr>
        <w:t>of</w:t>
      </w:r>
      <w:r w:rsidR="005D5F3D">
        <w:rPr>
          <w:rFonts w:eastAsia="Arial" w:cs="Arial"/>
        </w:rPr>
        <w:t xml:space="preserve"> cosmetic preparations containing less than 10% azelaic acid</w:t>
      </w:r>
      <w:r w:rsidRPr="005E1511">
        <w:rPr>
          <w:rFonts w:eastAsia="Arial" w:cs="Arial"/>
        </w:rPr>
        <w:t xml:space="preserve">. </w:t>
      </w:r>
      <w:r w:rsidR="003E7584">
        <w:rPr>
          <w:rFonts w:eastAsia="Arial" w:cs="Arial"/>
        </w:rPr>
        <w:t xml:space="preserve">Previously, exempting cosmetic preparations containing less than 10% azelaic acid from Schedule 5 classification was considered, but was not </w:t>
      </w:r>
      <w:r w:rsidR="0076757D">
        <w:rPr>
          <w:rFonts w:eastAsia="Arial" w:cs="Arial"/>
        </w:rPr>
        <w:t>agreed</w:t>
      </w:r>
      <w:r w:rsidR="003E7584">
        <w:rPr>
          <w:rFonts w:eastAsia="Arial" w:cs="Arial"/>
        </w:rPr>
        <w:t xml:space="preserve"> due to lack of data demonstrating safety at </w:t>
      </w:r>
      <w:r w:rsidR="00CA4017">
        <w:rPr>
          <w:rFonts w:eastAsia="Arial" w:cs="Arial"/>
        </w:rPr>
        <w:t xml:space="preserve">concentrations of </w:t>
      </w:r>
      <w:r w:rsidR="003E7584">
        <w:rPr>
          <w:rFonts w:eastAsia="Arial" w:cs="Arial"/>
        </w:rPr>
        <w:t>10% or less of azelaic acid.</w:t>
      </w:r>
      <w:r w:rsidR="003E7584">
        <w:rPr>
          <w:rStyle w:val="FootnoteReference"/>
          <w:rFonts w:eastAsia="Arial" w:cs="Arial"/>
        </w:rPr>
        <w:footnoteReference w:id="12"/>
      </w:r>
      <w:r w:rsidR="003E7584">
        <w:rPr>
          <w:rFonts w:eastAsia="Arial" w:cs="Arial"/>
          <w:vertAlign w:val="superscript"/>
        </w:rPr>
        <w:t>,</w:t>
      </w:r>
      <w:r w:rsidR="003E7584">
        <w:rPr>
          <w:rStyle w:val="FootnoteReference"/>
          <w:rFonts w:eastAsia="Arial" w:cs="Arial"/>
        </w:rPr>
        <w:footnoteReference w:id="13"/>
      </w:r>
      <w:r w:rsidR="005D5F3D">
        <w:rPr>
          <w:rFonts w:eastAsia="Arial" w:cs="Arial"/>
        </w:rPr>
        <w:t xml:space="preserve"> I </w:t>
      </w:r>
      <w:r w:rsidR="003E7584">
        <w:rPr>
          <w:rFonts w:eastAsia="Arial" w:cs="Arial"/>
        </w:rPr>
        <w:t>remain</w:t>
      </w:r>
      <w:r w:rsidR="005D5F3D">
        <w:rPr>
          <w:rFonts w:eastAsia="Arial" w:cs="Arial"/>
        </w:rPr>
        <w:t xml:space="preserve"> concerned </w:t>
      </w:r>
      <w:r w:rsidR="00CF0F46">
        <w:rPr>
          <w:rFonts w:eastAsia="Arial" w:cs="Arial"/>
        </w:rPr>
        <w:t xml:space="preserve">by the </w:t>
      </w:r>
      <w:r w:rsidR="003E7584">
        <w:rPr>
          <w:rFonts w:eastAsia="Arial" w:cs="Arial"/>
        </w:rPr>
        <w:t>continued</w:t>
      </w:r>
      <w:r w:rsidR="00CF0F46">
        <w:rPr>
          <w:rFonts w:eastAsia="Arial" w:cs="Arial"/>
        </w:rPr>
        <w:t xml:space="preserve"> lack</w:t>
      </w:r>
      <w:r w:rsidR="005D5F3D">
        <w:rPr>
          <w:rFonts w:eastAsia="Arial" w:cs="Arial"/>
        </w:rPr>
        <w:t xml:space="preserve"> of evidence </w:t>
      </w:r>
      <w:r w:rsidR="00113910">
        <w:rPr>
          <w:rFonts w:eastAsia="Arial" w:cs="Arial"/>
        </w:rPr>
        <w:t>that</w:t>
      </w:r>
      <w:r w:rsidR="003E7584">
        <w:rPr>
          <w:rFonts w:eastAsia="Arial" w:cs="Arial"/>
        </w:rPr>
        <w:t xml:space="preserve"> can</w:t>
      </w:r>
      <w:r w:rsidR="00124224" w:rsidRPr="00124224">
        <w:rPr>
          <w:rFonts w:eastAsia="Arial" w:cs="Arial"/>
        </w:rPr>
        <w:t xml:space="preserve"> adequately demonstrate that cosmetic preparations containing </w:t>
      </w:r>
      <w:r w:rsidR="00E7176B">
        <w:rPr>
          <w:rFonts w:eastAsia="Arial" w:cs="Arial"/>
        </w:rPr>
        <w:t>10%</w:t>
      </w:r>
      <w:r w:rsidR="00124224" w:rsidRPr="00124224">
        <w:rPr>
          <w:rFonts w:eastAsia="Arial" w:cs="Arial"/>
        </w:rPr>
        <w:t xml:space="preserve"> or less azelaic acid pose no or very low risks to</w:t>
      </w:r>
      <w:r w:rsidR="00CF0F46">
        <w:rPr>
          <w:rFonts w:eastAsia="Arial" w:cs="Arial"/>
        </w:rPr>
        <w:t xml:space="preserve"> the </w:t>
      </w:r>
      <w:r w:rsidR="003E7584">
        <w:rPr>
          <w:rFonts w:eastAsia="Arial" w:cs="Arial"/>
        </w:rPr>
        <w:t>users</w:t>
      </w:r>
      <w:r w:rsidR="00CF0F46">
        <w:rPr>
          <w:rFonts w:eastAsia="Arial" w:cs="Arial"/>
        </w:rPr>
        <w:t>.</w:t>
      </w:r>
      <w:r w:rsidR="007C3DFB">
        <w:rPr>
          <w:rFonts w:eastAsia="Arial" w:cs="Arial"/>
        </w:rPr>
        <w:t xml:space="preserve"> I agree with the Committee advice that based on the risks from use of azelaic acid</w:t>
      </w:r>
      <w:r w:rsidR="00B92BB7">
        <w:rPr>
          <w:rFonts w:eastAsia="Arial" w:cs="Arial"/>
        </w:rPr>
        <w:t xml:space="preserve"> in cosmetic products</w:t>
      </w:r>
      <w:r w:rsidR="007C3DFB">
        <w:rPr>
          <w:rFonts w:eastAsia="Arial" w:cs="Arial"/>
        </w:rPr>
        <w:t>, “</w:t>
      </w:r>
      <w:r w:rsidR="007C3DFB" w:rsidRPr="00131F50">
        <w:rPr>
          <w:rFonts w:eastAsia="Arial" w:cs="Arial"/>
        </w:rPr>
        <w:t>Do not use on broken skin</w:t>
      </w:r>
      <w:r w:rsidR="007C3DFB">
        <w:rPr>
          <w:rFonts w:eastAsia="Arial" w:cs="Arial"/>
        </w:rPr>
        <w:t>” is a more appropriate safety direction than “</w:t>
      </w:r>
      <w:r w:rsidR="007C3DFB" w:rsidRPr="00131F50">
        <w:rPr>
          <w:rFonts w:eastAsia="Arial" w:cs="Arial"/>
        </w:rPr>
        <w:t>Avoid contact with skin</w:t>
      </w:r>
      <w:r w:rsidR="007C3DFB">
        <w:rPr>
          <w:rFonts w:eastAsia="Arial" w:cs="Arial"/>
        </w:rPr>
        <w:t>”.</w:t>
      </w:r>
    </w:p>
    <w:p w14:paraId="777680F8" w14:textId="77777777" w:rsidR="00357139" w:rsidRDefault="00357139" w:rsidP="00357139">
      <w:pPr>
        <w:rPr>
          <w:rFonts w:eastAsia="Arial" w:cs="Arial"/>
        </w:rPr>
      </w:pPr>
      <w:r w:rsidRPr="3265AB8A">
        <w:rPr>
          <w:rFonts w:eastAsia="Arial" w:cs="Arial"/>
        </w:rPr>
        <w:t>I have considered the 161 public submissions received during the pre-meeting consultation period. Interested parties were given the choice to select from options to indicate their support or opposition to the proposed amendment without providing a written component.</w:t>
      </w:r>
    </w:p>
    <w:p w14:paraId="183EA0A2" w14:textId="233DA984" w:rsidR="00357139" w:rsidRDefault="00357139" w:rsidP="00357139">
      <w:pPr>
        <w:rPr>
          <w:rFonts w:eastAsia="Arial" w:cs="Arial"/>
        </w:rPr>
      </w:pPr>
      <w:r w:rsidRPr="3265AB8A">
        <w:rPr>
          <w:rFonts w:eastAsia="Arial" w:cs="Arial"/>
        </w:rPr>
        <w:t xml:space="preserve">Of </w:t>
      </w:r>
      <w:r w:rsidR="00B628D8">
        <w:rPr>
          <w:rFonts w:eastAsia="Arial" w:cs="Arial"/>
        </w:rPr>
        <w:t>the 161 submissions</w:t>
      </w:r>
      <w:r w:rsidRPr="3265AB8A">
        <w:rPr>
          <w:rFonts w:eastAsia="Arial" w:cs="Arial"/>
        </w:rPr>
        <w:t>, 140 were supportive of the proposal with 6 providing written responses</w:t>
      </w:r>
      <w:r w:rsidR="00AA4CEA">
        <w:rPr>
          <w:rFonts w:eastAsia="Arial" w:cs="Arial"/>
        </w:rPr>
        <w:t xml:space="preserve"> and</w:t>
      </w:r>
      <w:r w:rsidRPr="3265AB8A">
        <w:rPr>
          <w:rFonts w:eastAsia="Arial" w:cs="Arial"/>
        </w:rPr>
        <w:t xml:space="preserve"> </w:t>
      </w:r>
      <w:r w:rsidR="00B628D8" w:rsidRPr="3265AB8A">
        <w:rPr>
          <w:rFonts w:eastAsia="Arial" w:cs="Arial"/>
        </w:rPr>
        <w:t>19</w:t>
      </w:r>
      <w:r w:rsidRPr="3265AB8A">
        <w:rPr>
          <w:rFonts w:eastAsia="Arial" w:cs="Arial"/>
        </w:rPr>
        <w:t xml:space="preserve"> submissions were partially supportive </w:t>
      </w:r>
      <w:r w:rsidR="00AA4CEA">
        <w:rPr>
          <w:rFonts w:eastAsia="Arial" w:cs="Arial"/>
        </w:rPr>
        <w:t>with</w:t>
      </w:r>
      <w:r w:rsidR="00B628D8">
        <w:rPr>
          <w:rFonts w:eastAsia="Arial" w:cs="Arial"/>
        </w:rPr>
        <w:t xml:space="preserve"> 2</w:t>
      </w:r>
      <w:r w:rsidRPr="3265AB8A">
        <w:rPr>
          <w:rFonts w:eastAsia="Arial" w:cs="Arial"/>
        </w:rPr>
        <w:t xml:space="preserve"> </w:t>
      </w:r>
      <w:r w:rsidR="00AA4CEA">
        <w:rPr>
          <w:rFonts w:eastAsia="Arial" w:cs="Arial"/>
        </w:rPr>
        <w:t>providing</w:t>
      </w:r>
      <w:r w:rsidRPr="3265AB8A">
        <w:rPr>
          <w:rFonts w:eastAsia="Arial" w:cs="Arial"/>
        </w:rPr>
        <w:t xml:space="preserve"> written justification</w:t>
      </w:r>
      <w:r w:rsidR="00AA4CEA">
        <w:rPr>
          <w:rFonts w:eastAsia="Arial" w:cs="Arial"/>
        </w:rPr>
        <w:t>. Two</w:t>
      </w:r>
      <w:r w:rsidRPr="3265AB8A">
        <w:rPr>
          <w:rFonts w:eastAsia="Arial" w:cs="Arial"/>
        </w:rPr>
        <w:t xml:space="preserve"> submissions opposed the proposal</w:t>
      </w:r>
      <w:r w:rsidR="00CF0F46">
        <w:rPr>
          <w:rFonts w:eastAsia="Arial" w:cs="Arial"/>
        </w:rPr>
        <w:t xml:space="preserve"> and</w:t>
      </w:r>
      <w:r w:rsidRPr="3265AB8A">
        <w:rPr>
          <w:rFonts w:eastAsia="Arial" w:cs="Arial"/>
        </w:rPr>
        <w:t xml:space="preserve"> both </w:t>
      </w:r>
      <w:r w:rsidR="00CF0F46">
        <w:rPr>
          <w:rFonts w:eastAsia="Arial" w:cs="Arial"/>
        </w:rPr>
        <w:t>provided</w:t>
      </w:r>
      <w:r w:rsidRPr="3265AB8A">
        <w:rPr>
          <w:rFonts w:eastAsia="Arial" w:cs="Arial"/>
        </w:rPr>
        <w:t xml:space="preserve"> written components.</w:t>
      </w:r>
    </w:p>
    <w:p w14:paraId="3047DEDE" w14:textId="5DA8F250" w:rsidR="00D653A0" w:rsidRDefault="00CE542D" w:rsidP="00D653A0">
      <w:pPr>
        <w:rPr>
          <w:rFonts w:eastAsia="Arial" w:cs="Arial"/>
        </w:rPr>
      </w:pPr>
      <w:r>
        <w:rPr>
          <w:rFonts w:eastAsia="Arial" w:cs="Arial"/>
        </w:rPr>
        <w:t>The Australian College of Dermatologists</w:t>
      </w:r>
      <w:r w:rsidR="00357139" w:rsidRPr="2D1C6134">
        <w:rPr>
          <w:rFonts w:eastAsia="Arial" w:cs="Arial"/>
        </w:rPr>
        <w:t xml:space="preserve"> </w:t>
      </w:r>
      <w:r w:rsidR="00A226B8">
        <w:rPr>
          <w:rFonts w:eastAsia="Arial" w:cs="Arial"/>
        </w:rPr>
        <w:t>noted that d</w:t>
      </w:r>
      <w:r w:rsidR="00A226B8" w:rsidRPr="0E63CED4">
        <w:rPr>
          <w:rFonts w:eastAsia="Arial" w:cs="Arial"/>
        </w:rPr>
        <w:t>ermatologists use 15% azelaic acid for acne, rosacea, and melasma</w:t>
      </w:r>
      <w:r w:rsidR="008472F2">
        <w:rPr>
          <w:rFonts w:eastAsia="Arial" w:cs="Arial"/>
        </w:rPr>
        <w:t xml:space="preserve"> and </w:t>
      </w:r>
      <w:r w:rsidR="008472F2" w:rsidRPr="00634632">
        <w:rPr>
          <w:rFonts w:eastAsia="Arial" w:cs="Arial"/>
        </w:rPr>
        <w:t xml:space="preserve">strongly supported therapeutic use to be captured as </w:t>
      </w:r>
      <w:r w:rsidR="008472F2">
        <w:rPr>
          <w:rFonts w:eastAsia="Arial" w:cs="Arial"/>
        </w:rPr>
        <w:t>Pharmacy medicines (</w:t>
      </w:r>
      <w:r w:rsidR="008472F2" w:rsidRPr="2D1C6134">
        <w:rPr>
          <w:rFonts w:eastAsia="Arial" w:cs="Arial"/>
        </w:rPr>
        <w:t>Schedule 2</w:t>
      </w:r>
      <w:r w:rsidR="008472F2">
        <w:rPr>
          <w:rFonts w:eastAsia="Arial" w:cs="Arial"/>
        </w:rPr>
        <w:t>) or Prescription</w:t>
      </w:r>
      <w:r w:rsidR="0076757D">
        <w:rPr>
          <w:rFonts w:eastAsia="Arial" w:cs="Arial"/>
        </w:rPr>
        <w:t>-only</w:t>
      </w:r>
      <w:r w:rsidR="008472F2">
        <w:rPr>
          <w:rFonts w:eastAsia="Arial" w:cs="Arial"/>
        </w:rPr>
        <w:t xml:space="preserve"> medicines (Schedule 4) because of the</w:t>
      </w:r>
      <w:r w:rsidR="00634632" w:rsidRPr="00634632">
        <w:rPr>
          <w:rFonts w:eastAsia="Arial" w:cs="Arial"/>
        </w:rPr>
        <w:t xml:space="preserve"> known potential </w:t>
      </w:r>
      <w:r w:rsidR="008472F2">
        <w:rPr>
          <w:rFonts w:eastAsia="Arial" w:cs="Arial"/>
        </w:rPr>
        <w:t>of</w:t>
      </w:r>
      <w:r w:rsidR="008472F2" w:rsidRPr="00634632">
        <w:rPr>
          <w:rFonts w:eastAsia="Arial" w:cs="Arial"/>
        </w:rPr>
        <w:t xml:space="preserve"> 15</w:t>
      </w:r>
      <w:r w:rsidRPr="67B1B9A3">
        <w:rPr>
          <w:rFonts w:eastAsia="Arial" w:cs="Arial"/>
        </w:rPr>
        <w:t>–</w:t>
      </w:r>
      <w:r w:rsidR="008472F2" w:rsidRPr="00634632">
        <w:rPr>
          <w:rFonts w:eastAsia="Arial" w:cs="Arial"/>
        </w:rPr>
        <w:t>20% azelaic acid</w:t>
      </w:r>
      <w:r w:rsidR="008472F2">
        <w:rPr>
          <w:rFonts w:eastAsia="Arial" w:cs="Arial"/>
        </w:rPr>
        <w:t xml:space="preserve"> preparations</w:t>
      </w:r>
      <w:r w:rsidR="008472F2" w:rsidRPr="00634632">
        <w:rPr>
          <w:rFonts w:eastAsia="Arial" w:cs="Arial"/>
        </w:rPr>
        <w:t xml:space="preserve"> </w:t>
      </w:r>
      <w:r w:rsidR="0076757D">
        <w:rPr>
          <w:rFonts w:eastAsia="Arial" w:cs="Arial"/>
        </w:rPr>
        <w:t xml:space="preserve">to lead to </w:t>
      </w:r>
      <w:r w:rsidR="00634632" w:rsidRPr="00634632">
        <w:rPr>
          <w:rFonts w:eastAsia="Arial" w:cs="Arial"/>
        </w:rPr>
        <w:t>moderate to severe skin</w:t>
      </w:r>
      <w:r w:rsidR="00634632">
        <w:rPr>
          <w:rFonts w:eastAsia="Arial" w:cs="Arial"/>
        </w:rPr>
        <w:t xml:space="preserve"> </w:t>
      </w:r>
      <w:r w:rsidR="00634632" w:rsidRPr="00634632">
        <w:rPr>
          <w:rFonts w:eastAsia="Arial" w:cs="Arial"/>
        </w:rPr>
        <w:t xml:space="preserve">and eye reactions. </w:t>
      </w:r>
      <w:r>
        <w:rPr>
          <w:rFonts w:eastAsia="Arial" w:cs="Arial"/>
        </w:rPr>
        <w:t>Several</w:t>
      </w:r>
      <w:r w:rsidR="00634632" w:rsidRPr="00634632">
        <w:rPr>
          <w:rFonts w:eastAsia="Arial" w:cs="Arial"/>
        </w:rPr>
        <w:t xml:space="preserve"> </w:t>
      </w:r>
      <w:r>
        <w:rPr>
          <w:rFonts w:eastAsia="Arial" w:cs="Arial"/>
        </w:rPr>
        <w:t xml:space="preserve">supporting </w:t>
      </w:r>
      <w:r w:rsidR="00634632" w:rsidRPr="00634632">
        <w:rPr>
          <w:rFonts w:eastAsia="Arial" w:cs="Arial"/>
        </w:rPr>
        <w:t>submi</w:t>
      </w:r>
      <w:r>
        <w:rPr>
          <w:rFonts w:eastAsia="Arial" w:cs="Arial"/>
        </w:rPr>
        <w:t>ssions were in favour of</w:t>
      </w:r>
      <w:r w:rsidR="00634632" w:rsidRPr="00634632">
        <w:rPr>
          <w:rFonts w:eastAsia="Arial" w:cs="Arial"/>
        </w:rPr>
        <w:t xml:space="preserve"> the </w:t>
      </w:r>
      <w:r w:rsidR="00F7307C">
        <w:rPr>
          <w:rFonts w:eastAsia="Arial" w:cs="Arial"/>
        </w:rPr>
        <w:t>proposal</w:t>
      </w:r>
      <w:r w:rsidR="00634632" w:rsidRPr="00634632">
        <w:rPr>
          <w:rFonts w:eastAsia="Arial" w:cs="Arial"/>
        </w:rPr>
        <w:t xml:space="preserve"> which will ensure health</w:t>
      </w:r>
      <w:r w:rsidR="00634632">
        <w:rPr>
          <w:rFonts w:eastAsia="Arial" w:cs="Arial"/>
        </w:rPr>
        <w:t xml:space="preserve"> </w:t>
      </w:r>
      <w:r w:rsidR="00634632" w:rsidRPr="00634632">
        <w:rPr>
          <w:rFonts w:eastAsia="Arial" w:cs="Arial"/>
        </w:rPr>
        <w:t>professional oversight of products containing more than 10% azelaic acid while cosmetic</w:t>
      </w:r>
      <w:r w:rsidR="00634632">
        <w:rPr>
          <w:rFonts w:eastAsia="Arial" w:cs="Arial"/>
        </w:rPr>
        <w:t xml:space="preserve"> </w:t>
      </w:r>
      <w:r w:rsidR="00634632" w:rsidRPr="00634632">
        <w:rPr>
          <w:rFonts w:eastAsia="Arial" w:cs="Arial"/>
        </w:rPr>
        <w:t>preparations with less than 10% azelaic acid will require cautionary labelling</w:t>
      </w:r>
      <w:r>
        <w:rPr>
          <w:rFonts w:eastAsia="Arial" w:cs="Arial"/>
        </w:rPr>
        <w:t xml:space="preserve"> under Schedule</w:t>
      </w:r>
      <w:r w:rsidR="00F7307C">
        <w:rPr>
          <w:rFonts w:eastAsia="Arial" w:cs="Arial"/>
        </w:rPr>
        <w:t> </w:t>
      </w:r>
      <w:r>
        <w:rPr>
          <w:rFonts w:eastAsia="Arial" w:cs="Arial"/>
        </w:rPr>
        <w:t>5</w:t>
      </w:r>
      <w:r w:rsidR="00634632" w:rsidRPr="00634632">
        <w:rPr>
          <w:rFonts w:eastAsia="Arial" w:cs="Arial"/>
        </w:rPr>
        <w:t>.</w:t>
      </w:r>
    </w:p>
    <w:p w14:paraId="642E58B5" w14:textId="004CEDAC" w:rsidR="00357139" w:rsidRDefault="00A226B8" w:rsidP="00357139">
      <w:pPr>
        <w:rPr>
          <w:rFonts w:eastAsia="Arial" w:cs="Arial"/>
        </w:rPr>
      </w:pPr>
      <w:r>
        <w:rPr>
          <w:rFonts w:eastAsia="Arial" w:cs="Arial"/>
        </w:rPr>
        <w:t>One</w:t>
      </w:r>
      <w:r w:rsidR="00357139" w:rsidRPr="3265AB8A">
        <w:rPr>
          <w:rFonts w:eastAsia="Arial" w:cs="Arial"/>
        </w:rPr>
        <w:t xml:space="preserve"> </w:t>
      </w:r>
      <w:r>
        <w:rPr>
          <w:rFonts w:eastAsia="Arial" w:cs="Arial"/>
        </w:rPr>
        <w:t xml:space="preserve">written </w:t>
      </w:r>
      <w:r w:rsidR="00357139" w:rsidRPr="3265AB8A">
        <w:rPr>
          <w:rFonts w:eastAsia="Arial" w:cs="Arial"/>
        </w:rPr>
        <w:t xml:space="preserve">submission </w:t>
      </w:r>
      <w:r>
        <w:rPr>
          <w:rFonts w:eastAsia="Arial" w:cs="Arial"/>
        </w:rPr>
        <w:t xml:space="preserve">in </w:t>
      </w:r>
      <w:r w:rsidR="00357139" w:rsidRPr="3265AB8A">
        <w:rPr>
          <w:rFonts w:eastAsia="Arial" w:cs="Arial"/>
        </w:rPr>
        <w:t>partial suppo</w:t>
      </w:r>
      <w:r>
        <w:rPr>
          <w:rFonts w:eastAsia="Arial" w:cs="Arial"/>
        </w:rPr>
        <w:t>rt</w:t>
      </w:r>
      <w:r w:rsidR="00357139" w:rsidRPr="3265AB8A">
        <w:rPr>
          <w:rFonts w:eastAsia="Arial" w:cs="Arial"/>
        </w:rPr>
        <w:t xml:space="preserve"> stated that azelaic acid does not require cautionary labelling due to its antioxidant properties at low concentrations</w:t>
      </w:r>
      <w:r>
        <w:rPr>
          <w:rFonts w:eastAsia="Arial" w:cs="Arial"/>
        </w:rPr>
        <w:t xml:space="preserve"> while t</w:t>
      </w:r>
      <w:r w:rsidR="00357139" w:rsidRPr="3265AB8A">
        <w:rPr>
          <w:rFonts w:eastAsia="Arial" w:cs="Arial"/>
        </w:rPr>
        <w:t xml:space="preserve">he </w:t>
      </w:r>
      <w:r>
        <w:rPr>
          <w:rFonts w:eastAsia="Arial" w:cs="Arial"/>
        </w:rPr>
        <w:t xml:space="preserve">other </w:t>
      </w:r>
      <w:r w:rsidRPr="3265AB8A">
        <w:rPr>
          <w:rFonts w:eastAsia="Arial" w:cs="Arial"/>
        </w:rPr>
        <w:t>recommen</w:t>
      </w:r>
      <w:r>
        <w:rPr>
          <w:rFonts w:eastAsia="Arial" w:cs="Arial"/>
        </w:rPr>
        <w:t>ded</w:t>
      </w:r>
      <w:r w:rsidR="00357139" w:rsidRPr="3265AB8A">
        <w:rPr>
          <w:rFonts w:eastAsia="Arial" w:cs="Arial"/>
        </w:rPr>
        <w:t xml:space="preserve"> a </w:t>
      </w:r>
      <w:r>
        <w:rPr>
          <w:rFonts w:eastAsia="Arial" w:cs="Arial"/>
        </w:rPr>
        <w:t>5%</w:t>
      </w:r>
      <w:r w:rsidR="00357139" w:rsidRPr="3265AB8A">
        <w:rPr>
          <w:rFonts w:eastAsia="Arial" w:cs="Arial"/>
        </w:rPr>
        <w:t xml:space="preserve"> </w:t>
      </w:r>
      <w:r>
        <w:rPr>
          <w:rFonts w:eastAsia="Arial" w:cs="Arial"/>
        </w:rPr>
        <w:t xml:space="preserve">limit in cosmetics as </w:t>
      </w:r>
      <w:r w:rsidR="00357139" w:rsidRPr="3265AB8A">
        <w:rPr>
          <w:rFonts w:eastAsia="Arial" w:cs="Arial"/>
        </w:rPr>
        <w:t>a safer threshold.</w:t>
      </w:r>
    </w:p>
    <w:p w14:paraId="610E048C" w14:textId="22E22E02" w:rsidR="00357139" w:rsidRDefault="000B571D" w:rsidP="006B7ED7">
      <w:pPr>
        <w:rPr>
          <w:rFonts w:eastAsia="Arial" w:cs="Arial"/>
        </w:rPr>
      </w:pPr>
      <w:r>
        <w:rPr>
          <w:rFonts w:eastAsia="Arial" w:cs="Arial"/>
        </w:rPr>
        <w:lastRenderedPageBreak/>
        <w:t>One</w:t>
      </w:r>
      <w:r w:rsidR="00357139" w:rsidRPr="0E63CED4">
        <w:rPr>
          <w:rFonts w:eastAsia="Arial" w:cs="Arial"/>
        </w:rPr>
        <w:t xml:space="preserve"> opposing submission questioned the rationale of the 10% cut-off for exemption from Schedule 2</w:t>
      </w:r>
      <w:r w:rsidRPr="000B571D">
        <w:rPr>
          <w:rFonts w:eastAsia="Arial" w:cs="Arial"/>
        </w:rPr>
        <w:t xml:space="preserve"> </w:t>
      </w:r>
      <w:r>
        <w:rPr>
          <w:rFonts w:eastAsia="Arial" w:cs="Arial"/>
        </w:rPr>
        <w:t xml:space="preserve">and suggested </w:t>
      </w:r>
      <w:r w:rsidRPr="0E63CED4">
        <w:rPr>
          <w:rFonts w:eastAsia="Arial" w:cs="Arial"/>
        </w:rPr>
        <w:t xml:space="preserve">removal of the warning statement </w:t>
      </w:r>
      <w:r>
        <w:rPr>
          <w:rFonts w:eastAsia="Arial" w:cs="Arial"/>
        </w:rPr>
        <w:t xml:space="preserve">to </w:t>
      </w:r>
      <w:r w:rsidRPr="0E63CED4">
        <w:rPr>
          <w:rFonts w:eastAsia="Arial" w:cs="Arial"/>
        </w:rPr>
        <w:t xml:space="preserve">avoid contact with skin from the </w:t>
      </w:r>
      <w:r>
        <w:rPr>
          <w:rFonts w:eastAsia="Arial" w:cs="Arial"/>
        </w:rPr>
        <w:t>current requirements</w:t>
      </w:r>
      <w:r w:rsidR="0092747A">
        <w:rPr>
          <w:rFonts w:eastAsia="Arial" w:cs="Arial"/>
        </w:rPr>
        <w:t xml:space="preserve"> for all cosmetics</w:t>
      </w:r>
      <w:r w:rsidRPr="0E63CED4">
        <w:rPr>
          <w:rFonts w:eastAsia="Arial" w:cs="Arial"/>
        </w:rPr>
        <w:t>.</w:t>
      </w:r>
      <w:r w:rsidR="006B7ED7">
        <w:rPr>
          <w:rFonts w:eastAsia="Arial" w:cs="Arial"/>
        </w:rPr>
        <w:t xml:space="preserve"> Noting the</w:t>
      </w:r>
      <w:r w:rsidR="00357139" w:rsidRPr="0E63CED4">
        <w:rPr>
          <w:rFonts w:eastAsia="Arial" w:cs="Arial"/>
        </w:rPr>
        <w:t xml:space="preserve"> moderate to severe skin and eye reactions </w:t>
      </w:r>
      <w:r w:rsidR="006B7ED7">
        <w:rPr>
          <w:rFonts w:eastAsia="Arial" w:cs="Arial"/>
        </w:rPr>
        <w:t xml:space="preserve">at </w:t>
      </w:r>
      <w:r w:rsidR="00357139" w:rsidRPr="0E63CED4">
        <w:rPr>
          <w:rFonts w:eastAsia="Arial" w:cs="Arial"/>
        </w:rPr>
        <w:t>15</w:t>
      </w:r>
      <w:r w:rsidR="00CE542D" w:rsidRPr="67B1B9A3">
        <w:rPr>
          <w:rFonts w:eastAsia="Arial" w:cs="Arial"/>
        </w:rPr>
        <w:t>–</w:t>
      </w:r>
      <w:r w:rsidR="00357139" w:rsidRPr="0E63CED4">
        <w:rPr>
          <w:rFonts w:eastAsia="Arial" w:cs="Arial"/>
        </w:rPr>
        <w:t>20% azelaic acid</w:t>
      </w:r>
      <w:r w:rsidR="006B7ED7">
        <w:rPr>
          <w:rFonts w:eastAsia="Arial" w:cs="Arial"/>
        </w:rPr>
        <w:t>, this submitter proposed cosmetics containing less than 14% azelaic acid be exempted from the current Caution (Schedule</w:t>
      </w:r>
      <w:r>
        <w:rPr>
          <w:rFonts w:eastAsia="Arial" w:cs="Arial"/>
        </w:rPr>
        <w:t> </w:t>
      </w:r>
      <w:r w:rsidR="006B7ED7">
        <w:rPr>
          <w:rFonts w:eastAsia="Arial" w:cs="Arial"/>
        </w:rPr>
        <w:t xml:space="preserve">5) entry provided </w:t>
      </w:r>
      <w:r w:rsidR="006B7ED7" w:rsidRPr="006B7ED7">
        <w:rPr>
          <w:rFonts w:eastAsia="Arial" w:cs="Arial"/>
        </w:rPr>
        <w:t>they carry warning statements and safety directions regarding contact with</w:t>
      </w:r>
      <w:r w:rsidR="006B7ED7">
        <w:rPr>
          <w:rFonts w:eastAsia="Arial" w:cs="Arial"/>
        </w:rPr>
        <w:t xml:space="preserve"> </w:t>
      </w:r>
      <w:r w:rsidR="006B7ED7" w:rsidRPr="006B7ED7">
        <w:rPr>
          <w:rFonts w:eastAsia="Arial" w:cs="Arial"/>
        </w:rPr>
        <w:t>the eye.</w:t>
      </w:r>
    </w:p>
    <w:p w14:paraId="69556687" w14:textId="545D8429" w:rsidR="00D653A0" w:rsidRDefault="00357139" w:rsidP="00357139">
      <w:pPr>
        <w:spacing w:line="257" w:lineRule="auto"/>
        <w:rPr>
          <w:rFonts w:eastAsia="Arial" w:cs="Arial"/>
        </w:rPr>
      </w:pPr>
      <w:r w:rsidRPr="0E63CED4">
        <w:rPr>
          <w:rFonts w:eastAsia="Arial" w:cs="Arial"/>
        </w:rPr>
        <w:t>Regarding</w:t>
      </w:r>
      <w:r w:rsidR="00984DBC">
        <w:rPr>
          <w:rFonts w:eastAsia="Arial" w:cs="Arial"/>
        </w:rPr>
        <w:t xml:space="preserve"> sections</w:t>
      </w:r>
      <w:r w:rsidRPr="0E63CED4">
        <w:rPr>
          <w:rFonts w:eastAsia="Arial" w:cs="Arial"/>
        </w:rPr>
        <w:t xml:space="preserve"> 52E(1)(a)</w:t>
      </w:r>
      <w:r w:rsidR="003E1A64">
        <w:rPr>
          <w:rFonts w:eastAsia="Arial" w:cs="Arial"/>
        </w:rPr>
        <w:t>, (b)</w:t>
      </w:r>
      <w:r w:rsidRPr="0E63CED4">
        <w:rPr>
          <w:rFonts w:eastAsia="Arial" w:cs="Arial"/>
        </w:rPr>
        <w:t xml:space="preserve"> and (</w:t>
      </w:r>
      <w:r w:rsidR="003E1A64">
        <w:rPr>
          <w:rFonts w:eastAsia="Arial" w:cs="Arial"/>
        </w:rPr>
        <w:t>d</w:t>
      </w:r>
      <w:r w:rsidRPr="0E63CED4">
        <w:rPr>
          <w:rFonts w:eastAsia="Arial" w:cs="Arial"/>
        </w:rPr>
        <w:t xml:space="preserve">) of the Act, azelaic acid is widely used across cosmetic, therapeutic, and industrial applications. </w:t>
      </w:r>
      <w:r w:rsidR="00DF4C6C">
        <w:rPr>
          <w:rFonts w:eastAsia="Arial" w:cs="Arial"/>
        </w:rPr>
        <w:t>Dermal preparations containing 15</w:t>
      </w:r>
      <w:r w:rsidR="00DF4C6C" w:rsidRPr="67B1B9A3">
        <w:rPr>
          <w:rFonts w:eastAsia="Arial" w:cs="Arial"/>
        </w:rPr>
        <w:t>–</w:t>
      </w:r>
      <w:r w:rsidR="00DF4C6C">
        <w:rPr>
          <w:rFonts w:eastAsia="Arial" w:cs="Arial"/>
        </w:rPr>
        <w:t>20% azelaic acid</w:t>
      </w:r>
      <w:r w:rsidR="00DF4C6C" w:rsidRPr="00DF4C6C">
        <w:rPr>
          <w:rFonts w:eastAsia="Arial" w:cs="Arial"/>
        </w:rPr>
        <w:t xml:space="preserve"> </w:t>
      </w:r>
      <w:r w:rsidR="00DF4C6C">
        <w:rPr>
          <w:rFonts w:eastAsia="Arial" w:cs="Arial"/>
        </w:rPr>
        <w:t>are</w:t>
      </w:r>
      <w:r w:rsidR="00DF4C6C" w:rsidRPr="00DF4C6C">
        <w:rPr>
          <w:rFonts w:eastAsia="Arial" w:cs="Arial"/>
        </w:rPr>
        <w:t xml:space="preserve"> </w:t>
      </w:r>
      <w:r w:rsidR="009D32C2">
        <w:rPr>
          <w:rFonts w:eastAsia="Arial" w:cs="Arial"/>
        </w:rPr>
        <w:t>approved</w:t>
      </w:r>
      <w:r w:rsidR="00DF4C6C" w:rsidRPr="00DF4C6C">
        <w:rPr>
          <w:rFonts w:eastAsia="Arial" w:cs="Arial"/>
        </w:rPr>
        <w:t xml:space="preserve"> and recommended for</w:t>
      </w:r>
      <w:r w:rsidR="00DF4C6C">
        <w:rPr>
          <w:rFonts w:eastAsia="Arial" w:cs="Arial"/>
        </w:rPr>
        <w:t xml:space="preserve"> the treatment of </w:t>
      </w:r>
      <w:r w:rsidR="00DF4C6C" w:rsidRPr="00DF4C6C">
        <w:rPr>
          <w:rFonts w:eastAsia="Arial" w:cs="Arial"/>
        </w:rPr>
        <w:t>rosacea</w:t>
      </w:r>
      <w:r w:rsidR="00DF4C6C">
        <w:rPr>
          <w:rFonts w:eastAsia="Arial" w:cs="Arial"/>
        </w:rPr>
        <w:t>,</w:t>
      </w:r>
      <w:r w:rsidR="00DF4C6C" w:rsidRPr="00DF4C6C">
        <w:rPr>
          <w:rFonts w:eastAsia="Arial" w:cs="Arial"/>
        </w:rPr>
        <w:t xml:space="preserve"> acne vulgaris</w:t>
      </w:r>
      <w:r w:rsidR="00DF4C6C">
        <w:rPr>
          <w:rFonts w:eastAsia="Arial" w:cs="Arial"/>
        </w:rPr>
        <w:t xml:space="preserve">, </w:t>
      </w:r>
      <w:r w:rsidR="00DF4C6C" w:rsidRPr="00DF4C6C">
        <w:rPr>
          <w:rFonts w:eastAsia="Arial" w:cs="Arial"/>
        </w:rPr>
        <w:t>melasma</w:t>
      </w:r>
      <w:r w:rsidR="00DF4C6C">
        <w:rPr>
          <w:rFonts w:eastAsia="Arial" w:cs="Arial"/>
        </w:rPr>
        <w:t xml:space="preserve"> and </w:t>
      </w:r>
      <w:r w:rsidR="00DF4C6C" w:rsidRPr="00DF4C6C">
        <w:rPr>
          <w:rFonts w:eastAsia="Arial" w:cs="Arial"/>
        </w:rPr>
        <w:t>post-inflammatory hyperpigmentation</w:t>
      </w:r>
      <w:r w:rsidR="00DF4C6C">
        <w:rPr>
          <w:rFonts w:eastAsia="Arial" w:cs="Arial"/>
        </w:rPr>
        <w:t xml:space="preserve">, particularly when </w:t>
      </w:r>
      <w:r w:rsidR="00DF4C6C" w:rsidRPr="00DF4C6C">
        <w:rPr>
          <w:rFonts w:eastAsia="Arial" w:cs="Arial"/>
        </w:rPr>
        <w:t>associated with acne and in people with darker skin</w:t>
      </w:r>
      <w:r w:rsidR="00DF4C6C">
        <w:rPr>
          <w:rFonts w:eastAsia="Arial" w:cs="Arial"/>
        </w:rPr>
        <w:t>.</w:t>
      </w:r>
      <w:r w:rsidR="008170B6">
        <w:rPr>
          <w:rStyle w:val="FootnoteReference"/>
          <w:rFonts w:eastAsia="Arial" w:cs="Arial"/>
        </w:rPr>
        <w:footnoteReference w:id="14"/>
      </w:r>
      <w:r w:rsidR="00DF4C6C">
        <w:rPr>
          <w:rFonts w:eastAsia="Arial" w:cs="Arial"/>
        </w:rPr>
        <w:t xml:space="preserve"> Currently, </w:t>
      </w:r>
      <w:r w:rsidR="00A51EC9">
        <w:rPr>
          <w:rFonts w:eastAsia="Arial" w:cs="Arial"/>
        </w:rPr>
        <w:t xml:space="preserve">there are </w:t>
      </w:r>
      <w:r w:rsidR="00DF4C6C">
        <w:rPr>
          <w:rFonts w:eastAsia="Arial" w:cs="Arial"/>
        </w:rPr>
        <w:t xml:space="preserve">3 </w:t>
      </w:r>
      <w:r w:rsidR="00DF4C6C" w:rsidRPr="00DF4C6C">
        <w:rPr>
          <w:rFonts w:eastAsia="Arial" w:cs="Arial"/>
        </w:rPr>
        <w:t>azelaic acid</w:t>
      </w:r>
      <w:r w:rsidR="00DF4C6C">
        <w:rPr>
          <w:rFonts w:eastAsia="Arial" w:cs="Arial"/>
        </w:rPr>
        <w:t xml:space="preserve"> gels indicated for </w:t>
      </w:r>
      <w:r w:rsidR="003E1A64" w:rsidRPr="003E1A64">
        <w:rPr>
          <w:rFonts w:eastAsia="Arial" w:cs="Arial"/>
        </w:rPr>
        <w:t>acne vulgaris</w:t>
      </w:r>
      <w:r w:rsidR="003E1A64">
        <w:rPr>
          <w:rFonts w:eastAsia="Arial" w:cs="Arial"/>
        </w:rPr>
        <w:t xml:space="preserve"> and/or p</w:t>
      </w:r>
      <w:r w:rsidR="003E1A64" w:rsidRPr="003E1A64">
        <w:rPr>
          <w:rFonts w:eastAsia="Arial" w:cs="Arial"/>
        </w:rPr>
        <w:t>apulopustular rosacea</w:t>
      </w:r>
      <w:r w:rsidR="00CB5B49">
        <w:rPr>
          <w:rFonts w:eastAsia="Arial" w:cs="Arial"/>
        </w:rPr>
        <w:t xml:space="preserve"> listed on the</w:t>
      </w:r>
      <w:r w:rsidR="009D32C2" w:rsidRPr="009D32C2">
        <w:rPr>
          <w:rFonts w:eastAsia="Arial" w:cs="Arial"/>
        </w:rPr>
        <w:t xml:space="preserve"> Australian Register of Therapeutic Goods</w:t>
      </w:r>
      <w:r w:rsidR="003E1A64">
        <w:rPr>
          <w:rFonts w:eastAsia="Arial" w:cs="Arial"/>
        </w:rPr>
        <w:t>.</w:t>
      </w:r>
      <w:r w:rsidR="00DF4C6C">
        <w:rPr>
          <w:rFonts w:eastAsia="Arial" w:cs="Arial"/>
        </w:rPr>
        <w:t xml:space="preserve"> </w:t>
      </w:r>
      <w:r w:rsidR="00D653A0" w:rsidRPr="002B256D">
        <w:rPr>
          <w:rFonts w:eastAsia="Arial" w:cs="Arial"/>
        </w:rPr>
        <w:t>In New Zealand, azelaic acid preparations for dermal use are pharmacy only medicines.</w:t>
      </w:r>
      <w:r w:rsidR="00F555E1">
        <w:rPr>
          <w:rStyle w:val="FootnoteReference"/>
          <w:rFonts w:eastAsia="Arial" w:cs="Arial"/>
        </w:rPr>
        <w:footnoteReference w:id="15"/>
      </w:r>
    </w:p>
    <w:p w14:paraId="3FAF7FC4" w14:textId="6A912094" w:rsidR="003E1A64" w:rsidRDefault="00357139" w:rsidP="00357139">
      <w:pPr>
        <w:spacing w:line="257" w:lineRule="auto"/>
        <w:rPr>
          <w:rFonts w:eastAsia="Arial" w:cs="Arial"/>
        </w:rPr>
      </w:pPr>
      <w:r w:rsidRPr="0E63CED4">
        <w:rPr>
          <w:rFonts w:eastAsia="Arial" w:cs="Arial"/>
        </w:rPr>
        <w:t xml:space="preserve">Cosmetic formulations </w:t>
      </w:r>
      <w:r w:rsidR="009D32C2">
        <w:rPr>
          <w:rFonts w:eastAsia="Arial" w:cs="Arial"/>
        </w:rPr>
        <w:t xml:space="preserve">of azelaic acid </w:t>
      </w:r>
      <w:r w:rsidR="003E1A64">
        <w:rPr>
          <w:rFonts w:eastAsia="Arial" w:cs="Arial"/>
        </w:rPr>
        <w:t xml:space="preserve">are available </w:t>
      </w:r>
      <w:r w:rsidR="0076757D">
        <w:rPr>
          <w:rFonts w:eastAsia="Arial" w:cs="Arial"/>
        </w:rPr>
        <w:t xml:space="preserve">internationally </w:t>
      </w:r>
      <w:r w:rsidR="003E1A64">
        <w:rPr>
          <w:rFonts w:eastAsia="Arial" w:cs="Arial"/>
        </w:rPr>
        <w:t xml:space="preserve">as </w:t>
      </w:r>
      <w:r w:rsidR="003E1A64" w:rsidRPr="003E1A64">
        <w:rPr>
          <w:rFonts w:eastAsia="Arial" w:cs="Arial"/>
        </w:rPr>
        <w:t>antimicrobial</w:t>
      </w:r>
      <w:r w:rsidR="003E1A64">
        <w:rPr>
          <w:rFonts w:eastAsia="Arial" w:cs="Arial"/>
        </w:rPr>
        <w:t>,</w:t>
      </w:r>
      <w:r w:rsidR="003E1A64" w:rsidRPr="003E1A64">
        <w:rPr>
          <w:rFonts w:eastAsia="Arial" w:cs="Arial"/>
        </w:rPr>
        <w:t xml:space="preserve"> anti-acne</w:t>
      </w:r>
      <w:r w:rsidR="003E1A64">
        <w:rPr>
          <w:rFonts w:eastAsia="Arial" w:cs="Arial"/>
        </w:rPr>
        <w:t xml:space="preserve"> and </w:t>
      </w:r>
      <w:r w:rsidR="003E1A64" w:rsidRPr="003E1A64">
        <w:rPr>
          <w:rFonts w:eastAsia="Arial" w:cs="Arial"/>
        </w:rPr>
        <w:t>skin-whitening/brightening agent</w:t>
      </w:r>
      <w:r w:rsidR="003E1A64">
        <w:rPr>
          <w:rFonts w:eastAsia="Arial" w:cs="Arial"/>
        </w:rPr>
        <w:t>s and</w:t>
      </w:r>
      <w:r w:rsidR="003E1A64" w:rsidRPr="003E1A64">
        <w:rPr>
          <w:rFonts w:eastAsia="Arial" w:cs="Arial"/>
        </w:rPr>
        <w:t xml:space="preserve"> personal care products</w:t>
      </w:r>
      <w:r w:rsidR="003E1A64">
        <w:rPr>
          <w:rFonts w:eastAsia="Arial" w:cs="Arial"/>
        </w:rPr>
        <w:t xml:space="preserve"> such as </w:t>
      </w:r>
      <w:r w:rsidR="003E1A64" w:rsidRPr="003E1A64">
        <w:rPr>
          <w:rFonts w:eastAsia="Arial" w:cs="Arial"/>
        </w:rPr>
        <w:t>skin</w:t>
      </w:r>
      <w:r w:rsidR="003E1A64">
        <w:rPr>
          <w:rFonts w:eastAsia="Arial" w:cs="Arial"/>
        </w:rPr>
        <w:t xml:space="preserve"> </w:t>
      </w:r>
      <w:r w:rsidR="003E1A64" w:rsidRPr="003E1A64">
        <w:rPr>
          <w:rFonts w:eastAsia="Arial" w:cs="Arial"/>
        </w:rPr>
        <w:t>serums, lotions, gel masks, creams</w:t>
      </w:r>
      <w:r w:rsidR="003E1A64">
        <w:rPr>
          <w:rFonts w:eastAsia="Arial" w:cs="Arial"/>
        </w:rPr>
        <w:t>, e</w:t>
      </w:r>
      <w:r w:rsidR="003E1A64" w:rsidRPr="003E1A64">
        <w:rPr>
          <w:rFonts w:eastAsia="Arial" w:cs="Arial"/>
        </w:rPr>
        <w:t>xfoliants</w:t>
      </w:r>
      <w:r w:rsidR="003E1A64">
        <w:rPr>
          <w:rFonts w:eastAsia="Arial" w:cs="Arial"/>
        </w:rPr>
        <w:t xml:space="preserve"> and</w:t>
      </w:r>
      <w:r w:rsidR="003E1A64" w:rsidRPr="003E1A64">
        <w:rPr>
          <w:rFonts w:eastAsia="Arial" w:cs="Arial"/>
        </w:rPr>
        <w:t xml:space="preserve"> shampoos</w:t>
      </w:r>
      <w:r w:rsidR="003E1A64">
        <w:rPr>
          <w:rFonts w:eastAsia="Arial" w:cs="Arial"/>
        </w:rPr>
        <w:t>.</w:t>
      </w:r>
      <w:r w:rsidR="003E1A64">
        <w:rPr>
          <w:rStyle w:val="FootnoteReference"/>
          <w:rFonts w:eastAsia="Arial" w:cs="Arial"/>
        </w:rPr>
        <w:footnoteReference w:id="16"/>
      </w:r>
      <w:r w:rsidR="003E1A64">
        <w:rPr>
          <w:rFonts w:eastAsia="Arial" w:cs="Arial"/>
        </w:rPr>
        <w:t xml:space="preserve"> However, they </w:t>
      </w:r>
      <w:r w:rsidRPr="0E63CED4">
        <w:rPr>
          <w:rFonts w:eastAsia="Arial" w:cs="Arial"/>
        </w:rPr>
        <w:t>typically contain less than 10% azelaic acid</w:t>
      </w:r>
      <w:r w:rsidR="003E1A64">
        <w:rPr>
          <w:rFonts w:eastAsia="Arial" w:cs="Arial"/>
        </w:rPr>
        <w:t xml:space="preserve"> and </w:t>
      </w:r>
      <w:r w:rsidRPr="0E63CED4">
        <w:rPr>
          <w:rFonts w:eastAsia="Arial" w:cs="Arial"/>
        </w:rPr>
        <w:t>lack therapeutic efficacy as monotherapy for acne and rosacea</w:t>
      </w:r>
      <w:r w:rsidR="003E1A64">
        <w:rPr>
          <w:rFonts w:eastAsia="Arial" w:cs="Arial"/>
        </w:rPr>
        <w:t>,</w:t>
      </w:r>
      <w:r w:rsidRPr="0E63CED4">
        <w:rPr>
          <w:rFonts w:eastAsia="Arial" w:cs="Arial"/>
        </w:rPr>
        <w:t xml:space="preserve"> </w:t>
      </w:r>
      <w:r w:rsidR="008170B6">
        <w:rPr>
          <w:rFonts w:eastAsia="Arial" w:cs="Arial"/>
        </w:rPr>
        <w:t xml:space="preserve">and </w:t>
      </w:r>
      <w:r w:rsidRPr="0E63CED4">
        <w:rPr>
          <w:rFonts w:eastAsia="Arial" w:cs="Arial"/>
        </w:rPr>
        <w:t>are primarily used for skin brightening and antioxidant benefits.</w:t>
      </w:r>
      <w:r w:rsidR="00D653A0">
        <w:rPr>
          <w:rFonts w:eastAsia="Arial" w:cs="Arial"/>
        </w:rPr>
        <w:t xml:space="preserve"> </w:t>
      </w:r>
      <w:r w:rsidR="00D653A0" w:rsidRPr="002B256D">
        <w:rPr>
          <w:rFonts w:eastAsia="Arial" w:cs="Arial"/>
        </w:rPr>
        <w:t xml:space="preserve">Health Canada </w:t>
      </w:r>
      <w:r w:rsidR="00D653A0">
        <w:rPr>
          <w:rFonts w:eastAsia="Arial" w:cs="Arial"/>
        </w:rPr>
        <w:t xml:space="preserve">has </w:t>
      </w:r>
      <w:r w:rsidR="00D653A0" w:rsidRPr="002B256D">
        <w:rPr>
          <w:rFonts w:eastAsia="Arial" w:cs="Arial"/>
        </w:rPr>
        <w:t>restricted azelaic acid and its salts in cosmetics to a maximum concentration of 14% due to risk of skin irritation above 14%.</w:t>
      </w:r>
      <w:r w:rsidR="00D91F62">
        <w:rPr>
          <w:rStyle w:val="FootnoteReference"/>
          <w:rFonts w:eastAsia="Arial" w:cs="Arial"/>
        </w:rPr>
        <w:footnoteReference w:id="17"/>
      </w:r>
    </w:p>
    <w:p w14:paraId="7D366A15" w14:textId="05D116D1" w:rsidR="00920E40" w:rsidRPr="00920E40" w:rsidRDefault="00357139" w:rsidP="00920E40">
      <w:pPr>
        <w:spacing w:line="257" w:lineRule="auto"/>
        <w:rPr>
          <w:rFonts w:eastAsia="Arial" w:cs="Arial"/>
        </w:rPr>
      </w:pPr>
      <w:r w:rsidRPr="67B1B9A3">
        <w:rPr>
          <w:rFonts w:eastAsia="Arial" w:cs="Arial"/>
        </w:rPr>
        <w:t>In relation to section 52E(1)(c)</w:t>
      </w:r>
      <w:r w:rsidR="009D32C2">
        <w:rPr>
          <w:rFonts w:eastAsia="Arial" w:cs="Arial"/>
        </w:rPr>
        <w:t xml:space="preserve"> of the Act</w:t>
      </w:r>
      <w:r w:rsidRPr="67B1B9A3">
        <w:rPr>
          <w:rFonts w:eastAsia="Arial" w:cs="Arial"/>
        </w:rPr>
        <w:t xml:space="preserve">, I note </w:t>
      </w:r>
      <w:r w:rsidRPr="00B767A6">
        <w:rPr>
          <w:rFonts w:eastAsia="Arial" w:cs="Arial"/>
        </w:rPr>
        <w:t xml:space="preserve">that </w:t>
      </w:r>
      <w:r w:rsidR="009D32C2">
        <w:rPr>
          <w:rFonts w:eastAsia="Arial" w:cs="Arial"/>
        </w:rPr>
        <w:t>the majority of the</w:t>
      </w:r>
      <w:r w:rsidRPr="00B767A6">
        <w:rPr>
          <w:rFonts w:eastAsia="Arial" w:cs="Arial"/>
        </w:rPr>
        <w:t xml:space="preserve"> adverse effects</w:t>
      </w:r>
      <w:r w:rsidR="009D32C2">
        <w:rPr>
          <w:rFonts w:eastAsia="Arial" w:cs="Arial"/>
        </w:rPr>
        <w:t xml:space="preserve"> of azelaic acid</w:t>
      </w:r>
      <w:r w:rsidRPr="00B767A6">
        <w:rPr>
          <w:rFonts w:eastAsia="Arial" w:cs="Arial"/>
        </w:rPr>
        <w:t xml:space="preserve"> </w:t>
      </w:r>
      <w:r w:rsidR="00876327" w:rsidRPr="00B767A6">
        <w:rPr>
          <w:rFonts w:eastAsia="Arial" w:cs="Arial"/>
        </w:rPr>
        <w:t xml:space="preserve">regarding </w:t>
      </w:r>
      <w:r w:rsidRPr="00B767A6">
        <w:rPr>
          <w:rFonts w:eastAsia="Arial" w:cs="Arial"/>
        </w:rPr>
        <w:t xml:space="preserve">skin and eye irritations </w:t>
      </w:r>
      <w:r w:rsidR="008170B6" w:rsidRPr="00B767A6">
        <w:rPr>
          <w:rFonts w:eastAsia="Arial" w:cs="Arial"/>
        </w:rPr>
        <w:t>ha</w:t>
      </w:r>
      <w:r w:rsidR="00876327" w:rsidRPr="00B767A6">
        <w:rPr>
          <w:rFonts w:eastAsia="Arial" w:cs="Arial"/>
        </w:rPr>
        <w:t>ve</w:t>
      </w:r>
      <w:r w:rsidR="008170B6" w:rsidRPr="00B767A6">
        <w:rPr>
          <w:rFonts w:eastAsia="Arial" w:cs="Arial"/>
        </w:rPr>
        <w:t xml:space="preserve"> been </w:t>
      </w:r>
      <w:r w:rsidR="00876327" w:rsidRPr="00B767A6">
        <w:rPr>
          <w:rFonts w:eastAsia="Arial" w:cs="Arial"/>
        </w:rPr>
        <w:t>reported</w:t>
      </w:r>
      <w:r w:rsidRPr="00B767A6">
        <w:rPr>
          <w:rFonts w:eastAsia="Arial" w:cs="Arial"/>
        </w:rPr>
        <w:t xml:space="preserve"> at concentrations of 15–20%</w:t>
      </w:r>
      <w:r w:rsidR="00876327" w:rsidRPr="00B767A6">
        <w:rPr>
          <w:rFonts w:eastAsia="Arial" w:cs="Arial"/>
        </w:rPr>
        <w:t>.</w:t>
      </w:r>
      <w:r w:rsidR="00876327">
        <w:rPr>
          <w:rFonts w:eastAsia="Arial" w:cs="Arial"/>
        </w:rPr>
        <w:t xml:space="preserve"> </w:t>
      </w:r>
      <w:r w:rsidR="00876327" w:rsidRPr="00876327">
        <w:rPr>
          <w:rFonts w:eastAsia="Arial" w:cs="Arial"/>
        </w:rPr>
        <w:t>The most common</w:t>
      </w:r>
      <w:r w:rsidR="00876327">
        <w:rPr>
          <w:rFonts w:eastAsia="Arial" w:cs="Arial"/>
        </w:rPr>
        <w:t xml:space="preserve"> adverse effects</w:t>
      </w:r>
      <w:r w:rsidR="00876327" w:rsidRPr="00876327">
        <w:rPr>
          <w:rFonts w:eastAsia="Arial" w:cs="Arial"/>
        </w:rPr>
        <w:t xml:space="preserve"> include burning, stinging, pruritus, erythema, dryness, and scaling, particularly during the initial weeks of therapy</w:t>
      </w:r>
      <w:r w:rsidRPr="67B1B9A3">
        <w:rPr>
          <w:rFonts w:eastAsia="Arial" w:cs="Arial"/>
        </w:rPr>
        <w:t>.</w:t>
      </w:r>
      <w:r w:rsidR="007C3DFB">
        <w:rPr>
          <w:rFonts w:eastAsia="Arial" w:cs="Arial"/>
        </w:rPr>
        <w:t xml:space="preserve"> T</w:t>
      </w:r>
      <w:r w:rsidR="00876327">
        <w:rPr>
          <w:rFonts w:eastAsia="Arial" w:cs="Arial"/>
        </w:rPr>
        <w:t xml:space="preserve">hese effects are generally </w:t>
      </w:r>
      <w:r w:rsidR="00876327" w:rsidRPr="00876327">
        <w:rPr>
          <w:rFonts w:eastAsia="Arial" w:cs="Arial"/>
        </w:rPr>
        <w:t>mild to moderate</w:t>
      </w:r>
      <w:r w:rsidR="00876327">
        <w:rPr>
          <w:rFonts w:eastAsia="Arial" w:cs="Arial"/>
        </w:rPr>
        <w:t>, local and transient.</w:t>
      </w:r>
      <w:r w:rsidR="00CB5B49">
        <w:rPr>
          <w:rStyle w:val="FootnoteReference"/>
          <w:rFonts w:eastAsia="Arial" w:cs="Arial"/>
        </w:rPr>
        <w:footnoteReference w:id="18"/>
      </w:r>
      <w:r w:rsidR="00790F28">
        <w:rPr>
          <w:rFonts w:eastAsia="Arial" w:cs="Arial"/>
        </w:rPr>
        <w:t xml:space="preserve"> </w:t>
      </w:r>
      <w:r w:rsidR="007C3DFB">
        <w:rPr>
          <w:rFonts w:eastAsia="Arial" w:cs="Arial"/>
        </w:rPr>
        <w:t xml:space="preserve">However, </w:t>
      </w:r>
      <w:r w:rsidR="007C3DFB" w:rsidRPr="00080DF2">
        <w:rPr>
          <w:rFonts w:eastAsia="Arial" w:cs="Arial"/>
        </w:rPr>
        <w:t>t</w:t>
      </w:r>
      <w:r w:rsidR="00CA2982" w:rsidRPr="00080DF2">
        <w:rPr>
          <w:rFonts w:eastAsia="Arial" w:cs="Arial"/>
        </w:rPr>
        <w:t xml:space="preserve">herapeutic products are applied topically twice a day and while </w:t>
      </w:r>
      <w:r w:rsidR="00195CA6" w:rsidRPr="00080DF2">
        <w:rPr>
          <w:rFonts w:eastAsia="Arial" w:cs="Arial"/>
        </w:rPr>
        <w:t>i</w:t>
      </w:r>
      <w:r w:rsidR="003E02C8" w:rsidRPr="00080DF2">
        <w:rPr>
          <w:rFonts w:eastAsia="Arial" w:cs="Arial"/>
        </w:rPr>
        <w:t xml:space="preserve">mprovement is typically seen </w:t>
      </w:r>
      <w:r w:rsidR="00CA2982" w:rsidRPr="00080DF2">
        <w:rPr>
          <w:rFonts w:eastAsia="Arial" w:cs="Arial"/>
        </w:rPr>
        <w:t xml:space="preserve">within 1–2 months, treatment can be continued </w:t>
      </w:r>
      <w:r w:rsidR="003E02C8" w:rsidRPr="00080DF2">
        <w:rPr>
          <w:rFonts w:eastAsia="Arial" w:cs="Arial"/>
        </w:rPr>
        <w:t>for up to 6 months.</w:t>
      </w:r>
      <w:r w:rsidR="00CA2982" w:rsidRPr="00080DF2">
        <w:rPr>
          <w:rFonts w:eastAsia="Arial" w:cs="Arial"/>
        </w:rPr>
        <w:t xml:space="preserve"> </w:t>
      </w:r>
      <w:r w:rsidR="000E4455" w:rsidRPr="00080DF2">
        <w:rPr>
          <w:rFonts w:eastAsia="Arial" w:cs="Arial"/>
        </w:rPr>
        <w:t xml:space="preserve">No significant systemic adverse reactions or photosensitivity have been observed </w:t>
      </w:r>
      <w:r w:rsidR="00276E40" w:rsidRPr="00080DF2">
        <w:rPr>
          <w:rFonts w:eastAsia="Arial" w:cs="Arial"/>
        </w:rPr>
        <w:t xml:space="preserve">with these products </w:t>
      </w:r>
      <w:r w:rsidR="000E4455" w:rsidRPr="00080DF2">
        <w:rPr>
          <w:rFonts w:eastAsia="Arial" w:cs="Arial"/>
        </w:rPr>
        <w:t>and 15–20% azelaic acid is generally considered to be well tolerated for short to mid-term therapeutic use</w:t>
      </w:r>
      <w:r w:rsidR="00276E40" w:rsidRPr="00080DF2">
        <w:rPr>
          <w:rFonts w:eastAsia="Arial" w:cs="Arial"/>
        </w:rPr>
        <w:t>.</w:t>
      </w:r>
      <w:r w:rsidR="000E4455" w:rsidRPr="00080DF2">
        <w:rPr>
          <w:rStyle w:val="FootnoteReference"/>
          <w:rFonts w:eastAsia="Arial" w:cs="Arial"/>
        </w:rPr>
        <w:footnoteReference w:id="19"/>
      </w:r>
      <w:r w:rsidR="000E4455" w:rsidRPr="00080DF2">
        <w:rPr>
          <w:rFonts w:eastAsia="Arial" w:cs="Arial"/>
        </w:rPr>
        <w:t xml:space="preserve"> Further</w:t>
      </w:r>
      <w:r w:rsidR="00CA2982" w:rsidRPr="00080DF2">
        <w:rPr>
          <w:rFonts w:eastAsia="Arial" w:cs="Arial"/>
        </w:rPr>
        <w:t>, all the therapeutics products available in Australia warn consumers about avoiding contact with eyes</w:t>
      </w:r>
      <w:r w:rsidR="000E4455" w:rsidRPr="00080DF2">
        <w:rPr>
          <w:rFonts w:eastAsia="Arial" w:cs="Arial"/>
        </w:rPr>
        <w:t xml:space="preserve"> and advising them </w:t>
      </w:r>
      <w:r w:rsidR="00975639" w:rsidRPr="00080DF2">
        <w:rPr>
          <w:rFonts w:eastAsia="Arial" w:cs="Arial"/>
        </w:rPr>
        <w:t>to</w:t>
      </w:r>
      <w:r w:rsidR="00CA2982" w:rsidRPr="00080DF2">
        <w:rPr>
          <w:rFonts w:eastAsia="Arial" w:cs="Arial"/>
        </w:rPr>
        <w:t xml:space="preserve"> discontinu</w:t>
      </w:r>
      <w:r w:rsidR="00975639" w:rsidRPr="00080DF2">
        <w:rPr>
          <w:rFonts w:eastAsia="Arial" w:cs="Arial"/>
        </w:rPr>
        <w:t>e</w:t>
      </w:r>
      <w:r w:rsidR="00CA2982" w:rsidRPr="00080DF2">
        <w:rPr>
          <w:rFonts w:eastAsia="Arial" w:cs="Arial"/>
        </w:rPr>
        <w:t xml:space="preserve"> use or consul</w:t>
      </w:r>
      <w:r w:rsidR="000E4455" w:rsidRPr="00080DF2">
        <w:rPr>
          <w:rFonts w:eastAsia="Arial" w:cs="Arial"/>
        </w:rPr>
        <w:t>t</w:t>
      </w:r>
      <w:r w:rsidR="00CA2982" w:rsidRPr="00080DF2">
        <w:rPr>
          <w:rFonts w:eastAsia="Arial" w:cs="Arial"/>
        </w:rPr>
        <w:t xml:space="preserve"> </w:t>
      </w:r>
      <w:r w:rsidR="00975639" w:rsidRPr="00080DF2">
        <w:rPr>
          <w:rFonts w:eastAsia="Arial" w:cs="Arial"/>
        </w:rPr>
        <w:t xml:space="preserve">a </w:t>
      </w:r>
      <w:r w:rsidR="00CA2982" w:rsidRPr="00080DF2">
        <w:rPr>
          <w:rFonts w:eastAsia="Arial" w:cs="Arial"/>
        </w:rPr>
        <w:t xml:space="preserve">pharmacist or doctor if irritation persists or if the condition does not improve within 8 weeks. </w:t>
      </w:r>
      <w:r w:rsidR="007C3DFB" w:rsidRPr="00080DF2">
        <w:rPr>
          <w:rFonts w:eastAsia="Arial" w:cs="Arial"/>
        </w:rPr>
        <w:t>However, cosmetic products containing azelaic acid can be expected to be applied once to twice daily and for continuous ongoing use.</w:t>
      </w:r>
    </w:p>
    <w:p w14:paraId="5195AF29" w14:textId="56976D1A" w:rsidR="00876A97" w:rsidRPr="00876A97" w:rsidRDefault="0092747A" w:rsidP="00876A97">
      <w:pPr>
        <w:spacing w:line="257" w:lineRule="auto"/>
        <w:rPr>
          <w:rFonts w:eastAsia="Arial" w:cs="Arial"/>
        </w:rPr>
      </w:pPr>
      <w:r>
        <w:rPr>
          <w:rFonts w:eastAsia="Arial" w:cs="Arial"/>
        </w:rPr>
        <w:t xml:space="preserve">One </w:t>
      </w:r>
      <w:r w:rsidR="00653439">
        <w:rPr>
          <w:rFonts w:eastAsia="Arial" w:cs="Arial"/>
        </w:rPr>
        <w:t>study comparing 10% and 20% azelaic acid creams for the treatment of mild to moderate acne reported that t</w:t>
      </w:r>
      <w:r w:rsidR="00653439" w:rsidRPr="001E0ED3">
        <w:rPr>
          <w:rFonts w:eastAsia="Arial" w:cs="Arial"/>
        </w:rPr>
        <w:t>he</w:t>
      </w:r>
      <w:r w:rsidR="00653439">
        <w:rPr>
          <w:rFonts w:eastAsia="Arial" w:cs="Arial"/>
        </w:rPr>
        <w:t xml:space="preserve"> </w:t>
      </w:r>
      <w:r w:rsidR="00653439" w:rsidRPr="001E0ED3">
        <w:rPr>
          <w:rFonts w:eastAsia="Arial" w:cs="Arial"/>
        </w:rPr>
        <w:t xml:space="preserve">10% </w:t>
      </w:r>
      <w:r w:rsidR="00653439">
        <w:rPr>
          <w:rFonts w:eastAsia="Arial" w:cs="Arial"/>
        </w:rPr>
        <w:t xml:space="preserve">azelaic acid cream </w:t>
      </w:r>
      <w:r w:rsidR="00653439" w:rsidRPr="001E0ED3">
        <w:rPr>
          <w:rFonts w:eastAsia="Arial" w:cs="Arial"/>
        </w:rPr>
        <w:t>demonstrated better safety compared with a lower incidence of adverse events, most of which were mild</w:t>
      </w:r>
      <w:r w:rsidR="00653439">
        <w:rPr>
          <w:rFonts w:eastAsia="Arial" w:cs="Arial"/>
        </w:rPr>
        <w:t>.</w:t>
      </w:r>
      <w:r w:rsidR="00653439">
        <w:rPr>
          <w:rStyle w:val="FootnoteReference"/>
          <w:rFonts w:eastAsia="Arial" w:cs="Arial"/>
        </w:rPr>
        <w:footnoteReference w:id="20"/>
      </w:r>
      <w:r w:rsidR="00124224">
        <w:rPr>
          <w:rFonts w:eastAsia="Arial" w:cs="Arial"/>
        </w:rPr>
        <w:t xml:space="preserve"> </w:t>
      </w:r>
      <w:r w:rsidR="00CA4017" w:rsidRPr="00CA4017">
        <w:rPr>
          <w:rFonts w:eastAsia="Arial" w:cs="Arial"/>
        </w:rPr>
        <w:t>I note that the Committees’ advice is consistent with the submission of the Australasian College of Dermatologists that 10% could be a reasonable maximum permissible level for azelaic acid in cosmetics, if products are labelled with suitable safety statements.</w:t>
      </w:r>
      <w:r w:rsidR="00CA4017">
        <w:rPr>
          <w:rFonts w:eastAsia="Arial" w:cs="Arial"/>
        </w:rPr>
        <w:t xml:space="preserve"> </w:t>
      </w:r>
      <w:r w:rsidR="00124224" w:rsidRPr="0092747A">
        <w:rPr>
          <w:rFonts w:eastAsia="Arial" w:cs="Arial"/>
        </w:rPr>
        <w:t>However, the</w:t>
      </w:r>
      <w:r w:rsidR="00CA4017">
        <w:rPr>
          <w:rFonts w:eastAsia="Arial" w:cs="Arial"/>
        </w:rPr>
        <w:t xml:space="preserve"> aforementioned</w:t>
      </w:r>
      <w:r w:rsidR="00124224" w:rsidRPr="0092747A">
        <w:rPr>
          <w:rFonts w:eastAsia="Arial" w:cs="Arial"/>
        </w:rPr>
        <w:t xml:space="preserve"> result</w:t>
      </w:r>
      <w:r w:rsidR="00FD1221" w:rsidRPr="006C6572">
        <w:rPr>
          <w:rFonts w:eastAsia="Arial" w:cs="Arial"/>
        </w:rPr>
        <w:t>s</w:t>
      </w:r>
      <w:r w:rsidR="00124224" w:rsidRPr="0092747A">
        <w:rPr>
          <w:rFonts w:eastAsia="Arial" w:cs="Arial"/>
        </w:rPr>
        <w:t xml:space="preserve"> </w:t>
      </w:r>
      <w:r w:rsidR="00FD1221" w:rsidRPr="006C6572">
        <w:rPr>
          <w:rFonts w:eastAsia="Arial" w:cs="Arial"/>
        </w:rPr>
        <w:t>do not</w:t>
      </w:r>
      <w:r w:rsidR="00876A97" w:rsidRPr="0092747A">
        <w:rPr>
          <w:rFonts w:eastAsia="Arial" w:cs="Arial"/>
        </w:rPr>
        <w:t xml:space="preserve"> exclude the occurrence of adverse events</w:t>
      </w:r>
      <w:r w:rsidR="00FD1221" w:rsidRPr="006C6572">
        <w:rPr>
          <w:rFonts w:eastAsia="Arial" w:cs="Arial"/>
        </w:rPr>
        <w:t xml:space="preserve"> or establish the safety</w:t>
      </w:r>
      <w:r w:rsidR="00876A97" w:rsidRPr="0092747A">
        <w:rPr>
          <w:rFonts w:eastAsia="Arial" w:cs="Arial"/>
        </w:rPr>
        <w:t xml:space="preserve"> of azelaic acid formulations at concentrations below 10%</w:t>
      </w:r>
      <w:r w:rsidR="00FD1221" w:rsidRPr="006C6572">
        <w:rPr>
          <w:rFonts w:eastAsia="Arial" w:cs="Arial"/>
        </w:rPr>
        <w:t xml:space="preserve"> beyond doubt</w:t>
      </w:r>
      <w:r w:rsidR="00876A97" w:rsidRPr="0092747A">
        <w:rPr>
          <w:rFonts w:eastAsia="Arial" w:cs="Arial"/>
        </w:rPr>
        <w:t>.</w:t>
      </w:r>
    </w:p>
    <w:p w14:paraId="5CE7CC39" w14:textId="6EBAAD25" w:rsidR="00FB55CA" w:rsidRDefault="001240E6" w:rsidP="009E53CD">
      <w:pPr>
        <w:spacing w:line="257" w:lineRule="auto"/>
      </w:pPr>
      <w:r w:rsidRPr="001240E6">
        <w:rPr>
          <w:rFonts w:eastAsia="Arial" w:cs="Arial"/>
        </w:rPr>
        <w:t xml:space="preserve">Furthermore, </w:t>
      </w:r>
      <w:r w:rsidR="00EA1A46">
        <w:rPr>
          <w:rFonts w:eastAsia="Arial" w:cs="Arial"/>
        </w:rPr>
        <w:t>2</w:t>
      </w:r>
      <w:r w:rsidR="00EA1A46" w:rsidRPr="001240E6">
        <w:rPr>
          <w:rFonts w:eastAsia="Arial" w:cs="Arial"/>
        </w:rPr>
        <w:t xml:space="preserve"> </w:t>
      </w:r>
      <w:r w:rsidR="008928BC">
        <w:rPr>
          <w:rFonts w:eastAsia="Arial" w:cs="Arial"/>
        </w:rPr>
        <w:t xml:space="preserve">other small scale clinical </w:t>
      </w:r>
      <w:r w:rsidRPr="001240E6">
        <w:rPr>
          <w:rFonts w:eastAsia="Arial" w:cs="Arial"/>
        </w:rPr>
        <w:t xml:space="preserve">studies </w:t>
      </w:r>
      <w:r w:rsidR="008928BC">
        <w:rPr>
          <w:rFonts w:eastAsia="Arial" w:cs="Arial"/>
        </w:rPr>
        <w:t xml:space="preserve">reported </w:t>
      </w:r>
      <w:r w:rsidRPr="001240E6">
        <w:rPr>
          <w:rFonts w:eastAsia="Arial" w:cs="Arial"/>
        </w:rPr>
        <w:t xml:space="preserve">local cutaneous adverse effects </w:t>
      </w:r>
      <w:r w:rsidR="008928BC">
        <w:rPr>
          <w:rFonts w:eastAsia="Arial" w:cs="Arial"/>
        </w:rPr>
        <w:t xml:space="preserve">in women </w:t>
      </w:r>
      <w:r w:rsidRPr="001240E6">
        <w:rPr>
          <w:rFonts w:eastAsia="Arial" w:cs="Arial"/>
        </w:rPr>
        <w:t xml:space="preserve">following 12 weeks of </w:t>
      </w:r>
      <w:r w:rsidR="008928BC">
        <w:rPr>
          <w:rFonts w:eastAsia="Arial" w:cs="Arial"/>
        </w:rPr>
        <w:t>treatment with 5% azelaic acid preparations</w:t>
      </w:r>
      <w:r w:rsidRPr="001240E6">
        <w:rPr>
          <w:rFonts w:eastAsia="Arial" w:cs="Arial"/>
        </w:rPr>
        <w:t>.</w:t>
      </w:r>
      <w:r>
        <w:rPr>
          <w:rFonts w:eastAsia="Arial" w:cs="Arial"/>
        </w:rPr>
        <w:t xml:space="preserve"> </w:t>
      </w:r>
      <w:r w:rsidR="0092747A">
        <w:rPr>
          <w:rFonts w:eastAsia="Arial" w:cs="Arial"/>
        </w:rPr>
        <w:t>The</w:t>
      </w:r>
      <w:r w:rsidR="008928BC">
        <w:rPr>
          <w:rFonts w:eastAsia="Arial" w:cs="Arial"/>
        </w:rPr>
        <w:t xml:space="preserve"> first</w:t>
      </w:r>
      <w:r w:rsidR="00FD1221">
        <w:rPr>
          <w:rFonts w:eastAsia="Arial" w:cs="Arial"/>
        </w:rPr>
        <w:t xml:space="preserve"> </w:t>
      </w:r>
      <w:r w:rsidR="0092747A">
        <w:rPr>
          <w:rFonts w:eastAsia="Arial" w:cs="Arial"/>
        </w:rPr>
        <w:t>one reported</w:t>
      </w:r>
      <w:r w:rsidR="00D35A31">
        <w:rPr>
          <w:rFonts w:eastAsia="Arial" w:cs="Arial"/>
        </w:rPr>
        <w:t xml:space="preserve"> </w:t>
      </w:r>
      <w:r w:rsidR="00540A04" w:rsidRPr="00540A04">
        <w:rPr>
          <w:rFonts w:eastAsia="Arial" w:cs="Arial"/>
        </w:rPr>
        <w:t>scaling</w:t>
      </w:r>
      <w:r w:rsidR="0092747A">
        <w:rPr>
          <w:rFonts w:eastAsia="Arial" w:cs="Arial"/>
        </w:rPr>
        <w:t xml:space="preserve">, </w:t>
      </w:r>
      <w:r w:rsidR="00540A04" w:rsidRPr="00540A04">
        <w:rPr>
          <w:rFonts w:eastAsia="Arial" w:cs="Arial"/>
        </w:rPr>
        <w:t>dry skin</w:t>
      </w:r>
      <w:r w:rsidR="0092747A">
        <w:rPr>
          <w:rFonts w:eastAsia="Arial" w:cs="Arial"/>
        </w:rPr>
        <w:t>,</w:t>
      </w:r>
      <w:r w:rsidR="00540A04" w:rsidRPr="00540A04">
        <w:rPr>
          <w:rFonts w:eastAsia="Arial" w:cs="Arial"/>
        </w:rPr>
        <w:t xml:space="preserve"> erythema, oiliness and pruritus</w:t>
      </w:r>
      <w:r w:rsidR="0092747A">
        <w:rPr>
          <w:rFonts w:eastAsia="Arial" w:cs="Arial"/>
        </w:rPr>
        <w:t xml:space="preserve"> in half of the participants</w:t>
      </w:r>
      <w:r w:rsidR="000D7390">
        <w:rPr>
          <w:rFonts w:eastAsia="Arial" w:cs="Arial"/>
        </w:rPr>
        <w:t xml:space="preserve"> treated with preparations containing </w:t>
      </w:r>
      <w:r w:rsidR="000D7390">
        <w:rPr>
          <w:rFonts w:eastAsia="Arial" w:cs="Arial"/>
        </w:rPr>
        <w:lastRenderedPageBreak/>
        <w:t>either 5% azelaic acid or</w:t>
      </w:r>
      <w:r w:rsidR="000D7390" w:rsidRPr="00540A04">
        <w:rPr>
          <w:rFonts w:eastAsia="Arial" w:cs="Arial"/>
        </w:rPr>
        <w:t xml:space="preserve"> </w:t>
      </w:r>
      <w:r w:rsidR="000D7390">
        <w:rPr>
          <w:rFonts w:eastAsia="Arial" w:cs="Arial"/>
        </w:rPr>
        <w:t xml:space="preserve">5% azelaic acid with 2% </w:t>
      </w:r>
      <w:r w:rsidR="000D7390" w:rsidRPr="00D35A31">
        <w:rPr>
          <w:rFonts w:eastAsia="Arial" w:cs="Arial"/>
        </w:rPr>
        <w:t>clindamycin</w:t>
      </w:r>
      <w:r w:rsidR="002C63D8" w:rsidRPr="00540A04">
        <w:rPr>
          <w:rFonts w:eastAsia="Arial" w:cs="Arial"/>
        </w:rPr>
        <w:t>.</w:t>
      </w:r>
      <w:r w:rsidR="00914769">
        <w:rPr>
          <w:rStyle w:val="FootnoteReference"/>
          <w:rFonts w:eastAsia="Arial" w:cs="Arial"/>
        </w:rPr>
        <w:footnoteReference w:id="21"/>
      </w:r>
      <w:r w:rsidR="00540A04" w:rsidRPr="00540A04">
        <w:rPr>
          <w:rFonts w:eastAsia="Arial" w:cs="Arial"/>
        </w:rPr>
        <w:t xml:space="preserve"> </w:t>
      </w:r>
      <w:r w:rsidR="00D35A31">
        <w:rPr>
          <w:rFonts w:eastAsia="Arial" w:cs="Arial"/>
        </w:rPr>
        <w:t xml:space="preserve">In </w:t>
      </w:r>
      <w:r w:rsidR="000D7390">
        <w:rPr>
          <w:rFonts w:eastAsia="Arial" w:cs="Arial"/>
        </w:rPr>
        <w:t>the other</w:t>
      </w:r>
      <w:r w:rsidR="00D35A31">
        <w:rPr>
          <w:rFonts w:eastAsia="Arial" w:cs="Arial"/>
        </w:rPr>
        <w:t xml:space="preserve"> study</w:t>
      </w:r>
      <w:r w:rsidR="00E02510">
        <w:rPr>
          <w:rFonts w:eastAsia="Arial" w:cs="Arial"/>
        </w:rPr>
        <w:t>, treatment with</w:t>
      </w:r>
      <w:r w:rsidR="008928BC">
        <w:rPr>
          <w:rFonts w:eastAsia="Arial" w:cs="Arial"/>
        </w:rPr>
        <w:t xml:space="preserve"> </w:t>
      </w:r>
      <w:r w:rsidR="00540A04" w:rsidRPr="00540A04">
        <w:rPr>
          <w:rFonts w:eastAsia="Arial" w:cs="Arial"/>
        </w:rPr>
        <w:t xml:space="preserve">5% azelaic acid </w:t>
      </w:r>
      <w:r w:rsidR="008928BC">
        <w:rPr>
          <w:rFonts w:eastAsia="Arial" w:cs="Arial"/>
        </w:rPr>
        <w:t>(</w:t>
      </w:r>
      <w:r w:rsidR="00540A04" w:rsidRPr="00540A04">
        <w:rPr>
          <w:rFonts w:eastAsia="Arial" w:cs="Arial"/>
        </w:rPr>
        <w:t>with</w:t>
      </w:r>
      <w:r w:rsidR="00E02510">
        <w:rPr>
          <w:rFonts w:eastAsia="Arial" w:cs="Arial"/>
        </w:rPr>
        <w:t xml:space="preserve"> 2% erythromycin</w:t>
      </w:r>
      <w:r w:rsidR="00540A04" w:rsidRPr="00540A04">
        <w:rPr>
          <w:rFonts w:eastAsia="Arial" w:cs="Arial"/>
        </w:rPr>
        <w:t>)</w:t>
      </w:r>
      <w:r w:rsidR="000D7390">
        <w:rPr>
          <w:rFonts w:eastAsia="Arial" w:cs="Arial"/>
        </w:rPr>
        <w:t xml:space="preserve"> </w:t>
      </w:r>
      <w:r w:rsidR="00E02510">
        <w:rPr>
          <w:rFonts w:eastAsia="Arial" w:cs="Arial"/>
        </w:rPr>
        <w:t>resulted in at least one</w:t>
      </w:r>
      <w:r w:rsidR="00540A04" w:rsidRPr="00540A04">
        <w:rPr>
          <w:rFonts w:eastAsia="Arial" w:cs="Arial"/>
        </w:rPr>
        <w:t xml:space="preserve"> adverse effect </w:t>
      </w:r>
      <w:r w:rsidR="00E02510">
        <w:rPr>
          <w:rFonts w:eastAsia="Arial" w:cs="Arial"/>
        </w:rPr>
        <w:t>(</w:t>
      </w:r>
      <w:r w:rsidR="00E02510" w:rsidRPr="00540A04">
        <w:rPr>
          <w:rFonts w:eastAsia="Arial" w:cs="Arial"/>
        </w:rPr>
        <w:t>scaling</w:t>
      </w:r>
      <w:r w:rsidR="00E02510">
        <w:rPr>
          <w:rFonts w:eastAsia="Arial" w:cs="Arial"/>
        </w:rPr>
        <w:t xml:space="preserve">, </w:t>
      </w:r>
      <w:r w:rsidR="00E02510" w:rsidRPr="00540A04">
        <w:rPr>
          <w:rFonts w:eastAsia="Arial" w:cs="Arial"/>
        </w:rPr>
        <w:t>dry skin</w:t>
      </w:r>
      <w:r w:rsidR="00E02510">
        <w:rPr>
          <w:rFonts w:eastAsia="Arial" w:cs="Arial"/>
        </w:rPr>
        <w:t>,</w:t>
      </w:r>
      <w:r w:rsidR="00E02510" w:rsidRPr="00540A04">
        <w:rPr>
          <w:rFonts w:eastAsia="Arial" w:cs="Arial"/>
        </w:rPr>
        <w:t xml:space="preserve"> erythema, oiliness and pruritus</w:t>
      </w:r>
      <w:r w:rsidR="00E02510">
        <w:rPr>
          <w:rFonts w:eastAsia="Arial" w:cs="Arial"/>
        </w:rPr>
        <w:t>) in 27.5% of the participants.</w:t>
      </w:r>
      <w:r w:rsidR="009E53CD">
        <w:rPr>
          <w:rStyle w:val="FootnoteReference"/>
          <w:rFonts w:eastAsia="Arial" w:cs="Arial"/>
        </w:rPr>
        <w:footnoteReference w:id="22"/>
      </w:r>
      <w:r w:rsidR="00E02510">
        <w:rPr>
          <w:rFonts w:eastAsia="Arial" w:cs="Arial"/>
        </w:rPr>
        <w:t xml:space="preserve"> </w:t>
      </w:r>
      <w:r w:rsidR="009E53CD">
        <w:rPr>
          <w:rFonts w:eastAsia="Arial" w:cs="Arial"/>
        </w:rPr>
        <w:t>While t</w:t>
      </w:r>
      <w:r w:rsidR="00E02510">
        <w:rPr>
          <w:rFonts w:eastAsia="Arial" w:cs="Arial"/>
        </w:rPr>
        <w:t xml:space="preserve">he incidence of adverse events at 5% azelaic acid was significantly lower than treatment with </w:t>
      </w:r>
      <w:r w:rsidR="00540A04" w:rsidRPr="00540A04">
        <w:rPr>
          <w:rFonts w:eastAsia="Arial" w:cs="Arial"/>
        </w:rPr>
        <w:t>20% azelaic acid alone</w:t>
      </w:r>
      <w:r w:rsidR="00E02510">
        <w:rPr>
          <w:rFonts w:eastAsia="Arial" w:cs="Arial"/>
        </w:rPr>
        <w:t xml:space="preserve"> (45%)</w:t>
      </w:r>
      <w:r w:rsidR="009E53CD">
        <w:rPr>
          <w:rFonts w:eastAsia="Arial" w:cs="Arial"/>
        </w:rPr>
        <w:t>, based on th</w:t>
      </w:r>
      <w:r w:rsidR="00CA4017">
        <w:rPr>
          <w:rFonts w:eastAsia="Arial" w:cs="Arial"/>
        </w:rPr>
        <w:t>ese</w:t>
      </w:r>
      <w:r w:rsidR="009E53CD">
        <w:rPr>
          <w:rFonts w:eastAsia="Arial" w:cs="Arial"/>
        </w:rPr>
        <w:t xml:space="preserve"> </w:t>
      </w:r>
      <w:r w:rsidR="00274AE8">
        <w:rPr>
          <w:rFonts w:eastAsia="Arial" w:cs="Arial"/>
        </w:rPr>
        <w:t>two reports</w:t>
      </w:r>
      <w:r w:rsidR="009E53CD">
        <w:rPr>
          <w:rFonts w:eastAsia="Arial" w:cs="Arial"/>
        </w:rPr>
        <w:t xml:space="preserve"> </w:t>
      </w:r>
      <w:r w:rsidR="009E53CD" w:rsidRPr="006C6572">
        <w:t>the potential for skin or eye irritation for cosmetics containing 10% or less azelaic acid cannot be ruled out.</w:t>
      </w:r>
    </w:p>
    <w:p w14:paraId="7D6F5829" w14:textId="33B288D4" w:rsidR="00CC7135" w:rsidRDefault="008C293F" w:rsidP="009E53CD">
      <w:pPr>
        <w:spacing w:line="257" w:lineRule="auto"/>
      </w:pPr>
      <w:r w:rsidRPr="00080DF2">
        <w:rPr>
          <w:rFonts w:eastAsia="Arial" w:cs="Arial"/>
        </w:rPr>
        <w:t xml:space="preserve">Cosmetic products, intended for daily use for reducing redness, hyperpigmentation, even skin tones etc., generally contain 10% azelaic acid </w:t>
      </w:r>
      <w:r w:rsidR="00FB55CA" w:rsidRPr="00080DF2">
        <w:rPr>
          <w:rFonts w:eastAsia="Arial" w:cs="Arial"/>
        </w:rPr>
        <w:t xml:space="preserve">but </w:t>
      </w:r>
      <w:r w:rsidRPr="00080DF2">
        <w:rPr>
          <w:rFonts w:eastAsia="Arial" w:cs="Arial"/>
        </w:rPr>
        <w:t>20% formulations are available</w:t>
      </w:r>
      <w:r w:rsidR="007C3DFB" w:rsidRPr="00080DF2">
        <w:rPr>
          <w:rFonts w:eastAsia="Arial" w:cs="Arial"/>
        </w:rPr>
        <w:t xml:space="preserve"> internationally</w:t>
      </w:r>
      <w:r w:rsidR="00FB55CA" w:rsidRPr="00080DF2">
        <w:rPr>
          <w:rFonts w:eastAsia="Arial" w:cs="Arial"/>
        </w:rPr>
        <w:t xml:space="preserve">. </w:t>
      </w:r>
      <w:r w:rsidRPr="00080DF2">
        <w:rPr>
          <w:rFonts w:eastAsia="Arial" w:cs="Arial"/>
        </w:rPr>
        <w:t>Ongoing, unsupervised use of such cosmetics, can therefore pose considerable risk from long-term exposure exacerbated by lack of consumer knowledge.</w:t>
      </w:r>
      <w:r w:rsidR="00705A96" w:rsidRPr="00080DF2">
        <w:t xml:space="preserve"> </w:t>
      </w:r>
      <w:r w:rsidR="00D653A0" w:rsidRPr="00080DF2">
        <w:rPr>
          <w:rFonts w:eastAsia="Arial" w:cs="Arial"/>
        </w:rPr>
        <w:t xml:space="preserve">Azelaic acid is listed in the latest </w:t>
      </w:r>
      <w:hyperlink r:id="rId28" w:history="1">
        <w:r w:rsidR="00D653A0" w:rsidRPr="00080DF2">
          <w:rPr>
            <w:rStyle w:val="Hyperlink"/>
            <w:rFonts w:eastAsia="Arial" w:cs="Arial"/>
          </w:rPr>
          <w:t>ASEAN Cosmetic Directive</w:t>
        </w:r>
      </w:hyperlink>
      <w:r w:rsidR="00D653A0" w:rsidRPr="00080DF2">
        <w:rPr>
          <w:rFonts w:eastAsia="Arial" w:cs="Arial"/>
        </w:rPr>
        <w:t xml:space="preserve"> (Annex II Part 1) which specifies substances that must not be present in cosmetic products.</w:t>
      </w:r>
    </w:p>
    <w:p w14:paraId="23A8230C" w14:textId="732C767C" w:rsidR="0092747A" w:rsidRPr="00354749" w:rsidRDefault="006A0840" w:rsidP="001E0ED3">
      <w:pPr>
        <w:spacing w:line="257" w:lineRule="auto"/>
        <w:rPr>
          <w:strike/>
        </w:rPr>
      </w:pPr>
      <w:r>
        <w:t xml:space="preserve">Because of the </w:t>
      </w:r>
      <w:r w:rsidR="00EA1A46">
        <w:t xml:space="preserve">current </w:t>
      </w:r>
      <w:r>
        <w:t xml:space="preserve">uncertainty in establishing a safe </w:t>
      </w:r>
      <w:r w:rsidR="00EA1A46">
        <w:t xml:space="preserve">exemption concentration </w:t>
      </w:r>
      <w:r>
        <w:t>limit for azelaic acid in cosmetics</w:t>
      </w:r>
      <w:r w:rsidR="00EA1A46">
        <w:t>,</w:t>
      </w:r>
      <w:r>
        <w:t xml:space="preserve"> and </w:t>
      </w:r>
      <w:r w:rsidR="00EA1A46">
        <w:t xml:space="preserve">the </w:t>
      </w:r>
      <w:r>
        <w:t>lack of robust evidence on its safety at lower concentrations</w:t>
      </w:r>
      <w:r w:rsidR="00274AE8">
        <w:t xml:space="preserve">, I have made </w:t>
      </w:r>
      <w:r w:rsidR="00B91024">
        <w:t>an</w:t>
      </w:r>
      <w:r w:rsidR="00274AE8">
        <w:t xml:space="preserve"> interim decision that the current scheduling of azelaic acid remains appropriate</w:t>
      </w:r>
      <w:r w:rsidR="007C3DFB">
        <w:t>, except for the change to the Appendix F Safety Directions identified above</w:t>
      </w:r>
      <w:r w:rsidR="00EA1A46">
        <w:t>. That is,</w:t>
      </w:r>
      <w:r w:rsidR="00274AE8">
        <w:t xml:space="preserve"> human therapeutic preparations containing azelaic acid remain in Schedule 2 (dermal</w:t>
      </w:r>
      <w:r w:rsidR="00B91024">
        <w:t xml:space="preserve"> preparations) or Schedule 4 (other than dermal preparations) while all other preparations including cosmetics are captured under </w:t>
      </w:r>
      <w:r w:rsidR="00EA1A46">
        <w:t>Schedule </w:t>
      </w:r>
      <w:r w:rsidR="00B91024">
        <w:t xml:space="preserve">5. </w:t>
      </w:r>
      <w:r w:rsidR="00C2062E">
        <w:t>T</w:t>
      </w:r>
      <w:r>
        <w:t>o mitigate the risk from all uses of azelaic acid</w:t>
      </w:r>
      <w:r w:rsidR="00C2062E">
        <w:t>, h</w:t>
      </w:r>
      <w:r w:rsidR="00B91024">
        <w:t xml:space="preserve">uman therapeutics containing azelaic acid will </w:t>
      </w:r>
      <w:r>
        <w:t>continue to be</w:t>
      </w:r>
      <w:r w:rsidR="00B91024">
        <w:t xml:space="preserve"> assessed for safety and efficacy while all cosmetics will </w:t>
      </w:r>
      <w:r w:rsidR="00B91024" w:rsidRPr="00FE63C6">
        <w:t xml:space="preserve">require </w:t>
      </w:r>
      <w:r w:rsidR="00B91024">
        <w:t>f</w:t>
      </w:r>
      <w:r w:rsidR="00B91024" w:rsidRPr="00FE63C6">
        <w:t xml:space="preserve">irst </w:t>
      </w:r>
      <w:r w:rsidR="00B91024">
        <w:t>a</w:t>
      </w:r>
      <w:r w:rsidR="00B91024" w:rsidRPr="00FE63C6">
        <w:t xml:space="preserve">id </w:t>
      </w:r>
      <w:r w:rsidR="00B91024">
        <w:t>i</w:t>
      </w:r>
      <w:r w:rsidR="00B91024" w:rsidRPr="00FE63C6">
        <w:t xml:space="preserve">nstructions and </w:t>
      </w:r>
      <w:r w:rsidR="00B91024">
        <w:t>s</w:t>
      </w:r>
      <w:r w:rsidR="00B91024" w:rsidRPr="00FE63C6">
        <w:t xml:space="preserve">afety </w:t>
      </w:r>
      <w:r w:rsidR="00B91024">
        <w:t>d</w:t>
      </w:r>
      <w:r w:rsidR="00B91024" w:rsidRPr="00FE63C6">
        <w:t>irections</w:t>
      </w:r>
      <w:r w:rsidR="00B91024">
        <w:t xml:space="preserve"> as Schedule 5 preparations.</w:t>
      </w:r>
    </w:p>
    <w:p w14:paraId="2F61A5D3" w14:textId="73B034B3" w:rsidR="00357139" w:rsidRPr="00B03B68" w:rsidRDefault="00357139" w:rsidP="00357139">
      <w:pPr>
        <w:pStyle w:val="Heading3"/>
      </w:pPr>
      <w:bookmarkStart w:id="32" w:name="_Toc213351062"/>
      <w:bookmarkStart w:id="33" w:name="_Toc230034904"/>
      <w:r>
        <w:t>Interim decision in relation to extracts and essential oils primarily composed of methyl salicylate</w:t>
      </w:r>
      <w:bookmarkEnd w:id="32"/>
      <w:bookmarkEnd w:id="33"/>
    </w:p>
    <w:p w14:paraId="502353E9" w14:textId="77777777" w:rsidR="00357139" w:rsidRPr="00B03B68" w:rsidRDefault="00357139" w:rsidP="00357139">
      <w:pPr>
        <w:pStyle w:val="Heading4"/>
      </w:pPr>
      <w:bookmarkStart w:id="34" w:name="_Toc213351063"/>
      <w:bookmarkStart w:id="35" w:name="_Toc230034905"/>
      <w:r w:rsidRPr="00B03B68">
        <w:t>Proposal</w:t>
      </w:r>
      <w:bookmarkEnd w:id="34"/>
      <w:bookmarkEnd w:id="35"/>
    </w:p>
    <w:p w14:paraId="0F0D2006" w14:textId="0A914CD2" w:rsidR="00FF3508" w:rsidRDefault="00357139" w:rsidP="00357139">
      <w:pPr>
        <w:rPr>
          <w:rFonts w:cs="Arial"/>
          <w:color w:val="000000" w:themeColor="text1"/>
        </w:rPr>
      </w:pPr>
      <w:r>
        <w:t>The Delegate proposed an amendment to the current Poisons Standard in relation to various extracts and essential oils primarily composed of methyl salicylate, including sweet birch oils (CAS No. 68917-50-0), wintergreen oils (CAS No.</w:t>
      </w:r>
      <w:r w:rsidRPr="636C8D5A">
        <w:rPr>
          <w:rFonts w:cs="Arial"/>
          <w:color w:val="000000" w:themeColor="text1"/>
        </w:rPr>
        <w:t xml:space="preserve"> 68917-75-9), birch (</w:t>
      </w:r>
      <w:r w:rsidRPr="636C8D5A">
        <w:rPr>
          <w:rFonts w:cs="Arial"/>
          <w:i/>
          <w:iCs/>
          <w:color w:val="000000" w:themeColor="text1"/>
        </w:rPr>
        <w:t>Betula lenta</w:t>
      </w:r>
      <w:r w:rsidRPr="636C8D5A">
        <w:rPr>
          <w:rFonts w:cs="Arial"/>
          <w:color w:val="000000" w:themeColor="text1"/>
        </w:rPr>
        <w:t>) extract (CAS No. 85251-66-7), and wintergreen (</w:t>
      </w:r>
      <w:r w:rsidRPr="636C8D5A">
        <w:rPr>
          <w:rFonts w:cs="Arial"/>
          <w:i/>
          <w:iCs/>
          <w:color w:val="000000" w:themeColor="text1"/>
        </w:rPr>
        <w:t>Gaultheria procumbens</w:t>
      </w:r>
      <w:r w:rsidRPr="636C8D5A">
        <w:rPr>
          <w:rFonts w:cs="Arial"/>
          <w:color w:val="000000" w:themeColor="text1"/>
        </w:rPr>
        <w:t>) extract (CAS No. 90045-28-6).</w:t>
      </w:r>
    </w:p>
    <w:p w14:paraId="39FEBF33" w14:textId="76201A7C" w:rsidR="00FF3508" w:rsidRDefault="00357139" w:rsidP="00357139">
      <w:r w:rsidRPr="636C8D5A">
        <w:rPr>
          <w:rFonts w:cs="Arial"/>
          <w:color w:val="000000" w:themeColor="text1"/>
        </w:rPr>
        <w:t xml:space="preserve">Currently, </w:t>
      </w:r>
      <w:r>
        <w:t xml:space="preserve">methyl salicylate is listed </w:t>
      </w:r>
      <w:r w:rsidR="00FF3508">
        <w:t xml:space="preserve">as a Prescription only (Schedule 4) medicine </w:t>
      </w:r>
      <w:r w:rsidR="00FF3508" w:rsidRPr="00F40F73">
        <w:t>in preparations for internal therapeutic use</w:t>
      </w:r>
      <w:r w:rsidR="00FF3508">
        <w:t xml:space="preserve"> and as a Caution (Schedule 5) and Poison (Schedule 6) substance</w:t>
      </w:r>
      <w:r>
        <w:t xml:space="preserve"> </w:t>
      </w:r>
      <w:r w:rsidR="00FF3508">
        <w:t>for all other usage. However, the various extracts and essential oils primarily composed of methyl salicylate</w:t>
      </w:r>
      <w:r>
        <w:t xml:space="preserve"> are not separately scheduled.</w:t>
      </w:r>
    </w:p>
    <w:p w14:paraId="7656FDB0" w14:textId="74B5A2C3" w:rsidR="00357139" w:rsidRDefault="003C447D" w:rsidP="00357139">
      <w:pPr>
        <w:rPr>
          <w:rFonts w:cs="Arial"/>
          <w:color w:val="000000"/>
        </w:rPr>
      </w:pPr>
      <w:r>
        <w:t xml:space="preserve">This proposal was initiated following a recommendation in the </w:t>
      </w:r>
      <w:r w:rsidR="00256845">
        <w:t>Australian Industrial Chemical Introduction Scheme (AICIS)</w:t>
      </w:r>
      <w:r>
        <w:t xml:space="preserve"> </w:t>
      </w:r>
      <w:hyperlink r:id="rId29" w:history="1">
        <w:r>
          <w:rPr>
            <w:rStyle w:val="Hyperlink"/>
            <w:rFonts w:cs="Arial"/>
          </w:rPr>
          <w:t>evaluation of extracts and essential oils primarily composed of methyl salicylate</w:t>
        </w:r>
      </w:hyperlink>
      <w:r>
        <w:t xml:space="preserve"> (December 2024) and </w:t>
      </w:r>
      <w:r w:rsidR="00357139" w:rsidRPr="636C8D5A">
        <w:rPr>
          <w:rFonts w:cs="Arial"/>
          <w:color w:val="000000" w:themeColor="text1"/>
        </w:rPr>
        <w:t>presented two options for the amendments.</w:t>
      </w:r>
    </w:p>
    <w:p w14:paraId="024F464C" w14:textId="6BD07824" w:rsidR="00357139" w:rsidRPr="0071456D" w:rsidRDefault="00357139" w:rsidP="00256845">
      <w:pPr>
        <w:pStyle w:val="ListBullet-dotick"/>
        <w:numPr>
          <w:ilvl w:val="0"/>
          <w:numId w:val="0"/>
        </w:numPr>
        <w:ind w:left="425"/>
      </w:pPr>
      <w:r w:rsidRPr="00FF3508">
        <w:rPr>
          <w:i/>
          <w:iCs/>
          <w:u w:val="single"/>
        </w:rPr>
        <w:t>Option 1:</w:t>
      </w:r>
      <w:r>
        <w:t xml:space="preserve"> cross-reference each extract and essential oil specified above to the current methyl salicylate entry</w:t>
      </w:r>
    </w:p>
    <w:p w14:paraId="364880BD" w14:textId="564328A0" w:rsidR="00357139" w:rsidRPr="0071456D" w:rsidRDefault="00357139" w:rsidP="00256845">
      <w:pPr>
        <w:pStyle w:val="ListBullet-dotick"/>
        <w:numPr>
          <w:ilvl w:val="0"/>
          <w:numId w:val="0"/>
        </w:numPr>
        <w:ind w:left="425"/>
      </w:pPr>
      <w:r w:rsidRPr="00FF3508">
        <w:rPr>
          <w:i/>
          <w:iCs/>
          <w:u w:val="single"/>
        </w:rPr>
        <w:t>Option 2:</w:t>
      </w:r>
      <w:r>
        <w:t xml:space="preserve"> creating separate entries for each extract and essential oil specified above</w:t>
      </w:r>
      <w:r w:rsidR="00256845">
        <w:t>.</w:t>
      </w:r>
      <w:r>
        <w:t xml:space="preserve"> </w:t>
      </w:r>
    </w:p>
    <w:p w14:paraId="167FB62C" w14:textId="033CC8D1" w:rsidR="00357139" w:rsidRDefault="00357139" w:rsidP="00357139">
      <w:r w:rsidRPr="008A2AC6">
        <w:t>Additional warning statement</w:t>
      </w:r>
      <w:r w:rsidR="00FF3508">
        <w:t>s</w:t>
      </w:r>
      <w:r w:rsidRPr="008A2AC6">
        <w:t xml:space="preserve"> related to pregnancy and skin sensitisation due to sunlight also have</w:t>
      </w:r>
      <w:r>
        <w:t xml:space="preserve"> </w:t>
      </w:r>
      <w:r w:rsidRPr="008A2AC6">
        <w:t>been proposed to align the risk mitigation measures with methyl salicylate.</w:t>
      </w:r>
    </w:p>
    <w:p w14:paraId="3C7C627E" w14:textId="65601646" w:rsidR="00357139" w:rsidRPr="00B03B68" w:rsidRDefault="00357139" w:rsidP="00357139">
      <w:pPr>
        <w:pStyle w:val="Heading4"/>
      </w:pPr>
      <w:bookmarkStart w:id="36" w:name="_Toc213351064"/>
      <w:bookmarkStart w:id="37" w:name="_Toc230034906"/>
      <w:r>
        <w:lastRenderedPageBreak/>
        <w:t>Interim decision</w:t>
      </w:r>
      <w:bookmarkEnd w:id="36"/>
      <w:bookmarkEnd w:id="37"/>
    </w:p>
    <w:p w14:paraId="0ADB5192" w14:textId="5A280CF7" w:rsidR="00357139" w:rsidRDefault="00357139" w:rsidP="00357139">
      <w:r>
        <w:t>Pursuant to regulation 42ZCZN of the Regulations, the Delegate has, in relation to the proposed amendment, made an interim decision to</w:t>
      </w:r>
      <w:r w:rsidR="00FF3508">
        <w:t xml:space="preserve"> amend the current Poison Standard to include</w:t>
      </w:r>
      <w:r>
        <w:t>:</w:t>
      </w:r>
    </w:p>
    <w:p w14:paraId="1AD500B1" w14:textId="57D9787F" w:rsidR="00357139" w:rsidRDefault="00357139" w:rsidP="00EF783F">
      <w:pPr>
        <w:pStyle w:val="ListBullet"/>
        <w:ind w:left="567" w:hanging="283"/>
      </w:pPr>
      <w:r>
        <w:t xml:space="preserve">cross reference for each extract and essential oil </w:t>
      </w:r>
      <w:r w:rsidR="00FF3508">
        <w:t>mentioned above to the current methyl salicylate entry</w:t>
      </w:r>
    </w:p>
    <w:p w14:paraId="7888580B" w14:textId="338E08A8" w:rsidR="00357139" w:rsidRDefault="00357139" w:rsidP="00EF783F">
      <w:pPr>
        <w:pStyle w:val="ListBullet"/>
        <w:ind w:left="567" w:hanging="283"/>
      </w:pPr>
      <w:r>
        <w:t>additional warning statements for methyl salicylate</w:t>
      </w:r>
      <w:r w:rsidR="00FF3508">
        <w:t xml:space="preserve"> under Appendix F.</w:t>
      </w:r>
    </w:p>
    <w:p w14:paraId="21A6A4B8" w14:textId="27180490" w:rsidR="00357139" w:rsidRPr="008A6CC9" w:rsidRDefault="00357139" w:rsidP="00357139">
      <w:r>
        <w:t xml:space="preserve">The </w:t>
      </w:r>
      <w:r w:rsidR="00A51EC9">
        <w:t xml:space="preserve">amendments </w:t>
      </w:r>
      <w:r>
        <w:t xml:space="preserve">are </w:t>
      </w:r>
      <w:r w:rsidR="0067150A">
        <w:t>as follows.</w:t>
      </w:r>
      <w:r w:rsidR="00087C0E">
        <w:rPr>
          <w:rStyle w:val="FootnoteReference"/>
        </w:rPr>
        <w:footnoteReference w:id="23"/>
      </w:r>
    </w:p>
    <w:p w14:paraId="1109F11A" w14:textId="77777777" w:rsidR="00357139" w:rsidRPr="00CF7058" w:rsidRDefault="00357139" w:rsidP="00EF783F">
      <w:pPr>
        <w:ind w:left="426"/>
        <w:rPr>
          <w:b/>
          <w:bCs/>
        </w:rPr>
      </w:pPr>
      <w:r w:rsidRPr="00CF7058">
        <w:rPr>
          <w:b/>
          <w:bCs/>
        </w:rPr>
        <w:t>Schedule 6</w:t>
      </w:r>
    </w:p>
    <w:p w14:paraId="45732625" w14:textId="77777777" w:rsidR="00357139" w:rsidRPr="00CF7058" w:rsidRDefault="00357139" w:rsidP="00EF783F">
      <w:pPr>
        <w:spacing w:before="120"/>
        <w:ind w:left="709"/>
      </w:pPr>
      <w:r w:rsidRPr="00CF7058">
        <w:t xml:space="preserve">METHYL SALICYLATE </w:t>
      </w:r>
      <w:r w:rsidRPr="00CF7058">
        <w:rPr>
          <w:b/>
          <w:bCs/>
        </w:rPr>
        <w:t>except</w:t>
      </w:r>
      <w:r w:rsidRPr="00CF7058">
        <w:t>:</w:t>
      </w:r>
    </w:p>
    <w:p w14:paraId="6D8B4004" w14:textId="5FCD533C" w:rsidR="00357139" w:rsidRPr="00CF7058" w:rsidRDefault="00357139" w:rsidP="00EF783F">
      <w:pPr>
        <w:pStyle w:val="ListParagraph"/>
        <w:ind w:left="1134" w:hanging="283"/>
      </w:pPr>
      <w:r w:rsidRPr="00CF7058">
        <w:t>when included in Schedule 5; or</w:t>
      </w:r>
    </w:p>
    <w:p w14:paraId="1223CCD9" w14:textId="62FF0A8C" w:rsidR="00357139" w:rsidRPr="00CF7058" w:rsidRDefault="00357139" w:rsidP="00EF783F">
      <w:pPr>
        <w:pStyle w:val="ListParagraph"/>
        <w:ind w:left="1134" w:hanging="283"/>
      </w:pPr>
      <w:r w:rsidRPr="00CF7058">
        <w:t>in preparations for therapeutic use; or</w:t>
      </w:r>
    </w:p>
    <w:p w14:paraId="027649D2" w14:textId="4DF0BA10" w:rsidR="00357139" w:rsidRDefault="00357139" w:rsidP="00EF783F">
      <w:pPr>
        <w:pStyle w:val="ListParagraph"/>
        <w:ind w:left="1134" w:hanging="283"/>
      </w:pPr>
      <w:r w:rsidRPr="00CF7058">
        <w:t>in preparations containing 5% or less of methyl salicylate</w:t>
      </w:r>
      <w:r w:rsidR="00FB55CA">
        <w:t>.</w:t>
      </w:r>
    </w:p>
    <w:p w14:paraId="0EFABE7B" w14:textId="79C8BB09" w:rsidR="00357139" w:rsidRPr="00F40F73" w:rsidRDefault="00357139" w:rsidP="00EF783F">
      <w:pPr>
        <w:ind w:left="426"/>
        <w:rPr>
          <w:b/>
          <w:bCs/>
        </w:rPr>
      </w:pPr>
      <w:r w:rsidRPr="00F40F73">
        <w:rPr>
          <w:b/>
          <w:bCs/>
        </w:rPr>
        <w:t>Schedule 5</w:t>
      </w:r>
    </w:p>
    <w:p w14:paraId="446A2936" w14:textId="6D892A2D" w:rsidR="00357139" w:rsidRPr="00F40F73" w:rsidRDefault="00357139" w:rsidP="00EF783F">
      <w:pPr>
        <w:spacing w:before="120"/>
        <w:ind w:left="709"/>
      </w:pPr>
      <w:r w:rsidRPr="00F40F73">
        <w:t>METHYL SALICYLATE in preparations containing 25% or less of methyl salicylate except:</w:t>
      </w:r>
    </w:p>
    <w:p w14:paraId="37BBD3C2" w14:textId="7A619677" w:rsidR="00357139" w:rsidRPr="00F40F73" w:rsidRDefault="00357139" w:rsidP="00EF783F">
      <w:pPr>
        <w:pStyle w:val="ListParagraph"/>
        <w:numPr>
          <w:ilvl w:val="0"/>
          <w:numId w:val="144"/>
        </w:numPr>
        <w:ind w:left="1134" w:hanging="283"/>
      </w:pPr>
      <w:r w:rsidRPr="00F40F73">
        <w:t>in preparations for therapeutic use; or</w:t>
      </w:r>
    </w:p>
    <w:p w14:paraId="3BB79CD5" w14:textId="271EE43D" w:rsidR="00357139" w:rsidRPr="00F40F73" w:rsidRDefault="00357139" w:rsidP="00EF783F">
      <w:pPr>
        <w:pStyle w:val="ListParagraph"/>
        <w:ind w:left="1134" w:hanging="283"/>
      </w:pPr>
      <w:r w:rsidRPr="00F40F73">
        <w:t>in preparations containing 5% or less of methyl salicylate</w:t>
      </w:r>
      <w:r w:rsidR="00FB55CA">
        <w:t>.</w:t>
      </w:r>
    </w:p>
    <w:p w14:paraId="0E086BAD" w14:textId="24BC2F99" w:rsidR="00357139" w:rsidRPr="00F40F73" w:rsidRDefault="00357139" w:rsidP="00EF783F">
      <w:pPr>
        <w:ind w:left="426"/>
        <w:rPr>
          <w:b/>
          <w:bCs/>
        </w:rPr>
      </w:pPr>
      <w:r w:rsidRPr="00F40F73">
        <w:rPr>
          <w:b/>
          <w:bCs/>
        </w:rPr>
        <w:t>Schedule 4</w:t>
      </w:r>
    </w:p>
    <w:p w14:paraId="74178C95" w14:textId="627AC6A3" w:rsidR="00357139" w:rsidRPr="00F40F73" w:rsidRDefault="00357139" w:rsidP="00EF783F">
      <w:pPr>
        <w:spacing w:before="120"/>
        <w:ind w:left="709"/>
      </w:pPr>
      <w:r w:rsidRPr="00F40F73">
        <w:t>METHYL SALICYLATE in preparations for internal therapeutic use.</w:t>
      </w:r>
    </w:p>
    <w:p w14:paraId="46792DEF" w14:textId="4223FB74" w:rsidR="00357139" w:rsidRPr="00F40F73" w:rsidRDefault="00357139" w:rsidP="00EF783F">
      <w:pPr>
        <w:ind w:left="426"/>
        <w:rPr>
          <w:b/>
          <w:bCs/>
        </w:rPr>
      </w:pPr>
      <w:r w:rsidRPr="00F40F73">
        <w:rPr>
          <w:b/>
          <w:bCs/>
        </w:rPr>
        <w:t>Appendix E, Clause 3 - Poisons that must be labelled with first aid instructions</w:t>
      </w:r>
    </w:p>
    <w:tbl>
      <w:tblPr>
        <w:tblW w:w="0" w:type="dxa"/>
        <w:tblBorders>
          <w:top w:val="outset" w:sz="6" w:space="0" w:color="auto"/>
          <w:left w:val="outset" w:sz="6" w:space="0" w:color="auto"/>
          <w:bottom w:val="outset" w:sz="6" w:space="0" w:color="auto"/>
          <w:right w:val="outset" w:sz="6" w:space="0" w:color="auto"/>
        </w:tblBorders>
        <w:tblCellMar>
          <w:top w:w="113" w:type="dxa"/>
          <w:left w:w="113" w:type="dxa"/>
          <w:bottom w:w="113" w:type="dxa"/>
          <w:right w:w="113" w:type="dxa"/>
        </w:tblCellMar>
        <w:tblLook w:val="04A0" w:firstRow="1" w:lastRow="0" w:firstColumn="1" w:lastColumn="0" w:noHBand="0" w:noVBand="1"/>
      </w:tblPr>
      <w:tblGrid>
        <w:gridCol w:w="705"/>
        <w:gridCol w:w="3555"/>
        <w:gridCol w:w="4455"/>
      </w:tblGrid>
      <w:tr w:rsidR="00357139" w:rsidRPr="00F40F73" w14:paraId="48085B7D" w14:textId="77777777" w:rsidTr="00F8777E">
        <w:trPr>
          <w:trHeight w:val="300"/>
        </w:trPr>
        <w:tc>
          <w:tcPr>
            <w:tcW w:w="705" w:type="dxa"/>
            <w:tcBorders>
              <w:top w:val="single" w:sz="6" w:space="0" w:color="002C47"/>
              <w:left w:val="single" w:sz="6" w:space="0" w:color="002C47"/>
              <w:bottom w:val="single" w:sz="6" w:space="0" w:color="002C47"/>
              <w:right w:val="single" w:sz="6" w:space="0" w:color="002C47"/>
            </w:tcBorders>
            <w:shd w:val="clear" w:color="auto" w:fill="B8CCEA"/>
            <w:tcMar>
              <w:top w:w="113" w:type="dxa"/>
              <w:left w:w="113" w:type="dxa"/>
              <w:bottom w:w="113" w:type="dxa"/>
            </w:tcMar>
            <w:hideMark/>
          </w:tcPr>
          <w:p w14:paraId="31E402C4" w14:textId="0059FEE8" w:rsidR="00357139" w:rsidRPr="00F40F73" w:rsidRDefault="00357139" w:rsidP="0032099F">
            <w:pPr>
              <w:spacing w:line="240" w:lineRule="auto"/>
              <w:textAlignment w:val="baseline"/>
              <w:rPr>
                <w:rFonts w:ascii="Times New Roman" w:eastAsia="Times New Roman" w:hAnsi="Times New Roman" w:cs="Times New Roman"/>
                <w:color w:val="000000"/>
                <w:lang w:eastAsia="zh-TW"/>
              </w:rPr>
            </w:pPr>
            <w:r w:rsidRPr="00F40F73">
              <w:rPr>
                <w:rFonts w:eastAsia="Times New Roman" w:cs="Arial"/>
                <w:b/>
                <w:bCs/>
                <w:color w:val="00348C"/>
                <w:lang w:eastAsia="zh-TW"/>
              </w:rPr>
              <w:t>Item</w:t>
            </w:r>
          </w:p>
        </w:tc>
        <w:tc>
          <w:tcPr>
            <w:tcW w:w="3555" w:type="dxa"/>
            <w:tcBorders>
              <w:top w:val="single" w:sz="6" w:space="0" w:color="002C47"/>
              <w:left w:val="single" w:sz="6" w:space="0" w:color="002C47"/>
              <w:bottom w:val="single" w:sz="6" w:space="0" w:color="002C47"/>
              <w:right w:val="single" w:sz="6" w:space="0" w:color="002C47"/>
            </w:tcBorders>
            <w:shd w:val="clear" w:color="auto" w:fill="B8CCEA"/>
            <w:tcMar>
              <w:top w:w="113" w:type="dxa"/>
              <w:left w:w="113" w:type="dxa"/>
              <w:bottom w:w="113" w:type="dxa"/>
            </w:tcMar>
            <w:hideMark/>
          </w:tcPr>
          <w:p w14:paraId="134AE3FC" w14:textId="1794C2DB" w:rsidR="00357139" w:rsidRPr="00F40F73" w:rsidRDefault="00357139" w:rsidP="0032099F">
            <w:pPr>
              <w:spacing w:line="240" w:lineRule="auto"/>
              <w:textAlignment w:val="baseline"/>
              <w:rPr>
                <w:rFonts w:ascii="Times New Roman" w:eastAsia="Times New Roman" w:hAnsi="Times New Roman" w:cs="Times New Roman"/>
                <w:color w:val="000000"/>
                <w:lang w:eastAsia="zh-TW"/>
              </w:rPr>
            </w:pPr>
            <w:r w:rsidRPr="00F40F73">
              <w:rPr>
                <w:rFonts w:eastAsia="Times New Roman" w:cs="Arial"/>
                <w:b/>
                <w:bCs/>
                <w:color w:val="00348C"/>
                <w:lang w:eastAsia="zh-TW"/>
              </w:rPr>
              <w:t>Poison</w:t>
            </w:r>
          </w:p>
        </w:tc>
        <w:tc>
          <w:tcPr>
            <w:tcW w:w="4455" w:type="dxa"/>
            <w:tcBorders>
              <w:top w:val="single" w:sz="6" w:space="0" w:color="002C47"/>
              <w:left w:val="single" w:sz="6" w:space="0" w:color="002C47"/>
              <w:bottom w:val="single" w:sz="6" w:space="0" w:color="002C47"/>
              <w:right w:val="single" w:sz="6" w:space="0" w:color="002C47"/>
            </w:tcBorders>
            <w:shd w:val="clear" w:color="auto" w:fill="B8CCEA"/>
            <w:tcMar>
              <w:top w:w="113" w:type="dxa"/>
              <w:left w:w="113" w:type="dxa"/>
              <w:bottom w:w="113" w:type="dxa"/>
            </w:tcMar>
            <w:hideMark/>
          </w:tcPr>
          <w:p w14:paraId="3B18F8AA" w14:textId="4104045B" w:rsidR="00357139" w:rsidRPr="00F40F73" w:rsidRDefault="00357139" w:rsidP="0032099F">
            <w:pPr>
              <w:spacing w:line="240" w:lineRule="auto"/>
              <w:textAlignment w:val="baseline"/>
              <w:rPr>
                <w:rFonts w:ascii="Times New Roman" w:eastAsia="Times New Roman" w:hAnsi="Times New Roman" w:cs="Times New Roman"/>
                <w:color w:val="000000"/>
                <w:lang w:eastAsia="zh-TW"/>
              </w:rPr>
            </w:pPr>
            <w:r w:rsidRPr="3265AB8A">
              <w:rPr>
                <w:rFonts w:eastAsia="Times New Roman" w:cs="Arial"/>
                <w:b/>
                <w:bCs/>
                <w:color w:val="00348C"/>
                <w:lang w:eastAsia="zh-TW"/>
              </w:rPr>
              <w:t>Standard statements of first aid instruction</w:t>
            </w:r>
          </w:p>
        </w:tc>
      </w:tr>
      <w:tr w:rsidR="00357139" w:rsidRPr="00F40F73" w14:paraId="5909D546" w14:textId="77777777" w:rsidTr="00F8777E">
        <w:trPr>
          <w:trHeight w:val="300"/>
        </w:trPr>
        <w:tc>
          <w:tcPr>
            <w:tcW w:w="705" w:type="dxa"/>
            <w:vMerge w:val="restart"/>
            <w:tcBorders>
              <w:top w:val="single" w:sz="6" w:space="0" w:color="002C47"/>
              <w:left w:val="single" w:sz="6" w:space="0" w:color="002C47"/>
              <w:bottom w:val="single" w:sz="6" w:space="0" w:color="002C47"/>
              <w:right w:val="single" w:sz="4" w:space="0" w:color="auto"/>
            </w:tcBorders>
            <w:tcMar>
              <w:top w:w="113" w:type="dxa"/>
              <w:left w:w="113" w:type="dxa"/>
              <w:bottom w:w="113" w:type="dxa"/>
            </w:tcMar>
            <w:hideMark/>
          </w:tcPr>
          <w:p w14:paraId="03AA9A10" w14:textId="77777777" w:rsidR="00357139" w:rsidRPr="00F40F73" w:rsidRDefault="00357139" w:rsidP="0032099F">
            <w:pPr>
              <w:spacing w:line="240" w:lineRule="auto"/>
              <w:textAlignment w:val="baseline"/>
              <w:rPr>
                <w:rFonts w:ascii="Times New Roman" w:eastAsia="Times New Roman" w:hAnsi="Times New Roman" w:cs="Times New Roman"/>
                <w:color w:val="000000"/>
                <w:lang w:eastAsia="zh-TW"/>
              </w:rPr>
            </w:pPr>
            <w:r w:rsidRPr="00F40F73">
              <w:rPr>
                <w:rFonts w:eastAsia="Times New Roman" w:cs="Arial"/>
                <w:color w:val="000000"/>
                <w:lang w:eastAsia="zh-TW"/>
              </w:rPr>
              <w:t>207 </w:t>
            </w:r>
          </w:p>
        </w:tc>
        <w:tc>
          <w:tcPr>
            <w:tcW w:w="3555" w:type="dxa"/>
            <w:vMerge w:val="restart"/>
            <w:tcBorders>
              <w:top w:val="single" w:sz="6" w:space="0" w:color="002C47"/>
              <w:left w:val="single" w:sz="4" w:space="0" w:color="auto"/>
              <w:bottom w:val="single" w:sz="6" w:space="0" w:color="002C47"/>
              <w:right w:val="single" w:sz="6" w:space="0" w:color="002C47"/>
            </w:tcBorders>
            <w:tcMar>
              <w:top w:w="113" w:type="dxa"/>
              <w:left w:w="113" w:type="dxa"/>
              <w:bottom w:w="113" w:type="dxa"/>
            </w:tcMar>
            <w:hideMark/>
          </w:tcPr>
          <w:p w14:paraId="42E50E83" w14:textId="1EE2DD8C" w:rsidR="00357139" w:rsidRPr="00F40F73" w:rsidRDefault="00357139" w:rsidP="0032099F">
            <w:pPr>
              <w:spacing w:line="240" w:lineRule="auto"/>
              <w:textAlignment w:val="baseline"/>
              <w:rPr>
                <w:rFonts w:ascii="Times New Roman" w:eastAsia="Times New Roman" w:hAnsi="Times New Roman" w:cs="Times New Roman"/>
                <w:color w:val="000000"/>
                <w:lang w:eastAsia="zh-TW"/>
              </w:rPr>
            </w:pPr>
            <w:r w:rsidRPr="00F40F73">
              <w:rPr>
                <w:rFonts w:eastAsia="Times New Roman" w:cs="Arial"/>
                <w:color w:val="000000"/>
                <w:lang w:eastAsia="zh-TW"/>
              </w:rPr>
              <w:t>METHYL SALICYLATE LIQUID when included in Schedule 5 or 6</w:t>
            </w:r>
          </w:p>
        </w:tc>
        <w:tc>
          <w:tcPr>
            <w:tcW w:w="4455" w:type="dxa"/>
            <w:tcBorders>
              <w:top w:val="single" w:sz="6" w:space="0" w:color="002C47"/>
              <w:left w:val="single" w:sz="6" w:space="0" w:color="002C47"/>
              <w:bottom w:val="single" w:sz="6" w:space="0" w:color="002C47"/>
              <w:right w:val="single" w:sz="6" w:space="0" w:color="002C47"/>
            </w:tcBorders>
            <w:tcMar>
              <w:top w:w="113" w:type="dxa"/>
              <w:left w:w="113" w:type="dxa"/>
              <w:bottom w:w="113" w:type="dxa"/>
            </w:tcMar>
            <w:hideMark/>
          </w:tcPr>
          <w:p w14:paraId="686A81FE" w14:textId="47472CF5" w:rsidR="00357139" w:rsidRPr="00F40F73" w:rsidRDefault="00357139" w:rsidP="0032099F">
            <w:pPr>
              <w:spacing w:line="240" w:lineRule="auto"/>
              <w:textAlignment w:val="baseline"/>
              <w:rPr>
                <w:rFonts w:ascii="Times New Roman" w:eastAsia="Times New Roman" w:hAnsi="Times New Roman" w:cs="Times New Roman"/>
                <w:color w:val="000000"/>
                <w:lang w:eastAsia="zh-TW"/>
              </w:rPr>
            </w:pPr>
            <w:r w:rsidRPr="00F40F73">
              <w:rPr>
                <w:rFonts w:eastAsia="Times New Roman" w:cs="Arial"/>
                <w:b/>
                <w:bCs/>
                <w:color w:val="000000"/>
                <w:lang w:eastAsia="zh-TW"/>
              </w:rPr>
              <w:t>A</w:t>
            </w:r>
            <w:r w:rsidRPr="00F40F73">
              <w:rPr>
                <w:rFonts w:eastAsia="Times New Roman" w:cs="Arial"/>
                <w:color w:val="000000"/>
                <w:lang w:eastAsia="zh-TW"/>
              </w:rPr>
              <w:t xml:space="preserve"> – For advice, contact a Poisons Information Centre (e.g. phone Australia 13 11 26; New Zealand 0800 764 766) or a doctor (at once).</w:t>
            </w:r>
          </w:p>
        </w:tc>
      </w:tr>
      <w:tr w:rsidR="00357139" w:rsidRPr="00F40F73" w14:paraId="4F4B891D" w14:textId="77777777" w:rsidTr="00F8777E">
        <w:trPr>
          <w:trHeight w:val="300"/>
        </w:trPr>
        <w:tc>
          <w:tcPr>
            <w:tcW w:w="0" w:type="auto"/>
            <w:vMerge/>
            <w:tcBorders>
              <w:right w:val="single" w:sz="4" w:space="0" w:color="auto"/>
            </w:tcBorders>
            <w:tcMar>
              <w:top w:w="113" w:type="dxa"/>
              <w:left w:w="113" w:type="dxa"/>
              <w:bottom w:w="113" w:type="dxa"/>
            </w:tcMar>
            <w:vAlign w:val="center"/>
            <w:hideMark/>
          </w:tcPr>
          <w:p w14:paraId="6947BCC3" w14:textId="77777777" w:rsidR="00357139" w:rsidRPr="00F40F73" w:rsidRDefault="00357139" w:rsidP="0032099F">
            <w:pPr>
              <w:spacing w:line="240" w:lineRule="auto"/>
              <w:rPr>
                <w:rFonts w:ascii="Times New Roman" w:eastAsia="Times New Roman" w:hAnsi="Times New Roman" w:cs="Times New Roman"/>
                <w:color w:val="000000"/>
                <w:lang w:eastAsia="zh-TW"/>
              </w:rPr>
            </w:pPr>
          </w:p>
        </w:tc>
        <w:tc>
          <w:tcPr>
            <w:tcW w:w="0" w:type="auto"/>
            <w:vMerge/>
            <w:tcBorders>
              <w:left w:val="single" w:sz="4" w:space="0" w:color="auto"/>
            </w:tcBorders>
            <w:tcMar>
              <w:top w:w="113" w:type="dxa"/>
              <w:left w:w="113" w:type="dxa"/>
              <w:bottom w:w="113" w:type="dxa"/>
            </w:tcMar>
            <w:vAlign w:val="center"/>
            <w:hideMark/>
          </w:tcPr>
          <w:p w14:paraId="002178FC" w14:textId="77777777" w:rsidR="00357139" w:rsidRPr="00F40F73" w:rsidRDefault="00357139" w:rsidP="0032099F">
            <w:pPr>
              <w:spacing w:line="240" w:lineRule="auto"/>
              <w:rPr>
                <w:rFonts w:ascii="Times New Roman" w:eastAsia="Times New Roman" w:hAnsi="Times New Roman" w:cs="Times New Roman"/>
                <w:color w:val="000000"/>
                <w:lang w:eastAsia="zh-TW"/>
              </w:rPr>
            </w:pPr>
          </w:p>
        </w:tc>
        <w:tc>
          <w:tcPr>
            <w:tcW w:w="4455" w:type="dxa"/>
            <w:tcBorders>
              <w:top w:val="single" w:sz="6" w:space="0" w:color="002C47"/>
              <w:left w:val="single" w:sz="6" w:space="0" w:color="002C47"/>
              <w:bottom w:val="single" w:sz="6" w:space="0" w:color="002C47"/>
              <w:right w:val="single" w:sz="6" w:space="0" w:color="002C47"/>
            </w:tcBorders>
            <w:tcMar>
              <w:top w:w="113" w:type="dxa"/>
              <w:left w:w="113" w:type="dxa"/>
              <w:bottom w:w="113" w:type="dxa"/>
            </w:tcMar>
            <w:hideMark/>
          </w:tcPr>
          <w:p w14:paraId="1F2AFD7E" w14:textId="109489B3" w:rsidR="00357139" w:rsidRPr="00F40F73" w:rsidRDefault="00357139" w:rsidP="0032099F">
            <w:pPr>
              <w:spacing w:line="240" w:lineRule="auto"/>
              <w:textAlignment w:val="baseline"/>
              <w:rPr>
                <w:rFonts w:ascii="Times New Roman" w:eastAsia="Times New Roman" w:hAnsi="Times New Roman" w:cs="Times New Roman"/>
                <w:color w:val="000000"/>
                <w:lang w:eastAsia="zh-TW"/>
              </w:rPr>
            </w:pPr>
            <w:r w:rsidRPr="00F40F73">
              <w:rPr>
                <w:rFonts w:eastAsia="Times New Roman" w:cs="Arial"/>
                <w:b/>
                <w:bCs/>
                <w:color w:val="000000"/>
                <w:lang w:eastAsia="zh-TW"/>
              </w:rPr>
              <w:t xml:space="preserve">G3 </w:t>
            </w:r>
            <w:r w:rsidRPr="00F40F73">
              <w:rPr>
                <w:rFonts w:eastAsia="Times New Roman" w:cs="Arial"/>
                <w:color w:val="000000"/>
                <w:lang w:eastAsia="zh-TW"/>
              </w:rPr>
              <w:t>– If swallowed, do NOT induce vomiting.</w:t>
            </w:r>
          </w:p>
        </w:tc>
      </w:tr>
      <w:tr w:rsidR="00357139" w:rsidRPr="00F40F73" w14:paraId="5F184462" w14:textId="77777777" w:rsidTr="00F8777E">
        <w:trPr>
          <w:trHeight w:val="300"/>
        </w:trPr>
        <w:tc>
          <w:tcPr>
            <w:tcW w:w="0" w:type="auto"/>
            <w:vMerge/>
            <w:tcBorders>
              <w:right w:val="single" w:sz="4" w:space="0" w:color="auto"/>
            </w:tcBorders>
            <w:tcMar>
              <w:top w:w="113" w:type="dxa"/>
              <w:left w:w="113" w:type="dxa"/>
              <w:bottom w:w="113" w:type="dxa"/>
            </w:tcMar>
            <w:vAlign w:val="center"/>
            <w:hideMark/>
          </w:tcPr>
          <w:p w14:paraId="1FD80A8F" w14:textId="77777777" w:rsidR="00357139" w:rsidRPr="00F40F73" w:rsidRDefault="00357139" w:rsidP="0032099F">
            <w:pPr>
              <w:spacing w:line="240" w:lineRule="auto"/>
              <w:rPr>
                <w:rFonts w:ascii="Times New Roman" w:eastAsia="Times New Roman" w:hAnsi="Times New Roman" w:cs="Times New Roman"/>
                <w:color w:val="000000"/>
                <w:lang w:eastAsia="zh-TW"/>
              </w:rPr>
            </w:pPr>
          </w:p>
        </w:tc>
        <w:tc>
          <w:tcPr>
            <w:tcW w:w="0" w:type="auto"/>
            <w:vMerge/>
            <w:tcBorders>
              <w:left w:val="single" w:sz="4" w:space="0" w:color="auto"/>
            </w:tcBorders>
            <w:tcMar>
              <w:top w:w="113" w:type="dxa"/>
              <w:left w:w="113" w:type="dxa"/>
              <w:bottom w:w="113" w:type="dxa"/>
            </w:tcMar>
            <w:vAlign w:val="center"/>
            <w:hideMark/>
          </w:tcPr>
          <w:p w14:paraId="3E19CE71" w14:textId="77777777" w:rsidR="00357139" w:rsidRPr="00F40F73" w:rsidRDefault="00357139" w:rsidP="0032099F">
            <w:pPr>
              <w:spacing w:line="240" w:lineRule="auto"/>
              <w:rPr>
                <w:rFonts w:ascii="Times New Roman" w:eastAsia="Times New Roman" w:hAnsi="Times New Roman" w:cs="Times New Roman"/>
                <w:color w:val="000000"/>
                <w:lang w:eastAsia="zh-TW"/>
              </w:rPr>
            </w:pPr>
          </w:p>
        </w:tc>
        <w:tc>
          <w:tcPr>
            <w:tcW w:w="4455" w:type="dxa"/>
            <w:tcBorders>
              <w:top w:val="single" w:sz="6" w:space="0" w:color="002C47"/>
              <w:left w:val="single" w:sz="6" w:space="0" w:color="002C47"/>
              <w:bottom w:val="single" w:sz="6" w:space="0" w:color="002C47"/>
              <w:right w:val="single" w:sz="6" w:space="0" w:color="002C47"/>
            </w:tcBorders>
            <w:tcMar>
              <w:top w:w="113" w:type="dxa"/>
              <w:left w:w="113" w:type="dxa"/>
              <w:bottom w:w="113" w:type="dxa"/>
            </w:tcMar>
            <w:hideMark/>
          </w:tcPr>
          <w:p w14:paraId="7F118B41" w14:textId="28EA8042" w:rsidR="00357139" w:rsidRPr="00F40F73" w:rsidRDefault="00357139" w:rsidP="0032099F">
            <w:pPr>
              <w:spacing w:line="240" w:lineRule="auto"/>
              <w:textAlignment w:val="baseline"/>
              <w:rPr>
                <w:rFonts w:ascii="Times New Roman" w:eastAsia="Times New Roman" w:hAnsi="Times New Roman" w:cs="Times New Roman"/>
                <w:color w:val="000000"/>
                <w:lang w:eastAsia="zh-TW"/>
              </w:rPr>
            </w:pPr>
            <w:r w:rsidRPr="00F40F73">
              <w:rPr>
                <w:rFonts w:eastAsia="Times New Roman" w:cs="Arial"/>
                <w:b/>
                <w:bCs/>
                <w:color w:val="000000"/>
                <w:lang w:eastAsia="zh-TW"/>
              </w:rPr>
              <w:t>E1</w:t>
            </w:r>
            <w:r w:rsidRPr="00F40F73">
              <w:rPr>
                <w:rFonts w:eastAsia="Times New Roman" w:cs="Arial"/>
                <w:color w:val="000000"/>
                <w:lang w:eastAsia="zh-TW"/>
              </w:rPr>
              <w:t xml:space="preserve"> – If in eyes wash out immediately with water.</w:t>
            </w:r>
          </w:p>
        </w:tc>
      </w:tr>
    </w:tbl>
    <w:p w14:paraId="5E472370" w14:textId="77777777" w:rsidR="00F8777E" w:rsidRDefault="00F8777E" w:rsidP="00EF783F">
      <w:pPr>
        <w:ind w:left="426"/>
        <w:rPr>
          <w:b/>
          <w:bCs/>
        </w:rPr>
      </w:pPr>
    </w:p>
    <w:p w14:paraId="41044289" w14:textId="7C4781AF" w:rsidR="00357139" w:rsidRPr="00087C0E" w:rsidRDefault="00357139" w:rsidP="00EF783F">
      <w:pPr>
        <w:ind w:left="426"/>
        <w:rPr>
          <w:b/>
          <w:bCs/>
        </w:rPr>
      </w:pPr>
      <w:r w:rsidRPr="00087C0E">
        <w:rPr>
          <w:b/>
          <w:bCs/>
        </w:rPr>
        <w:t>Appendix F, Clause 4 - Poisons that must be labelled with warning statements and safety directions</w:t>
      </w:r>
    </w:p>
    <w:tbl>
      <w:tblPr>
        <w:tblW w:w="0" w:type="dxa"/>
        <w:tblBorders>
          <w:top w:val="outset" w:sz="6" w:space="0" w:color="auto"/>
          <w:left w:val="outset" w:sz="6" w:space="0" w:color="auto"/>
          <w:bottom w:val="outset" w:sz="6" w:space="0" w:color="auto"/>
          <w:right w:val="outset" w:sz="6" w:space="0" w:color="auto"/>
        </w:tblBorders>
        <w:tblCellMar>
          <w:top w:w="57" w:type="dxa"/>
          <w:left w:w="57" w:type="dxa"/>
          <w:bottom w:w="57" w:type="dxa"/>
          <w:right w:w="57" w:type="dxa"/>
        </w:tblCellMar>
        <w:tblLook w:val="04A0" w:firstRow="1" w:lastRow="0" w:firstColumn="1" w:lastColumn="0" w:noHBand="0" w:noVBand="1"/>
      </w:tblPr>
      <w:tblGrid>
        <w:gridCol w:w="705"/>
        <w:gridCol w:w="3555"/>
        <w:gridCol w:w="4455"/>
      </w:tblGrid>
      <w:tr w:rsidR="00357139" w:rsidRPr="00F40F73" w14:paraId="2ADC240C" w14:textId="77777777" w:rsidTr="00F8777E">
        <w:trPr>
          <w:trHeight w:val="300"/>
        </w:trPr>
        <w:tc>
          <w:tcPr>
            <w:tcW w:w="705" w:type="dxa"/>
            <w:tcBorders>
              <w:top w:val="single" w:sz="6" w:space="0" w:color="002C47"/>
              <w:left w:val="single" w:sz="6" w:space="0" w:color="002C47"/>
              <w:bottom w:val="single" w:sz="6" w:space="0" w:color="002C47"/>
              <w:right w:val="single" w:sz="6" w:space="0" w:color="002C47"/>
            </w:tcBorders>
            <w:shd w:val="clear" w:color="auto" w:fill="B8CCEA"/>
            <w:tcMar>
              <w:top w:w="113" w:type="dxa"/>
              <w:left w:w="113" w:type="dxa"/>
              <w:bottom w:w="113" w:type="dxa"/>
            </w:tcMar>
            <w:hideMark/>
          </w:tcPr>
          <w:p w14:paraId="5B7960ED" w14:textId="39D7756A" w:rsidR="00357139" w:rsidRPr="00F40F73" w:rsidRDefault="00357139" w:rsidP="00F8777E">
            <w:pPr>
              <w:spacing w:line="240" w:lineRule="auto"/>
              <w:textAlignment w:val="baseline"/>
              <w:rPr>
                <w:rFonts w:ascii="Times New Roman" w:eastAsia="Times New Roman" w:hAnsi="Times New Roman" w:cs="Times New Roman"/>
                <w:color w:val="000000"/>
                <w:lang w:eastAsia="zh-TW"/>
              </w:rPr>
            </w:pPr>
            <w:r w:rsidRPr="00F40F73">
              <w:rPr>
                <w:rFonts w:eastAsia="Times New Roman" w:cs="Arial"/>
                <w:b/>
                <w:bCs/>
                <w:color w:val="00348C"/>
                <w:lang w:eastAsia="zh-TW"/>
              </w:rPr>
              <w:t>Item</w:t>
            </w:r>
          </w:p>
        </w:tc>
        <w:tc>
          <w:tcPr>
            <w:tcW w:w="3555" w:type="dxa"/>
            <w:tcBorders>
              <w:top w:val="single" w:sz="6" w:space="0" w:color="002C47"/>
              <w:left w:val="single" w:sz="6" w:space="0" w:color="002C47"/>
              <w:bottom w:val="single" w:sz="6" w:space="0" w:color="002C47"/>
              <w:right w:val="single" w:sz="6" w:space="0" w:color="002C47"/>
            </w:tcBorders>
            <w:shd w:val="clear" w:color="auto" w:fill="B8CCEA"/>
            <w:tcMar>
              <w:top w:w="113" w:type="dxa"/>
              <w:left w:w="113" w:type="dxa"/>
              <w:bottom w:w="113" w:type="dxa"/>
            </w:tcMar>
            <w:hideMark/>
          </w:tcPr>
          <w:p w14:paraId="5A885829" w14:textId="29799F0D" w:rsidR="00357139" w:rsidRPr="00F40F73" w:rsidRDefault="00357139" w:rsidP="00F8777E">
            <w:pPr>
              <w:spacing w:line="240" w:lineRule="auto"/>
              <w:textAlignment w:val="baseline"/>
              <w:rPr>
                <w:rFonts w:ascii="Times New Roman" w:eastAsia="Times New Roman" w:hAnsi="Times New Roman" w:cs="Times New Roman"/>
                <w:color w:val="000000"/>
                <w:lang w:eastAsia="zh-TW"/>
              </w:rPr>
            </w:pPr>
            <w:r w:rsidRPr="00F40F73">
              <w:rPr>
                <w:rFonts w:eastAsia="Times New Roman" w:cs="Arial"/>
                <w:b/>
                <w:bCs/>
                <w:color w:val="00348C"/>
                <w:lang w:eastAsia="zh-TW"/>
              </w:rPr>
              <w:t>Poison</w:t>
            </w:r>
          </w:p>
        </w:tc>
        <w:tc>
          <w:tcPr>
            <w:tcW w:w="4455" w:type="dxa"/>
            <w:tcBorders>
              <w:top w:val="single" w:sz="6" w:space="0" w:color="002C47"/>
              <w:left w:val="single" w:sz="6" w:space="0" w:color="002C47"/>
              <w:bottom w:val="single" w:sz="6" w:space="0" w:color="002C47"/>
              <w:right w:val="single" w:sz="6" w:space="0" w:color="002C47"/>
            </w:tcBorders>
            <w:shd w:val="clear" w:color="auto" w:fill="B8CCEA"/>
            <w:tcMar>
              <w:top w:w="113" w:type="dxa"/>
              <w:left w:w="113" w:type="dxa"/>
              <w:bottom w:w="113" w:type="dxa"/>
            </w:tcMar>
            <w:hideMark/>
          </w:tcPr>
          <w:p w14:paraId="3BAB0499" w14:textId="1E282E14" w:rsidR="00357139" w:rsidRPr="00F40F73" w:rsidRDefault="00357139" w:rsidP="00F8777E">
            <w:pPr>
              <w:spacing w:line="240" w:lineRule="auto"/>
              <w:textAlignment w:val="baseline"/>
              <w:rPr>
                <w:rFonts w:ascii="Times New Roman" w:eastAsia="Times New Roman" w:hAnsi="Times New Roman" w:cs="Times New Roman"/>
                <w:color w:val="000000"/>
                <w:lang w:eastAsia="zh-TW"/>
              </w:rPr>
            </w:pPr>
            <w:r w:rsidRPr="00F40F73">
              <w:rPr>
                <w:rFonts w:eastAsia="Times New Roman" w:cs="Arial"/>
                <w:b/>
                <w:bCs/>
                <w:color w:val="00348C"/>
                <w:lang w:eastAsia="zh-TW"/>
              </w:rPr>
              <w:t>Warning statement</w:t>
            </w:r>
          </w:p>
        </w:tc>
      </w:tr>
      <w:tr w:rsidR="00357139" w:rsidRPr="00F40F73" w14:paraId="6982CABE" w14:textId="77777777" w:rsidTr="00F8777E">
        <w:trPr>
          <w:trHeight w:val="300"/>
        </w:trPr>
        <w:tc>
          <w:tcPr>
            <w:tcW w:w="705" w:type="dxa"/>
            <w:vMerge w:val="restart"/>
            <w:tcBorders>
              <w:top w:val="single" w:sz="6" w:space="0" w:color="002C47"/>
              <w:left w:val="single" w:sz="6" w:space="0" w:color="002C47"/>
              <w:bottom w:val="single" w:sz="6" w:space="0" w:color="002C47"/>
              <w:right w:val="single" w:sz="6" w:space="0" w:color="002C47"/>
            </w:tcBorders>
            <w:tcMar>
              <w:top w:w="113" w:type="dxa"/>
              <w:left w:w="113" w:type="dxa"/>
              <w:bottom w:w="113" w:type="dxa"/>
            </w:tcMar>
            <w:hideMark/>
          </w:tcPr>
          <w:p w14:paraId="5A5F9841" w14:textId="77777777" w:rsidR="00357139" w:rsidRPr="00F40F73" w:rsidRDefault="00357139" w:rsidP="00F8777E">
            <w:pPr>
              <w:spacing w:line="240" w:lineRule="auto"/>
              <w:textAlignment w:val="baseline"/>
              <w:rPr>
                <w:rFonts w:ascii="Times New Roman" w:eastAsia="Times New Roman" w:hAnsi="Times New Roman" w:cs="Times New Roman"/>
                <w:color w:val="000000"/>
                <w:lang w:eastAsia="zh-TW"/>
              </w:rPr>
            </w:pPr>
            <w:r w:rsidRPr="00F40F73">
              <w:rPr>
                <w:rFonts w:eastAsia="Times New Roman" w:cs="Arial"/>
                <w:color w:val="00B050"/>
                <w:lang w:eastAsia="zh-TW"/>
              </w:rPr>
              <w:t>212 </w:t>
            </w:r>
          </w:p>
        </w:tc>
        <w:tc>
          <w:tcPr>
            <w:tcW w:w="3555" w:type="dxa"/>
            <w:vMerge w:val="restart"/>
            <w:tcBorders>
              <w:top w:val="single" w:sz="6" w:space="0" w:color="002C47"/>
              <w:left w:val="single" w:sz="6" w:space="0" w:color="002C47"/>
              <w:bottom w:val="single" w:sz="6" w:space="0" w:color="002C47"/>
              <w:right w:val="single" w:sz="6" w:space="0" w:color="002C47"/>
            </w:tcBorders>
            <w:tcMar>
              <w:top w:w="113" w:type="dxa"/>
              <w:left w:w="113" w:type="dxa"/>
              <w:bottom w:w="113" w:type="dxa"/>
            </w:tcMar>
            <w:hideMark/>
          </w:tcPr>
          <w:p w14:paraId="2060E2C9" w14:textId="2D735193" w:rsidR="00357139" w:rsidRPr="00F40F73" w:rsidRDefault="00357139" w:rsidP="00F8777E">
            <w:pPr>
              <w:spacing w:line="240" w:lineRule="auto"/>
              <w:textAlignment w:val="baseline"/>
              <w:rPr>
                <w:rFonts w:ascii="Times New Roman" w:eastAsia="Times New Roman" w:hAnsi="Times New Roman" w:cs="Times New Roman"/>
                <w:color w:val="000000"/>
                <w:lang w:eastAsia="zh-TW"/>
              </w:rPr>
            </w:pPr>
            <w:r w:rsidRPr="00F40F73">
              <w:rPr>
                <w:rFonts w:eastAsia="Times New Roman" w:cs="Arial"/>
                <w:color w:val="00B050"/>
                <w:lang w:eastAsia="zh-TW"/>
              </w:rPr>
              <w:t>METHYL SALICYLATE LIQUID when included in Schedule 5 or 6 </w:t>
            </w:r>
          </w:p>
        </w:tc>
        <w:tc>
          <w:tcPr>
            <w:tcW w:w="4455" w:type="dxa"/>
            <w:tcBorders>
              <w:top w:val="single" w:sz="6" w:space="0" w:color="002C47"/>
              <w:left w:val="single" w:sz="6" w:space="0" w:color="002C47"/>
              <w:bottom w:val="single" w:sz="6" w:space="0" w:color="002C47"/>
              <w:right w:val="single" w:sz="6" w:space="0" w:color="002C47"/>
            </w:tcBorders>
            <w:tcMar>
              <w:top w:w="113" w:type="dxa"/>
              <w:left w:w="113" w:type="dxa"/>
              <w:bottom w:w="113" w:type="dxa"/>
            </w:tcMar>
            <w:hideMark/>
          </w:tcPr>
          <w:p w14:paraId="3FE90572" w14:textId="3C0D3B0F" w:rsidR="00357139" w:rsidRPr="00F40F73" w:rsidRDefault="00357139" w:rsidP="00F8777E">
            <w:pPr>
              <w:spacing w:line="240" w:lineRule="auto"/>
              <w:textAlignment w:val="baseline"/>
              <w:rPr>
                <w:rFonts w:ascii="Times New Roman" w:eastAsia="Times New Roman" w:hAnsi="Times New Roman" w:cs="Times New Roman"/>
                <w:color w:val="000000"/>
                <w:lang w:eastAsia="zh-TW"/>
              </w:rPr>
            </w:pPr>
            <w:r w:rsidRPr="00F40F73">
              <w:rPr>
                <w:rFonts w:eastAsia="Times New Roman" w:cs="Arial"/>
                <w:b/>
                <w:bCs/>
                <w:color w:val="00B050"/>
                <w:lang w:eastAsia="zh-TW"/>
              </w:rPr>
              <w:t>67</w:t>
            </w:r>
            <w:r w:rsidRPr="00F40F73">
              <w:rPr>
                <w:rFonts w:eastAsia="Times New Roman" w:cs="Arial"/>
                <w:color w:val="00B050"/>
                <w:lang w:eastAsia="zh-TW"/>
              </w:rPr>
              <w:t xml:space="preserve"> – Do not use if pregnant or likely to become pregnant.</w:t>
            </w:r>
          </w:p>
        </w:tc>
      </w:tr>
      <w:tr w:rsidR="00357139" w:rsidRPr="00F40F73" w14:paraId="4003326D" w14:textId="77777777" w:rsidTr="00F8777E">
        <w:trPr>
          <w:trHeight w:val="300"/>
        </w:trPr>
        <w:tc>
          <w:tcPr>
            <w:tcW w:w="0" w:type="auto"/>
            <w:vMerge/>
            <w:tcBorders>
              <w:top w:val="single" w:sz="6" w:space="0" w:color="002C47"/>
              <w:left w:val="single" w:sz="6" w:space="0" w:color="002C47"/>
              <w:bottom w:val="single" w:sz="6" w:space="0" w:color="002C47"/>
              <w:right w:val="single" w:sz="6" w:space="0" w:color="002C47"/>
            </w:tcBorders>
            <w:tcMar>
              <w:top w:w="113" w:type="dxa"/>
              <w:left w:w="113" w:type="dxa"/>
              <w:bottom w:w="113" w:type="dxa"/>
            </w:tcMar>
            <w:vAlign w:val="center"/>
            <w:hideMark/>
          </w:tcPr>
          <w:p w14:paraId="59A8BD2E" w14:textId="77777777" w:rsidR="00357139" w:rsidRPr="00F40F73" w:rsidRDefault="00357139" w:rsidP="00F8777E">
            <w:pPr>
              <w:spacing w:line="240" w:lineRule="auto"/>
              <w:rPr>
                <w:rFonts w:ascii="Times New Roman" w:eastAsia="Times New Roman" w:hAnsi="Times New Roman" w:cs="Times New Roman"/>
                <w:color w:val="000000"/>
                <w:lang w:eastAsia="zh-TW"/>
              </w:rPr>
            </w:pPr>
          </w:p>
        </w:tc>
        <w:tc>
          <w:tcPr>
            <w:tcW w:w="0" w:type="auto"/>
            <w:vMerge/>
            <w:tcBorders>
              <w:top w:val="single" w:sz="6" w:space="0" w:color="002C47"/>
              <w:left w:val="single" w:sz="6" w:space="0" w:color="002C47"/>
              <w:bottom w:val="single" w:sz="6" w:space="0" w:color="002C47"/>
              <w:right w:val="single" w:sz="6" w:space="0" w:color="002C47"/>
            </w:tcBorders>
            <w:tcMar>
              <w:top w:w="113" w:type="dxa"/>
              <w:left w:w="113" w:type="dxa"/>
              <w:bottom w:w="113" w:type="dxa"/>
            </w:tcMar>
            <w:vAlign w:val="center"/>
            <w:hideMark/>
          </w:tcPr>
          <w:p w14:paraId="396E659A" w14:textId="77777777" w:rsidR="00357139" w:rsidRPr="00F40F73" w:rsidRDefault="00357139" w:rsidP="00F8777E">
            <w:pPr>
              <w:spacing w:line="240" w:lineRule="auto"/>
              <w:rPr>
                <w:rFonts w:ascii="Times New Roman" w:eastAsia="Times New Roman" w:hAnsi="Times New Roman" w:cs="Times New Roman"/>
                <w:color w:val="000000"/>
                <w:lang w:eastAsia="zh-TW"/>
              </w:rPr>
            </w:pPr>
          </w:p>
        </w:tc>
        <w:tc>
          <w:tcPr>
            <w:tcW w:w="4455" w:type="dxa"/>
            <w:tcBorders>
              <w:top w:val="single" w:sz="6" w:space="0" w:color="002C47"/>
              <w:left w:val="single" w:sz="6" w:space="0" w:color="002C47"/>
              <w:bottom w:val="single" w:sz="6" w:space="0" w:color="002C47"/>
              <w:right w:val="single" w:sz="6" w:space="0" w:color="002C47"/>
            </w:tcBorders>
            <w:tcMar>
              <w:top w:w="113" w:type="dxa"/>
              <w:left w:w="113" w:type="dxa"/>
              <w:bottom w:w="113" w:type="dxa"/>
            </w:tcMar>
            <w:hideMark/>
          </w:tcPr>
          <w:p w14:paraId="5B3CA141" w14:textId="629F934D" w:rsidR="00357139" w:rsidRPr="00F40F73" w:rsidRDefault="00357139" w:rsidP="00F8777E">
            <w:pPr>
              <w:spacing w:line="240" w:lineRule="auto"/>
              <w:textAlignment w:val="baseline"/>
              <w:rPr>
                <w:rFonts w:ascii="Times New Roman" w:eastAsia="Times New Roman" w:hAnsi="Times New Roman" w:cs="Times New Roman"/>
                <w:color w:val="000000"/>
                <w:lang w:eastAsia="zh-TW"/>
              </w:rPr>
            </w:pPr>
            <w:r w:rsidRPr="00F40F73">
              <w:rPr>
                <w:rFonts w:eastAsia="Times New Roman" w:cs="Arial"/>
                <w:b/>
                <w:bCs/>
                <w:color w:val="00B050"/>
                <w:lang w:eastAsia="zh-TW"/>
              </w:rPr>
              <w:t xml:space="preserve">89 </w:t>
            </w:r>
            <w:r w:rsidRPr="00F40F73">
              <w:rPr>
                <w:rFonts w:eastAsia="Times New Roman" w:cs="Arial"/>
                <w:color w:val="00B050"/>
                <w:lang w:eastAsia="zh-TW"/>
              </w:rPr>
              <w:t>– Application to skin may increase sensitivity to sunlight</w:t>
            </w:r>
          </w:p>
        </w:tc>
      </w:tr>
    </w:tbl>
    <w:p w14:paraId="12065579" w14:textId="77777777" w:rsidR="00087C0E" w:rsidRDefault="00087C0E" w:rsidP="00357139">
      <w:pPr>
        <w:ind w:firstLine="284"/>
        <w:rPr>
          <w:b/>
          <w:bCs/>
        </w:rPr>
      </w:pPr>
    </w:p>
    <w:p w14:paraId="55B24415" w14:textId="1B555D64" w:rsidR="00357139" w:rsidRPr="00F40F73" w:rsidRDefault="00357139" w:rsidP="00357139">
      <w:pPr>
        <w:ind w:firstLine="284"/>
        <w:rPr>
          <w:rFonts w:ascii="Segoe UI" w:eastAsia="Times New Roman" w:hAnsi="Segoe UI" w:cs="Segoe UI"/>
          <w:color w:val="000000"/>
          <w:sz w:val="18"/>
          <w:szCs w:val="18"/>
          <w:lang w:eastAsia="zh-TW"/>
        </w:rPr>
      </w:pPr>
      <w:r w:rsidRPr="00F40F73">
        <w:rPr>
          <w:b/>
          <w:bCs/>
        </w:rPr>
        <w:lastRenderedPageBreak/>
        <w:t>INDEX</w:t>
      </w:r>
    </w:p>
    <w:p w14:paraId="32EAB438" w14:textId="6CAA57A9" w:rsidR="00357139" w:rsidRPr="00EF783F" w:rsidRDefault="00357139" w:rsidP="00087C0E">
      <w:pPr>
        <w:ind w:firstLine="567"/>
        <w:rPr>
          <w:b/>
          <w:bCs/>
        </w:rPr>
      </w:pPr>
      <w:r w:rsidRPr="00EF783F">
        <w:rPr>
          <w:b/>
          <w:bCs/>
        </w:rPr>
        <w:t>METHYL SALICYLATE</w:t>
      </w:r>
    </w:p>
    <w:p w14:paraId="711092F8" w14:textId="5DF1E90D" w:rsidR="00357139" w:rsidRPr="00F40F73" w:rsidRDefault="00357139" w:rsidP="00087C0E">
      <w:pPr>
        <w:ind w:left="567"/>
      </w:pPr>
      <w:r w:rsidRPr="636C8D5A">
        <w:rPr>
          <w:color w:val="00B050"/>
        </w:rPr>
        <w:t>Cross reference: sweet birch oil (CAS No. 68917-50-0), wintergreen oil (CAS No. 68917-75-9), birch (</w:t>
      </w:r>
      <w:r w:rsidRPr="636C8D5A">
        <w:rPr>
          <w:i/>
          <w:iCs/>
          <w:color w:val="00B050"/>
        </w:rPr>
        <w:t>Betula lenta</w:t>
      </w:r>
      <w:r w:rsidRPr="636C8D5A">
        <w:rPr>
          <w:color w:val="00B050"/>
        </w:rPr>
        <w:t>) extract (CAS No. 85251-66-7) and wintergreen (</w:t>
      </w:r>
      <w:r w:rsidRPr="636C8D5A">
        <w:rPr>
          <w:i/>
          <w:iCs/>
          <w:color w:val="00B050"/>
        </w:rPr>
        <w:t>Gaultheria procumbens</w:t>
      </w:r>
      <w:r w:rsidRPr="636C8D5A">
        <w:rPr>
          <w:color w:val="00B050"/>
        </w:rPr>
        <w:t>) extract (CAS No. 90045-28-6)</w:t>
      </w:r>
    </w:p>
    <w:p w14:paraId="23E33100" w14:textId="24867EE7" w:rsidR="00357139" w:rsidRPr="00F40F73" w:rsidRDefault="00357139" w:rsidP="00087C0E">
      <w:pPr>
        <w:ind w:firstLine="567"/>
      </w:pPr>
      <w:r w:rsidRPr="00F40F73">
        <w:t>Schedule 6</w:t>
      </w:r>
    </w:p>
    <w:p w14:paraId="5DDB9F0C" w14:textId="56BF1BF7" w:rsidR="00357139" w:rsidRPr="00F40F73" w:rsidRDefault="00357139" w:rsidP="00087C0E">
      <w:pPr>
        <w:ind w:firstLine="567"/>
      </w:pPr>
      <w:r w:rsidRPr="00F40F73">
        <w:t>Schedule 5</w:t>
      </w:r>
    </w:p>
    <w:p w14:paraId="4D71653A" w14:textId="7CA0A779" w:rsidR="00357139" w:rsidRPr="00F40F73" w:rsidRDefault="00357139" w:rsidP="00087C0E">
      <w:pPr>
        <w:ind w:firstLine="567"/>
      </w:pPr>
      <w:r w:rsidRPr="00F40F73">
        <w:t>Schedule 4</w:t>
      </w:r>
    </w:p>
    <w:p w14:paraId="1245420E" w14:textId="3A45B781" w:rsidR="00357139" w:rsidRPr="00F40F73" w:rsidRDefault="00357139" w:rsidP="00087C0E">
      <w:pPr>
        <w:ind w:firstLine="567"/>
      </w:pPr>
      <w:r w:rsidRPr="00F40F73">
        <w:t>Appendix E, Clause 3</w:t>
      </w:r>
    </w:p>
    <w:p w14:paraId="0603E0B7" w14:textId="1F9DB518" w:rsidR="00357139" w:rsidRPr="00087C0E" w:rsidRDefault="00357139" w:rsidP="00087C0E">
      <w:pPr>
        <w:ind w:firstLine="567"/>
        <w:rPr>
          <w:color w:val="00B050"/>
        </w:rPr>
      </w:pPr>
      <w:r w:rsidRPr="636C8D5A">
        <w:rPr>
          <w:color w:val="00B050"/>
        </w:rPr>
        <w:t>Appendix F, Clause 4</w:t>
      </w:r>
    </w:p>
    <w:p w14:paraId="5DD086D9" w14:textId="764DD5FA" w:rsidR="00357139" w:rsidRPr="00F40F73" w:rsidRDefault="00357139" w:rsidP="00087C0E">
      <w:pPr>
        <w:spacing w:before="240" w:after="0" w:line="240" w:lineRule="auto"/>
        <w:textAlignment w:val="baseline"/>
        <w:rPr>
          <w:rFonts w:eastAsia="Times New Roman" w:cs="Arial"/>
          <w:color w:val="000000"/>
          <w:sz w:val="21"/>
          <w:szCs w:val="21"/>
          <w:lang w:eastAsia="zh-TW"/>
        </w:rPr>
      </w:pPr>
      <w:r w:rsidRPr="636C8D5A">
        <w:rPr>
          <w:rFonts w:eastAsia="Cambria" w:cs="Times New Roman"/>
        </w:rPr>
        <w:t>Methyl salicylate and preparations containing more than 50% of methyl salicylate are also required to be in containers with child-resistant closure (s 49 of the Poisons Standard). No changes will be made</w:t>
      </w:r>
      <w:r w:rsidR="00087C0E">
        <w:rPr>
          <w:rFonts w:eastAsia="Cambria" w:cs="Times New Roman"/>
        </w:rPr>
        <w:t xml:space="preserve"> to that requirement</w:t>
      </w:r>
      <w:r w:rsidRPr="636C8D5A">
        <w:rPr>
          <w:rFonts w:eastAsia="Cambria" w:cs="Times New Roman"/>
        </w:rPr>
        <w:t>.</w:t>
      </w:r>
    </w:p>
    <w:p w14:paraId="23D21FC8" w14:textId="77777777" w:rsidR="00357139" w:rsidRPr="00B03B68" w:rsidRDefault="00357139" w:rsidP="00357139">
      <w:pPr>
        <w:pStyle w:val="Heading4"/>
      </w:pPr>
      <w:bookmarkStart w:id="38" w:name="_Toc213351065"/>
      <w:bookmarkStart w:id="39" w:name="_Toc230034907"/>
      <w:r w:rsidRPr="00B03B68">
        <w:t>Materials considered</w:t>
      </w:r>
      <w:bookmarkEnd w:id="38"/>
      <w:bookmarkEnd w:id="39"/>
    </w:p>
    <w:p w14:paraId="4F19F32D" w14:textId="77777777" w:rsidR="00357139" w:rsidRPr="00B03B68" w:rsidRDefault="00357139" w:rsidP="00357139">
      <w:r w:rsidRPr="00B03B68">
        <w:t>In making this interim decision, the Delegate considered the following material:</w:t>
      </w:r>
    </w:p>
    <w:p w14:paraId="3192F60A" w14:textId="6AC8B194" w:rsidR="00357139" w:rsidRPr="00B03B68" w:rsidRDefault="00256845" w:rsidP="00B81C73">
      <w:pPr>
        <w:pStyle w:val="ListBullet"/>
        <w:ind w:left="567" w:hanging="283"/>
      </w:pPr>
      <w:r>
        <w:t>t</w:t>
      </w:r>
      <w:r w:rsidR="00357139">
        <w:t>he</w:t>
      </w:r>
      <w:sdt>
        <w:sdtPr>
          <w:alias w:val="Hyperlink to TGA website"/>
          <w:tag w:val="Hyperlink to TGA website"/>
          <w:id w:val="-1968344990"/>
          <w:placeholder>
            <w:docPart w:val="84864EA52C28433689EEDA2D59084CA5"/>
          </w:placeholder>
        </w:sdtPr>
        <w:sdtEndPr/>
        <w:sdtContent>
          <w:r w:rsidR="00357139">
            <w:t xml:space="preserve"> application</w:t>
          </w:r>
        </w:sdtContent>
      </w:sdt>
      <w:r w:rsidR="00357139">
        <w:t xml:space="preserve"> to amend the current Poisons Standard with respect to </w:t>
      </w:r>
      <w:sdt>
        <w:sdtPr>
          <w:id w:val="-928889532"/>
          <w:placeholder>
            <w:docPart w:val="0298A87F43F34E01A99ADDCD30664BD3"/>
          </w:placeholder>
        </w:sdtPr>
        <w:sdtEndPr>
          <w:rPr>
            <w:highlight w:val="yellow"/>
          </w:rPr>
        </w:sdtEndPr>
        <w:sdtContent>
          <w:r w:rsidR="00357139">
            <w:t>methyl salicylate</w:t>
          </w:r>
        </w:sdtContent>
      </w:sdt>
      <w:r w:rsidR="00357139">
        <w:t xml:space="preserve"> (the </w:t>
      </w:r>
      <w:r w:rsidR="00357139" w:rsidRPr="636C8D5A">
        <w:rPr>
          <w:b/>
          <w:bCs/>
        </w:rPr>
        <w:t>Application</w:t>
      </w:r>
      <w:r w:rsidR="00357139">
        <w:t>)</w:t>
      </w:r>
    </w:p>
    <w:p w14:paraId="6DF5BEAA" w14:textId="4C10CD00" w:rsidR="00357139" w:rsidRPr="00B03B68" w:rsidRDefault="00256845" w:rsidP="00B81C73">
      <w:pPr>
        <w:pStyle w:val="ListBullet"/>
        <w:ind w:left="567" w:hanging="283"/>
      </w:pPr>
      <w:r>
        <w:t>t</w:t>
      </w:r>
      <w:sdt>
        <w:sdtPr>
          <w:id w:val="-1805536372"/>
          <w:placeholder>
            <w:docPart w:val="291642D39A3E417AA7580635D36BD467"/>
          </w:placeholder>
        </w:sdtPr>
        <w:sdtEndPr/>
        <w:sdtContent>
          <w:r w:rsidR="00357139">
            <w:t xml:space="preserve">he 153 </w:t>
          </w:r>
          <w:hyperlink r:id="rId30">
            <w:r w:rsidR="00357139" w:rsidRPr="3265AB8A">
              <w:rPr>
                <w:rStyle w:val="Hyperlink"/>
              </w:rPr>
              <w:t>public submissions</w:t>
            </w:r>
          </w:hyperlink>
          <w:r w:rsidR="00357139">
            <w:t xml:space="preserve">, with 6 including a written component, received in response to the </w:t>
          </w:r>
          <w:hyperlink r:id="rId31">
            <w:r w:rsidR="00357139" w:rsidRPr="3265AB8A">
              <w:rPr>
                <w:rStyle w:val="Hyperlink"/>
              </w:rPr>
              <w:t>pre-meeting consultation</w:t>
            </w:r>
          </w:hyperlink>
          <w:r w:rsidR="00357139">
            <w:t xml:space="preserve"> under regulation 42ZCZK of the Regulations</w:t>
          </w:r>
        </w:sdtContent>
      </w:sdt>
      <w:r w:rsidR="00357139">
        <w:t xml:space="preserve"> (the </w:t>
      </w:r>
      <w:r w:rsidR="00357139" w:rsidRPr="3265AB8A">
        <w:rPr>
          <w:b/>
          <w:bCs/>
        </w:rPr>
        <w:t>Submissions</w:t>
      </w:r>
      <w:r w:rsidR="00357139">
        <w:t>)</w:t>
      </w:r>
    </w:p>
    <w:p w14:paraId="07A06238" w14:textId="33BADA91" w:rsidR="00357139" w:rsidRPr="00B03B68" w:rsidRDefault="00453186" w:rsidP="00B81C73">
      <w:pPr>
        <w:pStyle w:val="ListBullet"/>
        <w:ind w:left="567" w:hanging="283"/>
      </w:pPr>
      <w:sdt>
        <w:sdtPr>
          <w:id w:val="1840569746"/>
          <w:placeholder>
            <w:docPart w:val="0298A87F43F34E01A99ADDCD30664BD3"/>
          </w:placeholder>
        </w:sdtPr>
        <w:sdtEndPr>
          <w:rPr>
            <w:highlight w:val="yellow"/>
          </w:rPr>
        </w:sdtEndPr>
        <w:sdtContent>
          <w:r w:rsidR="00256845">
            <w:t>the</w:t>
          </w:r>
          <w:r w:rsidR="00357139">
            <w:t xml:space="preserve"> advice received from the 40</w:t>
          </w:r>
          <w:r w:rsidR="00357139" w:rsidRPr="636C8D5A">
            <w:rPr>
              <w:vertAlign w:val="superscript"/>
            </w:rPr>
            <w:t>th</w:t>
          </w:r>
          <w:r w:rsidR="00357139">
            <w:t xml:space="preserve"> meeting of the Advisory Committee on Medicines and Chemicals Scheduling in joint session</w:t>
          </w:r>
        </w:sdtContent>
      </w:sdt>
      <w:r w:rsidR="00357139">
        <w:t xml:space="preserve"> (the </w:t>
      </w:r>
      <w:r w:rsidR="00357139" w:rsidRPr="636C8D5A">
        <w:rPr>
          <w:b/>
          <w:bCs/>
        </w:rPr>
        <w:t>Committee</w:t>
      </w:r>
      <w:r w:rsidR="00357139">
        <w:t>)</w:t>
      </w:r>
    </w:p>
    <w:p w14:paraId="2EE4A588" w14:textId="16475701" w:rsidR="00357139" w:rsidRPr="00B03B68" w:rsidRDefault="00256845" w:rsidP="00B81C73">
      <w:pPr>
        <w:pStyle w:val="ListBullet"/>
        <w:ind w:left="567" w:hanging="283"/>
      </w:pPr>
      <w:r>
        <w:t>s</w:t>
      </w:r>
      <w:r w:rsidR="00357139" w:rsidRPr="00B03B68">
        <w:t>ubsection 52E(1) of the Act, in particular (a) risks and benefits of the use of a substance; (b) the purposes for which a substance is to be used and the extent of use of a substance; (c) the toxicity of a substance; (d) the dosage, formulation, labelling, packaging and presentation of a substance; (e) the potential for abuse of a substance; and (f) any other matters that the Secretary considers necessary to protect public health</w:t>
      </w:r>
    </w:p>
    <w:p w14:paraId="14AF2C2C" w14:textId="5B0FB774" w:rsidR="00357139" w:rsidRPr="00B03B68" w:rsidRDefault="00256845" w:rsidP="00B81C73">
      <w:pPr>
        <w:pStyle w:val="ListBullet"/>
        <w:ind w:left="567" w:hanging="283"/>
      </w:pPr>
      <w:r>
        <w:t>t</w:t>
      </w:r>
      <w:r w:rsidR="00357139" w:rsidRPr="00B03B68">
        <w:t>he SPF, and</w:t>
      </w:r>
    </w:p>
    <w:p w14:paraId="1F3E5EB1" w14:textId="413E9998" w:rsidR="00357139" w:rsidRPr="00B03B68" w:rsidRDefault="00256845" w:rsidP="00B81C73">
      <w:pPr>
        <w:pStyle w:val="ListBullet"/>
        <w:ind w:left="567" w:hanging="283"/>
      </w:pPr>
      <w:r>
        <w:t>t</w:t>
      </w:r>
      <w:r w:rsidR="00357139">
        <w:t>he Handbook</w:t>
      </w:r>
    </w:p>
    <w:p w14:paraId="36C36373" w14:textId="61A6FD65" w:rsidR="00357139" w:rsidRDefault="00357139" w:rsidP="00B81C73">
      <w:pPr>
        <w:pStyle w:val="ListBullet"/>
        <w:ind w:left="567" w:hanging="283"/>
        <w:rPr>
          <w:rFonts w:eastAsia="Arial" w:cs="Arial"/>
        </w:rPr>
      </w:pPr>
      <w:r w:rsidRPr="3265AB8A">
        <w:rPr>
          <w:rFonts w:eastAsia="Arial" w:cs="Arial"/>
        </w:rPr>
        <w:t xml:space="preserve">AICIS </w:t>
      </w:r>
      <w:hyperlink r:id="rId32">
        <w:r w:rsidR="00087C0E">
          <w:rPr>
            <w:rStyle w:val="Hyperlink"/>
          </w:rPr>
          <w:t>evaluation of methyl salicylate</w:t>
        </w:r>
      </w:hyperlink>
      <w:r w:rsidR="00087C0E">
        <w:t xml:space="preserve"> (</w:t>
      </w:r>
      <w:r w:rsidR="00087C0E" w:rsidRPr="3265AB8A">
        <w:t>June</w:t>
      </w:r>
      <w:r w:rsidR="007923D4">
        <w:t xml:space="preserve"> </w:t>
      </w:r>
      <w:r w:rsidR="00087C0E" w:rsidRPr="3265AB8A">
        <w:t>2024</w:t>
      </w:r>
      <w:r w:rsidR="00087C0E">
        <w:t>)</w:t>
      </w:r>
    </w:p>
    <w:p w14:paraId="00CB00A2" w14:textId="2A038E96" w:rsidR="00357139" w:rsidRDefault="00087C0E" w:rsidP="00B81C73">
      <w:pPr>
        <w:pStyle w:val="ListBullet"/>
        <w:ind w:left="567" w:hanging="283"/>
      </w:pPr>
      <w:r>
        <w:t xml:space="preserve">AICIS </w:t>
      </w:r>
      <w:hyperlink r:id="rId33">
        <w:r>
          <w:rPr>
            <w:rStyle w:val="Hyperlink"/>
            <w:rFonts w:eastAsia="Arial" w:cs="Arial"/>
          </w:rPr>
          <w:t>evaluation of extracts and essential oils primarily composed of methyl salicylate</w:t>
        </w:r>
      </w:hyperlink>
      <w:r w:rsidRPr="3265AB8A">
        <w:rPr>
          <w:rFonts w:eastAsia="Arial" w:cs="Arial"/>
        </w:rPr>
        <w:t xml:space="preserve"> </w:t>
      </w:r>
      <w:r>
        <w:rPr>
          <w:rFonts w:eastAsia="Arial" w:cs="Arial"/>
        </w:rPr>
        <w:t>(</w:t>
      </w:r>
      <w:r w:rsidRPr="3265AB8A">
        <w:rPr>
          <w:rFonts w:eastAsia="Arial" w:cs="Arial"/>
        </w:rPr>
        <w:t>December</w:t>
      </w:r>
      <w:r>
        <w:rPr>
          <w:rFonts w:eastAsia="Arial" w:cs="Arial"/>
        </w:rPr>
        <w:t> </w:t>
      </w:r>
      <w:r w:rsidRPr="3265AB8A">
        <w:rPr>
          <w:rFonts w:eastAsia="Arial" w:cs="Arial"/>
        </w:rPr>
        <w:t>2024</w:t>
      </w:r>
      <w:r>
        <w:rPr>
          <w:rFonts w:eastAsia="Arial" w:cs="Arial"/>
        </w:rPr>
        <w:t>)</w:t>
      </w:r>
      <w:r w:rsidR="00ED1DC4">
        <w:rPr>
          <w:rFonts w:eastAsia="Arial" w:cs="Arial"/>
        </w:rPr>
        <w:t>.</w:t>
      </w:r>
    </w:p>
    <w:p w14:paraId="06E3EFC4" w14:textId="77777777" w:rsidR="00357139" w:rsidRPr="00B03B68" w:rsidRDefault="00357139" w:rsidP="00357139">
      <w:pPr>
        <w:pStyle w:val="Heading4"/>
      </w:pPr>
      <w:bookmarkStart w:id="40" w:name="_Toc213351066"/>
      <w:bookmarkStart w:id="41" w:name="_Toc230034908"/>
      <w:r w:rsidRPr="00B03B68">
        <w:t>Summary of Committee advice to the Delegate</w:t>
      </w:r>
      <w:bookmarkEnd w:id="40"/>
      <w:bookmarkEnd w:id="41"/>
    </w:p>
    <w:p w14:paraId="7171EC6C" w14:textId="7A51ED05" w:rsidR="00357139" w:rsidRDefault="00357139" w:rsidP="00357139">
      <w:r>
        <w:t>The Committee recommended that the current Poisons Standard be amended to cross reference the METHYL SALICYLATE entry to sweet birch oil (CAS No. 68917-50-0), wintergreen oil (CAS No. 68917-75-9), birch (</w:t>
      </w:r>
      <w:r w:rsidRPr="3265AB8A">
        <w:rPr>
          <w:i/>
          <w:iCs/>
        </w:rPr>
        <w:t>Betula lenta</w:t>
      </w:r>
      <w:r>
        <w:t>) extract (CAS No. 85251-66-7) and wintergreen (</w:t>
      </w:r>
      <w:r w:rsidRPr="3265AB8A">
        <w:rPr>
          <w:i/>
          <w:iCs/>
        </w:rPr>
        <w:t>Gaultheria procumbens</w:t>
      </w:r>
      <w:r>
        <w:t>) extract (CAS No. 90045-28-6). The current Schedule 4, 5 and 6 entries for METHYL SALICYLATE remain unaltered otherwise.</w:t>
      </w:r>
    </w:p>
    <w:p w14:paraId="3A87D5BF" w14:textId="24889B15" w:rsidR="00357139" w:rsidRDefault="00357139" w:rsidP="00357139">
      <w:r>
        <w:t xml:space="preserve">The Committee also recommended creating a new Appendix F entry for methyl salicylate in the Poisons Standard </w:t>
      </w:r>
      <w:r w:rsidR="00ED1DC4">
        <w:t>for requiring the warnings statements regarding</w:t>
      </w:r>
      <w:r>
        <w:t>:</w:t>
      </w:r>
    </w:p>
    <w:p w14:paraId="081FCED7" w14:textId="7FC3D9CE" w:rsidR="00357139" w:rsidRDefault="00ED1DC4" w:rsidP="00EF783F">
      <w:pPr>
        <w:pStyle w:val="ListParagraph"/>
        <w:numPr>
          <w:ilvl w:val="0"/>
          <w:numId w:val="34"/>
        </w:numPr>
      </w:pPr>
      <w:r>
        <w:t>use during</w:t>
      </w:r>
      <w:r w:rsidR="00357139" w:rsidRPr="3265AB8A">
        <w:t xml:space="preserve"> pregnancy </w:t>
      </w:r>
      <w:r>
        <w:t>or planned</w:t>
      </w:r>
      <w:r w:rsidR="00357139" w:rsidRPr="3265AB8A">
        <w:t xml:space="preserve"> </w:t>
      </w:r>
      <w:r w:rsidRPr="3265AB8A">
        <w:t>pregnan</w:t>
      </w:r>
      <w:r>
        <w:t>cy</w:t>
      </w:r>
    </w:p>
    <w:p w14:paraId="474EC866" w14:textId="5BFD8960" w:rsidR="00357139" w:rsidRDefault="00357139" w:rsidP="00EF783F">
      <w:pPr>
        <w:pStyle w:val="ListParagraph"/>
        <w:numPr>
          <w:ilvl w:val="0"/>
          <w:numId w:val="34"/>
        </w:numPr>
      </w:pPr>
      <w:r w:rsidRPr="3265AB8A">
        <w:t>increased sensitivity to sunlight</w:t>
      </w:r>
      <w:r w:rsidR="00ED1DC4">
        <w:t>.</w:t>
      </w:r>
    </w:p>
    <w:p w14:paraId="346AD708" w14:textId="3548AD72" w:rsidR="00357139" w:rsidRDefault="00357139" w:rsidP="00357139">
      <w:r>
        <w:lastRenderedPageBreak/>
        <w:t xml:space="preserve">The Committee also recommended an implementation </w:t>
      </w:r>
      <w:r w:rsidR="00087C0E">
        <w:t xml:space="preserve">period </w:t>
      </w:r>
      <w:r>
        <w:t xml:space="preserve">of </w:t>
      </w:r>
      <w:r w:rsidR="00087C0E">
        <w:t xml:space="preserve">at least 6 months </w:t>
      </w:r>
      <w:r>
        <w:t xml:space="preserve">to allow industry </w:t>
      </w:r>
      <w:r w:rsidR="00087C0E">
        <w:t xml:space="preserve">sufficient time </w:t>
      </w:r>
      <w:r w:rsidR="001F77DA">
        <w:t>to implement the changes</w:t>
      </w:r>
      <w:r>
        <w:t>.</w:t>
      </w:r>
    </w:p>
    <w:p w14:paraId="01C82FEB" w14:textId="77777777" w:rsidR="00357139" w:rsidRPr="00B03B68" w:rsidRDefault="00357139" w:rsidP="00357139">
      <w:r w:rsidRPr="00B03B68">
        <w:t>Members agreed that the relevant matters under subsection 52E(1) of the Act included: (a) risks and benefits of the use of a substance; (b) the purposes for which a substance is to be used and the extent of use of a substance; (c) the toxicity of a substance; (d) the dosage, formulation, labelling, packaging and presentation of a substance; (e) the potential for abuse of a substance; and (f) any other matters that the Secretary considers necessary to protect public health.</w:t>
      </w:r>
    </w:p>
    <w:p w14:paraId="77E2EDF5" w14:textId="22139846" w:rsidR="00357139" w:rsidRPr="00B03B68" w:rsidRDefault="00357139" w:rsidP="00357139">
      <w:r>
        <w:t>The reasons for the advice included:</w:t>
      </w:r>
    </w:p>
    <w:p w14:paraId="57CFDAEC" w14:textId="77777777" w:rsidR="00357139" w:rsidRPr="00B03B68" w:rsidRDefault="00357139" w:rsidP="001F77DA">
      <w:pPr>
        <w:pStyle w:val="Heading5"/>
        <w:numPr>
          <w:ilvl w:val="0"/>
          <w:numId w:val="47"/>
        </w:numPr>
      </w:pPr>
      <w:r w:rsidRPr="00B03B68">
        <w:t>the risks and benefits of the use of a substance</w:t>
      </w:r>
    </w:p>
    <w:p w14:paraId="5C0E7782" w14:textId="79D8155E" w:rsidR="00357139" w:rsidRPr="00B03B68" w:rsidRDefault="00357139" w:rsidP="00357139">
      <w:pPr>
        <w:pStyle w:val="Heading6"/>
      </w:pPr>
      <w:r w:rsidRPr="00B03B68">
        <w:t>Risks</w:t>
      </w:r>
    </w:p>
    <w:p w14:paraId="320BA605" w14:textId="13B6442C" w:rsidR="00357139" w:rsidRDefault="001F77DA" w:rsidP="00357139">
      <w:pPr>
        <w:pStyle w:val="ListBullet2"/>
      </w:pPr>
      <w:r w:rsidRPr="00CB0125">
        <w:t>Acute oral toxicity: deaths from methyl salicylate poisoning have been reported with as little as 4 mL of methyl salicylate</w:t>
      </w:r>
    </w:p>
    <w:p w14:paraId="55CEB793" w14:textId="6BC03C2E" w:rsidR="001F77DA" w:rsidRDefault="001F77DA" w:rsidP="00357139">
      <w:pPr>
        <w:pStyle w:val="ListBullet2"/>
      </w:pPr>
      <w:r w:rsidRPr="00CB0125">
        <w:t>Dermal toxicity</w:t>
      </w:r>
    </w:p>
    <w:p w14:paraId="03ECE7F6" w14:textId="4AEA2A9E" w:rsidR="00357139" w:rsidRDefault="00357139" w:rsidP="00357139">
      <w:pPr>
        <w:pStyle w:val="ListBullet2"/>
      </w:pPr>
      <w:r>
        <w:t>Potential risks during pregnancy</w:t>
      </w:r>
    </w:p>
    <w:p w14:paraId="328B6930" w14:textId="288C168C" w:rsidR="00357139" w:rsidRDefault="00357139" w:rsidP="00357139">
      <w:pPr>
        <w:pStyle w:val="ListBullet2"/>
      </w:pPr>
      <w:r>
        <w:t>Can cause serious eye damage</w:t>
      </w:r>
    </w:p>
    <w:p w14:paraId="294F1F58" w14:textId="2149B734" w:rsidR="00357139" w:rsidRDefault="00357139" w:rsidP="00357139">
      <w:pPr>
        <w:pStyle w:val="ListBullet2"/>
      </w:pPr>
      <w:r>
        <w:t>Weak dermal sensitisers</w:t>
      </w:r>
    </w:p>
    <w:p w14:paraId="5B7242B1" w14:textId="507BDFD8" w:rsidR="00357139" w:rsidRDefault="00357139" w:rsidP="00357139">
      <w:pPr>
        <w:pStyle w:val="ListBullet2"/>
      </w:pPr>
      <w:r>
        <w:t>Low acute dermal and inhalation toxicity</w:t>
      </w:r>
    </w:p>
    <w:p w14:paraId="49756454" w14:textId="77777777" w:rsidR="00357139" w:rsidRDefault="00357139" w:rsidP="00357139">
      <w:pPr>
        <w:pStyle w:val="ListBullet2"/>
      </w:pPr>
      <w:r>
        <w:t>Possible risk of drug interactions with commonly used drugs like blood thinners and anti-platelet agents.</w:t>
      </w:r>
    </w:p>
    <w:p w14:paraId="3796D72A" w14:textId="79540883" w:rsidR="00357139" w:rsidRPr="00B03B68" w:rsidRDefault="00357139" w:rsidP="00357139">
      <w:pPr>
        <w:pStyle w:val="Heading6"/>
      </w:pPr>
      <w:r w:rsidRPr="00B03B68">
        <w:t>Benefits</w:t>
      </w:r>
    </w:p>
    <w:p w14:paraId="6BFE639B" w14:textId="2093E07E" w:rsidR="00357139" w:rsidRDefault="00357139" w:rsidP="001F77DA">
      <w:pPr>
        <w:pStyle w:val="ListBullet2"/>
      </w:pPr>
      <w:r>
        <w:t>Used</w:t>
      </w:r>
      <w:r w:rsidRPr="001779FE">
        <w:t xml:space="preserve"> in a wide range of personal care and domestic use products</w:t>
      </w:r>
    </w:p>
    <w:p w14:paraId="14D3DB62" w14:textId="5EF5C8F2" w:rsidR="001F77DA" w:rsidRPr="004D58DC" w:rsidRDefault="001F77DA" w:rsidP="001F77DA">
      <w:pPr>
        <w:pStyle w:val="ListBullet2"/>
      </w:pPr>
      <w:r w:rsidRPr="00CB0125">
        <w:t>Used in therapeutic goods for anti-inflammatory effects or topical pain preparations (analgesic effect)</w:t>
      </w:r>
    </w:p>
    <w:p w14:paraId="6B4CB9CE" w14:textId="77777777" w:rsidR="001F77DA" w:rsidRPr="00CB0125" w:rsidRDefault="001F77DA" w:rsidP="001F77DA">
      <w:pPr>
        <w:pStyle w:val="ListBullet2"/>
      </w:pPr>
      <w:r w:rsidRPr="00CB0125">
        <w:t>Mild antiseptic properties</w:t>
      </w:r>
    </w:p>
    <w:p w14:paraId="79810640" w14:textId="77777777" w:rsidR="001F77DA" w:rsidRPr="00CB0125" w:rsidRDefault="001F77DA" w:rsidP="001F77DA">
      <w:pPr>
        <w:pStyle w:val="ListBullet2"/>
      </w:pPr>
      <w:r w:rsidRPr="00CB0125">
        <w:t>Antioxidant</w:t>
      </w:r>
    </w:p>
    <w:p w14:paraId="65D9AD2C" w14:textId="77777777" w:rsidR="001F77DA" w:rsidRPr="00CB0125" w:rsidRDefault="001F77DA" w:rsidP="001F77DA">
      <w:pPr>
        <w:pStyle w:val="ListBullet2"/>
      </w:pPr>
      <w:r w:rsidRPr="00CB0125">
        <w:t>Reduces photo damage</w:t>
      </w:r>
    </w:p>
    <w:p w14:paraId="48C7C971" w14:textId="085C5946" w:rsidR="00357139" w:rsidRDefault="001F77DA" w:rsidP="001F77DA">
      <w:pPr>
        <w:pStyle w:val="ListBullet2"/>
      </w:pPr>
      <w:r w:rsidRPr="00CB0125">
        <w:t>Used in fragrances and food flavourings</w:t>
      </w:r>
      <w:r>
        <w:t>.</w:t>
      </w:r>
    </w:p>
    <w:p w14:paraId="3387C2CD" w14:textId="77777777" w:rsidR="00357139" w:rsidRPr="00B03B68" w:rsidRDefault="00357139" w:rsidP="001F77DA">
      <w:pPr>
        <w:pStyle w:val="Heading5"/>
      </w:pPr>
      <w:r w:rsidRPr="00B03B68">
        <w:t>the purposes for which a substance is to be used and the extent of use of a substance</w:t>
      </w:r>
    </w:p>
    <w:p w14:paraId="7A4908A3" w14:textId="2405FE2A" w:rsidR="00357139" w:rsidRPr="003370E6" w:rsidRDefault="001F77DA" w:rsidP="00357139">
      <w:pPr>
        <w:pStyle w:val="ListBullet2"/>
      </w:pPr>
      <w:r w:rsidRPr="00CB0125">
        <w:t>Natural health products including topical analgesics at concentrations up to 20%</w:t>
      </w:r>
    </w:p>
    <w:p w14:paraId="5EDD5112" w14:textId="7C5C36AD" w:rsidR="00357139" w:rsidRPr="003370E6" w:rsidRDefault="00357139" w:rsidP="00357139">
      <w:pPr>
        <w:pStyle w:val="ListBullet2"/>
      </w:pPr>
      <w:r w:rsidRPr="003370E6">
        <w:t>Aromatherapy: massage oils, oils in room diffusers</w:t>
      </w:r>
    </w:p>
    <w:p w14:paraId="6B7C031E" w14:textId="78AA9769" w:rsidR="00357139" w:rsidRPr="003370E6" w:rsidRDefault="001F77DA" w:rsidP="00357139">
      <w:pPr>
        <w:pStyle w:val="ListBullet2"/>
      </w:pPr>
      <w:r w:rsidRPr="00CB0125">
        <w:t>Cosmetics and personal care products including skin care products, hair care products, perfumes, body sprays and oral care products (mouthwashes, oral and nasal health products)</w:t>
      </w:r>
    </w:p>
    <w:p w14:paraId="0F907F1A" w14:textId="437F8E0E" w:rsidR="00357139" w:rsidRPr="003370E6" w:rsidRDefault="001F77DA" w:rsidP="00357139">
      <w:pPr>
        <w:pStyle w:val="ListBullet2"/>
      </w:pPr>
      <w:r w:rsidRPr="00CB0125">
        <w:t>Domestic use: cleaning and furniture care products, air care products</w:t>
      </w:r>
    </w:p>
    <w:p w14:paraId="3568BCD2" w14:textId="118FCEDA" w:rsidR="00357139" w:rsidRDefault="001F77DA" w:rsidP="00357139">
      <w:pPr>
        <w:pStyle w:val="ListBullet2"/>
      </w:pPr>
      <w:r w:rsidRPr="00CB0125">
        <w:t>Non-industrial uses: food flavouring, insect repellents, pet care products and animal feeds.</w:t>
      </w:r>
    </w:p>
    <w:p w14:paraId="0E209CDC" w14:textId="77777777" w:rsidR="00357139" w:rsidRPr="00B03B68" w:rsidRDefault="00357139" w:rsidP="001F77DA">
      <w:pPr>
        <w:pStyle w:val="Heading5"/>
      </w:pPr>
      <w:r w:rsidRPr="00B03B68">
        <w:t>the toxicity of a substance</w:t>
      </w:r>
    </w:p>
    <w:p w14:paraId="142E4BDD" w14:textId="0F79931E" w:rsidR="00357139" w:rsidRPr="00C1211C" w:rsidRDefault="001F77DA" w:rsidP="00357139">
      <w:pPr>
        <w:pStyle w:val="ListBullet2"/>
      </w:pPr>
      <w:r w:rsidRPr="00CB0125">
        <w:t>As methyl salicylate is the major constituent of these extracts and essential oils (&gt;90%), toxicity is based on the consideration of methyl salicylate</w:t>
      </w:r>
    </w:p>
    <w:p w14:paraId="4F2109A4" w14:textId="460DAC2E" w:rsidR="00357139" w:rsidRPr="00C1211C" w:rsidRDefault="001F77DA" w:rsidP="00357139">
      <w:pPr>
        <w:pStyle w:val="ListBullet2"/>
      </w:pPr>
      <w:r w:rsidRPr="00CB0125">
        <w:lastRenderedPageBreak/>
        <w:t>High potential for acute oral toxicity with concentrated products; can also cause chronic toxicity</w:t>
      </w:r>
    </w:p>
    <w:p w14:paraId="417BC6CC" w14:textId="15934917" w:rsidR="00357139" w:rsidRDefault="00357139" w:rsidP="00357139">
      <w:pPr>
        <w:pStyle w:val="ListBullet2"/>
      </w:pPr>
      <w:r w:rsidRPr="00C1211C">
        <w:t>Acute animal toxicity (methyl salicylate):</w:t>
      </w:r>
    </w:p>
    <w:p w14:paraId="4486615E" w14:textId="4E67ABCE" w:rsidR="00357139" w:rsidRDefault="001F77DA" w:rsidP="001F77DA">
      <w:pPr>
        <w:pStyle w:val="ListBullet2"/>
        <w:numPr>
          <w:ilvl w:val="2"/>
          <w:numId w:val="7"/>
        </w:numPr>
      </w:pPr>
      <w:r w:rsidRPr="00CB0125">
        <w:t>LD</w:t>
      </w:r>
      <w:r w:rsidRPr="001F77DA">
        <w:rPr>
          <w:vertAlign w:val="subscript"/>
        </w:rPr>
        <w:t>50</w:t>
      </w:r>
      <w:r w:rsidRPr="00CB0125">
        <w:t xml:space="preserve"> value ranges from 580 mg/kg bw (mice) to higher than 2,000 mg/kg bw (rats, rabbits and dogs)</w:t>
      </w:r>
    </w:p>
    <w:p w14:paraId="72522425" w14:textId="7A36DD5E" w:rsidR="00357139" w:rsidRPr="00C1211C" w:rsidRDefault="001F77DA" w:rsidP="00357139">
      <w:pPr>
        <w:pStyle w:val="ListBullet2"/>
        <w:numPr>
          <w:ilvl w:val="2"/>
          <w:numId w:val="7"/>
        </w:numPr>
      </w:pPr>
      <w:r>
        <w:t>H</w:t>
      </w:r>
      <w:r w:rsidRPr="00CB0125">
        <w:t>uman exposure data available, classified as Acute Tox. 4; H302 (Harmful if swallowed)</w:t>
      </w:r>
    </w:p>
    <w:p w14:paraId="544186D7" w14:textId="25D74FB1" w:rsidR="00357139" w:rsidRDefault="00357139" w:rsidP="00357139">
      <w:pPr>
        <w:pStyle w:val="ListBullet2"/>
      </w:pPr>
      <w:r w:rsidRPr="00CF59DC">
        <w:t>Chronic animal toxicity (methyl salicylate):</w:t>
      </w:r>
    </w:p>
    <w:p w14:paraId="70DED96B" w14:textId="6C032921" w:rsidR="00357139" w:rsidRDefault="00357139" w:rsidP="00357139">
      <w:pPr>
        <w:pStyle w:val="ListBullet2"/>
        <w:numPr>
          <w:ilvl w:val="2"/>
          <w:numId w:val="7"/>
        </w:numPr>
      </w:pPr>
      <w:r>
        <w:t>Oral exposure: a NOAEL of 50 mg/kg bw/day</w:t>
      </w:r>
    </w:p>
    <w:p w14:paraId="3047CC9E" w14:textId="520F2989" w:rsidR="00357139" w:rsidRDefault="00357139" w:rsidP="00357139">
      <w:pPr>
        <w:pStyle w:val="ListBullet2"/>
        <w:numPr>
          <w:ilvl w:val="2"/>
          <w:numId w:val="7"/>
        </w:numPr>
      </w:pPr>
      <w:r>
        <w:t>Dermal exposure: a LOAEL of 585 mg/kg bw/day</w:t>
      </w:r>
    </w:p>
    <w:p w14:paraId="4D818EDB" w14:textId="2AB9427D" w:rsidR="00357139" w:rsidRDefault="00357139" w:rsidP="00357139">
      <w:pPr>
        <w:pStyle w:val="ListBullet2"/>
        <w:numPr>
          <w:ilvl w:val="2"/>
          <w:numId w:val="7"/>
        </w:numPr>
      </w:pPr>
      <w:r>
        <w:t>Exposure by inhalation: a NOAEL of 700 mg/m</w:t>
      </w:r>
      <w:r w:rsidRPr="007923D4">
        <w:rPr>
          <w:vertAlign w:val="superscript"/>
        </w:rPr>
        <w:t>3</w:t>
      </w:r>
      <w:r>
        <w:t xml:space="preserve"> (120 ppm)</w:t>
      </w:r>
    </w:p>
    <w:p w14:paraId="39DAF990" w14:textId="20388775" w:rsidR="001F77DA" w:rsidRDefault="001F77DA" w:rsidP="001F77DA">
      <w:pPr>
        <w:pStyle w:val="ListBullet2"/>
      </w:pPr>
      <w:r>
        <w:t>Can cause severe eye damage</w:t>
      </w:r>
    </w:p>
    <w:p w14:paraId="5510FB18" w14:textId="3824417F" w:rsidR="001F77DA" w:rsidRDefault="001F77DA" w:rsidP="001F77DA">
      <w:pPr>
        <w:pStyle w:val="ListBullet2"/>
      </w:pPr>
      <w:r>
        <w:t>Low acute dermal and inhalational toxicity</w:t>
      </w:r>
    </w:p>
    <w:p w14:paraId="379AED0E" w14:textId="6A127501" w:rsidR="00487DAE" w:rsidRDefault="00487DAE" w:rsidP="00487DAE">
      <w:pPr>
        <w:pStyle w:val="ListBullet2"/>
      </w:pPr>
      <w:r>
        <w:t>Methyl salicylate is a weak skin sensitiser in humans, classification as a 1B skin sensitiser</w:t>
      </w:r>
      <w:r w:rsidR="00523E2C">
        <w:t>.</w:t>
      </w:r>
    </w:p>
    <w:p w14:paraId="7E525001" w14:textId="06CC8393" w:rsidR="00357139" w:rsidRDefault="00357139" w:rsidP="00357139">
      <w:pPr>
        <w:pStyle w:val="ListBullet2"/>
      </w:pPr>
      <w:r>
        <w:t>Salicylate toxicity causes tinnitus, dizziness, nausea, vomiting, respiratory alkalosis, metabolic acidosis, multiorgan dysfunction, coma, seizures</w:t>
      </w:r>
    </w:p>
    <w:p w14:paraId="445633D1" w14:textId="2AEF631E" w:rsidR="00357139" w:rsidRPr="00B03B68" w:rsidRDefault="001F77DA" w:rsidP="00357139">
      <w:pPr>
        <w:pStyle w:val="ListBullet2"/>
      </w:pPr>
      <w:r>
        <w:t>Potential risks during pregnancy particularly in the third trimester but also at earlier stages.</w:t>
      </w:r>
    </w:p>
    <w:p w14:paraId="3A0EAF65" w14:textId="77777777" w:rsidR="00357139" w:rsidRPr="00B03B68" w:rsidRDefault="00357139" w:rsidP="001F77DA">
      <w:pPr>
        <w:pStyle w:val="Heading5"/>
      </w:pPr>
      <w:r w:rsidRPr="00B03B68">
        <w:t>the dosage, formulation, labelling, packaging and presentation of a substance</w:t>
      </w:r>
    </w:p>
    <w:p w14:paraId="606B80B1" w14:textId="6EE064FB" w:rsidR="00357139" w:rsidRPr="00344529" w:rsidRDefault="00357139" w:rsidP="00357139">
      <w:pPr>
        <w:pStyle w:val="ListBullet2"/>
      </w:pPr>
      <w:r w:rsidRPr="00344529">
        <w:t>Methyl salicylate concentration of extracts/oils depends on the part of the plant used, methods of extraction, environmental conditions</w:t>
      </w:r>
    </w:p>
    <w:p w14:paraId="1734FFB0" w14:textId="283FF3A7" w:rsidR="00357139" w:rsidRPr="00344529" w:rsidRDefault="00357139" w:rsidP="00357139">
      <w:pPr>
        <w:pStyle w:val="ListBullet2"/>
      </w:pPr>
      <w:r w:rsidRPr="00344529">
        <w:t>Concentration of the oils/methyl salicylate available varies widely depending on application</w:t>
      </w:r>
    </w:p>
    <w:p w14:paraId="6741C04D" w14:textId="584BB10F" w:rsidR="00357139" w:rsidRPr="00344529" w:rsidRDefault="00357139" w:rsidP="00357139">
      <w:pPr>
        <w:pStyle w:val="ListBullet2"/>
        <w:numPr>
          <w:ilvl w:val="2"/>
          <w:numId w:val="7"/>
        </w:numPr>
      </w:pPr>
      <w:r w:rsidRPr="00344529">
        <w:t>Pure essential oils are available containing up to 100% methyl salicylate</w:t>
      </w:r>
    </w:p>
    <w:p w14:paraId="607B411B" w14:textId="546A6DBA" w:rsidR="00357139" w:rsidRPr="00344529" w:rsidRDefault="00357139" w:rsidP="00357139">
      <w:pPr>
        <w:pStyle w:val="ListBullet2"/>
        <w:numPr>
          <w:ilvl w:val="2"/>
          <w:numId w:val="7"/>
        </w:numPr>
      </w:pPr>
      <w:r w:rsidRPr="00344529">
        <w:t>Massage oils contain up to 20% essential oils</w:t>
      </w:r>
    </w:p>
    <w:p w14:paraId="737DA1AA" w14:textId="640AC187" w:rsidR="00357139" w:rsidRPr="00344529" w:rsidRDefault="00357139" w:rsidP="00357139">
      <w:pPr>
        <w:pStyle w:val="ListBullet2"/>
        <w:numPr>
          <w:ilvl w:val="2"/>
          <w:numId w:val="7"/>
        </w:numPr>
      </w:pPr>
      <w:r w:rsidRPr="00344529">
        <w:t>Mouthwashes contain 0.06%</w:t>
      </w:r>
      <w:r w:rsidR="00EA3AA4" w:rsidRPr="67B1B9A3">
        <w:rPr>
          <w:rFonts w:eastAsia="Arial" w:cs="Arial"/>
        </w:rPr>
        <w:t>–</w:t>
      </w:r>
      <w:r w:rsidRPr="00344529">
        <w:t>1.0% essential oils while toothpastes contain 0.1</w:t>
      </w:r>
      <w:r w:rsidR="00EA3AA4" w:rsidRPr="67B1B9A3">
        <w:rPr>
          <w:rFonts w:eastAsia="Arial" w:cs="Arial"/>
        </w:rPr>
        <w:t>–</w:t>
      </w:r>
      <w:r w:rsidRPr="00344529">
        <w:t>1.5%</w:t>
      </w:r>
      <w:r w:rsidR="00ED1DC4">
        <w:t xml:space="preserve"> </w:t>
      </w:r>
      <w:r w:rsidRPr="00344529">
        <w:t>essential oils</w:t>
      </w:r>
    </w:p>
    <w:p w14:paraId="35AFF670" w14:textId="77777777" w:rsidR="00357139" w:rsidRPr="00344529" w:rsidRDefault="00357139" w:rsidP="00357139">
      <w:pPr>
        <w:pStyle w:val="ListBullet2"/>
        <w:numPr>
          <w:ilvl w:val="2"/>
          <w:numId w:val="7"/>
        </w:numPr>
      </w:pPr>
      <w:r w:rsidRPr="00344529">
        <w:t>Chewing gum typically contains 0.04% and under essential oils as flavouring agents</w:t>
      </w:r>
    </w:p>
    <w:p w14:paraId="3A8DEDF2" w14:textId="77777777" w:rsidR="00357139" w:rsidRPr="00344529" w:rsidRDefault="00357139" w:rsidP="00357139">
      <w:pPr>
        <w:pStyle w:val="ListBullet2"/>
        <w:numPr>
          <w:ilvl w:val="2"/>
          <w:numId w:val="7"/>
        </w:numPr>
      </w:pPr>
      <w:r w:rsidRPr="00344529">
        <w:t>Skin and hair products typically have low concentrations (&lt;1%) of the oils/extracts</w:t>
      </w:r>
    </w:p>
    <w:p w14:paraId="71EE2CC9" w14:textId="77777777" w:rsidR="00357139" w:rsidRPr="00344529" w:rsidRDefault="00357139" w:rsidP="00357139">
      <w:pPr>
        <w:pStyle w:val="ListBullet2"/>
        <w:numPr>
          <w:ilvl w:val="2"/>
          <w:numId w:val="7"/>
        </w:numPr>
      </w:pPr>
      <w:r w:rsidRPr="00344529">
        <w:t>Topical pain preparations often contain 25% essential oils/extracts</w:t>
      </w:r>
    </w:p>
    <w:p w14:paraId="59390CFC" w14:textId="5411812D" w:rsidR="00357139" w:rsidRPr="00344529" w:rsidRDefault="00357139" w:rsidP="00357139">
      <w:pPr>
        <w:pStyle w:val="ListBullet2"/>
        <w:numPr>
          <w:ilvl w:val="2"/>
          <w:numId w:val="7"/>
        </w:numPr>
      </w:pPr>
      <w:r w:rsidRPr="00344529">
        <w:t>Listed medicines contain ~0.1</w:t>
      </w:r>
      <w:r w:rsidR="00EA3AA4" w:rsidRPr="67B1B9A3">
        <w:rPr>
          <w:rFonts w:eastAsia="Arial" w:cs="Arial"/>
        </w:rPr>
        <w:t>–</w:t>
      </w:r>
      <w:r w:rsidRPr="00344529">
        <w:t>015% depending on modality (e.g. ointment, vapour inhaler)</w:t>
      </w:r>
    </w:p>
    <w:p w14:paraId="7CB40406" w14:textId="0BAF41B2" w:rsidR="00357139" w:rsidRPr="00344529" w:rsidRDefault="00357139" w:rsidP="00357139">
      <w:pPr>
        <w:pStyle w:val="ListBullet2"/>
      </w:pPr>
      <w:r w:rsidRPr="00344529">
        <w:t>Packaging is in child proof containers as per Poisons Standard</w:t>
      </w:r>
    </w:p>
    <w:p w14:paraId="210B4A46" w14:textId="77777777" w:rsidR="00357139" w:rsidRPr="00344529" w:rsidRDefault="00357139" w:rsidP="00357139">
      <w:pPr>
        <w:pStyle w:val="ListBullet2"/>
      </w:pPr>
      <w:r w:rsidRPr="00344529">
        <w:t>Products require additional labelling (warning and safety).</w:t>
      </w:r>
    </w:p>
    <w:p w14:paraId="492D2F14" w14:textId="77777777" w:rsidR="00357139" w:rsidRPr="00B03B68" w:rsidRDefault="00357139" w:rsidP="001F77DA">
      <w:pPr>
        <w:pStyle w:val="Heading5"/>
      </w:pPr>
      <w:r w:rsidRPr="00B03B68">
        <w:t>the potential for abuse of a substance</w:t>
      </w:r>
    </w:p>
    <w:p w14:paraId="6573EF53" w14:textId="5D78017C" w:rsidR="00357139" w:rsidRDefault="00357139" w:rsidP="00357139">
      <w:pPr>
        <w:pStyle w:val="ListBullet2"/>
      </w:pPr>
      <w:r>
        <w:t>Nil</w:t>
      </w:r>
      <w:r w:rsidR="00ED1DC4">
        <w:t>.</w:t>
      </w:r>
    </w:p>
    <w:p w14:paraId="2BB133EC" w14:textId="77777777" w:rsidR="00357139" w:rsidRPr="00B03B68" w:rsidRDefault="00357139" w:rsidP="001F77DA">
      <w:pPr>
        <w:pStyle w:val="Heading5"/>
      </w:pPr>
      <w:r w:rsidRPr="00B03B68">
        <w:t>any other matters that the Secretary considers necessary to protect public health</w:t>
      </w:r>
    </w:p>
    <w:p w14:paraId="4821A65F" w14:textId="560C49D1" w:rsidR="00357139" w:rsidRDefault="00357139" w:rsidP="00357139">
      <w:pPr>
        <w:pStyle w:val="ListBullet2"/>
      </w:pPr>
      <w:r w:rsidRPr="00D0389C">
        <w:t>Pregnancy warning labels are needed</w:t>
      </w:r>
    </w:p>
    <w:p w14:paraId="4DF868D9" w14:textId="77777777" w:rsidR="00357139" w:rsidRDefault="00357139" w:rsidP="00357139">
      <w:pPr>
        <w:pStyle w:val="ListBullet2"/>
      </w:pPr>
      <w:r w:rsidRPr="00D0389C">
        <w:lastRenderedPageBreak/>
        <w:t>Industrial exposure of workers involved in formulation and packaging of these essential oils should be considered. These oils are not listed in the Hazardous Chemical Information System.</w:t>
      </w:r>
    </w:p>
    <w:p w14:paraId="4DDB1A9B" w14:textId="77777777" w:rsidR="00357139" w:rsidRPr="00B03B68" w:rsidRDefault="00357139" w:rsidP="00357139">
      <w:pPr>
        <w:pStyle w:val="Heading4"/>
      </w:pPr>
      <w:bookmarkStart w:id="42" w:name="_Toc213351067"/>
      <w:bookmarkStart w:id="43" w:name="_Toc230034909"/>
      <w:r>
        <w:t>Reasons for the interim decision (including findings on material questions of fact)</w:t>
      </w:r>
      <w:bookmarkEnd w:id="42"/>
      <w:bookmarkEnd w:id="43"/>
    </w:p>
    <w:p w14:paraId="1E7E4D87" w14:textId="3DBBDE4F" w:rsidR="00357139" w:rsidRDefault="00ED1DC4" w:rsidP="00357139">
      <w:r>
        <w:t xml:space="preserve">I agree with the Committee's findings on the relevant provisions of section 52E of the Act and </w:t>
      </w:r>
      <w:r w:rsidR="00357139">
        <w:t xml:space="preserve">have made an interim decision to </w:t>
      </w:r>
      <w:r w:rsidR="00DA5216">
        <w:t xml:space="preserve">create </w:t>
      </w:r>
      <w:r w:rsidR="00357139">
        <w:t>cross reference</w:t>
      </w:r>
      <w:r w:rsidR="00DA5216">
        <w:t>s for</w:t>
      </w:r>
      <w:r w:rsidR="00357139">
        <w:t xml:space="preserve"> sweet birch oil (CAS No. 68917-50-0), wintergreen oil (CAS No. 68917-75-9), birch (</w:t>
      </w:r>
      <w:r w:rsidR="00357139" w:rsidRPr="636C8D5A">
        <w:rPr>
          <w:i/>
          <w:iCs/>
        </w:rPr>
        <w:t>Betula lenta</w:t>
      </w:r>
      <w:r w:rsidR="00357139">
        <w:t>) extract (CAS No. 85251-66-7) and wintergreen (</w:t>
      </w:r>
      <w:r w:rsidR="00357139" w:rsidRPr="636C8D5A">
        <w:rPr>
          <w:i/>
          <w:iCs/>
        </w:rPr>
        <w:t>Gaultheria procumbens</w:t>
      </w:r>
      <w:r w:rsidR="00357139">
        <w:t>) extract (CAS No. 90045-28-6) to the existing entry for methyl salicylate</w:t>
      </w:r>
      <w:r w:rsidR="00DA5216">
        <w:t>,</w:t>
      </w:r>
      <w:r w:rsidR="00357139">
        <w:t xml:space="preserve"> and create additional warning statements in relation to pregnancy and skin sensiti</w:t>
      </w:r>
      <w:r>
        <w:t>s</w:t>
      </w:r>
      <w:r w:rsidR="00357139">
        <w:t>ation.</w:t>
      </w:r>
    </w:p>
    <w:p w14:paraId="6E70EC50" w14:textId="61A1C708" w:rsidR="00357139" w:rsidRDefault="00357139" w:rsidP="00357139">
      <w:r>
        <w:t xml:space="preserve">In total, 153 responses were received during the pre-meeting consultation period, with 128 supportive, 22 partially supportive (including support either Option 1 or 2 with caveats) and 3 opposed. Interested parties were also given the choice to select from options to indicate their support or opposition to the proposed amendment without providing a written component. </w:t>
      </w:r>
      <w:r w:rsidR="00EA1A46">
        <w:t>The m</w:t>
      </w:r>
      <w:r>
        <w:t>ajority of the respondents did not provide written reasons for their preference.</w:t>
      </w:r>
    </w:p>
    <w:p w14:paraId="14FA75FE" w14:textId="4C6F86E5" w:rsidR="00357139" w:rsidRPr="00B03B68" w:rsidRDefault="00357139" w:rsidP="00357139">
      <w:r>
        <w:t xml:space="preserve">Of the 6 submissions with written component, one supported Option 1 preferring its simplicity and advocating for clearer labelling and secure packaging. In contrast, </w:t>
      </w:r>
      <w:r w:rsidR="005D4C1E">
        <w:t>another</w:t>
      </w:r>
      <w:r>
        <w:t xml:space="preserve"> submitter supported Option 2 for clearer, separate entries and better alignment with international and EU regulatory standards. </w:t>
      </w:r>
      <w:r w:rsidR="004F1ACC">
        <w:t>O</w:t>
      </w:r>
      <w:r>
        <w:t xml:space="preserve">ne submitter opposed Option 1 and only partially supported Option 2, arguing cross-referencing </w:t>
      </w:r>
      <w:r w:rsidR="005D4C1E">
        <w:t>is misleading</w:t>
      </w:r>
      <w:r>
        <w:t xml:space="preserve"> as oils and extracts may not contain 100% methyl salicylate. This submitter </w:t>
      </w:r>
      <w:r w:rsidR="005D4C1E">
        <w:t xml:space="preserve">also </w:t>
      </w:r>
      <w:r>
        <w:t xml:space="preserve">raised </w:t>
      </w:r>
      <w:r w:rsidR="005D4C1E">
        <w:t xml:space="preserve">that for individual entries, the </w:t>
      </w:r>
      <w:r>
        <w:t>cut-off level</w:t>
      </w:r>
      <w:r w:rsidR="005D4C1E">
        <w:t>s</w:t>
      </w:r>
      <w:r>
        <w:t xml:space="preserve"> </w:t>
      </w:r>
      <w:r w:rsidR="005D4C1E">
        <w:t xml:space="preserve">for Schedule 5 and Schedule 6 </w:t>
      </w:r>
      <w:r>
        <w:t xml:space="preserve">should be based on the concentration of methyl salicylate, </w:t>
      </w:r>
      <w:r w:rsidR="005D4C1E">
        <w:t>rather than the extracts</w:t>
      </w:r>
      <w:r>
        <w:t>.</w:t>
      </w:r>
    </w:p>
    <w:p w14:paraId="35BDBB71" w14:textId="4A6B99C1" w:rsidR="00357139" w:rsidRPr="00816AE2" w:rsidRDefault="00357139" w:rsidP="00357139">
      <w:r>
        <w:t>With regard</w:t>
      </w:r>
      <w:r w:rsidR="005D4C1E">
        <w:t>s</w:t>
      </w:r>
      <w:r>
        <w:t xml:space="preserve"> to s</w:t>
      </w:r>
      <w:r w:rsidR="005D4C1E">
        <w:t>ections</w:t>
      </w:r>
      <w:r>
        <w:t xml:space="preserve"> 52E(1)(a) and (b)</w:t>
      </w:r>
      <w:r w:rsidR="005D63ED">
        <w:t xml:space="preserve"> of the Act</w:t>
      </w:r>
      <w:r>
        <w:t>, I have considered the benefits</w:t>
      </w:r>
      <w:r w:rsidR="00ED1DC4">
        <w:t xml:space="preserve"> and</w:t>
      </w:r>
      <w:r>
        <w:t xml:space="preserve"> </w:t>
      </w:r>
      <w:r w:rsidR="00ED1DC4">
        <w:t xml:space="preserve">wide </w:t>
      </w:r>
      <w:r>
        <w:t>usages of extract</w:t>
      </w:r>
      <w:r w:rsidR="00ED1DC4">
        <w:t xml:space="preserve">s and essential </w:t>
      </w:r>
      <w:r>
        <w:t>oils primarily composed of methyl salicylate across various domains, such as personal use includ</w:t>
      </w:r>
      <w:r w:rsidR="005D4C1E">
        <w:t>ing</w:t>
      </w:r>
      <w:r>
        <w:t xml:space="preserve"> aromatherapy, massage oils, aroma diffusers, cosmetics for dermal application, hair care products, perfumes, mouthwash, toothpaste, body sprays and insect repellents. Preparations are also used in domestic settings such as cleaning and furniture care, as food flavouring and in pet care products.</w:t>
      </w:r>
    </w:p>
    <w:p w14:paraId="4ACCBD0F" w14:textId="34A5E8BE" w:rsidR="00357139" w:rsidRDefault="00357139" w:rsidP="00357139">
      <w:r>
        <w:t xml:space="preserve">Regarding </w:t>
      </w:r>
      <w:r w:rsidR="005D4C1E">
        <w:t>the risks and toxicity (</w:t>
      </w:r>
      <w:r>
        <w:t>s</w:t>
      </w:r>
      <w:r w:rsidR="005D4C1E">
        <w:t>ections 52E(1)(a) and (c))</w:t>
      </w:r>
      <w:r>
        <w:t>, I noted that methyl salicylate</w:t>
      </w:r>
      <w:r w:rsidR="005D4C1E">
        <w:t xml:space="preserve"> has high potential for acute and chronic toxicity in humans and animals. It </w:t>
      </w:r>
      <w:r>
        <w:t>exhibits acute toxicity in animals, with LD</w:t>
      </w:r>
      <w:r w:rsidRPr="0E63CED4">
        <w:rPr>
          <w:vertAlign w:val="subscript"/>
        </w:rPr>
        <w:t>50</w:t>
      </w:r>
      <w:r>
        <w:t xml:space="preserve"> values ranging from 580 mg/kg in mice to over 2,000 mg/kg in other species and is classified </w:t>
      </w:r>
      <w:r w:rsidR="001B719A">
        <w:t xml:space="preserve">under the </w:t>
      </w:r>
      <w:r w:rsidR="00A51EC9" w:rsidRPr="00A51EC9">
        <w:t xml:space="preserve">Globally Harmonised System of Classification and Labelling of Chemicals </w:t>
      </w:r>
      <w:r w:rsidR="00A51EC9">
        <w:t>(</w:t>
      </w:r>
      <w:r w:rsidR="001B719A">
        <w:t>GHS</w:t>
      </w:r>
      <w:r w:rsidR="00A51EC9">
        <w:t>)</w:t>
      </w:r>
      <w:r w:rsidR="001B719A">
        <w:t xml:space="preserve"> </w:t>
      </w:r>
      <w:r>
        <w:t>as Acute Tox</w:t>
      </w:r>
      <w:r w:rsidR="001B719A">
        <w:t>icity</w:t>
      </w:r>
      <w:r>
        <w:t>. 4; H302 (harmful if swallowed)</w:t>
      </w:r>
      <w:r w:rsidR="005D63ED">
        <w:t>. The acute toxicity data</w:t>
      </w:r>
      <w:r>
        <w:t xml:space="preserve"> align</w:t>
      </w:r>
      <w:r w:rsidR="004F1ACC">
        <w:t>s</w:t>
      </w:r>
      <w:r>
        <w:t xml:space="preserve"> with </w:t>
      </w:r>
      <w:r w:rsidR="00ED0AA5">
        <w:t>S</w:t>
      </w:r>
      <w:r>
        <w:t>chedul</w:t>
      </w:r>
      <w:r w:rsidR="00ED0AA5">
        <w:t>e 5</w:t>
      </w:r>
      <w:r>
        <w:t>,</w:t>
      </w:r>
      <w:r w:rsidR="00ED0AA5">
        <w:t xml:space="preserve"> scheduling factor</w:t>
      </w:r>
      <w:r>
        <w:t xml:space="preserve"> 1. Chronic </w:t>
      </w:r>
      <w:r w:rsidR="004F1ACC">
        <w:t xml:space="preserve">animal </w:t>
      </w:r>
      <w:r>
        <w:t xml:space="preserve">toxicity data include an oral NOAEL of 50 mg/kg/day, a dermal LOAEL of 585 mg/kg/day, and an inhalation NOAEL of 700 mg/m³. </w:t>
      </w:r>
      <w:r w:rsidR="004F1ACC">
        <w:t xml:space="preserve">Methyl salicylate </w:t>
      </w:r>
      <w:r>
        <w:t xml:space="preserve">can </w:t>
      </w:r>
      <w:r w:rsidR="004F1ACC">
        <w:t xml:space="preserve">also </w:t>
      </w:r>
      <w:r>
        <w:t xml:space="preserve">cause severe eye damage, poses pregnancy risks (especially in the third trimester), and is considered a weak skin sensitiser </w:t>
      </w:r>
      <w:r w:rsidR="004F1ACC">
        <w:t>(</w:t>
      </w:r>
      <w:r>
        <w:t>Schedu</w:t>
      </w:r>
      <w:r w:rsidR="004F1ACC">
        <w:t>le</w:t>
      </w:r>
      <w:r w:rsidR="005D63ED">
        <w:t xml:space="preserve"> </w:t>
      </w:r>
      <w:r>
        <w:t xml:space="preserve">5, </w:t>
      </w:r>
      <w:r w:rsidR="00ED0AA5">
        <w:t>f</w:t>
      </w:r>
      <w:r>
        <w:t xml:space="preserve">actors 1 and 2). </w:t>
      </w:r>
      <w:r w:rsidR="004421EA">
        <w:t>Other</w:t>
      </w:r>
      <w:r>
        <w:t xml:space="preserve"> toxic effects of salicylate include tinnitus, dizziness, nausea, vomiting, acid-base disturbances, organ dysfunction, coma, and seizures.</w:t>
      </w:r>
    </w:p>
    <w:p w14:paraId="31E2DA19" w14:textId="6DEC93B2" w:rsidR="00065549" w:rsidRDefault="00357139" w:rsidP="00357139">
      <w:r>
        <w:t xml:space="preserve">Turning my </w:t>
      </w:r>
      <w:r w:rsidR="004421EA">
        <w:t>mind to</w:t>
      </w:r>
      <w:r>
        <w:t xml:space="preserve"> s</w:t>
      </w:r>
      <w:r w:rsidR="00EA3AA4">
        <w:t>ections</w:t>
      </w:r>
      <w:r>
        <w:t xml:space="preserve"> 52E(1)(d) and (f), the concentration of methyl salicylate in oils and extracts varies depending on the plant part used, extraction method, and environmental conditions. Pure essential oils can contain up to 100% methyl salicylate, while </w:t>
      </w:r>
      <w:r w:rsidR="00EA3AA4">
        <w:t xml:space="preserve">topical pain preparations </w:t>
      </w:r>
      <w:r w:rsidR="001B719A">
        <w:t xml:space="preserve">usually </w:t>
      </w:r>
      <w:r w:rsidR="00EA3AA4">
        <w:t>contain 25</w:t>
      </w:r>
      <w:r w:rsidR="00974192">
        <w:rPr>
          <w:rFonts w:cs="Arial"/>
        </w:rPr>
        <w:t>–</w:t>
      </w:r>
      <w:r w:rsidR="00974192">
        <w:t>50</w:t>
      </w:r>
      <w:r w:rsidR="00EA3AA4">
        <w:t>% methyl salicylate. C</w:t>
      </w:r>
      <w:r>
        <w:t xml:space="preserve">oncentrations in </w:t>
      </w:r>
      <w:r w:rsidR="00EA3AA4" w:rsidRPr="00EA3AA4">
        <w:t>personal care and domestic use products</w:t>
      </w:r>
      <w:r>
        <w:t xml:space="preserve"> vary widely</w:t>
      </w:r>
      <w:r w:rsidR="00EA3AA4">
        <w:t xml:space="preserve"> such as 0.04% on chewing gums, </w:t>
      </w:r>
      <w:r w:rsidR="00065549">
        <w:t>less than 1% in skin and hair products, up to 1.5% in toothpaste and up to 20% in massage oils.</w:t>
      </w:r>
    </w:p>
    <w:p w14:paraId="2A86B9B5" w14:textId="1759FC15" w:rsidR="00065549" w:rsidRDefault="00065549" w:rsidP="00065549">
      <w:r>
        <w:t>The toxicity of sweet birch oil, wintergreen oil, birch extract and wintergreen extract are due to their methyl salicylate content (often &gt;90%) and the toxicity end points for methyl salicylate applies to these extracts and essential oil</w:t>
      </w:r>
      <w:r w:rsidR="001B719A">
        <w:t>s</w:t>
      </w:r>
      <w:r>
        <w:t>.</w:t>
      </w:r>
      <w:r w:rsidR="003C447D">
        <w:t xml:space="preserve"> </w:t>
      </w:r>
      <w:r w:rsidR="001B719A">
        <w:t>I agree with the Committee advice that, overall, t</w:t>
      </w:r>
      <w:r>
        <w:t>here is</w:t>
      </w:r>
      <w:r w:rsidR="001B719A">
        <w:t xml:space="preserve">n’t a substantially higher benefit by </w:t>
      </w:r>
      <w:r>
        <w:t>list</w:t>
      </w:r>
      <w:r w:rsidR="001B719A">
        <w:t>ing</w:t>
      </w:r>
      <w:r>
        <w:t xml:space="preserve"> these oils and extracts separately</w:t>
      </w:r>
      <w:r w:rsidR="003C447D">
        <w:t xml:space="preserve"> </w:t>
      </w:r>
      <w:r w:rsidR="001B719A">
        <w:t>in the Poisons Standard</w:t>
      </w:r>
      <w:r w:rsidR="003C447D">
        <w:t xml:space="preserve"> when</w:t>
      </w:r>
      <w:r w:rsidR="003C447D" w:rsidRPr="003C447D">
        <w:t xml:space="preserve"> the primary concern is managing the risk from methyl salicylate</w:t>
      </w:r>
      <w:r w:rsidR="001B719A">
        <w:t xml:space="preserve"> exposure</w:t>
      </w:r>
      <w:r w:rsidR="00974192">
        <w:t>.</w:t>
      </w:r>
      <w:r w:rsidR="00974192" w:rsidRPr="00974192">
        <w:t xml:space="preserve"> </w:t>
      </w:r>
      <w:r w:rsidR="001B719A">
        <w:t>I note the Committee’s advice that s</w:t>
      </w:r>
      <w:r w:rsidR="00974192" w:rsidRPr="00974192">
        <w:t>eparate listing</w:t>
      </w:r>
      <w:r w:rsidR="001B719A">
        <w:t>s may</w:t>
      </w:r>
      <w:r w:rsidR="00974192" w:rsidRPr="00974192">
        <w:t xml:space="preserve"> </w:t>
      </w:r>
      <w:r w:rsidR="00974192">
        <w:t xml:space="preserve">also </w:t>
      </w:r>
      <w:r w:rsidR="00974192" w:rsidRPr="00974192">
        <w:t xml:space="preserve">create confusion as these names, albeit incorrectly, are often used interchangeably. For example, in British Pharmacopoeia, the alternative name of methyl salicylate is winter green oil. </w:t>
      </w:r>
      <w:r w:rsidR="00974192">
        <w:t>Therefore, I have decided to</w:t>
      </w:r>
      <w:r>
        <w:t xml:space="preserve"> cross-referenc</w:t>
      </w:r>
      <w:r w:rsidR="003C447D">
        <w:t>e</w:t>
      </w:r>
      <w:r>
        <w:t xml:space="preserve"> each of these extracts and essential oils </w:t>
      </w:r>
      <w:r>
        <w:lastRenderedPageBreak/>
        <w:t xml:space="preserve">to the existing entry for methyl salicylate </w:t>
      </w:r>
      <w:r w:rsidR="001B719A">
        <w:t xml:space="preserve">as the most practical mechanism to highlight the scheduling </w:t>
      </w:r>
      <w:r>
        <w:t>control</w:t>
      </w:r>
      <w:r w:rsidR="001B719A">
        <w:t>s on these substances</w:t>
      </w:r>
      <w:r>
        <w:t>.</w:t>
      </w:r>
    </w:p>
    <w:p w14:paraId="6054910B" w14:textId="16C43D87" w:rsidR="00357139" w:rsidRPr="00E1091D" w:rsidRDefault="00065549" w:rsidP="00357139">
      <w:pPr>
        <w:rPr>
          <w:rFonts w:eastAsia="Arial" w:cs="Arial"/>
        </w:rPr>
      </w:pPr>
      <w:r>
        <w:rPr>
          <w:rFonts w:eastAsia="Arial" w:cs="Arial"/>
        </w:rPr>
        <w:t xml:space="preserve">Considering </w:t>
      </w:r>
      <w:r w:rsidRPr="70197D8A">
        <w:rPr>
          <w:rFonts w:eastAsia="Arial" w:cs="Arial"/>
        </w:rPr>
        <w:t>the potential risk for skin sensitisation</w:t>
      </w:r>
      <w:r>
        <w:rPr>
          <w:rFonts w:eastAsia="Arial" w:cs="Arial"/>
        </w:rPr>
        <w:t>,</w:t>
      </w:r>
      <w:r w:rsidRPr="70197D8A">
        <w:rPr>
          <w:rFonts w:eastAsia="Arial" w:cs="Arial"/>
        </w:rPr>
        <w:t xml:space="preserve"> </w:t>
      </w:r>
      <w:r w:rsidR="00357139" w:rsidRPr="70197D8A">
        <w:rPr>
          <w:rFonts w:eastAsia="Arial" w:cs="Arial"/>
        </w:rPr>
        <w:t xml:space="preserve">I agree with the Committee’s </w:t>
      </w:r>
      <w:r>
        <w:rPr>
          <w:rFonts w:eastAsia="Arial" w:cs="Arial"/>
        </w:rPr>
        <w:t>recommendation</w:t>
      </w:r>
      <w:r w:rsidR="00357139" w:rsidRPr="70197D8A">
        <w:rPr>
          <w:rFonts w:eastAsia="Arial" w:cs="Arial"/>
        </w:rPr>
        <w:t xml:space="preserve"> on the </w:t>
      </w:r>
      <w:r>
        <w:rPr>
          <w:rFonts w:eastAsia="Arial" w:cs="Arial"/>
        </w:rPr>
        <w:t>inclusion of</w:t>
      </w:r>
      <w:r w:rsidR="00357139" w:rsidRPr="70197D8A">
        <w:rPr>
          <w:rFonts w:eastAsia="Arial" w:cs="Arial"/>
        </w:rPr>
        <w:t xml:space="preserve"> a precautionary warning statement </w:t>
      </w:r>
      <w:r w:rsidR="00E1091D">
        <w:rPr>
          <w:rFonts w:eastAsia="Arial" w:cs="Arial"/>
        </w:rPr>
        <w:t>regarding increased sensitivity to sunlight</w:t>
      </w:r>
      <w:r w:rsidR="00357139" w:rsidRPr="70197D8A">
        <w:rPr>
          <w:rFonts w:eastAsia="Arial" w:cs="Arial"/>
        </w:rPr>
        <w:t xml:space="preserve">. </w:t>
      </w:r>
      <w:r w:rsidR="003C447D">
        <w:rPr>
          <w:rFonts w:eastAsia="Arial" w:cs="Arial"/>
        </w:rPr>
        <w:t>Further, a</w:t>
      </w:r>
      <w:r w:rsidR="00357139" w:rsidRPr="70197D8A">
        <w:rPr>
          <w:rFonts w:eastAsia="Arial" w:cs="Arial"/>
        </w:rPr>
        <w:t xml:space="preserve">dverse effects on foetal development </w:t>
      </w:r>
      <w:r w:rsidR="00E1091D" w:rsidRPr="00E1091D">
        <w:rPr>
          <w:rFonts w:eastAsia="Arial" w:cs="Arial"/>
        </w:rPr>
        <w:t>including increased foetal mortality, increased incidences of neural tube defects and foetal growth retardation</w:t>
      </w:r>
      <w:r w:rsidR="003C447D">
        <w:rPr>
          <w:rFonts w:eastAsia="Arial" w:cs="Arial"/>
        </w:rPr>
        <w:t xml:space="preserve"> have been reported in animal studies.</w:t>
      </w:r>
      <w:r w:rsidR="00E1091D">
        <w:rPr>
          <w:rFonts w:eastAsia="Arial" w:cs="Arial"/>
        </w:rPr>
        <w:t xml:space="preserve"> </w:t>
      </w:r>
      <w:r w:rsidR="003C447D">
        <w:rPr>
          <w:rFonts w:eastAsia="Arial" w:cs="Arial"/>
        </w:rPr>
        <w:t xml:space="preserve">Therefore, </w:t>
      </w:r>
      <w:r w:rsidR="00357139" w:rsidRPr="70197D8A">
        <w:rPr>
          <w:rFonts w:eastAsia="Arial" w:cs="Arial"/>
        </w:rPr>
        <w:t xml:space="preserve">I </w:t>
      </w:r>
      <w:r w:rsidR="00E1091D">
        <w:rPr>
          <w:rFonts w:eastAsia="Arial" w:cs="Arial"/>
        </w:rPr>
        <w:t xml:space="preserve">have decided to include an additional warning statement advising against use during pregnancy. </w:t>
      </w:r>
      <w:r w:rsidR="00974192">
        <w:rPr>
          <w:rFonts w:eastAsia="Arial" w:cs="Arial"/>
        </w:rPr>
        <w:t xml:space="preserve">Both </w:t>
      </w:r>
      <w:r w:rsidR="003C447D">
        <w:rPr>
          <w:rFonts w:eastAsia="Arial" w:cs="Arial"/>
        </w:rPr>
        <w:t xml:space="preserve">the warning </w:t>
      </w:r>
      <w:r w:rsidR="00974192">
        <w:rPr>
          <w:rFonts w:eastAsia="Arial" w:cs="Arial"/>
        </w:rPr>
        <w:t xml:space="preserve">statements are required for listed medicines containing methyl salicylate </w:t>
      </w:r>
      <w:r w:rsidR="00E1091D">
        <w:rPr>
          <w:rFonts w:eastAsia="Arial" w:cs="Arial"/>
        </w:rPr>
        <w:t xml:space="preserve">and aim </w:t>
      </w:r>
      <w:r w:rsidR="00E1091D" w:rsidRPr="70197D8A">
        <w:rPr>
          <w:rFonts w:eastAsia="Arial" w:cs="Arial"/>
        </w:rPr>
        <w:t>to enhance consumer safety</w:t>
      </w:r>
      <w:r w:rsidR="00E1091D">
        <w:rPr>
          <w:rFonts w:eastAsia="Arial" w:cs="Arial"/>
        </w:rPr>
        <w:t>.</w:t>
      </w:r>
    </w:p>
    <w:p w14:paraId="5875ABA0" w14:textId="77777777" w:rsidR="00357139" w:rsidRPr="00B03B68" w:rsidRDefault="00357139" w:rsidP="00357139">
      <w:pPr>
        <w:pStyle w:val="Heading4"/>
      </w:pPr>
      <w:bookmarkStart w:id="44" w:name="_Toc213351068"/>
      <w:bookmarkStart w:id="45" w:name="_Toc230034910"/>
      <w:r>
        <w:t>Proposed i</w:t>
      </w:r>
      <w:r w:rsidRPr="00B03B68">
        <w:t>mplementation date</w:t>
      </w:r>
      <w:bookmarkEnd w:id="44"/>
      <w:bookmarkEnd w:id="45"/>
    </w:p>
    <w:p w14:paraId="3546082B" w14:textId="77777777" w:rsidR="00357139" w:rsidRPr="00B03B68" w:rsidRDefault="00357139" w:rsidP="00357139">
      <w:r>
        <w:t>1 October 2026</w:t>
      </w:r>
    </w:p>
    <w:p w14:paraId="0392D89A" w14:textId="77777777" w:rsidR="003132D9" w:rsidRDefault="003132D9" w:rsidP="65202AAA"/>
    <w:p w14:paraId="6BC13E8B" w14:textId="77777777" w:rsidR="003132D9" w:rsidRPr="00B03B68" w:rsidRDefault="003132D9" w:rsidP="65202AAA">
      <w:pPr>
        <w:sectPr w:rsidR="003132D9" w:rsidRPr="00B03B68">
          <w:headerReference w:type="default" r:id="rId34"/>
          <w:footerReference w:type="default" r:id="rId35"/>
          <w:pgSz w:w="11906" w:h="16838" w:code="9"/>
          <w:pgMar w:top="1134" w:right="1418" w:bottom="1361" w:left="1418" w:header="573" w:footer="567" w:gutter="0"/>
          <w:cols w:space="708"/>
          <w:docGrid w:linePitch="360"/>
        </w:sectPr>
      </w:pPr>
    </w:p>
    <w:tbl>
      <w:tblPr>
        <w:tblW w:w="9145" w:type="dxa"/>
        <w:jc w:val="center"/>
        <w:tblLayout w:type="fixed"/>
        <w:tblCellMar>
          <w:left w:w="0" w:type="dxa"/>
          <w:right w:w="0" w:type="dxa"/>
        </w:tblCellMar>
        <w:tblLook w:val="04A0" w:firstRow="1" w:lastRow="0" w:firstColumn="1" w:lastColumn="0" w:noHBand="0" w:noVBand="1"/>
      </w:tblPr>
      <w:tblGrid>
        <w:gridCol w:w="9145"/>
      </w:tblGrid>
      <w:tr w:rsidR="00F02AEC" w:rsidRPr="00B03B68" w14:paraId="7F13C8B1" w14:textId="77777777">
        <w:trPr>
          <w:trHeight w:hRule="exact" w:val="565"/>
          <w:jc w:val="center"/>
        </w:trPr>
        <w:tc>
          <w:tcPr>
            <w:tcW w:w="9145" w:type="dxa"/>
          </w:tcPr>
          <w:p w14:paraId="6F893DC6" w14:textId="77777777" w:rsidR="00F02AEC" w:rsidRPr="00B03B68" w:rsidRDefault="00F02AEC" w:rsidP="000579C9">
            <w:pPr>
              <w:pStyle w:val="TGASignoff"/>
            </w:pPr>
            <w:r w:rsidRPr="00B03B68">
              <w:lastRenderedPageBreak/>
              <w:t>Therapeutic Goods Administration</w:t>
            </w:r>
          </w:p>
        </w:tc>
      </w:tr>
      <w:tr w:rsidR="00F02AEC" w:rsidRPr="00B03B68" w14:paraId="64CD104B" w14:textId="77777777">
        <w:trPr>
          <w:trHeight w:val="963"/>
          <w:jc w:val="center"/>
        </w:trPr>
        <w:tc>
          <w:tcPr>
            <w:tcW w:w="9145" w:type="dxa"/>
            <w:tcMar>
              <w:top w:w="28" w:type="dxa"/>
            </w:tcMar>
          </w:tcPr>
          <w:p w14:paraId="35072091" w14:textId="77777777" w:rsidR="00F02AEC" w:rsidRPr="00B03B68" w:rsidRDefault="00F02AEC" w:rsidP="000579C9">
            <w:pPr>
              <w:pStyle w:val="Address"/>
              <w:jc w:val="center"/>
            </w:pPr>
            <w:r w:rsidRPr="00B03B68">
              <w:t>PO Box 100 Woden ACT 2606 Australia</w:t>
            </w:r>
          </w:p>
          <w:p w14:paraId="6D7934AA" w14:textId="77777777" w:rsidR="00F02AEC" w:rsidRPr="00B03B68" w:rsidRDefault="00F02AEC" w:rsidP="000579C9">
            <w:pPr>
              <w:jc w:val="center"/>
            </w:pPr>
            <w:r w:rsidRPr="00B03B68">
              <w:t xml:space="preserve">Email: </w:t>
            </w:r>
            <w:hyperlink r:id="rId36" w:history="1">
              <w:r w:rsidRPr="00B03B68">
                <w:rPr>
                  <w:rStyle w:val="Hyperlink"/>
                </w:rPr>
                <w:t>info@tga.gov.au</w:t>
              </w:r>
            </w:hyperlink>
            <w:r w:rsidRPr="00B03B68">
              <w:t xml:space="preserve">  Phone: 1800 020 653  Fax: 02 6203 1605</w:t>
            </w:r>
          </w:p>
          <w:p w14:paraId="5DE63D5D" w14:textId="77777777" w:rsidR="00F02AEC" w:rsidRPr="00B03B68" w:rsidRDefault="000579C9" w:rsidP="000579C9">
            <w:pPr>
              <w:jc w:val="center"/>
            </w:pPr>
            <w:r>
              <w:t xml:space="preserve">Web: </w:t>
            </w:r>
            <w:hyperlink r:id="rId37" w:history="1">
              <w:r>
                <w:rPr>
                  <w:rStyle w:val="Hyperlink"/>
                </w:rPr>
                <w:t>tga.gov.au</w:t>
              </w:r>
            </w:hyperlink>
          </w:p>
        </w:tc>
      </w:tr>
      <w:tr w:rsidR="00F02AEC" w:rsidRPr="00B03B68" w14:paraId="042AF935" w14:textId="77777777">
        <w:trPr>
          <w:trHeight w:val="251"/>
          <w:jc w:val="center"/>
        </w:trPr>
        <w:tc>
          <w:tcPr>
            <w:tcW w:w="9145" w:type="dxa"/>
            <w:tcMar>
              <w:top w:w="28" w:type="dxa"/>
            </w:tcMar>
          </w:tcPr>
          <w:p w14:paraId="29F70296" w14:textId="77777777" w:rsidR="00F02AEC" w:rsidRPr="00B03B68" w:rsidRDefault="00F02AEC" w:rsidP="00B03B68"/>
        </w:tc>
      </w:tr>
    </w:tbl>
    <w:p w14:paraId="7FA70904" w14:textId="77777777" w:rsidR="005B141F" w:rsidRPr="00B03B68" w:rsidRDefault="005B141F" w:rsidP="00B03B68"/>
    <w:sectPr w:rsidR="005B141F" w:rsidRPr="00B03B68">
      <w:headerReference w:type="first" r:id="rId38"/>
      <w:footerReference w:type="first" r:id="rId39"/>
      <w:pgSz w:w="11906" w:h="16838" w:code="9"/>
      <w:pgMar w:top="13571" w:right="1701" w:bottom="567" w:left="1701" w:header="1134" w:footer="78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2385CE" w14:textId="77777777" w:rsidR="00453186" w:rsidRDefault="00453186" w:rsidP="00F02AEC">
      <w:pPr>
        <w:spacing w:after="0" w:line="240" w:lineRule="auto"/>
      </w:pPr>
      <w:r>
        <w:separator/>
      </w:r>
    </w:p>
  </w:endnote>
  <w:endnote w:type="continuationSeparator" w:id="0">
    <w:p w14:paraId="10F448F4" w14:textId="77777777" w:rsidR="00453186" w:rsidRDefault="00453186" w:rsidP="00F02A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Cambria-Bold">
    <w:altName w:val="Cambria"/>
    <w:panose1 w:val="00000000000000000000"/>
    <w:charset w:val="00"/>
    <w:family w:val="roman"/>
    <w:notTrueType/>
    <w:pitch w:val="default"/>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rialMT">
    <w:altName w:val="Arial"/>
    <w:panose1 w:val="00000000000000000000"/>
    <w:charset w:val="00"/>
    <w:family w:val="swiss"/>
    <w:notTrueType/>
    <w:pitch w:val="default"/>
    <w:sig w:usb0="00000003" w:usb1="08070000" w:usb2="00000010" w:usb3="00000000" w:csb0="0002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58594" w14:textId="325957FF" w:rsidR="00EA3E09" w:rsidRDefault="00EA3E09">
    <w:pPr>
      <w:pStyle w:val="Footer"/>
    </w:pPr>
    <w:r>
      <w:rPr>
        <w:noProof/>
      </w:rPr>
      <mc:AlternateContent>
        <mc:Choice Requires="wps">
          <w:drawing>
            <wp:anchor distT="0" distB="0" distL="0" distR="0" simplePos="0" relativeHeight="251658247" behindDoc="0" locked="0" layoutInCell="1" allowOverlap="1" wp14:anchorId="2891978C" wp14:editId="2119119A">
              <wp:simplePos x="635" y="635"/>
              <wp:positionH relativeFrom="page">
                <wp:align>center</wp:align>
              </wp:positionH>
              <wp:positionV relativeFrom="page">
                <wp:align>bottom</wp:align>
              </wp:positionV>
              <wp:extent cx="609600" cy="400050"/>
              <wp:effectExtent l="0" t="0" r="0" b="0"/>
              <wp:wrapNone/>
              <wp:docPr id="385687415" name="Text Box 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400050"/>
                      </a:xfrm>
                      <a:prstGeom prst="rect">
                        <a:avLst/>
                      </a:prstGeom>
                      <a:noFill/>
                      <a:ln>
                        <a:noFill/>
                      </a:ln>
                    </wps:spPr>
                    <wps:txbx>
                      <w:txbxContent>
                        <w:p w14:paraId="0F3F8F20" w14:textId="14627B18" w:rsidR="00EA3E09" w:rsidRPr="00EA3E09" w:rsidRDefault="00EA3E09" w:rsidP="00EA3E09">
                          <w:pPr>
                            <w:spacing w:after="0"/>
                            <w:rPr>
                              <w:rFonts w:ascii="Aptos" w:eastAsia="Aptos" w:hAnsi="Aptos" w:cs="Aptos"/>
                              <w:noProof/>
                              <w:color w:val="FF0000"/>
                              <w:sz w:val="24"/>
                              <w:szCs w:val="24"/>
                            </w:rPr>
                          </w:pPr>
                          <w:r w:rsidRPr="00EA3E09">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891978C" id="_x0000_t202" coordsize="21600,21600" o:spt="202" path="m,l,21600r21600,l21600,xe">
              <v:stroke joinstyle="miter"/>
              <v:path gradientshapeok="t" o:connecttype="rect"/>
            </v:shapetype>
            <v:shape id="Text Box 7" o:spid="_x0000_s1028" type="#_x0000_t202" alt="OFFICIAL" style="position:absolute;margin-left:0;margin-top:0;width:48pt;height:31.5pt;z-index:25165824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" filled="f" stroked="f">
              <v:textbox style="mso-fit-shape-to-text:t" inset="0,0,0,15pt">
                <w:txbxContent>
                  <w:p w14:paraId="0F3F8F20" w14:textId="14627B18" w:rsidR="00EA3E09" w:rsidRPr="00EA3E09" w:rsidRDefault="00EA3E09" w:rsidP="00EA3E09">
                    <w:pPr>
                      <w:spacing w:after="0"/>
                      <w:rPr>
                        <w:rFonts w:ascii="Aptos" w:eastAsia="Aptos" w:hAnsi="Aptos" w:cs="Aptos"/>
                        <w:noProof/>
                        <w:color w:val="FF0000"/>
                        <w:sz w:val="24"/>
                        <w:szCs w:val="24"/>
                      </w:rPr>
                    </w:pPr>
                    <w:r w:rsidRPr="00EA3E09">
                      <w:rPr>
                        <w:rFonts w:ascii="Aptos" w:eastAsia="Aptos" w:hAnsi="Aptos" w:cs="Aptos"/>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0"/>
      <w:gridCol w:w="4360"/>
    </w:tblGrid>
    <w:tr w:rsidR="00F02AEC" w:rsidRPr="00257138" w14:paraId="1F16AD18" w14:textId="77777777">
      <w:trPr>
        <w:trHeight w:val="423"/>
      </w:trPr>
      <w:tc>
        <w:tcPr>
          <w:tcW w:w="4360" w:type="dxa"/>
          <w:tcBorders>
            <w:top w:val="single" w:sz="4" w:space="0" w:color="auto"/>
          </w:tcBorders>
        </w:tcPr>
        <w:p w14:paraId="5055EF66" w14:textId="74715E70" w:rsidR="00F02AEC" w:rsidRDefault="00EA3E09">
          <w:pPr>
            <w:pStyle w:val="Footer"/>
          </w:pPr>
          <w:r>
            <w:rPr>
              <w:noProof/>
            </w:rPr>
            <mc:AlternateContent>
              <mc:Choice Requires="wps">
                <w:drawing>
                  <wp:anchor distT="0" distB="0" distL="0" distR="0" simplePos="0" relativeHeight="251658248" behindDoc="0" locked="0" layoutInCell="1" allowOverlap="1" wp14:anchorId="3C40E034" wp14:editId="30362BCA">
                    <wp:simplePos x="635" y="635"/>
                    <wp:positionH relativeFrom="page">
                      <wp:align>center</wp:align>
                    </wp:positionH>
                    <wp:positionV relativeFrom="page">
                      <wp:align>bottom</wp:align>
                    </wp:positionV>
                    <wp:extent cx="609600" cy="400050"/>
                    <wp:effectExtent l="0" t="0" r="0" b="0"/>
                    <wp:wrapNone/>
                    <wp:docPr id="1847754854" name="Text Box 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400050"/>
                            </a:xfrm>
                            <a:prstGeom prst="rect">
                              <a:avLst/>
                            </a:prstGeom>
                            <a:noFill/>
                            <a:ln>
                              <a:noFill/>
                            </a:ln>
                          </wps:spPr>
                          <wps:txbx>
                            <w:txbxContent>
                              <w:p w14:paraId="3BD90834" w14:textId="101C7EB9" w:rsidR="00EA3E09" w:rsidRPr="00EA3E09" w:rsidRDefault="00EA3E09" w:rsidP="00EA3E09">
                                <w:pPr>
                                  <w:spacing w:after="0"/>
                                  <w:rPr>
                                    <w:rFonts w:ascii="Aptos" w:eastAsia="Aptos" w:hAnsi="Aptos" w:cs="Aptos"/>
                                    <w:noProof/>
                                    <w:color w:val="FF0000"/>
                                    <w:sz w:val="24"/>
                                    <w:szCs w:val="24"/>
                                  </w:rPr>
                                </w:pPr>
                                <w:r w:rsidRPr="00EA3E09">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C40E034" id="_x0000_t202" coordsize="21600,21600" o:spt="202" path="m,l,21600r21600,l21600,xe">
                    <v:stroke joinstyle="miter"/>
                    <v:path gradientshapeok="t" o:connecttype="rect"/>
                  </v:shapetype>
                  <v:shape id="Text Box 8" o:spid="_x0000_s1029" type="#_x0000_t202" alt="OFFICIAL" style="position:absolute;margin-left:0;margin-top:0;width:48pt;height:31.5pt;z-index:25165824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" filled="f" stroked="f">
                    <v:textbox style="mso-fit-shape-to-text:t" inset="0,0,0,15pt">
                      <w:txbxContent>
                        <w:p w14:paraId="3BD90834" w14:textId="101C7EB9" w:rsidR="00EA3E09" w:rsidRPr="00EA3E09" w:rsidRDefault="00EA3E09" w:rsidP="00EA3E09">
                          <w:pPr>
                            <w:spacing w:after="0"/>
                            <w:rPr>
                              <w:rFonts w:ascii="Aptos" w:eastAsia="Aptos" w:hAnsi="Aptos" w:cs="Aptos"/>
                              <w:noProof/>
                              <w:color w:val="FF0000"/>
                              <w:sz w:val="24"/>
                              <w:szCs w:val="24"/>
                            </w:rPr>
                          </w:pPr>
                          <w:r w:rsidRPr="00EA3E09">
                            <w:rPr>
                              <w:rFonts w:ascii="Aptos" w:eastAsia="Aptos" w:hAnsi="Aptos" w:cs="Aptos"/>
                              <w:noProof/>
                              <w:color w:val="FF0000"/>
                              <w:sz w:val="24"/>
                              <w:szCs w:val="24"/>
                            </w:rPr>
                            <w:t>OFFICIAL</w:t>
                          </w:r>
                        </w:p>
                      </w:txbxContent>
                    </v:textbox>
                    <w10:wrap anchorx="page" anchory="page"/>
                  </v:shape>
                </w:pict>
              </mc:Fallback>
            </mc:AlternateContent>
          </w:r>
        </w:p>
        <w:p w14:paraId="0BCDF466" w14:textId="77777777" w:rsidR="00F02AEC" w:rsidRPr="00257138" w:rsidRDefault="00F02AEC">
          <w:pPr>
            <w:pStyle w:val="Footer"/>
          </w:pPr>
          <w:r w:rsidRPr="00257138">
            <w:t>Document title</w:t>
          </w:r>
        </w:p>
      </w:tc>
      <w:tc>
        <w:tcPr>
          <w:tcW w:w="4360" w:type="dxa"/>
          <w:tcBorders>
            <w:top w:val="single" w:sz="4" w:space="0" w:color="auto"/>
          </w:tcBorders>
        </w:tcPr>
        <w:sdt>
          <w:sdtPr>
            <w:id w:val="1087729233"/>
            <w:docPartObj>
              <w:docPartGallery w:val="Page Numbers (Top of Page)"/>
              <w:docPartUnique/>
            </w:docPartObj>
          </w:sdtPr>
          <w:sdtEndPr/>
          <w:sdtContent>
            <w:p w14:paraId="7725A672" w14:textId="77777777" w:rsidR="00F02AEC" w:rsidRDefault="00F02AEC">
              <w:pPr>
                <w:pStyle w:val="Footer"/>
                <w:jc w:val="right"/>
              </w:pPr>
            </w:p>
            <w:p w14:paraId="7A6F68DC" w14:textId="77777777" w:rsidR="00F02AEC" w:rsidRPr="00257138" w:rsidRDefault="00F02AEC">
              <w:pPr>
                <w:pStyle w:val="Footer"/>
                <w:jc w:val="right"/>
              </w:pPr>
              <w:r w:rsidRPr="00257138">
                <w:t xml:space="preserve">Page </w:t>
              </w:r>
              <w:r>
                <w:fldChar w:fldCharType="begin"/>
              </w:r>
              <w:r>
                <w:instrText xml:space="preserve"> PAGE </w:instrText>
              </w:r>
              <w:r>
                <w:fldChar w:fldCharType="separate"/>
              </w:r>
              <w:r>
                <w:rPr>
                  <w:noProof/>
                </w:rPr>
                <w:t>2</w:t>
              </w:r>
              <w:r>
                <w:rPr>
                  <w:noProof/>
                </w:rPr>
                <w:fldChar w:fldCharType="end"/>
              </w:r>
              <w:r w:rsidRPr="00257138">
                <w:t xml:space="preserve"> of </w:t>
              </w:r>
              <w:r>
                <w:fldChar w:fldCharType="begin"/>
              </w:r>
              <w:r>
                <w:instrText>NUMPAGES</w:instrText>
              </w:r>
              <w:r>
                <w:fldChar w:fldCharType="separate"/>
              </w:r>
              <w:r>
                <w:rPr>
                  <w:noProof/>
                </w:rPr>
                <w:t>2</w:t>
              </w:r>
              <w:r>
                <w:fldChar w:fldCharType="end"/>
              </w:r>
            </w:p>
          </w:sdtContent>
        </w:sdt>
      </w:tc>
    </w:tr>
    <w:tr w:rsidR="00F02AEC" w:rsidRPr="00257138" w14:paraId="3AA6D29D" w14:textId="77777777">
      <w:trPr>
        <w:trHeight w:val="263"/>
      </w:trPr>
      <w:tc>
        <w:tcPr>
          <w:tcW w:w="4360" w:type="dxa"/>
        </w:tcPr>
        <w:p w14:paraId="43FB3E38" w14:textId="77777777" w:rsidR="00F02AEC" w:rsidRPr="00257138" w:rsidRDefault="00F02AEC">
          <w:pPr>
            <w:pStyle w:val="Footer"/>
          </w:pPr>
          <w:r w:rsidRPr="00257138">
            <w:t xml:space="preserve">V1.0 </w:t>
          </w:r>
          <w:r>
            <w:t>Month</w:t>
          </w:r>
          <w:r w:rsidRPr="00257138">
            <w:t xml:space="preserve"> 201</w:t>
          </w:r>
          <w:r>
            <w:t>2</w:t>
          </w:r>
        </w:p>
      </w:tc>
      <w:tc>
        <w:tcPr>
          <w:tcW w:w="4360" w:type="dxa"/>
        </w:tcPr>
        <w:p w14:paraId="188ED5A5" w14:textId="77777777" w:rsidR="00F02AEC" w:rsidRPr="00257138" w:rsidRDefault="00F02AEC">
          <w:pPr>
            <w:pStyle w:val="Footer"/>
            <w:jc w:val="right"/>
          </w:pPr>
        </w:p>
      </w:tc>
    </w:tr>
  </w:tbl>
  <w:p w14:paraId="2CEAA94D" w14:textId="77777777" w:rsidR="00F02AEC" w:rsidRPr="00826007" w:rsidRDefault="00F02AEC">
    <w:pPr>
      <w:pStyle w:val="Footer"/>
      <w:tabs>
        <w:tab w:val="left" w:pos="7620"/>
        <w:tab w:val="right" w:pos="8504"/>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FF4F3" w14:textId="59EB5D6F" w:rsidR="00F02AEC" w:rsidRDefault="00F02AEC">
    <w:pPr>
      <w:pStyle w:val="Footer"/>
      <w:ind w:left="-1701"/>
    </w:pPr>
    <w:r w:rsidRPr="002B29B2">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tblCellMar>
      <w:tblLook w:val="04A0" w:firstRow="1" w:lastRow="0" w:firstColumn="1" w:lastColumn="0" w:noHBand="0" w:noVBand="1"/>
    </w:tblPr>
    <w:tblGrid>
      <w:gridCol w:w="7338"/>
      <w:gridCol w:w="1734"/>
    </w:tblGrid>
    <w:tr w:rsidR="00F02AEC" w:rsidRPr="005212A2" w14:paraId="254A1721" w14:textId="77777777">
      <w:trPr>
        <w:trHeight w:val="423"/>
      </w:trPr>
      <w:tc>
        <w:tcPr>
          <w:tcW w:w="7338" w:type="dxa"/>
          <w:tcBorders>
            <w:top w:val="single" w:sz="4" w:space="0" w:color="auto"/>
          </w:tcBorders>
        </w:tcPr>
        <w:p w14:paraId="6D808AF3" w14:textId="4F3B87DC" w:rsidR="00F02AEC" w:rsidRPr="005212A2" w:rsidRDefault="000579C9" w:rsidP="000579C9">
          <w:pPr>
            <w:pStyle w:val="Footer"/>
          </w:pPr>
          <w:r w:rsidRPr="000579C9">
            <w:t>Notice of interim decisions to amend (or not amend) the current Poisons Standard</w:t>
          </w:r>
          <w:r w:rsidR="00317EF8">
            <w:t xml:space="preserve">, </w:t>
          </w:r>
          <w:r w:rsidRPr="000579C9">
            <w:t>June 202</w:t>
          </w:r>
          <w:r w:rsidR="00317EF8">
            <w:t>6</w:t>
          </w:r>
        </w:p>
      </w:tc>
      <w:tc>
        <w:tcPr>
          <w:tcW w:w="1734" w:type="dxa"/>
          <w:tcBorders>
            <w:top w:val="single" w:sz="4" w:space="0" w:color="auto"/>
          </w:tcBorders>
        </w:tcPr>
        <w:sdt>
          <w:sdtPr>
            <w:id w:val="11571659"/>
            <w:docPartObj>
              <w:docPartGallery w:val="Page Numbers (Top of Page)"/>
              <w:docPartUnique/>
            </w:docPartObj>
          </w:sdtPr>
          <w:sdtEndPr/>
          <w:sdtContent>
            <w:p w14:paraId="775F7CF7" w14:textId="77777777" w:rsidR="00F02AEC" w:rsidRPr="005212A2" w:rsidRDefault="00F02AEC" w:rsidP="000579C9">
              <w:pPr>
                <w:pStyle w:val="Footer"/>
                <w:jc w:val="right"/>
              </w:pPr>
              <w:r w:rsidRPr="000579C9">
                <w:t>Page</w:t>
              </w:r>
              <w:r w:rsidRPr="005212A2">
                <w:t xml:space="preserve"> </w:t>
              </w:r>
              <w:r w:rsidRPr="005212A2">
                <w:fldChar w:fldCharType="begin"/>
              </w:r>
              <w:r w:rsidRPr="005212A2">
                <w:instrText xml:space="preserve"> PAGE </w:instrText>
              </w:r>
              <w:r w:rsidRPr="005212A2">
                <w:fldChar w:fldCharType="separate"/>
              </w:r>
              <w:r w:rsidRPr="005212A2">
                <w:rPr>
                  <w:noProof/>
                </w:rPr>
                <w:t>6</w:t>
              </w:r>
              <w:r w:rsidRPr="005212A2">
                <w:rPr>
                  <w:noProof/>
                </w:rPr>
                <w:fldChar w:fldCharType="end"/>
              </w:r>
              <w:r w:rsidRPr="005212A2">
                <w:t xml:space="preserve"> of </w:t>
              </w:r>
              <w:r>
                <w:fldChar w:fldCharType="begin"/>
              </w:r>
              <w:r>
                <w:instrText>NUMPAGES</w:instrText>
              </w:r>
              <w:r>
                <w:fldChar w:fldCharType="separate"/>
              </w:r>
              <w:r w:rsidRPr="005212A2">
                <w:rPr>
                  <w:noProof/>
                </w:rPr>
                <w:t>7</w:t>
              </w:r>
              <w:r>
                <w:fldChar w:fldCharType="end"/>
              </w:r>
            </w:p>
          </w:sdtContent>
        </w:sdt>
      </w:tc>
    </w:tr>
  </w:tbl>
  <w:p w14:paraId="26660928" w14:textId="77777777" w:rsidR="00F02AEC" w:rsidRPr="0090744F" w:rsidRDefault="00F02AEC" w:rsidP="0032099F">
    <w:pPr>
      <w:pStyle w:val="Footer"/>
      <w:tabs>
        <w:tab w:val="left" w:pos="7620"/>
        <w:tab w:val="right" w:pos="8504"/>
      </w:tabs>
      <w:rPr>
        <w:rFonts w:asciiTheme="minorHAnsi" w:hAnsiTheme="minorHAnsi" w:cstheme="minorHAnsi"/>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C27A7" w14:textId="2BCCE237" w:rsidR="005B141F" w:rsidRPr="008E3C43" w:rsidRDefault="005B14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640344" w14:textId="77777777" w:rsidR="00453186" w:rsidRDefault="00453186" w:rsidP="00F02AEC">
      <w:pPr>
        <w:spacing w:after="0" w:line="240" w:lineRule="auto"/>
      </w:pPr>
      <w:r>
        <w:separator/>
      </w:r>
    </w:p>
  </w:footnote>
  <w:footnote w:type="continuationSeparator" w:id="0">
    <w:p w14:paraId="00A5DB19" w14:textId="77777777" w:rsidR="00453186" w:rsidRDefault="00453186" w:rsidP="00F02AEC">
      <w:pPr>
        <w:spacing w:after="0" w:line="240" w:lineRule="auto"/>
      </w:pPr>
      <w:r>
        <w:continuationSeparator/>
      </w:r>
    </w:p>
  </w:footnote>
  <w:footnote w:id="1">
    <w:p w14:paraId="202AA82B" w14:textId="77777777" w:rsidR="006E3F78" w:rsidRDefault="006E3F78" w:rsidP="0032099F">
      <w:pPr>
        <w:pStyle w:val="FootnoteText"/>
        <w:spacing w:before="120" w:after="120" w:line="240" w:lineRule="auto"/>
      </w:pPr>
      <w:r>
        <w:rPr>
          <w:rStyle w:val="FootnoteReference"/>
        </w:rPr>
        <w:footnoteRef/>
      </w:r>
      <w:r>
        <w:t xml:space="preserve"> </w:t>
      </w:r>
      <w:r w:rsidRPr="00501B8C">
        <w:t xml:space="preserve">For the purposes of s 52D of the </w:t>
      </w:r>
      <w:r w:rsidRPr="00EE0BA9">
        <w:rPr>
          <w:i/>
          <w:iCs/>
        </w:rPr>
        <w:t>Therapeutic Goods Act 1989</w:t>
      </w:r>
      <w:r w:rsidRPr="00501B8C">
        <w:t xml:space="preserve"> (Cth)</w:t>
      </w:r>
    </w:p>
  </w:footnote>
  <w:footnote w:id="2">
    <w:p w14:paraId="1F823F3B" w14:textId="77777777" w:rsidR="009421DD" w:rsidRPr="009421DD" w:rsidRDefault="009421DD" w:rsidP="0032099F">
      <w:pPr>
        <w:pStyle w:val="FootnoteText"/>
        <w:spacing w:before="120" w:after="120" w:line="240" w:lineRule="auto"/>
        <w:rPr>
          <w:rFonts w:asciiTheme="minorHAnsi" w:hAnsiTheme="minorHAnsi" w:cstheme="minorHAnsi"/>
          <w:sz w:val="18"/>
          <w:szCs w:val="18"/>
        </w:rPr>
      </w:pPr>
      <w:r w:rsidRPr="009421DD">
        <w:rPr>
          <w:rStyle w:val="FootnoteReference"/>
          <w:rFonts w:asciiTheme="minorHAnsi" w:hAnsiTheme="minorHAnsi" w:cstheme="minorHAnsi"/>
          <w:sz w:val="18"/>
          <w:szCs w:val="18"/>
        </w:rPr>
        <w:footnoteRef/>
      </w:r>
      <w:r w:rsidRPr="009421DD">
        <w:rPr>
          <w:rFonts w:asciiTheme="minorHAnsi" w:hAnsiTheme="minorHAnsi" w:cstheme="minorHAnsi"/>
          <w:sz w:val="18"/>
          <w:szCs w:val="18"/>
        </w:rPr>
        <w:t xml:space="preserve"> </w:t>
      </w:r>
      <w:r w:rsidRPr="00CC381E">
        <w:t xml:space="preserve">Established under sections 52B and 52C of the </w:t>
      </w:r>
      <w:r w:rsidRPr="00CC381E">
        <w:rPr>
          <w:i/>
          <w:iCs/>
        </w:rPr>
        <w:t>Therapeutic Goods Act 1989</w:t>
      </w:r>
      <w:r w:rsidRPr="00CC381E">
        <w:t xml:space="preserve"> (Cth).</w:t>
      </w:r>
    </w:p>
  </w:footnote>
  <w:footnote w:id="3">
    <w:p w14:paraId="321D47A6" w14:textId="27172A86" w:rsidR="00196C69" w:rsidRDefault="00196C69" w:rsidP="0032099F">
      <w:pPr>
        <w:pStyle w:val="FootnoteText"/>
        <w:spacing w:before="120" w:after="120" w:line="240" w:lineRule="auto"/>
      </w:pPr>
      <w:r>
        <w:rPr>
          <w:rStyle w:val="FootnoteReference"/>
        </w:rPr>
        <w:footnoteRef/>
      </w:r>
      <w:r>
        <w:t xml:space="preserve"> Proposed additions are shown in green underlined font, proposed deletions are shown in red strikethrough font, and text without this formatting represents the current text in the Poisons Standard.</w:t>
      </w:r>
    </w:p>
  </w:footnote>
  <w:footnote w:id="4">
    <w:p w14:paraId="71EEC17A" w14:textId="5EFAC5EE" w:rsidR="00FC22B8" w:rsidRDefault="00FC22B8" w:rsidP="00080DF2">
      <w:pPr>
        <w:pStyle w:val="FootnoteText"/>
        <w:spacing w:before="120" w:after="120" w:line="240" w:lineRule="auto"/>
      </w:pPr>
      <w:r>
        <w:rPr>
          <w:rStyle w:val="FootnoteReference"/>
        </w:rPr>
        <w:footnoteRef/>
      </w:r>
      <w:r>
        <w:t xml:space="preserve"> </w:t>
      </w:r>
      <w:r w:rsidR="000A61CD" w:rsidRPr="000A61CD">
        <w:t xml:space="preserve">Brod, M., S. L. Alolga, J. F. Beck, L. Wilkinson, L. Højbjerre, and M. H. Rasmussen. Understanding Burden of Illness for Child Growth Hormone Deficiency. Quality of Life Research 26, no. </w:t>
      </w:r>
      <w:r w:rsidR="00E57678">
        <w:t>2</w:t>
      </w:r>
      <w:r w:rsidR="000A61CD" w:rsidRPr="000A61CD">
        <w:t xml:space="preserve"> (2017): 1673–1686. </w:t>
      </w:r>
      <w:hyperlink r:id="rId1" w:history="1">
        <w:r w:rsidR="000A61CD" w:rsidRPr="003D4087">
          <w:rPr>
            <w:rStyle w:val="Hyperlink"/>
          </w:rPr>
          <w:t>https://doi.org/10.1007/s11136-017-1529-1</w:t>
        </w:r>
      </w:hyperlink>
      <w:r w:rsidR="000A61CD" w:rsidRPr="000A61CD">
        <w:t>.</w:t>
      </w:r>
      <w:r w:rsidR="000A61CD">
        <w:t xml:space="preserve"> </w:t>
      </w:r>
    </w:p>
  </w:footnote>
  <w:footnote w:id="5">
    <w:p w14:paraId="5F577348" w14:textId="3CE22FF8" w:rsidR="00D779FB" w:rsidRDefault="00D779FB" w:rsidP="00080DF2">
      <w:pPr>
        <w:pStyle w:val="FootnoteText"/>
        <w:spacing w:before="120" w:after="120" w:line="240" w:lineRule="auto"/>
      </w:pPr>
      <w:r>
        <w:rPr>
          <w:rStyle w:val="FootnoteReference"/>
        </w:rPr>
        <w:footnoteRef/>
      </w:r>
      <w:r>
        <w:t xml:space="preserve"> </w:t>
      </w:r>
      <w:r w:rsidRPr="00763C48">
        <w:t>Jenkins C, Kelso C, Morgan J. 6-Methylnicotine: a new nicotine alternative identified in e-cigarette liquids sold in Australia. Med J Aust. 2024;221(7):333-335.</w:t>
      </w:r>
      <w:r>
        <w:t xml:space="preserve"> </w:t>
      </w:r>
      <w:hyperlink r:id="rId2" w:history="1">
        <w:r w:rsidRPr="00763C48">
          <w:rPr>
            <w:rStyle w:val="Hyperlink"/>
          </w:rPr>
          <w:t>https://doi.org/10.5694/mja2.52423</w:t>
        </w:r>
      </w:hyperlink>
      <w:r w:rsidR="00D81369">
        <w:t>.</w:t>
      </w:r>
    </w:p>
  </w:footnote>
  <w:footnote w:id="6">
    <w:p w14:paraId="1AB17391" w14:textId="56B1C928" w:rsidR="00196C69" w:rsidRDefault="00196C69" w:rsidP="0032099F">
      <w:pPr>
        <w:pStyle w:val="FootnoteText"/>
        <w:spacing w:line="240" w:lineRule="auto"/>
      </w:pPr>
      <w:r>
        <w:rPr>
          <w:rStyle w:val="FootnoteReference"/>
        </w:rPr>
        <w:footnoteRef/>
      </w:r>
      <w:r>
        <w:t xml:space="preserve"> Proposed additions are shown in green underlined font, proposed deletions are shown in red strikethrough font, and text without this formatting represents the current text in the Poisons Standard.</w:t>
      </w:r>
    </w:p>
  </w:footnote>
  <w:footnote w:id="7">
    <w:p w14:paraId="47E390F2" w14:textId="7BE16B74" w:rsidR="00946FCA" w:rsidRDefault="00946FCA" w:rsidP="00080DF2">
      <w:pPr>
        <w:pStyle w:val="FootnoteText"/>
        <w:spacing w:before="120" w:after="120" w:line="240" w:lineRule="auto"/>
      </w:pPr>
      <w:r>
        <w:rPr>
          <w:rStyle w:val="FootnoteReference"/>
        </w:rPr>
        <w:footnoteRef/>
      </w:r>
      <w:r>
        <w:t xml:space="preserve"> </w:t>
      </w:r>
      <w:r w:rsidRPr="00C3627A">
        <w:rPr>
          <w:rFonts w:cs="Arial"/>
          <w:szCs w:val="16"/>
        </w:rPr>
        <w:t>Wang, D</w:t>
      </w:r>
      <w:r w:rsidRPr="00094A37">
        <w:rPr>
          <w:rFonts w:cs="Arial"/>
          <w:szCs w:val="16"/>
        </w:rPr>
        <w:t>.X., Booth, H., Lerner-Marmarosh, N., Osdene, T.S. and Abood, L.G. (1998), Structure–activity relationships for nicotine analogs comparing competition for [3H]nicotine binding and psychotropic potency†. Drug Dev. Res., 45: 10-16.</w:t>
      </w:r>
      <w:r>
        <w:rPr>
          <w:rFonts w:cs="Arial"/>
          <w:szCs w:val="16"/>
        </w:rPr>
        <w:t xml:space="preserve"> Doi: </w:t>
      </w:r>
      <w:hyperlink r:id="rId3" w:history="1">
        <w:r w:rsidRPr="00094A37">
          <w:rPr>
            <w:rStyle w:val="Hyperlink"/>
            <w:rFonts w:cs="Arial"/>
            <w:szCs w:val="16"/>
          </w:rPr>
          <w:t>10.1002/(SICI)1098-2299(199809)45:1&lt;10::AID-DDR2&gt;3.0.CO;2-G</w:t>
        </w:r>
      </w:hyperlink>
    </w:p>
  </w:footnote>
  <w:footnote w:id="8">
    <w:p w14:paraId="794F372B" w14:textId="77777777" w:rsidR="00946FCA" w:rsidRDefault="00946FCA" w:rsidP="00080DF2">
      <w:pPr>
        <w:pStyle w:val="FootnoteText"/>
        <w:spacing w:before="120" w:after="120" w:line="240" w:lineRule="auto"/>
      </w:pPr>
      <w:r>
        <w:rPr>
          <w:rStyle w:val="FootnoteReference"/>
        </w:rPr>
        <w:footnoteRef/>
      </w:r>
      <w:r>
        <w:t xml:space="preserve"> </w:t>
      </w:r>
      <w:r w:rsidRPr="008B058C">
        <w:rPr>
          <w:rFonts w:cs="Arial"/>
          <w:szCs w:val="16"/>
        </w:rPr>
        <w:t xml:space="preserve">Effah, F., Sun, Y., Friedman, A. and Rahman, I. (2025) Emerging nicotine analogue 6-methyl nicotine increases reactive oxygen species in aerosols and cytotoxicity in human bronchial epithelial cells. Toxicol. Lett. 405: 9-15. Doi: </w:t>
      </w:r>
      <w:hyperlink r:id="rId4" w:history="1">
        <w:r w:rsidRPr="008B058C">
          <w:rPr>
            <w:rStyle w:val="Hyperlink"/>
            <w:rFonts w:cs="Arial"/>
            <w:szCs w:val="16"/>
          </w:rPr>
          <w:t>10.1016/j.toxlet.2025.01.007</w:t>
        </w:r>
      </w:hyperlink>
    </w:p>
  </w:footnote>
  <w:footnote w:id="9">
    <w:p w14:paraId="680EF5C1" w14:textId="1E0BB449" w:rsidR="0032099F" w:rsidRDefault="0032099F">
      <w:pPr>
        <w:pStyle w:val="FootnoteText"/>
      </w:pPr>
      <w:r>
        <w:rPr>
          <w:rStyle w:val="FootnoteReference"/>
        </w:rPr>
        <w:footnoteRef/>
      </w:r>
      <w:r>
        <w:t xml:space="preserve"> Proposed additions are shown in green underlined font, proposed deletions are shown in red strikethrough font, and text without this formatting represents the current text in the Poisons Standard.</w:t>
      </w:r>
    </w:p>
  </w:footnote>
  <w:footnote w:id="10">
    <w:p w14:paraId="3CC1D3E0" w14:textId="7EB8D4A8" w:rsidR="00D86FB5" w:rsidRDefault="00D86FB5" w:rsidP="00F8777E">
      <w:pPr>
        <w:pStyle w:val="FootnoteText"/>
        <w:spacing w:before="120" w:after="120" w:line="240" w:lineRule="auto"/>
      </w:pPr>
      <w:r>
        <w:rPr>
          <w:rStyle w:val="FootnoteReference"/>
        </w:rPr>
        <w:footnoteRef/>
      </w:r>
      <w:r>
        <w:t xml:space="preserve"> Proposed amendments to the Poisons Standard in relation to azelaic acid referred to the Joint ACMS-ACCS #40 in June 2025 available at: </w:t>
      </w:r>
      <w:hyperlink r:id="rId5" w:history="1">
        <w:r>
          <w:rPr>
            <w:rStyle w:val="Hyperlink"/>
          </w:rPr>
          <w:t>www.consultations.tga.gov.au/tga/scheduling-pre-meeting-june-2025/user_uploads/pre-meeting-public-notice---june-2025-1.pdf</w:t>
        </w:r>
      </w:hyperlink>
      <w:r>
        <w:t xml:space="preserve"> (published 17 April 2025).</w:t>
      </w:r>
    </w:p>
  </w:footnote>
  <w:footnote w:id="11">
    <w:p w14:paraId="7AEF96EE" w14:textId="77777777" w:rsidR="00357139" w:rsidRDefault="00357139" w:rsidP="00357139">
      <w:pPr>
        <w:pStyle w:val="FootnoteText"/>
      </w:pPr>
      <w:r w:rsidRPr="74A8A7EE">
        <w:rPr>
          <w:rStyle w:val="FootnoteReference"/>
          <w:rFonts w:eastAsia="Arial" w:cs="Arial"/>
          <w:szCs w:val="16"/>
        </w:rPr>
        <w:footnoteRef/>
      </w:r>
      <w:r w:rsidRPr="74A8A7EE">
        <w:rPr>
          <w:rFonts w:eastAsia="Arial" w:cs="Arial"/>
          <w:szCs w:val="16"/>
        </w:rPr>
        <w:t xml:space="preserve"> </w:t>
      </w:r>
      <w:r w:rsidRPr="74A8A7EE">
        <w:rPr>
          <w:rFonts w:eastAsia="Arial" w:cs="Arial"/>
          <w:color w:val="1B1B1B"/>
          <w:szCs w:val="16"/>
        </w:rPr>
        <w:t>Hung WH, Chen PK, Fang CW, Lin YC, Wu PC. Preparation and Evaluation of Azelaic Acid Topical Microemulsion Formulation: In Vitro and In Vivo Study. Pharmaceutics. 2021 Mar 19;13(3):410. doi: 10.3390/pharmaceutics13030410. PMID: 3380883</w:t>
      </w:r>
    </w:p>
  </w:footnote>
  <w:footnote w:id="12">
    <w:p w14:paraId="464511EE" w14:textId="77777777" w:rsidR="003E7584" w:rsidRDefault="003E7584" w:rsidP="003E7584">
      <w:pPr>
        <w:pStyle w:val="FootnoteText"/>
      </w:pPr>
      <w:r>
        <w:rPr>
          <w:rStyle w:val="FootnoteReference"/>
        </w:rPr>
        <w:footnoteRef/>
      </w:r>
      <w:r>
        <w:t xml:space="preserve"> Notice of interim decision to amend (or not amend) the current Poisons Standard in relation to azelaic acid available at: </w:t>
      </w:r>
      <w:hyperlink r:id="rId6" w:history="1">
        <w:r>
          <w:rPr>
            <w:rStyle w:val="Hyperlink"/>
          </w:rPr>
          <w:t>www.tga.gov.au/sites/default/files/2023-07/public-notice-of-interim-decisions-acms-41-accs-36-joint-acms-accs-33-march-2023.pdf</w:t>
        </w:r>
      </w:hyperlink>
      <w:r>
        <w:t xml:space="preserve"> (published 12 July 2023). </w:t>
      </w:r>
    </w:p>
  </w:footnote>
  <w:footnote w:id="13">
    <w:p w14:paraId="62CDA66F" w14:textId="77777777" w:rsidR="003E7584" w:rsidRDefault="003E7584" w:rsidP="003E7584">
      <w:pPr>
        <w:pStyle w:val="FootnoteText"/>
      </w:pPr>
      <w:r>
        <w:rPr>
          <w:rStyle w:val="FootnoteReference"/>
        </w:rPr>
        <w:footnoteRef/>
      </w:r>
      <w:r>
        <w:t xml:space="preserve"> </w:t>
      </w:r>
      <w:r w:rsidRPr="005D30FC">
        <w:t xml:space="preserve">Notice of </w:t>
      </w:r>
      <w:r>
        <w:t>final</w:t>
      </w:r>
      <w:r w:rsidRPr="005D30FC">
        <w:t xml:space="preserve"> decision to amend (or not amend) the current Poisons Standard in relation to azelaic acid available at:</w:t>
      </w:r>
      <w:r>
        <w:t xml:space="preserve"> </w:t>
      </w:r>
      <w:hyperlink r:id="rId7" w:history="1">
        <w:r>
          <w:rPr>
            <w:rStyle w:val="Hyperlink"/>
          </w:rPr>
          <w:t>www.tga.gov.au/sites/default/files/2024-11/notice-final-decision-amend-or-not-amend-current-poisons-standard-acms-44-accs-38-joint-acms-accs-36-marh-2024.pdf</w:t>
        </w:r>
      </w:hyperlink>
      <w:r>
        <w:t xml:space="preserve"> (published 27 September 2024). </w:t>
      </w:r>
    </w:p>
  </w:footnote>
  <w:footnote w:id="14">
    <w:p w14:paraId="0D62C5F4" w14:textId="746A47A8" w:rsidR="008170B6" w:rsidRDefault="008170B6" w:rsidP="00080DF2">
      <w:pPr>
        <w:pStyle w:val="FootnoteText"/>
        <w:spacing w:before="120" w:after="120" w:line="240" w:lineRule="auto"/>
      </w:pPr>
      <w:r>
        <w:rPr>
          <w:rStyle w:val="FootnoteReference"/>
        </w:rPr>
        <w:footnoteRef/>
      </w:r>
      <w:r>
        <w:t xml:space="preserve"> </w:t>
      </w:r>
      <w:r w:rsidR="000A3A53" w:rsidRPr="000A3A53">
        <w:t xml:space="preserve">King S, Campbell J, Rowe R, Daly ML, Moncrieff G, Maybury C. A systematic review to evaluate the efficacy of azelaic acid in the management of acne, rosacea, melasma and skin aging. J Cosmet Dermatol. 2023 Oct;22(10):2650-2662. </w:t>
      </w:r>
      <w:r w:rsidR="000A3A53">
        <w:t xml:space="preserve">DOI: </w:t>
      </w:r>
      <w:hyperlink r:id="rId8" w:history="1">
        <w:r w:rsidR="000A3A53" w:rsidRPr="00DD0FE3">
          <w:rPr>
            <w:rStyle w:val="Hyperlink"/>
          </w:rPr>
          <w:t>https://doi.org/10.1111/jocd.15923</w:t>
        </w:r>
      </w:hyperlink>
      <w:r w:rsidR="000A3A53" w:rsidRPr="000A3A53">
        <w:t>.</w:t>
      </w:r>
    </w:p>
  </w:footnote>
  <w:footnote w:id="15">
    <w:p w14:paraId="22A3EB05" w14:textId="57D305DE" w:rsidR="00F555E1" w:rsidRDefault="00F555E1" w:rsidP="00080DF2">
      <w:pPr>
        <w:pStyle w:val="FootnoteText"/>
        <w:spacing w:before="120" w:after="120" w:line="240" w:lineRule="auto"/>
      </w:pPr>
      <w:r>
        <w:rPr>
          <w:rStyle w:val="FootnoteReference"/>
        </w:rPr>
        <w:footnoteRef/>
      </w:r>
      <w:r>
        <w:t xml:space="preserve"> New Zealand Medicines and Medical Devices Safety Authority - </w:t>
      </w:r>
      <w:hyperlink r:id="rId9" w:history="1">
        <w:r>
          <w:rPr>
            <w:rStyle w:val="Hyperlink"/>
          </w:rPr>
          <w:t>MEDSAFE - Database of Medicine Classifications</w:t>
        </w:r>
      </w:hyperlink>
    </w:p>
  </w:footnote>
  <w:footnote w:id="16">
    <w:p w14:paraId="2EE5C6C1" w14:textId="44659D68" w:rsidR="003E1A64" w:rsidRDefault="003E1A64" w:rsidP="00080DF2">
      <w:pPr>
        <w:pStyle w:val="FootnoteText"/>
        <w:spacing w:before="120" w:after="120" w:line="240" w:lineRule="auto"/>
      </w:pPr>
      <w:r>
        <w:rPr>
          <w:rStyle w:val="FootnoteReference"/>
        </w:rPr>
        <w:footnoteRef/>
      </w:r>
      <w:r>
        <w:t xml:space="preserve"> </w:t>
      </w:r>
      <w:r w:rsidR="008170B6" w:rsidRPr="3265AB8A">
        <w:rPr>
          <w:rFonts w:eastAsia="Arial" w:cs="Arial"/>
        </w:rPr>
        <w:t>Australian Industrial Chemicals Introduction Scheme</w:t>
      </w:r>
      <w:r w:rsidR="008170B6">
        <w:rPr>
          <w:rFonts w:eastAsia="Arial" w:cs="Arial"/>
        </w:rPr>
        <w:t xml:space="preserve"> (2021). </w:t>
      </w:r>
      <w:hyperlink r:id="rId10" w:history="1">
        <w:r w:rsidR="008170B6" w:rsidRPr="008170B6">
          <w:rPr>
            <w:rStyle w:val="Hyperlink"/>
            <w:rFonts w:eastAsia="Arial" w:cs="Arial"/>
          </w:rPr>
          <w:t>Evaluation statement: Nonanedioic acid (azelaic acid)</w:t>
        </w:r>
      </w:hyperlink>
    </w:p>
  </w:footnote>
  <w:footnote w:id="17">
    <w:p w14:paraId="19D96547" w14:textId="4123038A" w:rsidR="00D91F62" w:rsidRDefault="00D91F62" w:rsidP="00080DF2">
      <w:pPr>
        <w:pStyle w:val="FootnoteText"/>
        <w:spacing w:before="120" w:after="120" w:line="240" w:lineRule="auto"/>
      </w:pPr>
      <w:r>
        <w:rPr>
          <w:rStyle w:val="FootnoteReference"/>
        </w:rPr>
        <w:footnoteRef/>
      </w:r>
      <w:r>
        <w:t xml:space="preserve"> </w:t>
      </w:r>
      <w:hyperlink r:id="rId11" w:anchor="aug2022" w:history="1">
        <w:r>
          <w:rPr>
            <w:rStyle w:val="Hyperlink"/>
          </w:rPr>
          <w:t xml:space="preserve">Health Canada - August 2022 Changes to the Cosmetic Ingredient Hotlist </w:t>
        </w:r>
      </w:hyperlink>
    </w:p>
  </w:footnote>
  <w:footnote w:id="18">
    <w:p w14:paraId="6B11212D" w14:textId="64EEBE9D" w:rsidR="00CB5B49" w:rsidRDefault="00CB5B49" w:rsidP="00080DF2">
      <w:pPr>
        <w:pStyle w:val="FootnoteText"/>
        <w:spacing w:before="120" w:after="120" w:line="240" w:lineRule="auto"/>
      </w:pPr>
      <w:r>
        <w:rPr>
          <w:rStyle w:val="FootnoteReference"/>
        </w:rPr>
        <w:footnoteRef/>
      </w:r>
      <w:r>
        <w:t xml:space="preserve"> </w:t>
      </w:r>
      <w:r w:rsidRPr="00CB5B49">
        <w:t>Petrovici AG, Spennato M, Bîtcan I, Péter F, Cotarcă L, Todea A, Ordodi VL. A Comprehensive Review of Azelaic Acid Pharmacological Properties, Clinical Applications, and Innovative Topical Formulations. Pharmaceuticals. 2025; 18(9):1273.</w:t>
      </w:r>
      <w:r>
        <w:t xml:space="preserve"> DOI:</w:t>
      </w:r>
      <w:r w:rsidRPr="00CB5B49">
        <w:t xml:space="preserve"> </w:t>
      </w:r>
      <w:hyperlink r:id="rId12" w:history="1">
        <w:r w:rsidRPr="00DD0FE3">
          <w:rPr>
            <w:rStyle w:val="Hyperlink"/>
          </w:rPr>
          <w:t>https://doi.org/10.3390/ph18091273</w:t>
        </w:r>
      </w:hyperlink>
      <w:r w:rsidR="001E0ED3">
        <w:t>.</w:t>
      </w:r>
    </w:p>
  </w:footnote>
  <w:footnote w:id="19">
    <w:p w14:paraId="52AE22F8" w14:textId="77777777" w:rsidR="000E4455" w:rsidRDefault="000E4455" w:rsidP="00080DF2">
      <w:pPr>
        <w:pStyle w:val="FootnoteText"/>
        <w:spacing w:before="120" w:after="120" w:line="240" w:lineRule="auto"/>
      </w:pPr>
      <w:r>
        <w:rPr>
          <w:rStyle w:val="FootnoteReference"/>
        </w:rPr>
        <w:footnoteRef/>
      </w:r>
      <w:r>
        <w:t xml:space="preserve"> </w:t>
      </w:r>
      <w:r w:rsidRPr="00790F28">
        <w:t xml:space="preserve">Feng X, Shang J, Gu Z, Gong J, Chen Y, Liu Y. Azelaic Acid: Mechanisms of Action and Clinical Applications. Clin Cosmet Investig Dermatol. 2024 Oct 22;17:2359-2371. </w:t>
      </w:r>
      <w:r>
        <w:t>DOI</w:t>
      </w:r>
      <w:r w:rsidRPr="00790F28">
        <w:t xml:space="preserve">: </w:t>
      </w:r>
      <w:hyperlink r:id="rId13" w:history="1">
        <w:r w:rsidRPr="00DD0FE3">
          <w:rPr>
            <w:rStyle w:val="Hyperlink"/>
          </w:rPr>
          <w:t>https://doi.org/10.2147/ccid.s485237</w:t>
        </w:r>
      </w:hyperlink>
      <w:r>
        <w:t xml:space="preserve">.  </w:t>
      </w:r>
    </w:p>
  </w:footnote>
  <w:footnote w:id="20">
    <w:p w14:paraId="7BA9477A" w14:textId="77777777" w:rsidR="00653439" w:rsidRDefault="00653439" w:rsidP="00080DF2">
      <w:pPr>
        <w:pStyle w:val="FootnoteText"/>
        <w:spacing w:before="120" w:after="120" w:line="240" w:lineRule="auto"/>
      </w:pPr>
      <w:r>
        <w:rPr>
          <w:rStyle w:val="FootnoteReference"/>
        </w:rPr>
        <w:footnoteRef/>
      </w:r>
      <w:r>
        <w:t xml:space="preserve"> </w:t>
      </w:r>
      <w:r w:rsidRPr="001E0ED3">
        <w:t xml:space="preserve">Tomić I, Miočić S, Pepić I, Šimić D, Filipović-Grčić J. Efficacy and Safety of Azelaic Acid Nanocrystal-Loaded In Situ Hydrogel in the Treatment of Acne Vulgaris. Pharmaceutics. 2021;13(4):567. </w:t>
      </w:r>
      <w:r>
        <w:t>DOI</w:t>
      </w:r>
      <w:r w:rsidRPr="001E0ED3">
        <w:t>:</w:t>
      </w:r>
      <w:r>
        <w:t xml:space="preserve"> </w:t>
      </w:r>
      <w:hyperlink r:id="rId14" w:history="1">
        <w:r w:rsidRPr="00DD0FE3">
          <w:rPr>
            <w:rStyle w:val="Hyperlink"/>
          </w:rPr>
          <w:t>https://doi.org/10.3390/pharmaceutics13040567</w:t>
        </w:r>
      </w:hyperlink>
      <w:r>
        <w:t xml:space="preserve">. </w:t>
      </w:r>
    </w:p>
  </w:footnote>
  <w:footnote w:id="21">
    <w:p w14:paraId="076E7D09" w14:textId="430D72DC" w:rsidR="00914769" w:rsidRDefault="00914769" w:rsidP="00F8777E">
      <w:pPr>
        <w:pStyle w:val="FootnoteText"/>
        <w:spacing w:before="120" w:after="120" w:line="240" w:lineRule="auto"/>
      </w:pPr>
      <w:r>
        <w:rPr>
          <w:rStyle w:val="FootnoteReference"/>
        </w:rPr>
        <w:footnoteRef/>
      </w:r>
      <w:r>
        <w:t xml:space="preserve"> </w:t>
      </w:r>
      <w:r w:rsidR="00192C12" w:rsidRPr="00192C12">
        <w:t xml:space="preserve">Pazoki-Toroudi, H., Nilforoushzadeh, M. A., Ajami, M., Jaffary, F., Aboutaleb, N., Nassiri-Kashani, M., &amp; Firooz, A. (2011). Combination of azelaic acid 5% and clindamycin 2% for the treatment of acne vulgaris. Cutaneous and Ocular Toxicology, 30(4), 286–291. </w:t>
      </w:r>
      <w:r w:rsidR="007F474D">
        <w:t xml:space="preserve">DOI: </w:t>
      </w:r>
      <w:hyperlink r:id="rId15" w:history="1">
        <w:r w:rsidR="00192C12" w:rsidRPr="00F91CEC">
          <w:rPr>
            <w:rStyle w:val="Hyperlink"/>
          </w:rPr>
          <w:t>https://doi.org/10.3109/15569527.2011.581257</w:t>
        </w:r>
      </w:hyperlink>
    </w:p>
  </w:footnote>
  <w:footnote w:id="22">
    <w:p w14:paraId="068A0C08" w14:textId="77777777" w:rsidR="009E53CD" w:rsidRDefault="009E53CD" w:rsidP="00F8777E">
      <w:pPr>
        <w:pStyle w:val="FootnoteText"/>
        <w:spacing w:before="120" w:after="120" w:line="240" w:lineRule="auto"/>
      </w:pPr>
      <w:r>
        <w:rPr>
          <w:rStyle w:val="FootnoteReference"/>
        </w:rPr>
        <w:footnoteRef/>
      </w:r>
      <w:r>
        <w:t xml:space="preserve"> </w:t>
      </w:r>
      <w:r w:rsidRPr="007A486B">
        <w:t>Pazoki-Toroudi, H., Nassiri-Kashani, M., Tabatabaie, H., Ajami, M., Habibey, R., Shizarpour, M. Firooz, A. (2010). Combination of azelaic acid 5% and erythromycin 2% in the treatment of acne vulgaris. </w:t>
      </w:r>
      <w:r w:rsidRPr="007A486B">
        <w:rPr>
          <w:i/>
          <w:iCs/>
        </w:rPr>
        <w:t>Journal of Dermatological Treatment</w:t>
      </w:r>
      <w:r w:rsidRPr="007A486B">
        <w:t>, </w:t>
      </w:r>
      <w:r w:rsidRPr="007A486B">
        <w:rPr>
          <w:i/>
          <w:iCs/>
        </w:rPr>
        <w:t>21</w:t>
      </w:r>
      <w:r w:rsidRPr="007A486B">
        <w:t>(3), 212–216.</w:t>
      </w:r>
      <w:r>
        <w:t xml:space="preserve"> DOI:</w:t>
      </w:r>
      <w:r w:rsidRPr="007A486B">
        <w:t xml:space="preserve"> </w:t>
      </w:r>
      <w:hyperlink r:id="rId16" w:history="1">
        <w:r w:rsidRPr="008F03D8">
          <w:rPr>
            <w:rStyle w:val="Hyperlink"/>
          </w:rPr>
          <w:t>https://doi.org/10.3109/09546630903440064</w:t>
        </w:r>
      </w:hyperlink>
    </w:p>
  </w:footnote>
  <w:footnote w:id="23">
    <w:p w14:paraId="42C7B0CA" w14:textId="129DC695" w:rsidR="00087C0E" w:rsidRDefault="00087C0E">
      <w:pPr>
        <w:pStyle w:val="FootnoteText"/>
      </w:pPr>
      <w:r>
        <w:rPr>
          <w:rStyle w:val="FootnoteReference"/>
        </w:rPr>
        <w:footnoteRef/>
      </w:r>
      <w:r>
        <w:t xml:space="preserve"> Proposed additions are shown in green underlined font, proposed deletions are shown in red strikethrough font, and text without this formatting represents the current text in the Poisons Standard.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EEFDF" w14:textId="3B878EEB" w:rsidR="00EA3E09" w:rsidRDefault="00EA3E09">
    <w:pPr>
      <w:pStyle w:val="Header"/>
    </w:pPr>
    <w:r>
      <w:rPr>
        <w:noProof/>
      </w:rPr>
      <mc:AlternateContent>
        <mc:Choice Requires="wps">
          <w:drawing>
            <wp:anchor distT="0" distB="0" distL="0" distR="0" simplePos="0" relativeHeight="251658243" behindDoc="0" locked="0" layoutInCell="1" allowOverlap="1" wp14:anchorId="5A82A603" wp14:editId="716C3B7E">
              <wp:simplePos x="635" y="635"/>
              <wp:positionH relativeFrom="page">
                <wp:align>center</wp:align>
              </wp:positionH>
              <wp:positionV relativeFrom="page">
                <wp:align>top</wp:align>
              </wp:positionV>
              <wp:extent cx="609600" cy="400050"/>
              <wp:effectExtent l="0" t="0" r="0" b="0"/>
              <wp:wrapNone/>
              <wp:docPr id="1664203046"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400050"/>
                      </a:xfrm>
                      <a:prstGeom prst="rect">
                        <a:avLst/>
                      </a:prstGeom>
                      <a:noFill/>
                      <a:ln>
                        <a:noFill/>
                      </a:ln>
                    </wps:spPr>
                    <wps:txbx>
                      <w:txbxContent>
                        <w:p w14:paraId="5219AC69" w14:textId="3DF815E1" w:rsidR="00EA3E09" w:rsidRPr="00EA3E09" w:rsidRDefault="00EA3E09" w:rsidP="00EA3E09">
                          <w:pPr>
                            <w:spacing w:after="0"/>
                            <w:rPr>
                              <w:rFonts w:ascii="Aptos" w:eastAsia="Aptos" w:hAnsi="Aptos" w:cs="Aptos"/>
                              <w:noProof/>
                              <w:color w:val="FF0000"/>
                              <w:sz w:val="24"/>
                              <w:szCs w:val="24"/>
                            </w:rPr>
                          </w:pPr>
                          <w:r w:rsidRPr="00EA3E09">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A82A603" id="_x0000_t202" coordsize="21600,21600" o:spt="202" path="m,l,21600r21600,l21600,xe">
              <v:stroke joinstyle="miter"/>
              <v:path gradientshapeok="t" o:connecttype="rect"/>
            </v:shapetype>
            <v:shape id="Text Box 2" o:spid="_x0000_s1026" type="#_x0000_t202" alt="OFFICIAL" style="position:absolute;left:0;text-align:left;margin-left:0;margin-top:0;width:48pt;height:31.5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" filled="f" stroked="f">
              <v:textbox style="mso-fit-shape-to-text:t" inset="0,15pt,0,0">
                <w:txbxContent>
                  <w:p w14:paraId="5219AC69" w14:textId="3DF815E1" w:rsidR="00EA3E09" w:rsidRPr="00EA3E09" w:rsidRDefault="00EA3E09" w:rsidP="00EA3E09">
                    <w:pPr>
                      <w:spacing w:after="0"/>
                      <w:rPr>
                        <w:rFonts w:ascii="Aptos" w:eastAsia="Aptos" w:hAnsi="Aptos" w:cs="Aptos"/>
                        <w:noProof/>
                        <w:color w:val="FF0000"/>
                        <w:sz w:val="24"/>
                        <w:szCs w:val="24"/>
                      </w:rPr>
                    </w:pPr>
                    <w:r w:rsidRPr="00EA3E09">
                      <w:rPr>
                        <w:rFonts w:ascii="Aptos" w:eastAsia="Aptos" w:hAnsi="Aptos" w:cs="Aptos"/>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3253A" w14:textId="2846C024" w:rsidR="00F02AEC" w:rsidRPr="00CB0550" w:rsidRDefault="00EA3E09" w:rsidP="00CB0550">
    <w:pPr>
      <w:pStyle w:val="Header"/>
      <w:jc w:val="left"/>
    </w:pPr>
    <w:r>
      <w:rPr>
        <w:noProof/>
      </w:rPr>
      <mc:AlternateContent>
        <mc:Choice Requires="wps">
          <w:drawing>
            <wp:anchor distT="0" distB="0" distL="0" distR="0" simplePos="0" relativeHeight="251658244" behindDoc="0" locked="0" layoutInCell="1" allowOverlap="1" wp14:anchorId="3D46007E" wp14:editId="5D7DE578">
              <wp:simplePos x="635" y="635"/>
              <wp:positionH relativeFrom="page">
                <wp:align>center</wp:align>
              </wp:positionH>
              <wp:positionV relativeFrom="page">
                <wp:align>top</wp:align>
              </wp:positionV>
              <wp:extent cx="609600" cy="400050"/>
              <wp:effectExtent l="0" t="0" r="0" b="0"/>
              <wp:wrapNone/>
              <wp:docPr id="217493283"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400050"/>
                      </a:xfrm>
                      <a:prstGeom prst="rect">
                        <a:avLst/>
                      </a:prstGeom>
                      <a:noFill/>
                      <a:ln>
                        <a:noFill/>
                      </a:ln>
                    </wps:spPr>
                    <wps:txbx>
                      <w:txbxContent>
                        <w:p w14:paraId="1CA66273" w14:textId="361BA461" w:rsidR="00EA3E09" w:rsidRPr="00EA3E09" w:rsidRDefault="00EA3E09" w:rsidP="00EA3E09">
                          <w:pPr>
                            <w:spacing w:after="0"/>
                            <w:rPr>
                              <w:rFonts w:ascii="Aptos" w:eastAsia="Aptos" w:hAnsi="Aptos" w:cs="Aptos"/>
                              <w:noProof/>
                              <w:color w:val="FF0000"/>
                              <w:sz w:val="24"/>
                              <w:szCs w:val="24"/>
                            </w:rPr>
                          </w:pPr>
                          <w:r w:rsidRPr="00EA3E09">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D46007E" id="_x0000_t202" coordsize="21600,21600" o:spt="202" path="m,l,21600r21600,l21600,xe">
              <v:stroke joinstyle="miter"/>
              <v:path gradientshapeok="t" o:connecttype="rect"/>
            </v:shapetype>
            <v:shape id="Text Box 3" o:spid="_x0000_s1027" type="#_x0000_t202" alt="OFFICIAL" style="position:absolute;margin-left:0;margin-top:0;width:48pt;height:31.5pt;z-index:2516582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" filled="f" stroked="f">
              <v:textbox style="mso-fit-shape-to-text:t" inset="0,15pt,0,0">
                <w:txbxContent>
                  <w:p w14:paraId="1CA66273" w14:textId="361BA461" w:rsidR="00EA3E09" w:rsidRPr="00EA3E09" w:rsidRDefault="00EA3E09" w:rsidP="00EA3E09">
                    <w:pPr>
                      <w:spacing w:after="0"/>
                      <w:rPr>
                        <w:rFonts w:ascii="Aptos" w:eastAsia="Aptos" w:hAnsi="Aptos" w:cs="Aptos"/>
                        <w:noProof/>
                        <w:color w:val="FF0000"/>
                        <w:sz w:val="24"/>
                        <w:szCs w:val="24"/>
                      </w:rPr>
                    </w:pPr>
                    <w:r w:rsidRPr="00EA3E09">
                      <w:rPr>
                        <w:rFonts w:ascii="Aptos" w:eastAsia="Aptos" w:hAnsi="Aptos" w:cs="Aptos"/>
                        <w:noProof/>
                        <w:color w:val="FF0000"/>
                        <w:sz w:val="24"/>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leftFromText="181" w:rightFromText="181" w:vertAnchor="page" w:horzAnchor="page" w:tblpX="1" w:tblpY="8999"/>
      <w:tblOverlap w:val="never"/>
      <w:tblW w:w="119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964"/>
    </w:tblGrid>
    <w:tr w:rsidR="00F02AEC" w:rsidRPr="002B29B2" w14:paraId="1D9EFDB8" w14:textId="77777777">
      <w:trPr>
        <w:trHeight w:hRule="exact" w:val="8845"/>
      </w:trPr>
      <w:tc>
        <w:tcPr>
          <w:tcW w:w="11964" w:type="dxa"/>
          <w:vAlign w:val="center"/>
        </w:tcPr>
        <w:p w14:paraId="2B95670C" w14:textId="48CC4D70" w:rsidR="00F02AEC" w:rsidRPr="002B29B2" w:rsidRDefault="00F02AEC">
          <w:pPr>
            <w:ind w:left="-57"/>
            <w:rPr>
              <w:noProof/>
            </w:rPr>
          </w:pPr>
        </w:p>
      </w:tc>
    </w:tr>
  </w:tbl>
  <w:p w14:paraId="777844D2" w14:textId="77777777" w:rsidR="00F02AEC" w:rsidRDefault="00CB0550">
    <w:pPr>
      <w:rPr>
        <w:noProof/>
      </w:rPr>
    </w:pPr>
    <w:r>
      <w:rPr>
        <w:noProof/>
        <w:lang w:eastAsia="en-AU"/>
      </w:rPr>
      <w:drawing>
        <wp:anchor distT="0" distB="0" distL="114300" distR="114300" simplePos="0" relativeHeight="251658241" behindDoc="0" locked="0" layoutInCell="1" allowOverlap="1" wp14:anchorId="48130AFD" wp14:editId="1D996B99">
          <wp:simplePos x="0" y="0"/>
          <wp:positionH relativeFrom="column">
            <wp:posOffset>-400050</wp:posOffset>
          </wp:positionH>
          <wp:positionV relativeFrom="paragraph">
            <wp:posOffset>-83185</wp:posOffset>
          </wp:positionV>
          <wp:extent cx="2676525" cy="554355"/>
          <wp:effectExtent l="0" t="0" r="9525" b="0"/>
          <wp:wrapTopAndBottom/>
          <wp:docPr id="19272157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676525" cy="55435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F02AEC" w:rsidRPr="002B29B2">
      <w:rPr>
        <w:noProof/>
        <w:lang w:eastAsia="en-AU"/>
      </w:rPr>
      <w:drawing>
        <wp:anchor distT="0" distB="0" distL="114300" distR="114300" simplePos="0" relativeHeight="251658240" behindDoc="0" locked="0" layoutInCell="0" allowOverlap="1" wp14:anchorId="21C17E56" wp14:editId="17187419">
          <wp:simplePos x="0" y="0"/>
          <wp:positionH relativeFrom="page">
            <wp:align>left</wp:align>
          </wp:positionH>
          <wp:positionV relativeFrom="page">
            <wp:posOffset>3239495</wp:posOffset>
          </wp:positionV>
          <wp:extent cx="7663815" cy="4323091"/>
          <wp:effectExtent l="0" t="0" r="0" b="1270"/>
          <wp:wrapNone/>
          <wp:docPr id="652870923" name="Picture 6528709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46"/>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7663815" cy="4323091"/>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4CB70" w14:textId="21A69FF9" w:rsidR="00F02AEC" w:rsidRPr="005212A2" w:rsidRDefault="00F02AEC" w:rsidP="000579C9">
    <w:pPr>
      <w:pStyle w:val="Header"/>
    </w:pPr>
    <w:r w:rsidRPr="005212A2">
      <w:t>Therapeutic Goods Administration</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3C09F" w14:textId="521CC80B" w:rsidR="005B141F" w:rsidRPr="00FE501F" w:rsidRDefault="005B141F">
    <w:pPr>
      <w:pStyle w:val="Headernoline"/>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75EC4"/>
    <w:multiLevelType w:val="hybridMultilevel"/>
    <w:tmpl w:val="14765D4E"/>
    <w:lvl w:ilvl="0" w:tplc="F372105A">
      <w:start w:val="1"/>
      <w:numFmt w:val="lowerLetter"/>
      <w:pStyle w:val="ListParagraph"/>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 w15:restartNumberingAfterBreak="0">
    <w:nsid w:val="01F12B42"/>
    <w:multiLevelType w:val="hybridMultilevel"/>
    <w:tmpl w:val="5E58EFAC"/>
    <w:lvl w:ilvl="0" w:tplc="47ECA710">
      <w:start w:val="1"/>
      <w:numFmt w:val="bullet"/>
      <w:lvlText w:val=""/>
      <w:lvlJc w:val="left"/>
      <w:pPr>
        <w:ind w:left="720" w:hanging="360"/>
      </w:pPr>
      <w:rPr>
        <w:rFonts w:ascii="Symbol" w:hAnsi="Symbol"/>
      </w:rPr>
    </w:lvl>
    <w:lvl w:ilvl="1" w:tplc="88ACA27C">
      <w:start w:val="1"/>
      <w:numFmt w:val="bullet"/>
      <w:lvlText w:val=""/>
      <w:lvlJc w:val="left"/>
      <w:pPr>
        <w:ind w:left="720" w:hanging="360"/>
      </w:pPr>
      <w:rPr>
        <w:rFonts w:ascii="Symbol" w:hAnsi="Symbol"/>
      </w:rPr>
    </w:lvl>
    <w:lvl w:ilvl="2" w:tplc="D674D818">
      <w:start w:val="1"/>
      <w:numFmt w:val="bullet"/>
      <w:lvlText w:val=""/>
      <w:lvlJc w:val="left"/>
      <w:pPr>
        <w:ind w:left="720" w:hanging="360"/>
      </w:pPr>
      <w:rPr>
        <w:rFonts w:ascii="Symbol" w:hAnsi="Symbol"/>
      </w:rPr>
    </w:lvl>
    <w:lvl w:ilvl="3" w:tplc="D1B00712">
      <w:start w:val="1"/>
      <w:numFmt w:val="bullet"/>
      <w:lvlText w:val=""/>
      <w:lvlJc w:val="left"/>
      <w:pPr>
        <w:ind w:left="720" w:hanging="360"/>
      </w:pPr>
      <w:rPr>
        <w:rFonts w:ascii="Symbol" w:hAnsi="Symbol"/>
      </w:rPr>
    </w:lvl>
    <w:lvl w:ilvl="4" w:tplc="9FD8BB1C">
      <w:start w:val="1"/>
      <w:numFmt w:val="bullet"/>
      <w:lvlText w:val=""/>
      <w:lvlJc w:val="left"/>
      <w:pPr>
        <w:ind w:left="720" w:hanging="360"/>
      </w:pPr>
      <w:rPr>
        <w:rFonts w:ascii="Symbol" w:hAnsi="Symbol"/>
      </w:rPr>
    </w:lvl>
    <w:lvl w:ilvl="5" w:tplc="BC50D9F4">
      <w:start w:val="1"/>
      <w:numFmt w:val="bullet"/>
      <w:lvlText w:val=""/>
      <w:lvlJc w:val="left"/>
      <w:pPr>
        <w:ind w:left="720" w:hanging="360"/>
      </w:pPr>
      <w:rPr>
        <w:rFonts w:ascii="Symbol" w:hAnsi="Symbol"/>
      </w:rPr>
    </w:lvl>
    <w:lvl w:ilvl="6" w:tplc="1A2C64B0">
      <w:start w:val="1"/>
      <w:numFmt w:val="bullet"/>
      <w:lvlText w:val=""/>
      <w:lvlJc w:val="left"/>
      <w:pPr>
        <w:ind w:left="720" w:hanging="360"/>
      </w:pPr>
      <w:rPr>
        <w:rFonts w:ascii="Symbol" w:hAnsi="Symbol"/>
      </w:rPr>
    </w:lvl>
    <w:lvl w:ilvl="7" w:tplc="40F2D660">
      <w:start w:val="1"/>
      <w:numFmt w:val="bullet"/>
      <w:lvlText w:val=""/>
      <w:lvlJc w:val="left"/>
      <w:pPr>
        <w:ind w:left="720" w:hanging="360"/>
      </w:pPr>
      <w:rPr>
        <w:rFonts w:ascii="Symbol" w:hAnsi="Symbol"/>
      </w:rPr>
    </w:lvl>
    <w:lvl w:ilvl="8" w:tplc="D3DC305A">
      <w:start w:val="1"/>
      <w:numFmt w:val="bullet"/>
      <w:lvlText w:val=""/>
      <w:lvlJc w:val="left"/>
      <w:pPr>
        <w:ind w:left="720" w:hanging="360"/>
      </w:pPr>
      <w:rPr>
        <w:rFonts w:ascii="Symbol" w:hAnsi="Symbol"/>
      </w:rPr>
    </w:lvl>
  </w:abstractNum>
  <w:abstractNum w:abstractNumId="2" w15:restartNumberingAfterBreak="0">
    <w:nsid w:val="03AF7A3E"/>
    <w:multiLevelType w:val="hybridMultilevel"/>
    <w:tmpl w:val="B9A81880"/>
    <w:lvl w:ilvl="0" w:tplc="7444C0B6">
      <w:start w:val="1"/>
      <w:numFmt w:val="lowerLetter"/>
      <w:pStyle w:val="Legislation-list"/>
      <w:lvlText w:val="(%1)"/>
      <w:lvlJc w:val="left"/>
      <w:pPr>
        <w:ind w:left="720" w:hanging="360"/>
      </w:pPr>
      <w:rPr>
        <w:rFonts w:ascii="Arial" w:hAnsi="Aria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B3D4E89"/>
    <w:multiLevelType w:val="hybridMultilevel"/>
    <w:tmpl w:val="58B68FD0"/>
    <w:lvl w:ilvl="0" w:tplc="CC660AB0">
      <w:start w:val="1"/>
      <w:numFmt w:val="bullet"/>
      <w:lvlText w:val=""/>
      <w:lvlJc w:val="left"/>
      <w:pPr>
        <w:ind w:left="720" w:hanging="360"/>
      </w:pPr>
      <w:rPr>
        <w:rFonts w:ascii="Symbol" w:hAnsi="Symbol"/>
      </w:rPr>
    </w:lvl>
    <w:lvl w:ilvl="1" w:tplc="7B2260C0">
      <w:start w:val="1"/>
      <w:numFmt w:val="bullet"/>
      <w:lvlText w:val=""/>
      <w:lvlJc w:val="left"/>
      <w:pPr>
        <w:ind w:left="720" w:hanging="360"/>
      </w:pPr>
      <w:rPr>
        <w:rFonts w:ascii="Symbol" w:hAnsi="Symbol"/>
      </w:rPr>
    </w:lvl>
    <w:lvl w:ilvl="2" w:tplc="0E343048">
      <w:start w:val="1"/>
      <w:numFmt w:val="bullet"/>
      <w:lvlText w:val=""/>
      <w:lvlJc w:val="left"/>
      <w:pPr>
        <w:ind w:left="720" w:hanging="360"/>
      </w:pPr>
      <w:rPr>
        <w:rFonts w:ascii="Symbol" w:hAnsi="Symbol"/>
      </w:rPr>
    </w:lvl>
    <w:lvl w:ilvl="3" w:tplc="B3B23A3C">
      <w:start w:val="1"/>
      <w:numFmt w:val="bullet"/>
      <w:lvlText w:val=""/>
      <w:lvlJc w:val="left"/>
      <w:pPr>
        <w:ind w:left="720" w:hanging="360"/>
      </w:pPr>
      <w:rPr>
        <w:rFonts w:ascii="Symbol" w:hAnsi="Symbol"/>
      </w:rPr>
    </w:lvl>
    <w:lvl w:ilvl="4" w:tplc="76B2E824">
      <w:start w:val="1"/>
      <w:numFmt w:val="bullet"/>
      <w:lvlText w:val=""/>
      <w:lvlJc w:val="left"/>
      <w:pPr>
        <w:ind w:left="720" w:hanging="360"/>
      </w:pPr>
      <w:rPr>
        <w:rFonts w:ascii="Symbol" w:hAnsi="Symbol"/>
      </w:rPr>
    </w:lvl>
    <w:lvl w:ilvl="5" w:tplc="58F62DC0">
      <w:start w:val="1"/>
      <w:numFmt w:val="bullet"/>
      <w:lvlText w:val=""/>
      <w:lvlJc w:val="left"/>
      <w:pPr>
        <w:ind w:left="720" w:hanging="360"/>
      </w:pPr>
      <w:rPr>
        <w:rFonts w:ascii="Symbol" w:hAnsi="Symbol"/>
      </w:rPr>
    </w:lvl>
    <w:lvl w:ilvl="6" w:tplc="96F60156">
      <w:start w:val="1"/>
      <w:numFmt w:val="bullet"/>
      <w:lvlText w:val=""/>
      <w:lvlJc w:val="left"/>
      <w:pPr>
        <w:ind w:left="720" w:hanging="360"/>
      </w:pPr>
      <w:rPr>
        <w:rFonts w:ascii="Symbol" w:hAnsi="Symbol"/>
      </w:rPr>
    </w:lvl>
    <w:lvl w:ilvl="7" w:tplc="911C73EC">
      <w:start w:val="1"/>
      <w:numFmt w:val="bullet"/>
      <w:lvlText w:val=""/>
      <w:lvlJc w:val="left"/>
      <w:pPr>
        <w:ind w:left="720" w:hanging="360"/>
      </w:pPr>
      <w:rPr>
        <w:rFonts w:ascii="Symbol" w:hAnsi="Symbol"/>
      </w:rPr>
    </w:lvl>
    <w:lvl w:ilvl="8" w:tplc="88C43254">
      <w:start w:val="1"/>
      <w:numFmt w:val="bullet"/>
      <w:lvlText w:val=""/>
      <w:lvlJc w:val="left"/>
      <w:pPr>
        <w:ind w:left="720" w:hanging="360"/>
      </w:pPr>
      <w:rPr>
        <w:rFonts w:ascii="Symbol" w:hAnsi="Symbol"/>
      </w:rPr>
    </w:lvl>
  </w:abstractNum>
  <w:abstractNum w:abstractNumId="4" w15:restartNumberingAfterBreak="0">
    <w:nsid w:val="0BDF024A"/>
    <w:multiLevelType w:val="hybridMultilevel"/>
    <w:tmpl w:val="A00A47A2"/>
    <w:lvl w:ilvl="0" w:tplc="746A8F38">
      <w:start w:val="1"/>
      <w:numFmt w:val="bullet"/>
      <w:lvlText w:val="–"/>
      <w:lvlJc w:val="left"/>
      <w:pPr>
        <w:ind w:left="720" w:hanging="360"/>
      </w:pPr>
      <w:rPr>
        <w:rFonts w:ascii="Arial" w:hAnsi="Arial" w:hint="default"/>
      </w:rPr>
    </w:lvl>
    <w:lvl w:ilvl="1" w:tplc="FFC02E14">
      <w:start w:val="1"/>
      <w:numFmt w:val="bullet"/>
      <w:lvlText w:val="o"/>
      <w:lvlJc w:val="left"/>
      <w:pPr>
        <w:ind w:left="1440" w:hanging="360"/>
      </w:pPr>
      <w:rPr>
        <w:rFonts w:ascii="Courier New" w:hAnsi="Courier New" w:hint="default"/>
      </w:rPr>
    </w:lvl>
    <w:lvl w:ilvl="2" w:tplc="1012D4AA">
      <w:start w:val="1"/>
      <w:numFmt w:val="bullet"/>
      <w:lvlText w:val=""/>
      <w:lvlJc w:val="left"/>
      <w:pPr>
        <w:ind w:left="2160" w:hanging="360"/>
      </w:pPr>
      <w:rPr>
        <w:rFonts w:ascii="Wingdings" w:hAnsi="Wingdings" w:hint="default"/>
      </w:rPr>
    </w:lvl>
    <w:lvl w:ilvl="3" w:tplc="01124DC0">
      <w:start w:val="1"/>
      <w:numFmt w:val="bullet"/>
      <w:lvlText w:val=""/>
      <w:lvlJc w:val="left"/>
      <w:pPr>
        <w:ind w:left="2880" w:hanging="360"/>
      </w:pPr>
      <w:rPr>
        <w:rFonts w:ascii="Symbol" w:hAnsi="Symbol" w:hint="default"/>
      </w:rPr>
    </w:lvl>
    <w:lvl w:ilvl="4" w:tplc="3B54674A">
      <w:start w:val="1"/>
      <w:numFmt w:val="bullet"/>
      <w:lvlText w:val="o"/>
      <w:lvlJc w:val="left"/>
      <w:pPr>
        <w:ind w:left="3600" w:hanging="360"/>
      </w:pPr>
      <w:rPr>
        <w:rFonts w:ascii="Courier New" w:hAnsi="Courier New" w:hint="default"/>
      </w:rPr>
    </w:lvl>
    <w:lvl w:ilvl="5" w:tplc="EF564B92">
      <w:start w:val="1"/>
      <w:numFmt w:val="bullet"/>
      <w:lvlText w:val=""/>
      <w:lvlJc w:val="left"/>
      <w:pPr>
        <w:ind w:left="4320" w:hanging="360"/>
      </w:pPr>
      <w:rPr>
        <w:rFonts w:ascii="Wingdings" w:hAnsi="Wingdings" w:hint="default"/>
      </w:rPr>
    </w:lvl>
    <w:lvl w:ilvl="6" w:tplc="97D442BC">
      <w:start w:val="1"/>
      <w:numFmt w:val="bullet"/>
      <w:lvlText w:val=""/>
      <w:lvlJc w:val="left"/>
      <w:pPr>
        <w:ind w:left="5040" w:hanging="360"/>
      </w:pPr>
      <w:rPr>
        <w:rFonts w:ascii="Symbol" w:hAnsi="Symbol" w:hint="default"/>
      </w:rPr>
    </w:lvl>
    <w:lvl w:ilvl="7" w:tplc="95FEC1D8">
      <w:start w:val="1"/>
      <w:numFmt w:val="bullet"/>
      <w:lvlText w:val="o"/>
      <w:lvlJc w:val="left"/>
      <w:pPr>
        <w:ind w:left="5760" w:hanging="360"/>
      </w:pPr>
      <w:rPr>
        <w:rFonts w:ascii="Courier New" w:hAnsi="Courier New" w:hint="default"/>
      </w:rPr>
    </w:lvl>
    <w:lvl w:ilvl="8" w:tplc="015EEF98">
      <w:start w:val="1"/>
      <w:numFmt w:val="bullet"/>
      <w:lvlText w:val=""/>
      <w:lvlJc w:val="left"/>
      <w:pPr>
        <w:ind w:left="6480" w:hanging="360"/>
      </w:pPr>
      <w:rPr>
        <w:rFonts w:ascii="Wingdings" w:hAnsi="Wingdings" w:hint="default"/>
      </w:rPr>
    </w:lvl>
  </w:abstractNum>
  <w:abstractNum w:abstractNumId="5" w15:restartNumberingAfterBreak="0">
    <w:nsid w:val="0C653530"/>
    <w:multiLevelType w:val="hybridMultilevel"/>
    <w:tmpl w:val="7B0E400A"/>
    <w:lvl w:ilvl="0" w:tplc="2CAAF5B4">
      <w:start w:val="1"/>
      <w:numFmt w:val="bullet"/>
      <w:lvlText w:val=""/>
      <w:lvlJc w:val="left"/>
      <w:pPr>
        <w:ind w:left="720" w:hanging="360"/>
      </w:pPr>
      <w:rPr>
        <w:rFonts w:ascii="Symbol" w:hAnsi="Symbol"/>
      </w:rPr>
    </w:lvl>
    <w:lvl w:ilvl="1" w:tplc="8526A086">
      <w:start w:val="1"/>
      <w:numFmt w:val="bullet"/>
      <w:lvlText w:val=""/>
      <w:lvlJc w:val="left"/>
      <w:pPr>
        <w:ind w:left="720" w:hanging="360"/>
      </w:pPr>
      <w:rPr>
        <w:rFonts w:ascii="Symbol" w:hAnsi="Symbol"/>
      </w:rPr>
    </w:lvl>
    <w:lvl w:ilvl="2" w:tplc="A5FAE35E">
      <w:start w:val="1"/>
      <w:numFmt w:val="bullet"/>
      <w:lvlText w:val=""/>
      <w:lvlJc w:val="left"/>
      <w:pPr>
        <w:ind w:left="720" w:hanging="360"/>
      </w:pPr>
      <w:rPr>
        <w:rFonts w:ascii="Symbol" w:hAnsi="Symbol"/>
      </w:rPr>
    </w:lvl>
    <w:lvl w:ilvl="3" w:tplc="27AE860C">
      <w:start w:val="1"/>
      <w:numFmt w:val="bullet"/>
      <w:lvlText w:val=""/>
      <w:lvlJc w:val="left"/>
      <w:pPr>
        <w:ind w:left="720" w:hanging="360"/>
      </w:pPr>
      <w:rPr>
        <w:rFonts w:ascii="Symbol" w:hAnsi="Symbol"/>
      </w:rPr>
    </w:lvl>
    <w:lvl w:ilvl="4" w:tplc="1D546176">
      <w:start w:val="1"/>
      <w:numFmt w:val="bullet"/>
      <w:lvlText w:val=""/>
      <w:lvlJc w:val="left"/>
      <w:pPr>
        <w:ind w:left="720" w:hanging="360"/>
      </w:pPr>
      <w:rPr>
        <w:rFonts w:ascii="Symbol" w:hAnsi="Symbol"/>
      </w:rPr>
    </w:lvl>
    <w:lvl w:ilvl="5" w:tplc="80129982">
      <w:start w:val="1"/>
      <w:numFmt w:val="bullet"/>
      <w:lvlText w:val=""/>
      <w:lvlJc w:val="left"/>
      <w:pPr>
        <w:ind w:left="720" w:hanging="360"/>
      </w:pPr>
      <w:rPr>
        <w:rFonts w:ascii="Symbol" w:hAnsi="Symbol"/>
      </w:rPr>
    </w:lvl>
    <w:lvl w:ilvl="6" w:tplc="A82294BE">
      <w:start w:val="1"/>
      <w:numFmt w:val="bullet"/>
      <w:lvlText w:val=""/>
      <w:lvlJc w:val="left"/>
      <w:pPr>
        <w:ind w:left="720" w:hanging="360"/>
      </w:pPr>
      <w:rPr>
        <w:rFonts w:ascii="Symbol" w:hAnsi="Symbol"/>
      </w:rPr>
    </w:lvl>
    <w:lvl w:ilvl="7" w:tplc="A13E6DFC">
      <w:start w:val="1"/>
      <w:numFmt w:val="bullet"/>
      <w:lvlText w:val=""/>
      <w:lvlJc w:val="left"/>
      <w:pPr>
        <w:ind w:left="720" w:hanging="360"/>
      </w:pPr>
      <w:rPr>
        <w:rFonts w:ascii="Symbol" w:hAnsi="Symbol"/>
      </w:rPr>
    </w:lvl>
    <w:lvl w:ilvl="8" w:tplc="FECCA124">
      <w:start w:val="1"/>
      <w:numFmt w:val="bullet"/>
      <w:lvlText w:val=""/>
      <w:lvlJc w:val="left"/>
      <w:pPr>
        <w:ind w:left="720" w:hanging="360"/>
      </w:pPr>
      <w:rPr>
        <w:rFonts w:ascii="Symbol" w:hAnsi="Symbol"/>
      </w:rPr>
    </w:lvl>
  </w:abstractNum>
  <w:abstractNum w:abstractNumId="6" w15:restartNumberingAfterBreak="0">
    <w:nsid w:val="10053F11"/>
    <w:multiLevelType w:val="multilevel"/>
    <w:tmpl w:val="9CF4C65E"/>
    <w:styleLink w:val="NumberBullet"/>
    <w:lvl w:ilvl="0">
      <w:start w:val="1"/>
      <w:numFmt w:val="decimal"/>
      <w:pStyle w:val="Numberbullet0"/>
      <w:lvlText w:val="%1."/>
      <w:lvlJc w:val="left"/>
      <w:pPr>
        <w:ind w:left="360" w:hanging="360"/>
      </w:pPr>
      <w:rPr>
        <w:rFonts w:ascii="Arial" w:hAnsi="Arial" w:hint="default"/>
      </w:rPr>
    </w:lvl>
    <w:lvl w:ilvl="1">
      <w:start w:val="1"/>
      <w:numFmt w:val="lowerLetter"/>
      <w:lvlText w:val="%2."/>
      <w:lvlJc w:val="left"/>
      <w:pPr>
        <w:ind w:left="851" w:hanging="426"/>
      </w:pPr>
      <w:rPr>
        <w:rFonts w:hint="default"/>
      </w:rPr>
    </w:lvl>
    <w:lvl w:ilvl="2">
      <w:start w:val="1"/>
      <w:numFmt w:val="lowerRoman"/>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7" w15:restartNumberingAfterBreak="0">
    <w:nsid w:val="163F187C"/>
    <w:multiLevelType w:val="hybridMultilevel"/>
    <w:tmpl w:val="20409048"/>
    <w:lvl w:ilvl="0" w:tplc="669A989C">
      <w:start w:val="4"/>
      <w:numFmt w:val="bullet"/>
      <w:pStyle w:val="ListBullet3"/>
      <w:lvlText w:val="▪"/>
      <w:lvlJc w:val="left"/>
      <w:pPr>
        <w:ind w:left="1571" w:hanging="360"/>
      </w:pPr>
      <w:rPr>
        <w:rFonts w:ascii="Arial" w:eastAsia="Cambria" w:hAnsi="Aria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8" w15:restartNumberingAfterBreak="0">
    <w:nsid w:val="168F13E9"/>
    <w:multiLevelType w:val="multilevel"/>
    <w:tmpl w:val="FC90D190"/>
    <w:styleLink w:val="ListBullets"/>
    <w:lvl w:ilvl="0">
      <w:start w:val="4"/>
      <w:numFmt w:val="bullet"/>
      <w:pStyle w:val="ListBullet"/>
      <w:lvlText w:val="•"/>
      <w:lvlJc w:val="left"/>
      <w:pPr>
        <w:ind w:left="360" w:hanging="360"/>
      </w:pPr>
      <w:rPr>
        <w:rFonts w:ascii="Cambria" w:eastAsia="Cambria" w:hAnsi="Cambria" w:hint="default"/>
      </w:rPr>
    </w:lvl>
    <w:lvl w:ilvl="1">
      <w:start w:val="1"/>
      <w:numFmt w:val="bullet"/>
      <w:pStyle w:val="ListBullet2"/>
      <w:lvlText w:val="–"/>
      <w:lvlJc w:val="left"/>
      <w:pPr>
        <w:ind w:left="720" w:hanging="360"/>
      </w:pPr>
      <w:rPr>
        <w:rFonts w:ascii="Arial" w:hAnsi="Arial"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9" w15:restartNumberingAfterBreak="0">
    <w:nsid w:val="17AF5801"/>
    <w:multiLevelType w:val="hybridMultilevel"/>
    <w:tmpl w:val="D3E0C9D8"/>
    <w:lvl w:ilvl="0" w:tplc="1F566CB8">
      <w:start w:val="1"/>
      <w:numFmt w:val="bullet"/>
      <w:lvlText w:val=""/>
      <w:lvlJc w:val="left"/>
      <w:pPr>
        <w:ind w:left="720" w:hanging="360"/>
      </w:pPr>
      <w:rPr>
        <w:rFonts w:ascii="Symbol" w:hAnsi="Symbol"/>
      </w:rPr>
    </w:lvl>
    <w:lvl w:ilvl="1" w:tplc="51DCED36">
      <w:start w:val="1"/>
      <w:numFmt w:val="bullet"/>
      <w:lvlText w:val=""/>
      <w:lvlJc w:val="left"/>
      <w:pPr>
        <w:ind w:left="720" w:hanging="360"/>
      </w:pPr>
      <w:rPr>
        <w:rFonts w:ascii="Symbol" w:hAnsi="Symbol"/>
      </w:rPr>
    </w:lvl>
    <w:lvl w:ilvl="2" w:tplc="CD84E6A4">
      <w:start w:val="1"/>
      <w:numFmt w:val="bullet"/>
      <w:lvlText w:val=""/>
      <w:lvlJc w:val="left"/>
      <w:pPr>
        <w:ind w:left="720" w:hanging="360"/>
      </w:pPr>
      <w:rPr>
        <w:rFonts w:ascii="Symbol" w:hAnsi="Symbol"/>
      </w:rPr>
    </w:lvl>
    <w:lvl w:ilvl="3" w:tplc="B43C0282">
      <w:start w:val="1"/>
      <w:numFmt w:val="bullet"/>
      <w:lvlText w:val=""/>
      <w:lvlJc w:val="left"/>
      <w:pPr>
        <w:ind w:left="720" w:hanging="360"/>
      </w:pPr>
      <w:rPr>
        <w:rFonts w:ascii="Symbol" w:hAnsi="Symbol"/>
      </w:rPr>
    </w:lvl>
    <w:lvl w:ilvl="4" w:tplc="7C706E32">
      <w:start w:val="1"/>
      <w:numFmt w:val="bullet"/>
      <w:lvlText w:val=""/>
      <w:lvlJc w:val="left"/>
      <w:pPr>
        <w:ind w:left="720" w:hanging="360"/>
      </w:pPr>
      <w:rPr>
        <w:rFonts w:ascii="Symbol" w:hAnsi="Symbol"/>
      </w:rPr>
    </w:lvl>
    <w:lvl w:ilvl="5" w:tplc="FC7EF016">
      <w:start w:val="1"/>
      <w:numFmt w:val="bullet"/>
      <w:lvlText w:val=""/>
      <w:lvlJc w:val="left"/>
      <w:pPr>
        <w:ind w:left="720" w:hanging="360"/>
      </w:pPr>
      <w:rPr>
        <w:rFonts w:ascii="Symbol" w:hAnsi="Symbol"/>
      </w:rPr>
    </w:lvl>
    <w:lvl w:ilvl="6" w:tplc="02781960">
      <w:start w:val="1"/>
      <w:numFmt w:val="bullet"/>
      <w:lvlText w:val=""/>
      <w:lvlJc w:val="left"/>
      <w:pPr>
        <w:ind w:left="720" w:hanging="360"/>
      </w:pPr>
      <w:rPr>
        <w:rFonts w:ascii="Symbol" w:hAnsi="Symbol"/>
      </w:rPr>
    </w:lvl>
    <w:lvl w:ilvl="7" w:tplc="D7D6C4C4">
      <w:start w:val="1"/>
      <w:numFmt w:val="bullet"/>
      <w:lvlText w:val=""/>
      <w:lvlJc w:val="left"/>
      <w:pPr>
        <w:ind w:left="720" w:hanging="360"/>
      </w:pPr>
      <w:rPr>
        <w:rFonts w:ascii="Symbol" w:hAnsi="Symbol"/>
      </w:rPr>
    </w:lvl>
    <w:lvl w:ilvl="8" w:tplc="4B7E8694">
      <w:start w:val="1"/>
      <w:numFmt w:val="bullet"/>
      <w:lvlText w:val=""/>
      <w:lvlJc w:val="left"/>
      <w:pPr>
        <w:ind w:left="720" w:hanging="360"/>
      </w:pPr>
      <w:rPr>
        <w:rFonts w:ascii="Symbol" w:hAnsi="Symbol"/>
      </w:rPr>
    </w:lvl>
  </w:abstractNum>
  <w:abstractNum w:abstractNumId="10" w15:restartNumberingAfterBreak="0">
    <w:nsid w:val="1ABD74D0"/>
    <w:multiLevelType w:val="hybridMultilevel"/>
    <w:tmpl w:val="23FE21D4"/>
    <w:lvl w:ilvl="0" w:tplc="180E42A8">
      <w:start w:val="1"/>
      <w:numFmt w:val="lowerRoman"/>
      <w:pStyle w:val="ListBulleti"/>
      <w:lvlText w:val="(%1)"/>
      <w:lvlJc w:val="left"/>
      <w:pPr>
        <w:ind w:left="1800" w:hanging="360"/>
      </w:p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11" w15:restartNumberingAfterBreak="0">
    <w:nsid w:val="1DB848E0"/>
    <w:multiLevelType w:val="hybridMultilevel"/>
    <w:tmpl w:val="16A624BE"/>
    <w:lvl w:ilvl="0" w:tplc="E2162ACA">
      <w:start w:val="1"/>
      <w:numFmt w:val="lowerLetter"/>
      <w:pStyle w:val="Heading5"/>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2DD262E"/>
    <w:multiLevelType w:val="hybridMultilevel"/>
    <w:tmpl w:val="7C681CF4"/>
    <w:lvl w:ilvl="0" w:tplc="3410C290">
      <w:start w:val="1"/>
      <w:numFmt w:val="lowerLetter"/>
      <w:pStyle w:val="Numberbullet2"/>
      <w:lvlText w:val="%1)"/>
      <w:lvlJc w:val="left"/>
      <w:pPr>
        <w:ind w:left="1145" w:hanging="360"/>
      </w:pPr>
    </w:lvl>
    <w:lvl w:ilvl="1" w:tplc="0C090019">
      <w:start w:val="1"/>
      <w:numFmt w:val="lowerLetter"/>
      <w:lvlText w:val="%2."/>
      <w:lvlJc w:val="left"/>
      <w:pPr>
        <w:ind w:left="1865" w:hanging="360"/>
      </w:pPr>
    </w:lvl>
    <w:lvl w:ilvl="2" w:tplc="0C09001B" w:tentative="1">
      <w:start w:val="1"/>
      <w:numFmt w:val="lowerRoman"/>
      <w:lvlText w:val="%3."/>
      <w:lvlJc w:val="right"/>
      <w:pPr>
        <w:ind w:left="2585" w:hanging="180"/>
      </w:pPr>
    </w:lvl>
    <w:lvl w:ilvl="3" w:tplc="0C09000F" w:tentative="1">
      <w:start w:val="1"/>
      <w:numFmt w:val="decimal"/>
      <w:lvlText w:val="%4."/>
      <w:lvlJc w:val="left"/>
      <w:pPr>
        <w:ind w:left="3305" w:hanging="360"/>
      </w:pPr>
    </w:lvl>
    <w:lvl w:ilvl="4" w:tplc="0C090019" w:tentative="1">
      <w:start w:val="1"/>
      <w:numFmt w:val="lowerLetter"/>
      <w:lvlText w:val="%5."/>
      <w:lvlJc w:val="left"/>
      <w:pPr>
        <w:ind w:left="4025" w:hanging="360"/>
      </w:pPr>
    </w:lvl>
    <w:lvl w:ilvl="5" w:tplc="0C09001B" w:tentative="1">
      <w:start w:val="1"/>
      <w:numFmt w:val="lowerRoman"/>
      <w:lvlText w:val="%6."/>
      <w:lvlJc w:val="right"/>
      <w:pPr>
        <w:ind w:left="4745" w:hanging="180"/>
      </w:pPr>
    </w:lvl>
    <w:lvl w:ilvl="6" w:tplc="0C09000F" w:tentative="1">
      <w:start w:val="1"/>
      <w:numFmt w:val="decimal"/>
      <w:lvlText w:val="%7."/>
      <w:lvlJc w:val="left"/>
      <w:pPr>
        <w:ind w:left="5465" w:hanging="360"/>
      </w:pPr>
    </w:lvl>
    <w:lvl w:ilvl="7" w:tplc="0C090019" w:tentative="1">
      <w:start w:val="1"/>
      <w:numFmt w:val="lowerLetter"/>
      <w:lvlText w:val="%8."/>
      <w:lvlJc w:val="left"/>
      <w:pPr>
        <w:ind w:left="6185" w:hanging="360"/>
      </w:pPr>
    </w:lvl>
    <w:lvl w:ilvl="8" w:tplc="0C09001B" w:tentative="1">
      <w:start w:val="1"/>
      <w:numFmt w:val="lowerRoman"/>
      <w:lvlText w:val="%9."/>
      <w:lvlJc w:val="right"/>
      <w:pPr>
        <w:ind w:left="6905" w:hanging="180"/>
      </w:pPr>
    </w:lvl>
  </w:abstractNum>
  <w:abstractNum w:abstractNumId="13" w15:restartNumberingAfterBreak="0">
    <w:nsid w:val="27E409AC"/>
    <w:multiLevelType w:val="hybridMultilevel"/>
    <w:tmpl w:val="9D821366"/>
    <w:lvl w:ilvl="0" w:tplc="96F84CD4">
      <w:start w:val="1"/>
      <w:numFmt w:val="bullet"/>
      <w:lvlText w:val=""/>
      <w:lvlJc w:val="left"/>
      <w:pPr>
        <w:ind w:left="720" w:hanging="360"/>
      </w:pPr>
      <w:rPr>
        <w:rFonts w:ascii="Symbol" w:hAnsi="Symbol"/>
      </w:rPr>
    </w:lvl>
    <w:lvl w:ilvl="1" w:tplc="CF243098">
      <w:start w:val="1"/>
      <w:numFmt w:val="bullet"/>
      <w:lvlText w:val=""/>
      <w:lvlJc w:val="left"/>
      <w:pPr>
        <w:ind w:left="720" w:hanging="360"/>
      </w:pPr>
      <w:rPr>
        <w:rFonts w:ascii="Symbol" w:hAnsi="Symbol"/>
      </w:rPr>
    </w:lvl>
    <w:lvl w:ilvl="2" w:tplc="A010374C">
      <w:start w:val="1"/>
      <w:numFmt w:val="bullet"/>
      <w:lvlText w:val=""/>
      <w:lvlJc w:val="left"/>
      <w:pPr>
        <w:ind w:left="720" w:hanging="360"/>
      </w:pPr>
      <w:rPr>
        <w:rFonts w:ascii="Symbol" w:hAnsi="Symbol"/>
      </w:rPr>
    </w:lvl>
    <w:lvl w:ilvl="3" w:tplc="C47A0A34">
      <w:start w:val="1"/>
      <w:numFmt w:val="bullet"/>
      <w:lvlText w:val=""/>
      <w:lvlJc w:val="left"/>
      <w:pPr>
        <w:ind w:left="720" w:hanging="360"/>
      </w:pPr>
      <w:rPr>
        <w:rFonts w:ascii="Symbol" w:hAnsi="Symbol"/>
      </w:rPr>
    </w:lvl>
    <w:lvl w:ilvl="4" w:tplc="DEA854DE">
      <w:start w:val="1"/>
      <w:numFmt w:val="bullet"/>
      <w:lvlText w:val=""/>
      <w:lvlJc w:val="left"/>
      <w:pPr>
        <w:ind w:left="720" w:hanging="360"/>
      </w:pPr>
      <w:rPr>
        <w:rFonts w:ascii="Symbol" w:hAnsi="Symbol"/>
      </w:rPr>
    </w:lvl>
    <w:lvl w:ilvl="5" w:tplc="53BE0830">
      <w:start w:val="1"/>
      <w:numFmt w:val="bullet"/>
      <w:lvlText w:val=""/>
      <w:lvlJc w:val="left"/>
      <w:pPr>
        <w:ind w:left="720" w:hanging="360"/>
      </w:pPr>
      <w:rPr>
        <w:rFonts w:ascii="Symbol" w:hAnsi="Symbol"/>
      </w:rPr>
    </w:lvl>
    <w:lvl w:ilvl="6" w:tplc="80247880">
      <w:start w:val="1"/>
      <w:numFmt w:val="bullet"/>
      <w:lvlText w:val=""/>
      <w:lvlJc w:val="left"/>
      <w:pPr>
        <w:ind w:left="720" w:hanging="360"/>
      </w:pPr>
      <w:rPr>
        <w:rFonts w:ascii="Symbol" w:hAnsi="Symbol"/>
      </w:rPr>
    </w:lvl>
    <w:lvl w:ilvl="7" w:tplc="50BC8BCE">
      <w:start w:val="1"/>
      <w:numFmt w:val="bullet"/>
      <w:lvlText w:val=""/>
      <w:lvlJc w:val="left"/>
      <w:pPr>
        <w:ind w:left="720" w:hanging="360"/>
      </w:pPr>
      <w:rPr>
        <w:rFonts w:ascii="Symbol" w:hAnsi="Symbol"/>
      </w:rPr>
    </w:lvl>
    <w:lvl w:ilvl="8" w:tplc="BDF4C494">
      <w:start w:val="1"/>
      <w:numFmt w:val="bullet"/>
      <w:lvlText w:val=""/>
      <w:lvlJc w:val="left"/>
      <w:pPr>
        <w:ind w:left="720" w:hanging="360"/>
      </w:pPr>
      <w:rPr>
        <w:rFonts w:ascii="Symbol" w:hAnsi="Symbol"/>
      </w:rPr>
    </w:lvl>
  </w:abstractNum>
  <w:abstractNum w:abstractNumId="14" w15:restartNumberingAfterBreak="0">
    <w:nsid w:val="2E924211"/>
    <w:multiLevelType w:val="hybridMultilevel"/>
    <w:tmpl w:val="37EE0612"/>
    <w:lvl w:ilvl="0" w:tplc="2456737A">
      <w:start w:val="1"/>
      <w:numFmt w:val="lowerLetter"/>
      <w:pStyle w:val="ListBulleta"/>
      <w:lvlText w:val="(%1)"/>
      <w:lvlJc w:val="left"/>
      <w:pPr>
        <w:ind w:left="1146" w:hanging="360"/>
      </w:pPr>
      <w:rPr>
        <w:rFonts w:hint="default"/>
      </w:rPr>
    </w:lvl>
    <w:lvl w:ilvl="1" w:tplc="0C090019" w:tentative="1">
      <w:start w:val="1"/>
      <w:numFmt w:val="lowerLetter"/>
      <w:lvlText w:val="%2."/>
      <w:lvlJc w:val="left"/>
      <w:pPr>
        <w:ind w:left="1866" w:hanging="360"/>
      </w:pPr>
    </w:lvl>
    <w:lvl w:ilvl="2" w:tplc="0C09001B" w:tentative="1">
      <w:start w:val="1"/>
      <w:numFmt w:val="lowerRoman"/>
      <w:lvlText w:val="%3."/>
      <w:lvlJc w:val="right"/>
      <w:pPr>
        <w:ind w:left="2586" w:hanging="180"/>
      </w:pPr>
    </w:lvl>
    <w:lvl w:ilvl="3" w:tplc="0C09000F" w:tentative="1">
      <w:start w:val="1"/>
      <w:numFmt w:val="decimal"/>
      <w:lvlText w:val="%4."/>
      <w:lvlJc w:val="left"/>
      <w:pPr>
        <w:ind w:left="3306" w:hanging="360"/>
      </w:pPr>
    </w:lvl>
    <w:lvl w:ilvl="4" w:tplc="0C090019" w:tentative="1">
      <w:start w:val="1"/>
      <w:numFmt w:val="lowerLetter"/>
      <w:lvlText w:val="%5."/>
      <w:lvlJc w:val="left"/>
      <w:pPr>
        <w:ind w:left="4026" w:hanging="360"/>
      </w:pPr>
    </w:lvl>
    <w:lvl w:ilvl="5" w:tplc="0C09001B" w:tentative="1">
      <w:start w:val="1"/>
      <w:numFmt w:val="lowerRoman"/>
      <w:lvlText w:val="%6."/>
      <w:lvlJc w:val="right"/>
      <w:pPr>
        <w:ind w:left="4746" w:hanging="180"/>
      </w:pPr>
    </w:lvl>
    <w:lvl w:ilvl="6" w:tplc="0C09000F" w:tentative="1">
      <w:start w:val="1"/>
      <w:numFmt w:val="decimal"/>
      <w:lvlText w:val="%7."/>
      <w:lvlJc w:val="left"/>
      <w:pPr>
        <w:ind w:left="5466" w:hanging="360"/>
      </w:pPr>
    </w:lvl>
    <w:lvl w:ilvl="7" w:tplc="0C090019" w:tentative="1">
      <w:start w:val="1"/>
      <w:numFmt w:val="lowerLetter"/>
      <w:lvlText w:val="%8."/>
      <w:lvlJc w:val="left"/>
      <w:pPr>
        <w:ind w:left="6186" w:hanging="360"/>
      </w:pPr>
    </w:lvl>
    <w:lvl w:ilvl="8" w:tplc="0C09001B" w:tentative="1">
      <w:start w:val="1"/>
      <w:numFmt w:val="lowerRoman"/>
      <w:lvlText w:val="%9."/>
      <w:lvlJc w:val="right"/>
      <w:pPr>
        <w:ind w:left="6906" w:hanging="180"/>
      </w:pPr>
    </w:lvl>
  </w:abstractNum>
  <w:abstractNum w:abstractNumId="15" w15:restartNumberingAfterBreak="0">
    <w:nsid w:val="2FE90E89"/>
    <w:multiLevelType w:val="hybridMultilevel"/>
    <w:tmpl w:val="FFFFFFFF"/>
    <w:lvl w:ilvl="0" w:tplc="69348958">
      <w:start w:val="1"/>
      <w:numFmt w:val="lowerRoman"/>
      <w:lvlText w:val="(%1)"/>
      <w:lvlJc w:val="right"/>
      <w:pPr>
        <w:ind w:left="1800" w:hanging="360"/>
      </w:pPr>
    </w:lvl>
    <w:lvl w:ilvl="1" w:tplc="8D50BC5A">
      <w:start w:val="1"/>
      <w:numFmt w:val="lowerLetter"/>
      <w:lvlText w:val="%2."/>
      <w:lvlJc w:val="left"/>
      <w:pPr>
        <w:ind w:left="2520" w:hanging="360"/>
      </w:pPr>
    </w:lvl>
    <w:lvl w:ilvl="2" w:tplc="7EBEC15A">
      <w:start w:val="1"/>
      <w:numFmt w:val="lowerRoman"/>
      <w:lvlText w:val="%3."/>
      <w:lvlJc w:val="right"/>
      <w:pPr>
        <w:ind w:left="3240" w:hanging="180"/>
      </w:pPr>
    </w:lvl>
    <w:lvl w:ilvl="3" w:tplc="3170F288">
      <w:start w:val="1"/>
      <w:numFmt w:val="decimal"/>
      <w:lvlText w:val="%4."/>
      <w:lvlJc w:val="left"/>
      <w:pPr>
        <w:ind w:left="3960" w:hanging="360"/>
      </w:pPr>
    </w:lvl>
    <w:lvl w:ilvl="4" w:tplc="CE5C25F0">
      <w:start w:val="1"/>
      <w:numFmt w:val="lowerLetter"/>
      <w:lvlText w:val="%5."/>
      <w:lvlJc w:val="left"/>
      <w:pPr>
        <w:ind w:left="4680" w:hanging="360"/>
      </w:pPr>
    </w:lvl>
    <w:lvl w:ilvl="5" w:tplc="D314630A">
      <w:start w:val="1"/>
      <w:numFmt w:val="lowerRoman"/>
      <w:lvlText w:val="%6."/>
      <w:lvlJc w:val="right"/>
      <w:pPr>
        <w:ind w:left="5400" w:hanging="180"/>
      </w:pPr>
    </w:lvl>
    <w:lvl w:ilvl="6" w:tplc="DF34789C">
      <w:start w:val="1"/>
      <w:numFmt w:val="decimal"/>
      <w:lvlText w:val="%7."/>
      <w:lvlJc w:val="left"/>
      <w:pPr>
        <w:ind w:left="6120" w:hanging="360"/>
      </w:pPr>
    </w:lvl>
    <w:lvl w:ilvl="7" w:tplc="9CD629F0">
      <w:start w:val="1"/>
      <w:numFmt w:val="lowerLetter"/>
      <w:lvlText w:val="%8."/>
      <w:lvlJc w:val="left"/>
      <w:pPr>
        <w:ind w:left="6840" w:hanging="360"/>
      </w:pPr>
    </w:lvl>
    <w:lvl w:ilvl="8" w:tplc="3E5228DA">
      <w:start w:val="1"/>
      <w:numFmt w:val="lowerRoman"/>
      <w:lvlText w:val="%9."/>
      <w:lvlJc w:val="right"/>
      <w:pPr>
        <w:ind w:left="7560" w:hanging="180"/>
      </w:pPr>
    </w:lvl>
  </w:abstractNum>
  <w:abstractNum w:abstractNumId="16" w15:restartNumberingAfterBreak="0">
    <w:nsid w:val="327468E9"/>
    <w:multiLevelType w:val="hybridMultilevel"/>
    <w:tmpl w:val="FFFFFFFF"/>
    <w:lvl w:ilvl="0" w:tplc="0FDA6D4C">
      <w:start w:val="1"/>
      <w:numFmt w:val="bullet"/>
      <w:lvlText w:val="•"/>
      <w:lvlJc w:val="left"/>
      <w:pPr>
        <w:ind w:left="720" w:hanging="360"/>
      </w:pPr>
      <w:rPr>
        <w:rFonts w:ascii="Cambria" w:hAnsi="Cambria" w:hint="default"/>
      </w:rPr>
    </w:lvl>
    <w:lvl w:ilvl="1" w:tplc="7CD8013E">
      <w:start w:val="1"/>
      <w:numFmt w:val="bullet"/>
      <w:lvlText w:val="o"/>
      <w:lvlJc w:val="left"/>
      <w:pPr>
        <w:ind w:left="1440" w:hanging="360"/>
      </w:pPr>
      <w:rPr>
        <w:rFonts w:ascii="Courier New" w:hAnsi="Courier New" w:hint="default"/>
      </w:rPr>
    </w:lvl>
    <w:lvl w:ilvl="2" w:tplc="0B2A9CEC">
      <w:start w:val="1"/>
      <w:numFmt w:val="bullet"/>
      <w:lvlText w:val=""/>
      <w:lvlJc w:val="left"/>
      <w:pPr>
        <w:ind w:left="2160" w:hanging="360"/>
      </w:pPr>
      <w:rPr>
        <w:rFonts w:ascii="Wingdings" w:hAnsi="Wingdings" w:hint="default"/>
      </w:rPr>
    </w:lvl>
    <w:lvl w:ilvl="3" w:tplc="8DFA18A2">
      <w:start w:val="1"/>
      <w:numFmt w:val="bullet"/>
      <w:lvlText w:val=""/>
      <w:lvlJc w:val="left"/>
      <w:pPr>
        <w:ind w:left="2880" w:hanging="360"/>
      </w:pPr>
      <w:rPr>
        <w:rFonts w:ascii="Symbol" w:hAnsi="Symbol" w:hint="default"/>
      </w:rPr>
    </w:lvl>
    <w:lvl w:ilvl="4" w:tplc="743A4500">
      <w:start w:val="1"/>
      <w:numFmt w:val="bullet"/>
      <w:lvlText w:val="o"/>
      <w:lvlJc w:val="left"/>
      <w:pPr>
        <w:ind w:left="3600" w:hanging="360"/>
      </w:pPr>
      <w:rPr>
        <w:rFonts w:ascii="Courier New" w:hAnsi="Courier New" w:hint="default"/>
      </w:rPr>
    </w:lvl>
    <w:lvl w:ilvl="5" w:tplc="9B8EFE36">
      <w:start w:val="1"/>
      <w:numFmt w:val="bullet"/>
      <w:lvlText w:val=""/>
      <w:lvlJc w:val="left"/>
      <w:pPr>
        <w:ind w:left="4320" w:hanging="360"/>
      </w:pPr>
      <w:rPr>
        <w:rFonts w:ascii="Wingdings" w:hAnsi="Wingdings" w:hint="default"/>
      </w:rPr>
    </w:lvl>
    <w:lvl w:ilvl="6" w:tplc="22BE475A">
      <w:start w:val="1"/>
      <w:numFmt w:val="bullet"/>
      <w:lvlText w:val=""/>
      <w:lvlJc w:val="left"/>
      <w:pPr>
        <w:ind w:left="5040" w:hanging="360"/>
      </w:pPr>
      <w:rPr>
        <w:rFonts w:ascii="Symbol" w:hAnsi="Symbol" w:hint="default"/>
      </w:rPr>
    </w:lvl>
    <w:lvl w:ilvl="7" w:tplc="A7668066">
      <w:start w:val="1"/>
      <w:numFmt w:val="bullet"/>
      <w:lvlText w:val="o"/>
      <w:lvlJc w:val="left"/>
      <w:pPr>
        <w:ind w:left="5760" w:hanging="360"/>
      </w:pPr>
      <w:rPr>
        <w:rFonts w:ascii="Courier New" w:hAnsi="Courier New" w:hint="default"/>
      </w:rPr>
    </w:lvl>
    <w:lvl w:ilvl="8" w:tplc="6876E518">
      <w:start w:val="1"/>
      <w:numFmt w:val="bullet"/>
      <w:lvlText w:val=""/>
      <w:lvlJc w:val="left"/>
      <w:pPr>
        <w:ind w:left="6480" w:hanging="360"/>
      </w:pPr>
      <w:rPr>
        <w:rFonts w:ascii="Wingdings" w:hAnsi="Wingdings" w:hint="default"/>
      </w:rPr>
    </w:lvl>
  </w:abstractNum>
  <w:abstractNum w:abstractNumId="17" w15:restartNumberingAfterBreak="0">
    <w:nsid w:val="35A607AB"/>
    <w:multiLevelType w:val="hybridMultilevel"/>
    <w:tmpl w:val="6C407580"/>
    <w:lvl w:ilvl="0" w:tplc="1CD8E4DE">
      <w:start w:val="1"/>
      <w:numFmt w:val="bullet"/>
      <w:lvlText w:val="–"/>
      <w:lvlJc w:val="left"/>
      <w:pPr>
        <w:ind w:left="720" w:hanging="360"/>
      </w:pPr>
      <w:rPr>
        <w:rFonts w:ascii="Arial" w:hAnsi="Arial" w:hint="default"/>
      </w:rPr>
    </w:lvl>
    <w:lvl w:ilvl="1" w:tplc="947001C4">
      <w:start w:val="1"/>
      <w:numFmt w:val="bullet"/>
      <w:lvlText w:val="o"/>
      <w:lvlJc w:val="left"/>
      <w:pPr>
        <w:ind w:left="1440" w:hanging="360"/>
      </w:pPr>
      <w:rPr>
        <w:rFonts w:ascii="Courier New" w:hAnsi="Courier New" w:hint="default"/>
      </w:rPr>
    </w:lvl>
    <w:lvl w:ilvl="2" w:tplc="27764346">
      <w:start w:val="1"/>
      <w:numFmt w:val="bullet"/>
      <w:lvlText w:val=""/>
      <w:lvlJc w:val="left"/>
      <w:pPr>
        <w:ind w:left="2160" w:hanging="360"/>
      </w:pPr>
      <w:rPr>
        <w:rFonts w:ascii="Wingdings" w:hAnsi="Wingdings" w:hint="default"/>
      </w:rPr>
    </w:lvl>
    <w:lvl w:ilvl="3" w:tplc="50762C76">
      <w:start w:val="1"/>
      <w:numFmt w:val="bullet"/>
      <w:lvlText w:val=""/>
      <w:lvlJc w:val="left"/>
      <w:pPr>
        <w:ind w:left="2880" w:hanging="360"/>
      </w:pPr>
      <w:rPr>
        <w:rFonts w:ascii="Symbol" w:hAnsi="Symbol" w:hint="default"/>
      </w:rPr>
    </w:lvl>
    <w:lvl w:ilvl="4" w:tplc="3A90229E">
      <w:start w:val="1"/>
      <w:numFmt w:val="bullet"/>
      <w:lvlText w:val="o"/>
      <w:lvlJc w:val="left"/>
      <w:pPr>
        <w:ind w:left="3600" w:hanging="360"/>
      </w:pPr>
      <w:rPr>
        <w:rFonts w:ascii="Courier New" w:hAnsi="Courier New" w:hint="default"/>
      </w:rPr>
    </w:lvl>
    <w:lvl w:ilvl="5" w:tplc="778EF802">
      <w:start w:val="1"/>
      <w:numFmt w:val="bullet"/>
      <w:lvlText w:val=""/>
      <w:lvlJc w:val="left"/>
      <w:pPr>
        <w:ind w:left="4320" w:hanging="360"/>
      </w:pPr>
      <w:rPr>
        <w:rFonts w:ascii="Wingdings" w:hAnsi="Wingdings" w:hint="default"/>
      </w:rPr>
    </w:lvl>
    <w:lvl w:ilvl="6" w:tplc="E7E6F884">
      <w:start w:val="1"/>
      <w:numFmt w:val="bullet"/>
      <w:lvlText w:val=""/>
      <w:lvlJc w:val="left"/>
      <w:pPr>
        <w:ind w:left="5040" w:hanging="360"/>
      </w:pPr>
      <w:rPr>
        <w:rFonts w:ascii="Symbol" w:hAnsi="Symbol" w:hint="default"/>
      </w:rPr>
    </w:lvl>
    <w:lvl w:ilvl="7" w:tplc="A6DCC088">
      <w:start w:val="1"/>
      <w:numFmt w:val="bullet"/>
      <w:lvlText w:val="o"/>
      <w:lvlJc w:val="left"/>
      <w:pPr>
        <w:ind w:left="5760" w:hanging="360"/>
      </w:pPr>
      <w:rPr>
        <w:rFonts w:ascii="Courier New" w:hAnsi="Courier New" w:hint="default"/>
      </w:rPr>
    </w:lvl>
    <w:lvl w:ilvl="8" w:tplc="DDA83974">
      <w:start w:val="1"/>
      <w:numFmt w:val="bullet"/>
      <w:lvlText w:val=""/>
      <w:lvlJc w:val="left"/>
      <w:pPr>
        <w:ind w:left="6480" w:hanging="360"/>
      </w:pPr>
      <w:rPr>
        <w:rFonts w:ascii="Wingdings" w:hAnsi="Wingdings" w:hint="default"/>
      </w:rPr>
    </w:lvl>
  </w:abstractNum>
  <w:abstractNum w:abstractNumId="18" w15:restartNumberingAfterBreak="0">
    <w:nsid w:val="3AED6669"/>
    <w:multiLevelType w:val="hybridMultilevel"/>
    <w:tmpl w:val="150E158E"/>
    <w:lvl w:ilvl="0" w:tplc="49A6BEC0">
      <w:start w:val="1"/>
      <w:numFmt w:val="bullet"/>
      <w:lvlText w:val=""/>
      <w:lvlJc w:val="left"/>
      <w:pPr>
        <w:ind w:left="720" w:hanging="360"/>
      </w:pPr>
      <w:rPr>
        <w:rFonts w:ascii="Symbol" w:hAnsi="Symbol"/>
      </w:rPr>
    </w:lvl>
    <w:lvl w:ilvl="1" w:tplc="70AA96E0">
      <w:start w:val="1"/>
      <w:numFmt w:val="bullet"/>
      <w:lvlText w:val=""/>
      <w:lvlJc w:val="left"/>
      <w:pPr>
        <w:ind w:left="720" w:hanging="360"/>
      </w:pPr>
      <w:rPr>
        <w:rFonts w:ascii="Symbol" w:hAnsi="Symbol"/>
      </w:rPr>
    </w:lvl>
    <w:lvl w:ilvl="2" w:tplc="B7362FEC">
      <w:start w:val="1"/>
      <w:numFmt w:val="bullet"/>
      <w:lvlText w:val=""/>
      <w:lvlJc w:val="left"/>
      <w:pPr>
        <w:ind w:left="720" w:hanging="360"/>
      </w:pPr>
      <w:rPr>
        <w:rFonts w:ascii="Symbol" w:hAnsi="Symbol"/>
      </w:rPr>
    </w:lvl>
    <w:lvl w:ilvl="3" w:tplc="D6E24F8A">
      <w:start w:val="1"/>
      <w:numFmt w:val="bullet"/>
      <w:lvlText w:val=""/>
      <w:lvlJc w:val="left"/>
      <w:pPr>
        <w:ind w:left="720" w:hanging="360"/>
      </w:pPr>
      <w:rPr>
        <w:rFonts w:ascii="Symbol" w:hAnsi="Symbol"/>
      </w:rPr>
    </w:lvl>
    <w:lvl w:ilvl="4" w:tplc="E790FB78">
      <w:start w:val="1"/>
      <w:numFmt w:val="bullet"/>
      <w:lvlText w:val=""/>
      <w:lvlJc w:val="left"/>
      <w:pPr>
        <w:ind w:left="720" w:hanging="360"/>
      </w:pPr>
      <w:rPr>
        <w:rFonts w:ascii="Symbol" w:hAnsi="Symbol"/>
      </w:rPr>
    </w:lvl>
    <w:lvl w:ilvl="5" w:tplc="B5504758">
      <w:start w:val="1"/>
      <w:numFmt w:val="bullet"/>
      <w:lvlText w:val=""/>
      <w:lvlJc w:val="left"/>
      <w:pPr>
        <w:ind w:left="720" w:hanging="360"/>
      </w:pPr>
      <w:rPr>
        <w:rFonts w:ascii="Symbol" w:hAnsi="Symbol"/>
      </w:rPr>
    </w:lvl>
    <w:lvl w:ilvl="6" w:tplc="7CC2B38C">
      <w:start w:val="1"/>
      <w:numFmt w:val="bullet"/>
      <w:lvlText w:val=""/>
      <w:lvlJc w:val="left"/>
      <w:pPr>
        <w:ind w:left="720" w:hanging="360"/>
      </w:pPr>
      <w:rPr>
        <w:rFonts w:ascii="Symbol" w:hAnsi="Symbol"/>
      </w:rPr>
    </w:lvl>
    <w:lvl w:ilvl="7" w:tplc="B7362C8A">
      <w:start w:val="1"/>
      <w:numFmt w:val="bullet"/>
      <w:lvlText w:val=""/>
      <w:lvlJc w:val="left"/>
      <w:pPr>
        <w:ind w:left="720" w:hanging="360"/>
      </w:pPr>
      <w:rPr>
        <w:rFonts w:ascii="Symbol" w:hAnsi="Symbol"/>
      </w:rPr>
    </w:lvl>
    <w:lvl w:ilvl="8" w:tplc="1848F662">
      <w:start w:val="1"/>
      <w:numFmt w:val="bullet"/>
      <w:lvlText w:val=""/>
      <w:lvlJc w:val="left"/>
      <w:pPr>
        <w:ind w:left="720" w:hanging="360"/>
      </w:pPr>
      <w:rPr>
        <w:rFonts w:ascii="Symbol" w:hAnsi="Symbol"/>
      </w:rPr>
    </w:lvl>
  </w:abstractNum>
  <w:abstractNum w:abstractNumId="19" w15:restartNumberingAfterBreak="0">
    <w:nsid w:val="3BF734A5"/>
    <w:multiLevelType w:val="hybridMultilevel"/>
    <w:tmpl w:val="D0F03DBC"/>
    <w:lvl w:ilvl="0" w:tplc="E9783918">
      <w:start w:val="1"/>
      <w:numFmt w:val="bullet"/>
      <w:lvlText w:val=""/>
      <w:lvlJc w:val="left"/>
      <w:pPr>
        <w:ind w:left="720" w:hanging="360"/>
      </w:pPr>
      <w:rPr>
        <w:rFonts w:ascii="Symbol" w:hAnsi="Symbol"/>
      </w:rPr>
    </w:lvl>
    <w:lvl w:ilvl="1" w:tplc="B8BA44EA">
      <w:start w:val="1"/>
      <w:numFmt w:val="bullet"/>
      <w:lvlText w:val=""/>
      <w:lvlJc w:val="left"/>
      <w:pPr>
        <w:ind w:left="720" w:hanging="360"/>
      </w:pPr>
      <w:rPr>
        <w:rFonts w:ascii="Symbol" w:hAnsi="Symbol"/>
      </w:rPr>
    </w:lvl>
    <w:lvl w:ilvl="2" w:tplc="319449A2">
      <w:start w:val="1"/>
      <w:numFmt w:val="bullet"/>
      <w:lvlText w:val=""/>
      <w:lvlJc w:val="left"/>
      <w:pPr>
        <w:ind w:left="720" w:hanging="360"/>
      </w:pPr>
      <w:rPr>
        <w:rFonts w:ascii="Symbol" w:hAnsi="Symbol"/>
      </w:rPr>
    </w:lvl>
    <w:lvl w:ilvl="3" w:tplc="35127132">
      <w:start w:val="1"/>
      <w:numFmt w:val="bullet"/>
      <w:lvlText w:val=""/>
      <w:lvlJc w:val="left"/>
      <w:pPr>
        <w:ind w:left="720" w:hanging="360"/>
      </w:pPr>
      <w:rPr>
        <w:rFonts w:ascii="Symbol" w:hAnsi="Symbol"/>
      </w:rPr>
    </w:lvl>
    <w:lvl w:ilvl="4" w:tplc="FFD8A5F6">
      <w:start w:val="1"/>
      <w:numFmt w:val="bullet"/>
      <w:lvlText w:val=""/>
      <w:lvlJc w:val="left"/>
      <w:pPr>
        <w:ind w:left="720" w:hanging="360"/>
      </w:pPr>
      <w:rPr>
        <w:rFonts w:ascii="Symbol" w:hAnsi="Symbol"/>
      </w:rPr>
    </w:lvl>
    <w:lvl w:ilvl="5" w:tplc="36E08EE8">
      <w:start w:val="1"/>
      <w:numFmt w:val="bullet"/>
      <w:lvlText w:val=""/>
      <w:lvlJc w:val="left"/>
      <w:pPr>
        <w:ind w:left="720" w:hanging="360"/>
      </w:pPr>
      <w:rPr>
        <w:rFonts w:ascii="Symbol" w:hAnsi="Symbol"/>
      </w:rPr>
    </w:lvl>
    <w:lvl w:ilvl="6" w:tplc="E1A036A6">
      <w:start w:val="1"/>
      <w:numFmt w:val="bullet"/>
      <w:lvlText w:val=""/>
      <w:lvlJc w:val="left"/>
      <w:pPr>
        <w:ind w:left="720" w:hanging="360"/>
      </w:pPr>
      <w:rPr>
        <w:rFonts w:ascii="Symbol" w:hAnsi="Symbol"/>
      </w:rPr>
    </w:lvl>
    <w:lvl w:ilvl="7" w:tplc="E1589BBC">
      <w:start w:val="1"/>
      <w:numFmt w:val="bullet"/>
      <w:lvlText w:val=""/>
      <w:lvlJc w:val="left"/>
      <w:pPr>
        <w:ind w:left="720" w:hanging="360"/>
      </w:pPr>
      <w:rPr>
        <w:rFonts w:ascii="Symbol" w:hAnsi="Symbol"/>
      </w:rPr>
    </w:lvl>
    <w:lvl w:ilvl="8" w:tplc="FC109FAC">
      <w:start w:val="1"/>
      <w:numFmt w:val="bullet"/>
      <w:lvlText w:val=""/>
      <w:lvlJc w:val="left"/>
      <w:pPr>
        <w:ind w:left="720" w:hanging="360"/>
      </w:pPr>
      <w:rPr>
        <w:rFonts w:ascii="Symbol" w:hAnsi="Symbol"/>
      </w:rPr>
    </w:lvl>
  </w:abstractNum>
  <w:abstractNum w:abstractNumId="20" w15:restartNumberingAfterBreak="0">
    <w:nsid w:val="40D73A5B"/>
    <w:multiLevelType w:val="hybridMultilevel"/>
    <w:tmpl w:val="DE8E77E2"/>
    <w:lvl w:ilvl="0" w:tplc="927E7242">
      <w:start w:val="1"/>
      <w:numFmt w:val="bullet"/>
      <w:lvlText w:val=""/>
      <w:lvlJc w:val="left"/>
      <w:pPr>
        <w:ind w:left="720" w:hanging="360"/>
      </w:pPr>
      <w:rPr>
        <w:rFonts w:ascii="Symbol" w:hAnsi="Symbol"/>
      </w:rPr>
    </w:lvl>
    <w:lvl w:ilvl="1" w:tplc="E8549852">
      <w:start w:val="1"/>
      <w:numFmt w:val="bullet"/>
      <w:lvlText w:val=""/>
      <w:lvlJc w:val="left"/>
      <w:pPr>
        <w:ind w:left="720" w:hanging="360"/>
      </w:pPr>
      <w:rPr>
        <w:rFonts w:ascii="Symbol" w:hAnsi="Symbol"/>
      </w:rPr>
    </w:lvl>
    <w:lvl w:ilvl="2" w:tplc="FF18C2E8">
      <w:start w:val="1"/>
      <w:numFmt w:val="bullet"/>
      <w:lvlText w:val=""/>
      <w:lvlJc w:val="left"/>
      <w:pPr>
        <w:ind w:left="720" w:hanging="360"/>
      </w:pPr>
      <w:rPr>
        <w:rFonts w:ascii="Symbol" w:hAnsi="Symbol"/>
      </w:rPr>
    </w:lvl>
    <w:lvl w:ilvl="3" w:tplc="C644B7D8">
      <w:start w:val="1"/>
      <w:numFmt w:val="bullet"/>
      <w:lvlText w:val=""/>
      <w:lvlJc w:val="left"/>
      <w:pPr>
        <w:ind w:left="720" w:hanging="360"/>
      </w:pPr>
      <w:rPr>
        <w:rFonts w:ascii="Symbol" w:hAnsi="Symbol"/>
      </w:rPr>
    </w:lvl>
    <w:lvl w:ilvl="4" w:tplc="476A3350">
      <w:start w:val="1"/>
      <w:numFmt w:val="bullet"/>
      <w:lvlText w:val=""/>
      <w:lvlJc w:val="left"/>
      <w:pPr>
        <w:ind w:left="720" w:hanging="360"/>
      </w:pPr>
      <w:rPr>
        <w:rFonts w:ascii="Symbol" w:hAnsi="Symbol"/>
      </w:rPr>
    </w:lvl>
    <w:lvl w:ilvl="5" w:tplc="EC6EF486">
      <w:start w:val="1"/>
      <w:numFmt w:val="bullet"/>
      <w:lvlText w:val=""/>
      <w:lvlJc w:val="left"/>
      <w:pPr>
        <w:ind w:left="720" w:hanging="360"/>
      </w:pPr>
      <w:rPr>
        <w:rFonts w:ascii="Symbol" w:hAnsi="Symbol"/>
      </w:rPr>
    </w:lvl>
    <w:lvl w:ilvl="6" w:tplc="647AF7A8">
      <w:start w:val="1"/>
      <w:numFmt w:val="bullet"/>
      <w:lvlText w:val=""/>
      <w:lvlJc w:val="left"/>
      <w:pPr>
        <w:ind w:left="720" w:hanging="360"/>
      </w:pPr>
      <w:rPr>
        <w:rFonts w:ascii="Symbol" w:hAnsi="Symbol"/>
      </w:rPr>
    </w:lvl>
    <w:lvl w:ilvl="7" w:tplc="76D2B498">
      <w:start w:val="1"/>
      <w:numFmt w:val="bullet"/>
      <w:lvlText w:val=""/>
      <w:lvlJc w:val="left"/>
      <w:pPr>
        <w:ind w:left="720" w:hanging="360"/>
      </w:pPr>
      <w:rPr>
        <w:rFonts w:ascii="Symbol" w:hAnsi="Symbol"/>
      </w:rPr>
    </w:lvl>
    <w:lvl w:ilvl="8" w:tplc="A164E518">
      <w:start w:val="1"/>
      <w:numFmt w:val="bullet"/>
      <w:lvlText w:val=""/>
      <w:lvlJc w:val="left"/>
      <w:pPr>
        <w:ind w:left="720" w:hanging="360"/>
      </w:pPr>
      <w:rPr>
        <w:rFonts w:ascii="Symbol" w:hAnsi="Symbol"/>
      </w:rPr>
    </w:lvl>
  </w:abstractNum>
  <w:abstractNum w:abstractNumId="21" w15:restartNumberingAfterBreak="0">
    <w:nsid w:val="476A623D"/>
    <w:multiLevelType w:val="hybridMultilevel"/>
    <w:tmpl w:val="FFE82796"/>
    <w:lvl w:ilvl="0" w:tplc="1B724FC8">
      <w:start w:val="1"/>
      <w:numFmt w:val="bullet"/>
      <w:lvlText w:val=""/>
      <w:lvlJc w:val="left"/>
      <w:pPr>
        <w:ind w:left="720" w:hanging="360"/>
      </w:pPr>
      <w:rPr>
        <w:rFonts w:ascii="Symbol" w:hAnsi="Symbol"/>
      </w:rPr>
    </w:lvl>
    <w:lvl w:ilvl="1" w:tplc="FCFA9BD6">
      <w:start w:val="1"/>
      <w:numFmt w:val="bullet"/>
      <w:lvlText w:val=""/>
      <w:lvlJc w:val="left"/>
      <w:pPr>
        <w:ind w:left="720" w:hanging="360"/>
      </w:pPr>
      <w:rPr>
        <w:rFonts w:ascii="Symbol" w:hAnsi="Symbol"/>
      </w:rPr>
    </w:lvl>
    <w:lvl w:ilvl="2" w:tplc="F844EF88">
      <w:start w:val="1"/>
      <w:numFmt w:val="bullet"/>
      <w:lvlText w:val=""/>
      <w:lvlJc w:val="left"/>
      <w:pPr>
        <w:ind w:left="720" w:hanging="360"/>
      </w:pPr>
      <w:rPr>
        <w:rFonts w:ascii="Symbol" w:hAnsi="Symbol"/>
      </w:rPr>
    </w:lvl>
    <w:lvl w:ilvl="3" w:tplc="FD705E72">
      <w:start w:val="1"/>
      <w:numFmt w:val="bullet"/>
      <w:lvlText w:val=""/>
      <w:lvlJc w:val="left"/>
      <w:pPr>
        <w:ind w:left="720" w:hanging="360"/>
      </w:pPr>
      <w:rPr>
        <w:rFonts w:ascii="Symbol" w:hAnsi="Symbol"/>
      </w:rPr>
    </w:lvl>
    <w:lvl w:ilvl="4" w:tplc="A360226A">
      <w:start w:val="1"/>
      <w:numFmt w:val="bullet"/>
      <w:lvlText w:val=""/>
      <w:lvlJc w:val="left"/>
      <w:pPr>
        <w:ind w:left="720" w:hanging="360"/>
      </w:pPr>
      <w:rPr>
        <w:rFonts w:ascii="Symbol" w:hAnsi="Symbol"/>
      </w:rPr>
    </w:lvl>
    <w:lvl w:ilvl="5" w:tplc="BBF66CBA">
      <w:start w:val="1"/>
      <w:numFmt w:val="bullet"/>
      <w:lvlText w:val=""/>
      <w:lvlJc w:val="left"/>
      <w:pPr>
        <w:ind w:left="720" w:hanging="360"/>
      </w:pPr>
      <w:rPr>
        <w:rFonts w:ascii="Symbol" w:hAnsi="Symbol"/>
      </w:rPr>
    </w:lvl>
    <w:lvl w:ilvl="6" w:tplc="A63E3420">
      <w:start w:val="1"/>
      <w:numFmt w:val="bullet"/>
      <w:lvlText w:val=""/>
      <w:lvlJc w:val="left"/>
      <w:pPr>
        <w:ind w:left="720" w:hanging="360"/>
      </w:pPr>
      <w:rPr>
        <w:rFonts w:ascii="Symbol" w:hAnsi="Symbol"/>
      </w:rPr>
    </w:lvl>
    <w:lvl w:ilvl="7" w:tplc="06BCAC54">
      <w:start w:val="1"/>
      <w:numFmt w:val="bullet"/>
      <w:lvlText w:val=""/>
      <w:lvlJc w:val="left"/>
      <w:pPr>
        <w:ind w:left="720" w:hanging="360"/>
      </w:pPr>
      <w:rPr>
        <w:rFonts w:ascii="Symbol" w:hAnsi="Symbol"/>
      </w:rPr>
    </w:lvl>
    <w:lvl w:ilvl="8" w:tplc="B45820DA">
      <w:start w:val="1"/>
      <w:numFmt w:val="bullet"/>
      <w:lvlText w:val=""/>
      <w:lvlJc w:val="left"/>
      <w:pPr>
        <w:ind w:left="720" w:hanging="360"/>
      </w:pPr>
      <w:rPr>
        <w:rFonts w:ascii="Symbol" w:hAnsi="Symbol"/>
      </w:rPr>
    </w:lvl>
  </w:abstractNum>
  <w:abstractNum w:abstractNumId="22" w15:restartNumberingAfterBreak="0">
    <w:nsid w:val="47FC3FCD"/>
    <w:multiLevelType w:val="hybridMultilevel"/>
    <w:tmpl w:val="AA5ACF0A"/>
    <w:lvl w:ilvl="0" w:tplc="27D69702">
      <w:start w:val="1"/>
      <w:numFmt w:val="lowerLetter"/>
      <w:lvlText w:val="%1)"/>
      <w:lvlJc w:val="left"/>
      <w:pPr>
        <w:ind w:left="1020" w:hanging="360"/>
      </w:pPr>
    </w:lvl>
    <w:lvl w:ilvl="1" w:tplc="9BF8289A">
      <w:start w:val="1"/>
      <w:numFmt w:val="lowerLetter"/>
      <w:lvlText w:val="%2)"/>
      <w:lvlJc w:val="left"/>
      <w:pPr>
        <w:ind w:left="1020" w:hanging="360"/>
      </w:pPr>
    </w:lvl>
    <w:lvl w:ilvl="2" w:tplc="1A28E1F6">
      <w:start w:val="1"/>
      <w:numFmt w:val="lowerLetter"/>
      <w:lvlText w:val="%3)"/>
      <w:lvlJc w:val="left"/>
      <w:pPr>
        <w:ind w:left="1020" w:hanging="360"/>
      </w:pPr>
    </w:lvl>
    <w:lvl w:ilvl="3" w:tplc="54246778">
      <w:start w:val="1"/>
      <w:numFmt w:val="lowerLetter"/>
      <w:lvlText w:val="%4)"/>
      <w:lvlJc w:val="left"/>
      <w:pPr>
        <w:ind w:left="1020" w:hanging="360"/>
      </w:pPr>
    </w:lvl>
    <w:lvl w:ilvl="4" w:tplc="F7C2979C">
      <w:start w:val="1"/>
      <w:numFmt w:val="lowerLetter"/>
      <w:lvlText w:val="%5)"/>
      <w:lvlJc w:val="left"/>
      <w:pPr>
        <w:ind w:left="1020" w:hanging="360"/>
      </w:pPr>
    </w:lvl>
    <w:lvl w:ilvl="5" w:tplc="A7F60A06">
      <w:start w:val="1"/>
      <w:numFmt w:val="lowerLetter"/>
      <w:lvlText w:val="%6)"/>
      <w:lvlJc w:val="left"/>
      <w:pPr>
        <w:ind w:left="1020" w:hanging="360"/>
      </w:pPr>
    </w:lvl>
    <w:lvl w:ilvl="6" w:tplc="F0E2A400">
      <w:start w:val="1"/>
      <w:numFmt w:val="lowerLetter"/>
      <w:lvlText w:val="%7)"/>
      <w:lvlJc w:val="left"/>
      <w:pPr>
        <w:ind w:left="1020" w:hanging="360"/>
      </w:pPr>
    </w:lvl>
    <w:lvl w:ilvl="7" w:tplc="25188F5E">
      <w:start w:val="1"/>
      <w:numFmt w:val="lowerLetter"/>
      <w:lvlText w:val="%8)"/>
      <w:lvlJc w:val="left"/>
      <w:pPr>
        <w:ind w:left="1020" w:hanging="360"/>
      </w:pPr>
    </w:lvl>
    <w:lvl w:ilvl="8" w:tplc="71924C26">
      <w:start w:val="1"/>
      <w:numFmt w:val="lowerLetter"/>
      <w:lvlText w:val="%9)"/>
      <w:lvlJc w:val="left"/>
      <w:pPr>
        <w:ind w:left="1020" w:hanging="360"/>
      </w:pPr>
    </w:lvl>
  </w:abstractNum>
  <w:abstractNum w:abstractNumId="23" w15:restartNumberingAfterBreak="0">
    <w:nsid w:val="4B3C096F"/>
    <w:multiLevelType w:val="hybridMultilevel"/>
    <w:tmpl w:val="2B92E2A2"/>
    <w:lvl w:ilvl="0" w:tplc="DB525470">
      <w:start w:val="1"/>
      <w:numFmt w:val="lowerLetter"/>
      <w:lvlText w:val="%1)"/>
      <w:lvlJc w:val="left"/>
      <w:pPr>
        <w:ind w:left="1020" w:hanging="360"/>
      </w:pPr>
    </w:lvl>
    <w:lvl w:ilvl="1" w:tplc="9EAE097C">
      <w:start w:val="1"/>
      <w:numFmt w:val="lowerLetter"/>
      <w:lvlText w:val="%2)"/>
      <w:lvlJc w:val="left"/>
      <w:pPr>
        <w:ind w:left="1020" w:hanging="360"/>
      </w:pPr>
    </w:lvl>
    <w:lvl w:ilvl="2" w:tplc="25B62BBA">
      <w:start w:val="1"/>
      <w:numFmt w:val="lowerLetter"/>
      <w:lvlText w:val="%3)"/>
      <w:lvlJc w:val="left"/>
      <w:pPr>
        <w:ind w:left="1020" w:hanging="360"/>
      </w:pPr>
    </w:lvl>
    <w:lvl w:ilvl="3" w:tplc="EB1AF35A">
      <w:start w:val="1"/>
      <w:numFmt w:val="lowerLetter"/>
      <w:lvlText w:val="%4)"/>
      <w:lvlJc w:val="left"/>
      <w:pPr>
        <w:ind w:left="1020" w:hanging="360"/>
      </w:pPr>
    </w:lvl>
    <w:lvl w:ilvl="4" w:tplc="8A789A24">
      <w:start w:val="1"/>
      <w:numFmt w:val="lowerLetter"/>
      <w:lvlText w:val="%5)"/>
      <w:lvlJc w:val="left"/>
      <w:pPr>
        <w:ind w:left="1020" w:hanging="360"/>
      </w:pPr>
    </w:lvl>
    <w:lvl w:ilvl="5" w:tplc="03DEC316">
      <w:start w:val="1"/>
      <w:numFmt w:val="lowerLetter"/>
      <w:lvlText w:val="%6)"/>
      <w:lvlJc w:val="left"/>
      <w:pPr>
        <w:ind w:left="1020" w:hanging="360"/>
      </w:pPr>
    </w:lvl>
    <w:lvl w:ilvl="6" w:tplc="9702C24A">
      <w:start w:val="1"/>
      <w:numFmt w:val="lowerLetter"/>
      <w:lvlText w:val="%7)"/>
      <w:lvlJc w:val="left"/>
      <w:pPr>
        <w:ind w:left="1020" w:hanging="360"/>
      </w:pPr>
    </w:lvl>
    <w:lvl w:ilvl="7" w:tplc="2B166712">
      <w:start w:val="1"/>
      <w:numFmt w:val="lowerLetter"/>
      <w:lvlText w:val="%8)"/>
      <w:lvlJc w:val="left"/>
      <w:pPr>
        <w:ind w:left="1020" w:hanging="360"/>
      </w:pPr>
    </w:lvl>
    <w:lvl w:ilvl="8" w:tplc="A8D8DC52">
      <w:start w:val="1"/>
      <w:numFmt w:val="lowerLetter"/>
      <w:lvlText w:val="%9)"/>
      <w:lvlJc w:val="left"/>
      <w:pPr>
        <w:ind w:left="1020" w:hanging="360"/>
      </w:pPr>
    </w:lvl>
  </w:abstractNum>
  <w:abstractNum w:abstractNumId="24" w15:restartNumberingAfterBreak="0">
    <w:nsid w:val="50336B0D"/>
    <w:multiLevelType w:val="hybridMultilevel"/>
    <w:tmpl w:val="93D6F948"/>
    <w:lvl w:ilvl="0" w:tplc="F270368A">
      <w:start w:val="1"/>
      <w:numFmt w:val="lowerRoman"/>
      <w:pStyle w:val="Numberbullet3"/>
      <w:lvlText w:val="%1)"/>
      <w:lvlJc w:val="right"/>
      <w:pPr>
        <w:ind w:left="1505" w:hanging="360"/>
      </w:pPr>
    </w:lvl>
    <w:lvl w:ilvl="1" w:tplc="0C090019" w:tentative="1">
      <w:start w:val="1"/>
      <w:numFmt w:val="lowerLetter"/>
      <w:lvlText w:val="%2."/>
      <w:lvlJc w:val="left"/>
      <w:pPr>
        <w:ind w:left="2225" w:hanging="360"/>
      </w:pPr>
    </w:lvl>
    <w:lvl w:ilvl="2" w:tplc="0C09001B" w:tentative="1">
      <w:start w:val="1"/>
      <w:numFmt w:val="lowerRoman"/>
      <w:lvlText w:val="%3."/>
      <w:lvlJc w:val="right"/>
      <w:pPr>
        <w:ind w:left="2945" w:hanging="180"/>
      </w:pPr>
    </w:lvl>
    <w:lvl w:ilvl="3" w:tplc="0C09000F" w:tentative="1">
      <w:start w:val="1"/>
      <w:numFmt w:val="decimal"/>
      <w:lvlText w:val="%4."/>
      <w:lvlJc w:val="left"/>
      <w:pPr>
        <w:ind w:left="3665" w:hanging="360"/>
      </w:pPr>
    </w:lvl>
    <w:lvl w:ilvl="4" w:tplc="0C090019" w:tentative="1">
      <w:start w:val="1"/>
      <w:numFmt w:val="lowerLetter"/>
      <w:lvlText w:val="%5."/>
      <w:lvlJc w:val="left"/>
      <w:pPr>
        <w:ind w:left="4385" w:hanging="360"/>
      </w:pPr>
    </w:lvl>
    <w:lvl w:ilvl="5" w:tplc="0C09001B" w:tentative="1">
      <w:start w:val="1"/>
      <w:numFmt w:val="lowerRoman"/>
      <w:lvlText w:val="%6."/>
      <w:lvlJc w:val="right"/>
      <w:pPr>
        <w:ind w:left="5105" w:hanging="180"/>
      </w:pPr>
    </w:lvl>
    <w:lvl w:ilvl="6" w:tplc="0C09000F" w:tentative="1">
      <w:start w:val="1"/>
      <w:numFmt w:val="decimal"/>
      <w:lvlText w:val="%7."/>
      <w:lvlJc w:val="left"/>
      <w:pPr>
        <w:ind w:left="5825" w:hanging="360"/>
      </w:pPr>
    </w:lvl>
    <w:lvl w:ilvl="7" w:tplc="0C090019" w:tentative="1">
      <w:start w:val="1"/>
      <w:numFmt w:val="lowerLetter"/>
      <w:lvlText w:val="%8."/>
      <w:lvlJc w:val="left"/>
      <w:pPr>
        <w:ind w:left="6545" w:hanging="360"/>
      </w:pPr>
    </w:lvl>
    <w:lvl w:ilvl="8" w:tplc="0C09001B" w:tentative="1">
      <w:start w:val="1"/>
      <w:numFmt w:val="lowerRoman"/>
      <w:lvlText w:val="%9."/>
      <w:lvlJc w:val="right"/>
      <w:pPr>
        <w:ind w:left="7265" w:hanging="180"/>
      </w:pPr>
    </w:lvl>
  </w:abstractNum>
  <w:abstractNum w:abstractNumId="25" w15:restartNumberingAfterBreak="0">
    <w:nsid w:val="5ABDC78E"/>
    <w:multiLevelType w:val="hybridMultilevel"/>
    <w:tmpl w:val="788628BA"/>
    <w:lvl w:ilvl="0" w:tplc="DBBA0E9A">
      <w:start w:val="1"/>
      <w:numFmt w:val="bullet"/>
      <w:lvlText w:val="–"/>
      <w:lvlJc w:val="left"/>
      <w:pPr>
        <w:ind w:left="720" w:hanging="360"/>
      </w:pPr>
      <w:rPr>
        <w:rFonts w:ascii="Arial" w:hAnsi="Arial" w:hint="default"/>
      </w:rPr>
    </w:lvl>
    <w:lvl w:ilvl="1" w:tplc="7512BF88">
      <w:start w:val="1"/>
      <w:numFmt w:val="bullet"/>
      <w:lvlText w:val="o"/>
      <w:lvlJc w:val="left"/>
      <w:pPr>
        <w:ind w:left="1440" w:hanging="360"/>
      </w:pPr>
      <w:rPr>
        <w:rFonts w:ascii="Courier New" w:hAnsi="Courier New" w:hint="default"/>
      </w:rPr>
    </w:lvl>
    <w:lvl w:ilvl="2" w:tplc="5C7EB8E4">
      <w:start w:val="1"/>
      <w:numFmt w:val="bullet"/>
      <w:lvlText w:val=""/>
      <w:lvlJc w:val="left"/>
      <w:pPr>
        <w:ind w:left="2160" w:hanging="360"/>
      </w:pPr>
      <w:rPr>
        <w:rFonts w:ascii="Wingdings" w:hAnsi="Wingdings" w:hint="default"/>
      </w:rPr>
    </w:lvl>
    <w:lvl w:ilvl="3" w:tplc="84A40510">
      <w:start w:val="1"/>
      <w:numFmt w:val="bullet"/>
      <w:lvlText w:val=""/>
      <w:lvlJc w:val="left"/>
      <w:pPr>
        <w:ind w:left="2880" w:hanging="360"/>
      </w:pPr>
      <w:rPr>
        <w:rFonts w:ascii="Symbol" w:hAnsi="Symbol" w:hint="default"/>
      </w:rPr>
    </w:lvl>
    <w:lvl w:ilvl="4" w:tplc="77603A42">
      <w:start w:val="1"/>
      <w:numFmt w:val="bullet"/>
      <w:lvlText w:val="o"/>
      <w:lvlJc w:val="left"/>
      <w:pPr>
        <w:ind w:left="3600" w:hanging="360"/>
      </w:pPr>
      <w:rPr>
        <w:rFonts w:ascii="Courier New" w:hAnsi="Courier New" w:hint="default"/>
      </w:rPr>
    </w:lvl>
    <w:lvl w:ilvl="5" w:tplc="621AF92E">
      <w:start w:val="1"/>
      <w:numFmt w:val="bullet"/>
      <w:lvlText w:val=""/>
      <w:lvlJc w:val="left"/>
      <w:pPr>
        <w:ind w:left="4320" w:hanging="360"/>
      </w:pPr>
      <w:rPr>
        <w:rFonts w:ascii="Wingdings" w:hAnsi="Wingdings" w:hint="default"/>
      </w:rPr>
    </w:lvl>
    <w:lvl w:ilvl="6" w:tplc="12E66F16">
      <w:start w:val="1"/>
      <w:numFmt w:val="bullet"/>
      <w:lvlText w:val=""/>
      <w:lvlJc w:val="left"/>
      <w:pPr>
        <w:ind w:left="5040" w:hanging="360"/>
      </w:pPr>
      <w:rPr>
        <w:rFonts w:ascii="Symbol" w:hAnsi="Symbol" w:hint="default"/>
      </w:rPr>
    </w:lvl>
    <w:lvl w:ilvl="7" w:tplc="FCAE37EE">
      <w:start w:val="1"/>
      <w:numFmt w:val="bullet"/>
      <w:lvlText w:val="o"/>
      <w:lvlJc w:val="left"/>
      <w:pPr>
        <w:ind w:left="5760" w:hanging="360"/>
      </w:pPr>
      <w:rPr>
        <w:rFonts w:ascii="Courier New" w:hAnsi="Courier New" w:hint="default"/>
      </w:rPr>
    </w:lvl>
    <w:lvl w:ilvl="8" w:tplc="20B08810">
      <w:start w:val="1"/>
      <w:numFmt w:val="bullet"/>
      <w:lvlText w:val=""/>
      <w:lvlJc w:val="left"/>
      <w:pPr>
        <w:ind w:left="6480" w:hanging="360"/>
      </w:pPr>
      <w:rPr>
        <w:rFonts w:ascii="Wingdings" w:hAnsi="Wingdings" w:hint="default"/>
      </w:rPr>
    </w:lvl>
  </w:abstractNum>
  <w:abstractNum w:abstractNumId="26" w15:restartNumberingAfterBreak="0">
    <w:nsid w:val="5CC83F15"/>
    <w:multiLevelType w:val="hybridMultilevel"/>
    <w:tmpl w:val="FFFFFFFF"/>
    <w:lvl w:ilvl="0" w:tplc="A8985BCC">
      <w:start w:val="1"/>
      <w:numFmt w:val="bullet"/>
      <w:lvlText w:val=""/>
      <w:lvlJc w:val="left"/>
      <w:pPr>
        <w:ind w:left="720" w:hanging="360"/>
      </w:pPr>
      <w:rPr>
        <w:rFonts w:ascii="Symbol" w:hAnsi="Symbol" w:hint="default"/>
      </w:rPr>
    </w:lvl>
    <w:lvl w:ilvl="1" w:tplc="FB36CA42">
      <w:start w:val="1"/>
      <w:numFmt w:val="bullet"/>
      <w:lvlText w:val="o"/>
      <w:lvlJc w:val="left"/>
      <w:pPr>
        <w:ind w:left="1440" w:hanging="360"/>
      </w:pPr>
      <w:rPr>
        <w:rFonts w:ascii="Courier New" w:hAnsi="Courier New" w:hint="default"/>
      </w:rPr>
    </w:lvl>
    <w:lvl w:ilvl="2" w:tplc="E42E766C">
      <w:start w:val="1"/>
      <w:numFmt w:val="bullet"/>
      <w:lvlText w:val=""/>
      <w:lvlJc w:val="left"/>
      <w:pPr>
        <w:ind w:left="2160" w:hanging="360"/>
      </w:pPr>
      <w:rPr>
        <w:rFonts w:ascii="Wingdings" w:hAnsi="Wingdings" w:hint="default"/>
      </w:rPr>
    </w:lvl>
    <w:lvl w:ilvl="3" w:tplc="9D729860">
      <w:start w:val="1"/>
      <w:numFmt w:val="bullet"/>
      <w:lvlText w:val=""/>
      <w:lvlJc w:val="left"/>
      <w:pPr>
        <w:ind w:left="2880" w:hanging="360"/>
      </w:pPr>
      <w:rPr>
        <w:rFonts w:ascii="Symbol" w:hAnsi="Symbol" w:hint="default"/>
      </w:rPr>
    </w:lvl>
    <w:lvl w:ilvl="4" w:tplc="40B25AB8">
      <w:start w:val="1"/>
      <w:numFmt w:val="bullet"/>
      <w:lvlText w:val="o"/>
      <w:lvlJc w:val="left"/>
      <w:pPr>
        <w:ind w:left="3600" w:hanging="360"/>
      </w:pPr>
      <w:rPr>
        <w:rFonts w:ascii="Courier New" w:hAnsi="Courier New" w:hint="default"/>
      </w:rPr>
    </w:lvl>
    <w:lvl w:ilvl="5" w:tplc="976A2E9A">
      <w:start w:val="1"/>
      <w:numFmt w:val="bullet"/>
      <w:lvlText w:val=""/>
      <w:lvlJc w:val="left"/>
      <w:pPr>
        <w:ind w:left="4320" w:hanging="360"/>
      </w:pPr>
      <w:rPr>
        <w:rFonts w:ascii="Wingdings" w:hAnsi="Wingdings" w:hint="default"/>
      </w:rPr>
    </w:lvl>
    <w:lvl w:ilvl="6" w:tplc="13E8F86C">
      <w:start w:val="1"/>
      <w:numFmt w:val="bullet"/>
      <w:lvlText w:val=""/>
      <w:lvlJc w:val="left"/>
      <w:pPr>
        <w:ind w:left="5040" w:hanging="360"/>
      </w:pPr>
      <w:rPr>
        <w:rFonts w:ascii="Symbol" w:hAnsi="Symbol" w:hint="default"/>
      </w:rPr>
    </w:lvl>
    <w:lvl w:ilvl="7" w:tplc="0C5EC008">
      <w:start w:val="1"/>
      <w:numFmt w:val="bullet"/>
      <w:lvlText w:val="o"/>
      <w:lvlJc w:val="left"/>
      <w:pPr>
        <w:ind w:left="5760" w:hanging="360"/>
      </w:pPr>
      <w:rPr>
        <w:rFonts w:ascii="Courier New" w:hAnsi="Courier New" w:hint="default"/>
      </w:rPr>
    </w:lvl>
    <w:lvl w:ilvl="8" w:tplc="A05C9274">
      <w:start w:val="1"/>
      <w:numFmt w:val="bullet"/>
      <w:lvlText w:val=""/>
      <w:lvlJc w:val="left"/>
      <w:pPr>
        <w:ind w:left="6480" w:hanging="360"/>
      </w:pPr>
      <w:rPr>
        <w:rFonts w:ascii="Wingdings" w:hAnsi="Wingdings" w:hint="default"/>
      </w:rPr>
    </w:lvl>
  </w:abstractNum>
  <w:abstractNum w:abstractNumId="27" w15:restartNumberingAfterBreak="0">
    <w:nsid w:val="5FE6338E"/>
    <w:multiLevelType w:val="hybridMultilevel"/>
    <w:tmpl w:val="0EB6A126"/>
    <w:lvl w:ilvl="0" w:tplc="BD7A7D36">
      <w:start w:val="1"/>
      <w:numFmt w:val="bullet"/>
      <w:lvlText w:val=""/>
      <w:lvlJc w:val="left"/>
      <w:pPr>
        <w:ind w:left="720" w:hanging="360"/>
      </w:pPr>
      <w:rPr>
        <w:rFonts w:ascii="Symbol" w:hAnsi="Symbol"/>
      </w:rPr>
    </w:lvl>
    <w:lvl w:ilvl="1" w:tplc="091E0B9E">
      <w:start w:val="1"/>
      <w:numFmt w:val="bullet"/>
      <w:lvlText w:val=""/>
      <w:lvlJc w:val="left"/>
      <w:pPr>
        <w:ind w:left="720" w:hanging="360"/>
      </w:pPr>
      <w:rPr>
        <w:rFonts w:ascii="Symbol" w:hAnsi="Symbol"/>
      </w:rPr>
    </w:lvl>
    <w:lvl w:ilvl="2" w:tplc="2714795A">
      <w:start w:val="1"/>
      <w:numFmt w:val="bullet"/>
      <w:lvlText w:val=""/>
      <w:lvlJc w:val="left"/>
      <w:pPr>
        <w:ind w:left="720" w:hanging="360"/>
      </w:pPr>
      <w:rPr>
        <w:rFonts w:ascii="Symbol" w:hAnsi="Symbol"/>
      </w:rPr>
    </w:lvl>
    <w:lvl w:ilvl="3" w:tplc="E264CDD2">
      <w:start w:val="1"/>
      <w:numFmt w:val="bullet"/>
      <w:lvlText w:val=""/>
      <w:lvlJc w:val="left"/>
      <w:pPr>
        <w:ind w:left="720" w:hanging="360"/>
      </w:pPr>
      <w:rPr>
        <w:rFonts w:ascii="Symbol" w:hAnsi="Symbol"/>
      </w:rPr>
    </w:lvl>
    <w:lvl w:ilvl="4" w:tplc="732009EA">
      <w:start w:val="1"/>
      <w:numFmt w:val="bullet"/>
      <w:lvlText w:val=""/>
      <w:lvlJc w:val="left"/>
      <w:pPr>
        <w:ind w:left="720" w:hanging="360"/>
      </w:pPr>
      <w:rPr>
        <w:rFonts w:ascii="Symbol" w:hAnsi="Symbol"/>
      </w:rPr>
    </w:lvl>
    <w:lvl w:ilvl="5" w:tplc="A6CA110A">
      <w:start w:val="1"/>
      <w:numFmt w:val="bullet"/>
      <w:lvlText w:val=""/>
      <w:lvlJc w:val="left"/>
      <w:pPr>
        <w:ind w:left="720" w:hanging="360"/>
      </w:pPr>
      <w:rPr>
        <w:rFonts w:ascii="Symbol" w:hAnsi="Symbol"/>
      </w:rPr>
    </w:lvl>
    <w:lvl w:ilvl="6" w:tplc="077EDDEE">
      <w:start w:val="1"/>
      <w:numFmt w:val="bullet"/>
      <w:lvlText w:val=""/>
      <w:lvlJc w:val="left"/>
      <w:pPr>
        <w:ind w:left="720" w:hanging="360"/>
      </w:pPr>
      <w:rPr>
        <w:rFonts w:ascii="Symbol" w:hAnsi="Symbol"/>
      </w:rPr>
    </w:lvl>
    <w:lvl w:ilvl="7" w:tplc="74766932">
      <w:start w:val="1"/>
      <w:numFmt w:val="bullet"/>
      <w:lvlText w:val=""/>
      <w:lvlJc w:val="left"/>
      <w:pPr>
        <w:ind w:left="720" w:hanging="360"/>
      </w:pPr>
      <w:rPr>
        <w:rFonts w:ascii="Symbol" w:hAnsi="Symbol"/>
      </w:rPr>
    </w:lvl>
    <w:lvl w:ilvl="8" w:tplc="05DE60DC">
      <w:start w:val="1"/>
      <w:numFmt w:val="bullet"/>
      <w:lvlText w:val=""/>
      <w:lvlJc w:val="left"/>
      <w:pPr>
        <w:ind w:left="720" w:hanging="360"/>
      </w:pPr>
      <w:rPr>
        <w:rFonts w:ascii="Symbol" w:hAnsi="Symbol"/>
      </w:rPr>
    </w:lvl>
  </w:abstractNum>
  <w:abstractNum w:abstractNumId="28" w15:restartNumberingAfterBreak="0">
    <w:nsid w:val="62D84ABD"/>
    <w:multiLevelType w:val="hybridMultilevel"/>
    <w:tmpl w:val="55EEE86E"/>
    <w:lvl w:ilvl="0" w:tplc="53184EAE">
      <w:start w:val="1"/>
      <w:numFmt w:val="bullet"/>
      <w:lvlText w:val="–"/>
      <w:lvlJc w:val="left"/>
      <w:pPr>
        <w:ind w:left="720" w:hanging="360"/>
      </w:pPr>
      <w:rPr>
        <w:rFonts w:ascii="Arial" w:hAnsi="Arial" w:hint="default"/>
      </w:rPr>
    </w:lvl>
    <w:lvl w:ilvl="1" w:tplc="D2D4908A">
      <w:start w:val="1"/>
      <w:numFmt w:val="bullet"/>
      <w:lvlText w:val="o"/>
      <w:lvlJc w:val="left"/>
      <w:pPr>
        <w:ind w:left="1440" w:hanging="360"/>
      </w:pPr>
      <w:rPr>
        <w:rFonts w:ascii="Courier New" w:hAnsi="Courier New" w:hint="default"/>
      </w:rPr>
    </w:lvl>
    <w:lvl w:ilvl="2" w:tplc="9A1CBEF0">
      <w:start w:val="1"/>
      <w:numFmt w:val="bullet"/>
      <w:lvlText w:val=""/>
      <w:lvlJc w:val="left"/>
      <w:pPr>
        <w:ind w:left="2160" w:hanging="360"/>
      </w:pPr>
      <w:rPr>
        <w:rFonts w:ascii="Wingdings" w:hAnsi="Wingdings" w:hint="default"/>
      </w:rPr>
    </w:lvl>
    <w:lvl w:ilvl="3" w:tplc="B91ACF5A">
      <w:start w:val="1"/>
      <w:numFmt w:val="bullet"/>
      <w:lvlText w:val=""/>
      <w:lvlJc w:val="left"/>
      <w:pPr>
        <w:ind w:left="2880" w:hanging="360"/>
      </w:pPr>
      <w:rPr>
        <w:rFonts w:ascii="Symbol" w:hAnsi="Symbol" w:hint="default"/>
      </w:rPr>
    </w:lvl>
    <w:lvl w:ilvl="4" w:tplc="3564955C">
      <w:start w:val="1"/>
      <w:numFmt w:val="bullet"/>
      <w:lvlText w:val="o"/>
      <w:lvlJc w:val="left"/>
      <w:pPr>
        <w:ind w:left="3600" w:hanging="360"/>
      </w:pPr>
      <w:rPr>
        <w:rFonts w:ascii="Courier New" w:hAnsi="Courier New" w:hint="default"/>
      </w:rPr>
    </w:lvl>
    <w:lvl w:ilvl="5" w:tplc="830AB80E">
      <w:start w:val="1"/>
      <w:numFmt w:val="bullet"/>
      <w:lvlText w:val=""/>
      <w:lvlJc w:val="left"/>
      <w:pPr>
        <w:ind w:left="4320" w:hanging="360"/>
      </w:pPr>
      <w:rPr>
        <w:rFonts w:ascii="Wingdings" w:hAnsi="Wingdings" w:hint="default"/>
      </w:rPr>
    </w:lvl>
    <w:lvl w:ilvl="6" w:tplc="75A478BC">
      <w:start w:val="1"/>
      <w:numFmt w:val="bullet"/>
      <w:lvlText w:val=""/>
      <w:lvlJc w:val="left"/>
      <w:pPr>
        <w:ind w:left="5040" w:hanging="360"/>
      </w:pPr>
      <w:rPr>
        <w:rFonts w:ascii="Symbol" w:hAnsi="Symbol" w:hint="default"/>
      </w:rPr>
    </w:lvl>
    <w:lvl w:ilvl="7" w:tplc="2148234A">
      <w:start w:val="1"/>
      <w:numFmt w:val="bullet"/>
      <w:lvlText w:val="o"/>
      <w:lvlJc w:val="left"/>
      <w:pPr>
        <w:ind w:left="5760" w:hanging="360"/>
      </w:pPr>
      <w:rPr>
        <w:rFonts w:ascii="Courier New" w:hAnsi="Courier New" w:hint="default"/>
      </w:rPr>
    </w:lvl>
    <w:lvl w:ilvl="8" w:tplc="324AAAD6">
      <w:start w:val="1"/>
      <w:numFmt w:val="bullet"/>
      <w:lvlText w:val=""/>
      <w:lvlJc w:val="left"/>
      <w:pPr>
        <w:ind w:left="6480" w:hanging="360"/>
      </w:pPr>
      <w:rPr>
        <w:rFonts w:ascii="Wingdings" w:hAnsi="Wingdings" w:hint="default"/>
      </w:rPr>
    </w:lvl>
  </w:abstractNum>
  <w:abstractNum w:abstractNumId="29" w15:restartNumberingAfterBreak="0">
    <w:nsid w:val="655246E2"/>
    <w:multiLevelType w:val="hybridMultilevel"/>
    <w:tmpl w:val="0388CEAA"/>
    <w:lvl w:ilvl="0" w:tplc="0700CB88">
      <w:start w:val="1"/>
      <w:numFmt w:val="bullet"/>
      <w:lvlText w:val=""/>
      <w:lvlJc w:val="left"/>
      <w:pPr>
        <w:ind w:left="720" w:hanging="360"/>
      </w:pPr>
      <w:rPr>
        <w:rFonts w:ascii="Symbol" w:hAnsi="Symbol"/>
      </w:rPr>
    </w:lvl>
    <w:lvl w:ilvl="1" w:tplc="CAC43434">
      <w:start w:val="1"/>
      <w:numFmt w:val="bullet"/>
      <w:lvlText w:val=""/>
      <w:lvlJc w:val="left"/>
      <w:pPr>
        <w:ind w:left="720" w:hanging="360"/>
      </w:pPr>
      <w:rPr>
        <w:rFonts w:ascii="Symbol" w:hAnsi="Symbol"/>
      </w:rPr>
    </w:lvl>
    <w:lvl w:ilvl="2" w:tplc="FE6C2A78">
      <w:start w:val="1"/>
      <w:numFmt w:val="bullet"/>
      <w:lvlText w:val=""/>
      <w:lvlJc w:val="left"/>
      <w:pPr>
        <w:ind w:left="720" w:hanging="360"/>
      </w:pPr>
      <w:rPr>
        <w:rFonts w:ascii="Symbol" w:hAnsi="Symbol"/>
      </w:rPr>
    </w:lvl>
    <w:lvl w:ilvl="3" w:tplc="C16A94F6">
      <w:start w:val="1"/>
      <w:numFmt w:val="bullet"/>
      <w:lvlText w:val=""/>
      <w:lvlJc w:val="left"/>
      <w:pPr>
        <w:ind w:left="720" w:hanging="360"/>
      </w:pPr>
      <w:rPr>
        <w:rFonts w:ascii="Symbol" w:hAnsi="Symbol"/>
      </w:rPr>
    </w:lvl>
    <w:lvl w:ilvl="4" w:tplc="38A09DA8">
      <w:start w:val="1"/>
      <w:numFmt w:val="bullet"/>
      <w:lvlText w:val=""/>
      <w:lvlJc w:val="left"/>
      <w:pPr>
        <w:ind w:left="720" w:hanging="360"/>
      </w:pPr>
      <w:rPr>
        <w:rFonts w:ascii="Symbol" w:hAnsi="Symbol"/>
      </w:rPr>
    </w:lvl>
    <w:lvl w:ilvl="5" w:tplc="D7C2BCB0">
      <w:start w:val="1"/>
      <w:numFmt w:val="bullet"/>
      <w:lvlText w:val=""/>
      <w:lvlJc w:val="left"/>
      <w:pPr>
        <w:ind w:left="720" w:hanging="360"/>
      </w:pPr>
      <w:rPr>
        <w:rFonts w:ascii="Symbol" w:hAnsi="Symbol"/>
      </w:rPr>
    </w:lvl>
    <w:lvl w:ilvl="6" w:tplc="1F2AF70C">
      <w:start w:val="1"/>
      <w:numFmt w:val="bullet"/>
      <w:lvlText w:val=""/>
      <w:lvlJc w:val="left"/>
      <w:pPr>
        <w:ind w:left="720" w:hanging="360"/>
      </w:pPr>
      <w:rPr>
        <w:rFonts w:ascii="Symbol" w:hAnsi="Symbol"/>
      </w:rPr>
    </w:lvl>
    <w:lvl w:ilvl="7" w:tplc="200E29AA">
      <w:start w:val="1"/>
      <w:numFmt w:val="bullet"/>
      <w:lvlText w:val=""/>
      <w:lvlJc w:val="left"/>
      <w:pPr>
        <w:ind w:left="720" w:hanging="360"/>
      </w:pPr>
      <w:rPr>
        <w:rFonts w:ascii="Symbol" w:hAnsi="Symbol"/>
      </w:rPr>
    </w:lvl>
    <w:lvl w:ilvl="8" w:tplc="E08E30EE">
      <w:start w:val="1"/>
      <w:numFmt w:val="bullet"/>
      <w:lvlText w:val=""/>
      <w:lvlJc w:val="left"/>
      <w:pPr>
        <w:ind w:left="720" w:hanging="360"/>
      </w:pPr>
      <w:rPr>
        <w:rFonts w:ascii="Symbol" w:hAnsi="Symbol"/>
      </w:rPr>
    </w:lvl>
  </w:abstractNum>
  <w:abstractNum w:abstractNumId="30" w15:restartNumberingAfterBreak="0">
    <w:nsid w:val="6782418E"/>
    <w:multiLevelType w:val="hybridMultilevel"/>
    <w:tmpl w:val="0BA6351A"/>
    <w:lvl w:ilvl="0" w:tplc="6E14802A">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D54DC2C"/>
    <w:multiLevelType w:val="hybridMultilevel"/>
    <w:tmpl w:val="AB8468B6"/>
    <w:lvl w:ilvl="0" w:tplc="AB9AB2F4">
      <w:start w:val="1"/>
      <w:numFmt w:val="bullet"/>
      <w:lvlText w:val="–"/>
      <w:lvlJc w:val="left"/>
      <w:pPr>
        <w:ind w:left="720" w:hanging="360"/>
      </w:pPr>
      <w:rPr>
        <w:rFonts w:ascii="Arial" w:hAnsi="Arial" w:hint="default"/>
      </w:rPr>
    </w:lvl>
    <w:lvl w:ilvl="1" w:tplc="A8AEBFAE">
      <w:start w:val="1"/>
      <w:numFmt w:val="bullet"/>
      <w:lvlText w:val="o"/>
      <w:lvlJc w:val="left"/>
      <w:pPr>
        <w:ind w:left="1440" w:hanging="360"/>
      </w:pPr>
      <w:rPr>
        <w:rFonts w:ascii="Courier New" w:hAnsi="Courier New" w:hint="default"/>
      </w:rPr>
    </w:lvl>
    <w:lvl w:ilvl="2" w:tplc="2940D24C">
      <w:start w:val="1"/>
      <w:numFmt w:val="bullet"/>
      <w:lvlText w:val=""/>
      <w:lvlJc w:val="left"/>
      <w:pPr>
        <w:ind w:left="2160" w:hanging="360"/>
      </w:pPr>
      <w:rPr>
        <w:rFonts w:ascii="Wingdings" w:hAnsi="Wingdings" w:hint="default"/>
      </w:rPr>
    </w:lvl>
    <w:lvl w:ilvl="3" w:tplc="3C18C374">
      <w:start w:val="1"/>
      <w:numFmt w:val="bullet"/>
      <w:lvlText w:val=""/>
      <w:lvlJc w:val="left"/>
      <w:pPr>
        <w:ind w:left="2880" w:hanging="360"/>
      </w:pPr>
      <w:rPr>
        <w:rFonts w:ascii="Symbol" w:hAnsi="Symbol" w:hint="default"/>
      </w:rPr>
    </w:lvl>
    <w:lvl w:ilvl="4" w:tplc="ECF4D9AC">
      <w:start w:val="1"/>
      <w:numFmt w:val="bullet"/>
      <w:lvlText w:val="o"/>
      <w:lvlJc w:val="left"/>
      <w:pPr>
        <w:ind w:left="3600" w:hanging="360"/>
      </w:pPr>
      <w:rPr>
        <w:rFonts w:ascii="Courier New" w:hAnsi="Courier New" w:hint="default"/>
      </w:rPr>
    </w:lvl>
    <w:lvl w:ilvl="5" w:tplc="47DAE9E0">
      <w:start w:val="1"/>
      <w:numFmt w:val="bullet"/>
      <w:lvlText w:val=""/>
      <w:lvlJc w:val="left"/>
      <w:pPr>
        <w:ind w:left="4320" w:hanging="360"/>
      </w:pPr>
      <w:rPr>
        <w:rFonts w:ascii="Wingdings" w:hAnsi="Wingdings" w:hint="default"/>
      </w:rPr>
    </w:lvl>
    <w:lvl w:ilvl="6" w:tplc="E80A73BA">
      <w:start w:val="1"/>
      <w:numFmt w:val="bullet"/>
      <w:lvlText w:val=""/>
      <w:lvlJc w:val="left"/>
      <w:pPr>
        <w:ind w:left="5040" w:hanging="360"/>
      </w:pPr>
      <w:rPr>
        <w:rFonts w:ascii="Symbol" w:hAnsi="Symbol" w:hint="default"/>
      </w:rPr>
    </w:lvl>
    <w:lvl w:ilvl="7" w:tplc="3BF8E34C">
      <w:start w:val="1"/>
      <w:numFmt w:val="bullet"/>
      <w:lvlText w:val="o"/>
      <w:lvlJc w:val="left"/>
      <w:pPr>
        <w:ind w:left="5760" w:hanging="360"/>
      </w:pPr>
      <w:rPr>
        <w:rFonts w:ascii="Courier New" w:hAnsi="Courier New" w:hint="default"/>
      </w:rPr>
    </w:lvl>
    <w:lvl w:ilvl="8" w:tplc="8176F8DA">
      <w:start w:val="1"/>
      <w:numFmt w:val="bullet"/>
      <w:lvlText w:val=""/>
      <w:lvlJc w:val="left"/>
      <w:pPr>
        <w:ind w:left="6480" w:hanging="360"/>
      </w:pPr>
      <w:rPr>
        <w:rFonts w:ascii="Wingdings" w:hAnsi="Wingdings" w:hint="default"/>
      </w:rPr>
    </w:lvl>
  </w:abstractNum>
  <w:abstractNum w:abstractNumId="32" w15:restartNumberingAfterBreak="0">
    <w:nsid w:val="6F3B0245"/>
    <w:multiLevelType w:val="hybridMultilevel"/>
    <w:tmpl w:val="8870922E"/>
    <w:lvl w:ilvl="0" w:tplc="7130CF2E">
      <w:start w:val="1"/>
      <w:numFmt w:val="bullet"/>
      <w:lvlText w:val=""/>
      <w:lvlJc w:val="left"/>
      <w:pPr>
        <w:ind w:left="720" w:hanging="360"/>
      </w:pPr>
      <w:rPr>
        <w:rFonts w:ascii="Symbol" w:hAnsi="Symbol"/>
      </w:rPr>
    </w:lvl>
    <w:lvl w:ilvl="1" w:tplc="B6CC598C">
      <w:start w:val="1"/>
      <w:numFmt w:val="bullet"/>
      <w:lvlText w:val=""/>
      <w:lvlJc w:val="left"/>
      <w:pPr>
        <w:ind w:left="720" w:hanging="360"/>
      </w:pPr>
      <w:rPr>
        <w:rFonts w:ascii="Symbol" w:hAnsi="Symbol"/>
      </w:rPr>
    </w:lvl>
    <w:lvl w:ilvl="2" w:tplc="D03C163A">
      <w:start w:val="1"/>
      <w:numFmt w:val="bullet"/>
      <w:lvlText w:val=""/>
      <w:lvlJc w:val="left"/>
      <w:pPr>
        <w:ind w:left="720" w:hanging="360"/>
      </w:pPr>
      <w:rPr>
        <w:rFonts w:ascii="Symbol" w:hAnsi="Symbol"/>
      </w:rPr>
    </w:lvl>
    <w:lvl w:ilvl="3" w:tplc="FFE461C2">
      <w:start w:val="1"/>
      <w:numFmt w:val="bullet"/>
      <w:lvlText w:val=""/>
      <w:lvlJc w:val="left"/>
      <w:pPr>
        <w:ind w:left="720" w:hanging="360"/>
      </w:pPr>
      <w:rPr>
        <w:rFonts w:ascii="Symbol" w:hAnsi="Symbol"/>
      </w:rPr>
    </w:lvl>
    <w:lvl w:ilvl="4" w:tplc="D03AD588">
      <w:start w:val="1"/>
      <w:numFmt w:val="bullet"/>
      <w:lvlText w:val=""/>
      <w:lvlJc w:val="left"/>
      <w:pPr>
        <w:ind w:left="720" w:hanging="360"/>
      </w:pPr>
      <w:rPr>
        <w:rFonts w:ascii="Symbol" w:hAnsi="Symbol"/>
      </w:rPr>
    </w:lvl>
    <w:lvl w:ilvl="5" w:tplc="73A03C06">
      <w:start w:val="1"/>
      <w:numFmt w:val="bullet"/>
      <w:lvlText w:val=""/>
      <w:lvlJc w:val="left"/>
      <w:pPr>
        <w:ind w:left="720" w:hanging="360"/>
      </w:pPr>
      <w:rPr>
        <w:rFonts w:ascii="Symbol" w:hAnsi="Symbol"/>
      </w:rPr>
    </w:lvl>
    <w:lvl w:ilvl="6" w:tplc="29E6A784">
      <w:start w:val="1"/>
      <w:numFmt w:val="bullet"/>
      <w:lvlText w:val=""/>
      <w:lvlJc w:val="left"/>
      <w:pPr>
        <w:ind w:left="720" w:hanging="360"/>
      </w:pPr>
      <w:rPr>
        <w:rFonts w:ascii="Symbol" w:hAnsi="Symbol"/>
      </w:rPr>
    </w:lvl>
    <w:lvl w:ilvl="7" w:tplc="1338C020">
      <w:start w:val="1"/>
      <w:numFmt w:val="bullet"/>
      <w:lvlText w:val=""/>
      <w:lvlJc w:val="left"/>
      <w:pPr>
        <w:ind w:left="720" w:hanging="360"/>
      </w:pPr>
      <w:rPr>
        <w:rFonts w:ascii="Symbol" w:hAnsi="Symbol"/>
      </w:rPr>
    </w:lvl>
    <w:lvl w:ilvl="8" w:tplc="23BAF2DC">
      <w:start w:val="1"/>
      <w:numFmt w:val="bullet"/>
      <w:lvlText w:val=""/>
      <w:lvlJc w:val="left"/>
      <w:pPr>
        <w:ind w:left="720" w:hanging="360"/>
      </w:pPr>
      <w:rPr>
        <w:rFonts w:ascii="Symbol" w:hAnsi="Symbol"/>
      </w:rPr>
    </w:lvl>
  </w:abstractNum>
  <w:abstractNum w:abstractNumId="33" w15:restartNumberingAfterBreak="0">
    <w:nsid w:val="72B71FEF"/>
    <w:multiLevelType w:val="hybridMultilevel"/>
    <w:tmpl w:val="B4500F6A"/>
    <w:lvl w:ilvl="0" w:tplc="A8BA9590">
      <w:start w:val="1"/>
      <w:numFmt w:val="bullet"/>
      <w:lvlText w:val=""/>
      <w:lvlJc w:val="left"/>
      <w:pPr>
        <w:ind w:left="720" w:hanging="360"/>
      </w:pPr>
      <w:rPr>
        <w:rFonts w:ascii="Symbol" w:hAnsi="Symbol"/>
      </w:rPr>
    </w:lvl>
    <w:lvl w:ilvl="1" w:tplc="5560C528">
      <w:start w:val="1"/>
      <w:numFmt w:val="bullet"/>
      <w:lvlText w:val=""/>
      <w:lvlJc w:val="left"/>
      <w:pPr>
        <w:ind w:left="720" w:hanging="360"/>
      </w:pPr>
      <w:rPr>
        <w:rFonts w:ascii="Symbol" w:hAnsi="Symbol"/>
      </w:rPr>
    </w:lvl>
    <w:lvl w:ilvl="2" w:tplc="254E9750">
      <w:start w:val="1"/>
      <w:numFmt w:val="bullet"/>
      <w:lvlText w:val=""/>
      <w:lvlJc w:val="left"/>
      <w:pPr>
        <w:ind w:left="720" w:hanging="360"/>
      </w:pPr>
      <w:rPr>
        <w:rFonts w:ascii="Symbol" w:hAnsi="Symbol"/>
      </w:rPr>
    </w:lvl>
    <w:lvl w:ilvl="3" w:tplc="78968A44">
      <w:start w:val="1"/>
      <w:numFmt w:val="bullet"/>
      <w:lvlText w:val=""/>
      <w:lvlJc w:val="left"/>
      <w:pPr>
        <w:ind w:left="720" w:hanging="360"/>
      </w:pPr>
      <w:rPr>
        <w:rFonts w:ascii="Symbol" w:hAnsi="Symbol"/>
      </w:rPr>
    </w:lvl>
    <w:lvl w:ilvl="4" w:tplc="DF4855CA">
      <w:start w:val="1"/>
      <w:numFmt w:val="bullet"/>
      <w:lvlText w:val=""/>
      <w:lvlJc w:val="left"/>
      <w:pPr>
        <w:ind w:left="720" w:hanging="360"/>
      </w:pPr>
      <w:rPr>
        <w:rFonts w:ascii="Symbol" w:hAnsi="Symbol"/>
      </w:rPr>
    </w:lvl>
    <w:lvl w:ilvl="5" w:tplc="A670B8EE">
      <w:start w:val="1"/>
      <w:numFmt w:val="bullet"/>
      <w:lvlText w:val=""/>
      <w:lvlJc w:val="left"/>
      <w:pPr>
        <w:ind w:left="720" w:hanging="360"/>
      </w:pPr>
      <w:rPr>
        <w:rFonts w:ascii="Symbol" w:hAnsi="Symbol"/>
      </w:rPr>
    </w:lvl>
    <w:lvl w:ilvl="6" w:tplc="FE40820C">
      <w:start w:val="1"/>
      <w:numFmt w:val="bullet"/>
      <w:lvlText w:val=""/>
      <w:lvlJc w:val="left"/>
      <w:pPr>
        <w:ind w:left="720" w:hanging="360"/>
      </w:pPr>
      <w:rPr>
        <w:rFonts w:ascii="Symbol" w:hAnsi="Symbol"/>
      </w:rPr>
    </w:lvl>
    <w:lvl w:ilvl="7" w:tplc="88C09542">
      <w:start w:val="1"/>
      <w:numFmt w:val="bullet"/>
      <w:lvlText w:val=""/>
      <w:lvlJc w:val="left"/>
      <w:pPr>
        <w:ind w:left="720" w:hanging="360"/>
      </w:pPr>
      <w:rPr>
        <w:rFonts w:ascii="Symbol" w:hAnsi="Symbol"/>
      </w:rPr>
    </w:lvl>
    <w:lvl w:ilvl="8" w:tplc="6D7CD046">
      <w:start w:val="1"/>
      <w:numFmt w:val="bullet"/>
      <w:lvlText w:val=""/>
      <w:lvlJc w:val="left"/>
      <w:pPr>
        <w:ind w:left="720" w:hanging="360"/>
      </w:pPr>
      <w:rPr>
        <w:rFonts w:ascii="Symbol" w:hAnsi="Symbol"/>
      </w:rPr>
    </w:lvl>
  </w:abstractNum>
  <w:abstractNum w:abstractNumId="34" w15:restartNumberingAfterBreak="0">
    <w:nsid w:val="73A01D9C"/>
    <w:multiLevelType w:val="hybridMultilevel"/>
    <w:tmpl w:val="2072FAB6"/>
    <w:lvl w:ilvl="0" w:tplc="CFEC1442">
      <w:start w:val="1"/>
      <w:numFmt w:val="bullet"/>
      <w:lvlText w:val=""/>
      <w:lvlJc w:val="left"/>
      <w:pPr>
        <w:ind w:left="720" w:hanging="360"/>
      </w:pPr>
      <w:rPr>
        <w:rFonts w:ascii="Symbol" w:hAnsi="Symbol"/>
      </w:rPr>
    </w:lvl>
    <w:lvl w:ilvl="1" w:tplc="7C8CA1BE">
      <w:start w:val="1"/>
      <w:numFmt w:val="bullet"/>
      <w:lvlText w:val=""/>
      <w:lvlJc w:val="left"/>
      <w:pPr>
        <w:ind w:left="720" w:hanging="360"/>
      </w:pPr>
      <w:rPr>
        <w:rFonts w:ascii="Symbol" w:hAnsi="Symbol"/>
      </w:rPr>
    </w:lvl>
    <w:lvl w:ilvl="2" w:tplc="A6047FD8">
      <w:start w:val="1"/>
      <w:numFmt w:val="bullet"/>
      <w:lvlText w:val=""/>
      <w:lvlJc w:val="left"/>
      <w:pPr>
        <w:ind w:left="720" w:hanging="360"/>
      </w:pPr>
      <w:rPr>
        <w:rFonts w:ascii="Symbol" w:hAnsi="Symbol"/>
      </w:rPr>
    </w:lvl>
    <w:lvl w:ilvl="3" w:tplc="F4C6D1E4">
      <w:start w:val="1"/>
      <w:numFmt w:val="bullet"/>
      <w:lvlText w:val=""/>
      <w:lvlJc w:val="left"/>
      <w:pPr>
        <w:ind w:left="720" w:hanging="360"/>
      </w:pPr>
      <w:rPr>
        <w:rFonts w:ascii="Symbol" w:hAnsi="Symbol"/>
      </w:rPr>
    </w:lvl>
    <w:lvl w:ilvl="4" w:tplc="C770CD5E">
      <w:start w:val="1"/>
      <w:numFmt w:val="bullet"/>
      <w:lvlText w:val=""/>
      <w:lvlJc w:val="left"/>
      <w:pPr>
        <w:ind w:left="720" w:hanging="360"/>
      </w:pPr>
      <w:rPr>
        <w:rFonts w:ascii="Symbol" w:hAnsi="Symbol"/>
      </w:rPr>
    </w:lvl>
    <w:lvl w:ilvl="5" w:tplc="11CAF940">
      <w:start w:val="1"/>
      <w:numFmt w:val="bullet"/>
      <w:lvlText w:val=""/>
      <w:lvlJc w:val="left"/>
      <w:pPr>
        <w:ind w:left="720" w:hanging="360"/>
      </w:pPr>
      <w:rPr>
        <w:rFonts w:ascii="Symbol" w:hAnsi="Symbol"/>
      </w:rPr>
    </w:lvl>
    <w:lvl w:ilvl="6" w:tplc="C6485BFE">
      <w:start w:val="1"/>
      <w:numFmt w:val="bullet"/>
      <w:lvlText w:val=""/>
      <w:lvlJc w:val="left"/>
      <w:pPr>
        <w:ind w:left="720" w:hanging="360"/>
      </w:pPr>
      <w:rPr>
        <w:rFonts w:ascii="Symbol" w:hAnsi="Symbol"/>
      </w:rPr>
    </w:lvl>
    <w:lvl w:ilvl="7" w:tplc="7CA0946C">
      <w:start w:val="1"/>
      <w:numFmt w:val="bullet"/>
      <w:lvlText w:val=""/>
      <w:lvlJc w:val="left"/>
      <w:pPr>
        <w:ind w:left="720" w:hanging="360"/>
      </w:pPr>
      <w:rPr>
        <w:rFonts w:ascii="Symbol" w:hAnsi="Symbol"/>
      </w:rPr>
    </w:lvl>
    <w:lvl w:ilvl="8" w:tplc="579EE308">
      <w:start w:val="1"/>
      <w:numFmt w:val="bullet"/>
      <w:lvlText w:val=""/>
      <w:lvlJc w:val="left"/>
      <w:pPr>
        <w:ind w:left="720" w:hanging="360"/>
      </w:pPr>
      <w:rPr>
        <w:rFonts w:ascii="Symbol" w:hAnsi="Symbol"/>
      </w:rPr>
    </w:lvl>
  </w:abstractNum>
  <w:abstractNum w:abstractNumId="35" w15:restartNumberingAfterBreak="0">
    <w:nsid w:val="79A92D71"/>
    <w:multiLevelType w:val="hybridMultilevel"/>
    <w:tmpl w:val="AC3272D8"/>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7DB60C9C"/>
    <w:multiLevelType w:val="hybridMultilevel"/>
    <w:tmpl w:val="4844D400"/>
    <w:lvl w:ilvl="0" w:tplc="49722232">
      <w:start w:val="1"/>
      <w:numFmt w:val="lowerLetter"/>
      <w:lvlText w:val="%1)"/>
      <w:lvlJc w:val="left"/>
      <w:pPr>
        <w:ind w:left="927" w:hanging="36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num w:numId="1" w16cid:durableId="1151097230">
    <w:abstractNumId w:val="6"/>
  </w:num>
  <w:num w:numId="2" w16cid:durableId="870067104">
    <w:abstractNumId w:val="8"/>
  </w:num>
  <w:num w:numId="3" w16cid:durableId="776367075">
    <w:abstractNumId w:val="2"/>
  </w:num>
  <w:num w:numId="4" w16cid:durableId="350569323">
    <w:abstractNumId w:val="7"/>
  </w:num>
  <w:num w:numId="5" w16cid:durableId="671222171">
    <w:abstractNumId w:val="14"/>
  </w:num>
  <w:num w:numId="6" w16cid:durableId="852691286">
    <w:abstractNumId w:val="10"/>
  </w:num>
  <w:num w:numId="7" w16cid:durableId="1062169600">
    <w:abstractNumId w:val="8"/>
  </w:num>
  <w:num w:numId="8" w16cid:durableId="11732394">
    <w:abstractNumId w:val="12"/>
  </w:num>
  <w:num w:numId="9" w16cid:durableId="2103913646">
    <w:abstractNumId w:val="24"/>
  </w:num>
  <w:num w:numId="10" w16cid:durableId="1479374813">
    <w:abstractNumId w:val="6"/>
  </w:num>
  <w:num w:numId="11" w16cid:durableId="1107315578">
    <w:abstractNumId w:val="35"/>
  </w:num>
  <w:num w:numId="12" w16cid:durableId="1416826317">
    <w:abstractNumId w:val="14"/>
    <w:lvlOverride w:ilvl="0">
      <w:startOverride w:val="1"/>
    </w:lvlOverride>
  </w:num>
  <w:num w:numId="13" w16cid:durableId="1323663092">
    <w:abstractNumId w:val="10"/>
    <w:lvlOverride w:ilvl="0">
      <w:startOverride w:val="1"/>
    </w:lvlOverride>
  </w:num>
  <w:num w:numId="14" w16cid:durableId="1732191398">
    <w:abstractNumId w:val="14"/>
    <w:lvlOverride w:ilvl="0">
      <w:startOverride w:val="1"/>
    </w:lvlOverride>
  </w:num>
  <w:num w:numId="15" w16cid:durableId="423890180">
    <w:abstractNumId w:val="10"/>
    <w:lvlOverride w:ilvl="0">
      <w:startOverride w:val="1"/>
    </w:lvlOverride>
  </w:num>
  <w:num w:numId="16" w16cid:durableId="963199091">
    <w:abstractNumId w:val="29"/>
  </w:num>
  <w:num w:numId="17" w16cid:durableId="636110491">
    <w:abstractNumId w:val="27"/>
  </w:num>
  <w:num w:numId="18" w16cid:durableId="1001741245">
    <w:abstractNumId w:val="32"/>
  </w:num>
  <w:num w:numId="19" w16cid:durableId="1243563578">
    <w:abstractNumId w:val="18"/>
  </w:num>
  <w:num w:numId="20" w16cid:durableId="869951291">
    <w:abstractNumId w:val="1"/>
  </w:num>
  <w:num w:numId="21" w16cid:durableId="155725221">
    <w:abstractNumId w:val="19"/>
  </w:num>
  <w:num w:numId="22" w16cid:durableId="110246264">
    <w:abstractNumId w:val="3"/>
  </w:num>
  <w:num w:numId="23" w16cid:durableId="1789742553">
    <w:abstractNumId w:val="13"/>
  </w:num>
  <w:num w:numId="24" w16cid:durableId="1408653107">
    <w:abstractNumId w:val="33"/>
  </w:num>
  <w:num w:numId="25" w16cid:durableId="1055815737">
    <w:abstractNumId w:val="20"/>
  </w:num>
  <w:num w:numId="26" w16cid:durableId="667102182">
    <w:abstractNumId w:val="9"/>
  </w:num>
  <w:num w:numId="27" w16cid:durableId="833107661">
    <w:abstractNumId w:val="5"/>
  </w:num>
  <w:num w:numId="28" w16cid:durableId="555556392">
    <w:abstractNumId w:val="26"/>
  </w:num>
  <w:num w:numId="29" w16cid:durableId="1782843617">
    <w:abstractNumId w:val="15"/>
  </w:num>
  <w:num w:numId="30" w16cid:durableId="1349284881">
    <w:abstractNumId w:val="21"/>
  </w:num>
  <w:num w:numId="31" w16cid:durableId="1940261666">
    <w:abstractNumId w:val="35"/>
    <w:lvlOverride w:ilvl="0">
      <w:startOverride w:val="1"/>
    </w:lvlOverride>
  </w:num>
  <w:num w:numId="32" w16cid:durableId="1699965442">
    <w:abstractNumId w:val="36"/>
  </w:num>
  <w:num w:numId="33" w16cid:durableId="1853452117">
    <w:abstractNumId w:val="23"/>
  </w:num>
  <w:num w:numId="34" w16cid:durableId="1094672390">
    <w:abstractNumId w:val="16"/>
  </w:num>
  <w:num w:numId="35" w16cid:durableId="812794186">
    <w:abstractNumId w:val="34"/>
  </w:num>
  <w:num w:numId="36" w16cid:durableId="1638682124">
    <w:abstractNumId w:val="22"/>
  </w:num>
  <w:num w:numId="37" w16cid:durableId="1065102676">
    <w:abstractNumId w:val="17"/>
  </w:num>
  <w:num w:numId="38" w16cid:durableId="2050952011">
    <w:abstractNumId w:val="31"/>
  </w:num>
  <w:num w:numId="39" w16cid:durableId="1912346885">
    <w:abstractNumId w:val="4"/>
  </w:num>
  <w:num w:numId="40" w16cid:durableId="95487328">
    <w:abstractNumId w:val="25"/>
  </w:num>
  <w:num w:numId="41" w16cid:durableId="2054647623">
    <w:abstractNumId w:val="28"/>
  </w:num>
  <w:num w:numId="42" w16cid:durableId="342363838">
    <w:abstractNumId w:val="30"/>
  </w:num>
  <w:num w:numId="43" w16cid:durableId="1360549264">
    <w:abstractNumId w:val="30"/>
    <w:lvlOverride w:ilvl="0">
      <w:startOverride w:val="1"/>
    </w:lvlOverride>
  </w:num>
  <w:num w:numId="44" w16cid:durableId="1322927638">
    <w:abstractNumId w:val="30"/>
  </w:num>
  <w:num w:numId="45" w16cid:durableId="2137749382">
    <w:abstractNumId w:val="30"/>
    <w:lvlOverride w:ilvl="0">
      <w:startOverride w:val="2"/>
    </w:lvlOverride>
  </w:num>
  <w:num w:numId="46" w16cid:durableId="134446155">
    <w:abstractNumId w:val="11"/>
  </w:num>
  <w:num w:numId="47" w16cid:durableId="1917863752">
    <w:abstractNumId w:val="11"/>
    <w:lvlOverride w:ilvl="0">
      <w:startOverride w:val="1"/>
    </w:lvlOverride>
  </w:num>
  <w:num w:numId="48" w16cid:durableId="444544922">
    <w:abstractNumId w:val="11"/>
  </w:num>
  <w:num w:numId="49" w16cid:durableId="1088579516">
    <w:abstractNumId w:val="11"/>
  </w:num>
  <w:num w:numId="50" w16cid:durableId="763842203">
    <w:abstractNumId w:val="11"/>
  </w:num>
  <w:num w:numId="51" w16cid:durableId="673192474">
    <w:abstractNumId w:val="8"/>
  </w:num>
  <w:num w:numId="52" w16cid:durableId="1933968232">
    <w:abstractNumId w:val="8"/>
  </w:num>
  <w:num w:numId="53" w16cid:durableId="536822937">
    <w:abstractNumId w:val="8"/>
  </w:num>
  <w:num w:numId="54" w16cid:durableId="368183311">
    <w:abstractNumId w:val="8"/>
  </w:num>
  <w:num w:numId="55" w16cid:durableId="1119837687">
    <w:abstractNumId w:val="8"/>
  </w:num>
  <w:num w:numId="56" w16cid:durableId="1628580670">
    <w:abstractNumId w:val="8"/>
  </w:num>
  <w:num w:numId="57" w16cid:durableId="1545212158">
    <w:abstractNumId w:val="8"/>
  </w:num>
  <w:num w:numId="58" w16cid:durableId="1551650964">
    <w:abstractNumId w:val="8"/>
  </w:num>
  <w:num w:numId="59" w16cid:durableId="970012065">
    <w:abstractNumId w:val="8"/>
  </w:num>
  <w:num w:numId="60" w16cid:durableId="1665234177">
    <w:abstractNumId w:val="8"/>
  </w:num>
  <w:num w:numId="61" w16cid:durableId="495342158">
    <w:abstractNumId w:val="8"/>
  </w:num>
  <w:num w:numId="62" w16cid:durableId="764231458">
    <w:abstractNumId w:val="8"/>
  </w:num>
  <w:num w:numId="63" w16cid:durableId="174266685">
    <w:abstractNumId w:val="8"/>
  </w:num>
  <w:num w:numId="64" w16cid:durableId="526524044">
    <w:abstractNumId w:val="8"/>
  </w:num>
  <w:num w:numId="65" w16cid:durableId="514344455">
    <w:abstractNumId w:val="8"/>
  </w:num>
  <w:num w:numId="66" w16cid:durableId="920332852">
    <w:abstractNumId w:val="8"/>
  </w:num>
  <w:num w:numId="67" w16cid:durableId="1531725556">
    <w:abstractNumId w:val="8"/>
  </w:num>
  <w:num w:numId="68" w16cid:durableId="803887520">
    <w:abstractNumId w:val="8"/>
  </w:num>
  <w:num w:numId="69" w16cid:durableId="1751584140">
    <w:abstractNumId w:val="8"/>
  </w:num>
  <w:num w:numId="70" w16cid:durableId="1865943981">
    <w:abstractNumId w:val="8"/>
  </w:num>
  <w:num w:numId="71" w16cid:durableId="43800136">
    <w:abstractNumId w:val="8"/>
  </w:num>
  <w:num w:numId="72" w16cid:durableId="97723712">
    <w:abstractNumId w:val="8"/>
  </w:num>
  <w:num w:numId="73" w16cid:durableId="370421549">
    <w:abstractNumId w:val="8"/>
  </w:num>
  <w:num w:numId="74" w16cid:durableId="1058210668">
    <w:abstractNumId w:val="8"/>
  </w:num>
  <w:num w:numId="75" w16cid:durableId="412968900">
    <w:abstractNumId w:val="8"/>
  </w:num>
  <w:num w:numId="76" w16cid:durableId="1962298287">
    <w:abstractNumId w:val="8"/>
  </w:num>
  <w:num w:numId="77" w16cid:durableId="166332912">
    <w:abstractNumId w:val="8"/>
  </w:num>
  <w:num w:numId="78" w16cid:durableId="675691774">
    <w:abstractNumId w:val="8"/>
  </w:num>
  <w:num w:numId="79" w16cid:durableId="1268974352">
    <w:abstractNumId w:val="8"/>
  </w:num>
  <w:num w:numId="80" w16cid:durableId="525487510">
    <w:abstractNumId w:val="8"/>
  </w:num>
  <w:num w:numId="81" w16cid:durableId="294454742">
    <w:abstractNumId w:val="8"/>
  </w:num>
  <w:num w:numId="82" w16cid:durableId="1885558657">
    <w:abstractNumId w:val="8"/>
  </w:num>
  <w:num w:numId="83" w16cid:durableId="87191400">
    <w:abstractNumId w:val="11"/>
    <w:lvlOverride w:ilvl="0">
      <w:startOverride w:val="1"/>
    </w:lvlOverride>
  </w:num>
  <w:num w:numId="84" w16cid:durableId="1806656782">
    <w:abstractNumId w:val="11"/>
    <w:lvlOverride w:ilvl="0">
      <w:startOverride w:val="1"/>
    </w:lvlOverride>
  </w:num>
  <w:num w:numId="85" w16cid:durableId="714046500">
    <w:abstractNumId w:val="8"/>
  </w:num>
  <w:num w:numId="86" w16cid:durableId="1079643942">
    <w:abstractNumId w:val="8"/>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380597828">
    <w:abstractNumId w:val="8"/>
  </w:num>
  <w:num w:numId="88" w16cid:durableId="204757320">
    <w:abstractNumId w:val="8"/>
  </w:num>
  <w:num w:numId="89" w16cid:durableId="1231036937">
    <w:abstractNumId w:val="8"/>
  </w:num>
  <w:num w:numId="90" w16cid:durableId="2022848840">
    <w:abstractNumId w:val="8"/>
  </w:num>
  <w:num w:numId="91" w16cid:durableId="1773938568">
    <w:abstractNumId w:val="8"/>
  </w:num>
  <w:num w:numId="92" w16cid:durableId="2060978792">
    <w:abstractNumId w:val="8"/>
  </w:num>
  <w:num w:numId="93" w16cid:durableId="1507666360">
    <w:abstractNumId w:val="8"/>
  </w:num>
  <w:num w:numId="94" w16cid:durableId="1978990712">
    <w:abstractNumId w:val="8"/>
  </w:num>
  <w:num w:numId="95" w16cid:durableId="868877824">
    <w:abstractNumId w:val="8"/>
  </w:num>
  <w:num w:numId="96" w16cid:durableId="1090084897">
    <w:abstractNumId w:val="8"/>
  </w:num>
  <w:num w:numId="97" w16cid:durableId="443771091">
    <w:abstractNumId w:val="8"/>
  </w:num>
  <w:num w:numId="98" w16cid:durableId="1351878474">
    <w:abstractNumId w:val="8"/>
  </w:num>
  <w:num w:numId="99" w16cid:durableId="1985350822">
    <w:abstractNumId w:val="8"/>
  </w:num>
  <w:num w:numId="100" w16cid:durableId="1804880788">
    <w:abstractNumId w:val="8"/>
  </w:num>
  <w:num w:numId="101" w16cid:durableId="1666930003">
    <w:abstractNumId w:val="8"/>
  </w:num>
  <w:num w:numId="102" w16cid:durableId="505553551">
    <w:abstractNumId w:val="8"/>
  </w:num>
  <w:num w:numId="103" w16cid:durableId="477191351">
    <w:abstractNumId w:val="8"/>
  </w:num>
  <w:num w:numId="104" w16cid:durableId="1633243343">
    <w:abstractNumId w:val="8"/>
  </w:num>
  <w:num w:numId="105" w16cid:durableId="1288470205">
    <w:abstractNumId w:val="8"/>
  </w:num>
  <w:num w:numId="106" w16cid:durableId="1667780718">
    <w:abstractNumId w:val="8"/>
  </w:num>
  <w:num w:numId="107" w16cid:durableId="1137917509">
    <w:abstractNumId w:val="8"/>
  </w:num>
  <w:num w:numId="108" w16cid:durableId="1003240966">
    <w:abstractNumId w:val="8"/>
  </w:num>
  <w:num w:numId="109" w16cid:durableId="1395740696">
    <w:abstractNumId w:val="8"/>
  </w:num>
  <w:num w:numId="110" w16cid:durableId="994186199">
    <w:abstractNumId w:val="8"/>
  </w:num>
  <w:num w:numId="111" w16cid:durableId="732585689">
    <w:abstractNumId w:val="8"/>
  </w:num>
  <w:num w:numId="112" w16cid:durableId="1095128069">
    <w:abstractNumId w:val="8"/>
  </w:num>
  <w:num w:numId="113" w16cid:durableId="464205272">
    <w:abstractNumId w:val="8"/>
  </w:num>
  <w:num w:numId="114" w16cid:durableId="1784224666">
    <w:abstractNumId w:val="8"/>
  </w:num>
  <w:num w:numId="115" w16cid:durableId="442191894">
    <w:abstractNumId w:val="8"/>
  </w:num>
  <w:num w:numId="116" w16cid:durableId="1172332133">
    <w:abstractNumId w:val="8"/>
  </w:num>
  <w:num w:numId="117" w16cid:durableId="942613022">
    <w:abstractNumId w:val="8"/>
  </w:num>
  <w:num w:numId="118" w16cid:durableId="1349478905">
    <w:abstractNumId w:val="8"/>
  </w:num>
  <w:num w:numId="119" w16cid:durableId="1729453211">
    <w:abstractNumId w:val="8"/>
  </w:num>
  <w:num w:numId="120" w16cid:durableId="469639771">
    <w:abstractNumId w:val="8"/>
  </w:num>
  <w:num w:numId="121" w16cid:durableId="292030699">
    <w:abstractNumId w:val="8"/>
  </w:num>
  <w:num w:numId="122" w16cid:durableId="488987752">
    <w:abstractNumId w:val="8"/>
  </w:num>
  <w:num w:numId="123" w16cid:durableId="1354988584">
    <w:abstractNumId w:val="8"/>
  </w:num>
  <w:num w:numId="124" w16cid:durableId="1567033755">
    <w:abstractNumId w:val="8"/>
  </w:num>
  <w:num w:numId="125" w16cid:durableId="1655336462">
    <w:abstractNumId w:val="8"/>
  </w:num>
  <w:num w:numId="126" w16cid:durableId="540745497">
    <w:abstractNumId w:val="8"/>
  </w:num>
  <w:num w:numId="127" w16cid:durableId="918909287">
    <w:abstractNumId w:val="8"/>
  </w:num>
  <w:num w:numId="128" w16cid:durableId="1440956102">
    <w:abstractNumId w:val="8"/>
  </w:num>
  <w:num w:numId="129" w16cid:durableId="687608962">
    <w:abstractNumId w:val="8"/>
  </w:num>
  <w:num w:numId="130" w16cid:durableId="2004357938">
    <w:abstractNumId w:val="8"/>
  </w:num>
  <w:num w:numId="131" w16cid:durableId="1322586395">
    <w:abstractNumId w:val="8"/>
  </w:num>
  <w:num w:numId="132" w16cid:durableId="1499692989">
    <w:abstractNumId w:val="8"/>
  </w:num>
  <w:num w:numId="133" w16cid:durableId="800995246">
    <w:abstractNumId w:val="8"/>
  </w:num>
  <w:num w:numId="134" w16cid:durableId="439642239">
    <w:abstractNumId w:val="8"/>
  </w:num>
  <w:num w:numId="135" w16cid:durableId="1338385038">
    <w:abstractNumId w:val="8"/>
  </w:num>
  <w:num w:numId="136" w16cid:durableId="81609391">
    <w:abstractNumId w:val="8"/>
  </w:num>
  <w:num w:numId="137" w16cid:durableId="867109606">
    <w:abstractNumId w:val="8"/>
  </w:num>
  <w:num w:numId="138" w16cid:durableId="238753778">
    <w:abstractNumId w:val="8"/>
  </w:num>
  <w:num w:numId="139" w16cid:durableId="1951933013">
    <w:abstractNumId w:val="8"/>
  </w:num>
  <w:num w:numId="140" w16cid:durableId="1020670198">
    <w:abstractNumId w:val="8"/>
  </w:num>
  <w:num w:numId="141" w16cid:durableId="1280333324">
    <w:abstractNumId w:val="8"/>
  </w:num>
  <w:num w:numId="142" w16cid:durableId="1520200666">
    <w:abstractNumId w:val="8"/>
  </w:num>
  <w:num w:numId="143" w16cid:durableId="1332367705">
    <w:abstractNumId w:val="0"/>
  </w:num>
  <w:num w:numId="144" w16cid:durableId="1419251694">
    <w:abstractNumId w:val="0"/>
    <w:lvlOverride w:ilvl="0">
      <w:startOverride w:val="1"/>
    </w:lvlOverride>
  </w:num>
  <w:numIdMacAtCleanup w:val="1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361D"/>
    <w:rsid w:val="00002D31"/>
    <w:rsid w:val="00003B2B"/>
    <w:rsid w:val="00003FF1"/>
    <w:rsid w:val="0000435B"/>
    <w:rsid w:val="00004B9E"/>
    <w:rsid w:val="0000766B"/>
    <w:rsid w:val="00010214"/>
    <w:rsid w:val="000105FC"/>
    <w:rsid w:val="00010F74"/>
    <w:rsid w:val="0001405B"/>
    <w:rsid w:val="00014732"/>
    <w:rsid w:val="000149D0"/>
    <w:rsid w:val="0001556B"/>
    <w:rsid w:val="00016051"/>
    <w:rsid w:val="00016ACC"/>
    <w:rsid w:val="000233FF"/>
    <w:rsid w:val="00023CC1"/>
    <w:rsid w:val="000259D6"/>
    <w:rsid w:val="00026721"/>
    <w:rsid w:val="000300D2"/>
    <w:rsid w:val="000301AC"/>
    <w:rsid w:val="0003230F"/>
    <w:rsid w:val="000462E4"/>
    <w:rsid w:val="00047A11"/>
    <w:rsid w:val="000502D4"/>
    <w:rsid w:val="00050607"/>
    <w:rsid w:val="00050819"/>
    <w:rsid w:val="00051468"/>
    <w:rsid w:val="00051FCB"/>
    <w:rsid w:val="000557ED"/>
    <w:rsid w:val="000579C9"/>
    <w:rsid w:val="00060EA7"/>
    <w:rsid w:val="00062CE9"/>
    <w:rsid w:val="00063DEC"/>
    <w:rsid w:val="000645A7"/>
    <w:rsid w:val="00065549"/>
    <w:rsid w:val="00066A77"/>
    <w:rsid w:val="00066DAD"/>
    <w:rsid w:val="00071B80"/>
    <w:rsid w:val="00075C51"/>
    <w:rsid w:val="000768F3"/>
    <w:rsid w:val="00080795"/>
    <w:rsid w:val="00080DF2"/>
    <w:rsid w:val="0008333B"/>
    <w:rsid w:val="00084144"/>
    <w:rsid w:val="0008520A"/>
    <w:rsid w:val="00085E5D"/>
    <w:rsid w:val="00087197"/>
    <w:rsid w:val="000877F2"/>
    <w:rsid w:val="00087C0E"/>
    <w:rsid w:val="0009349F"/>
    <w:rsid w:val="00094B81"/>
    <w:rsid w:val="00094D75"/>
    <w:rsid w:val="0009573E"/>
    <w:rsid w:val="00095C95"/>
    <w:rsid w:val="0009626C"/>
    <w:rsid w:val="00096C10"/>
    <w:rsid w:val="000A0F90"/>
    <w:rsid w:val="000A1290"/>
    <w:rsid w:val="000A1CA3"/>
    <w:rsid w:val="000A3A53"/>
    <w:rsid w:val="000A3B96"/>
    <w:rsid w:val="000A61CD"/>
    <w:rsid w:val="000A6D93"/>
    <w:rsid w:val="000B15D8"/>
    <w:rsid w:val="000B571D"/>
    <w:rsid w:val="000B6462"/>
    <w:rsid w:val="000C361D"/>
    <w:rsid w:val="000C720E"/>
    <w:rsid w:val="000D1715"/>
    <w:rsid w:val="000D365F"/>
    <w:rsid w:val="000D585C"/>
    <w:rsid w:val="000D5895"/>
    <w:rsid w:val="000D7390"/>
    <w:rsid w:val="000E12AB"/>
    <w:rsid w:val="000E2045"/>
    <w:rsid w:val="000E3D95"/>
    <w:rsid w:val="000E4455"/>
    <w:rsid w:val="000E4930"/>
    <w:rsid w:val="000E4F1C"/>
    <w:rsid w:val="000E7DBD"/>
    <w:rsid w:val="000F70A5"/>
    <w:rsid w:val="00101CB0"/>
    <w:rsid w:val="00101E6B"/>
    <w:rsid w:val="00102A7F"/>
    <w:rsid w:val="00103202"/>
    <w:rsid w:val="00103FCA"/>
    <w:rsid w:val="0010400D"/>
    <w:rsid w:val="00107616"/>
    <w:rsid w:val="00107D5A"/>
    <w:rsid w:val="0011026C"/>
    <w:rsid w:val="001104BE"/>
    <w:rsid w:val="00113910"/>
    <w:rsid w:val="0011634C"/>
    <w:rsid w:val="001176B9"/>
    <w:rsid w:val="00117776"/>
    <w:rsid w:val="001210BC"/>
    <w:rsid w:val="00124096"/>
    <w:rsid w:val="001240E6"/>
    <w:rsid w:val="00124224"/>
    <w:rsid w:val="00124593"/>
    <w:rsid w:val="0012473C"/>
    <w:rsid w:val="00126194"/>
    <w:rsid w:val="00126F67"/>
    <w:rsid w:val="00130DCF"/>
    <w:rsid w:val="001315EF"/>
    <w:rsid w:val="00131F50"/>
    <w:rsid w:val="001330F6"/>
    <w:rsid w:val="00136314"/>
    <w:rsid w:val="001366BD"/>
    <w:rsid w:val="001379D0"/>
    <w:rsid w:val="00143B8E"/>
    <w:rsid w:val="0014557F"/>
    <w:rsid w:val="001457CF"/>
    <w:rsid w:val="00145BD5"/>
    <w:rsid w:val="00146D72"/>
    <w:rsid w:val="001475C8"/>
    <w:rsid w:val="001549E9"/>
    <w:rsid w:val="00157397"/>
    <w:rsid w:val="00162F14"/>
    <w:rsid w:val="001636E4"/>
    <w:rsid w:val="0016467E"/>
    <w:rsid w:val="00166032"/>
    <w:rsid w:val="001678BA"/>
    <w:rsid w:val="001727AC"/>
    <w:rsid w:val="001754CB"/>
    <w:rsid w:val="00175CD8"/>
    <w:rsid w:val="0018099F"/>
    <w:rsid w:val="0018233B"/>
    <w:rsid w:val="001836C7"/>
    <w:rsid w:val="00184D65"/>
    <w:rsid w:val="0019253D"/>
    <w:rsid w:val="00192C12"/>
    <w:rsid w:val="00193021"/>
    <w:rsid w:val="00195CA6"/>
    <w:rsid w:val="00196C69"/>
    <w:rsid w:val="00196EBD"/>
    <w:rsid w:val="001A20D8"/>
    <w:rsid w:val="001A37AE"/>
    <w:rsid w:val="001A40BB"/>
    <w:rsid w:val="001A5C54"/>
    <w:rsid w:val="001B0305"/>
    <w:rsid w:val="001B03AD"/>
    <w:rsid w:val="001B6813"/>
    <w:rsid w:val="001B6A35"/>
    <w:rsid w:val="001B719A"/>
    <w:rsid w:val="001C2284"/>
    <w:rsid w:val="001C5ED4"/>
    <w:rsid w:val="001D7CA4"/>
    <w:rsid w:val="001E0ED3"/>
    <w:rsid w:val="001E2B3B"/>
    <w:rsid w:val="001E3B94"/>
    <w:rsid w:val="001E5033"/>
    <w:rsid w:val="001E57C4"/>
    <w:rsid w:val="001E59B7"/>
    <w:rsid w:val="001F07A5"/>
    <w:rsid w:val="001F14FD"/>
    <w:rsid w:val="001F3C41"/>
    <w:rsid w:val="001F4997"/>
    <w:rsid w:val="001F70AF"/>
    <w:rsid w:val="001F77DA"/>
    <w:rsid w:val="002008D8"/>
    <w:rsid w:val="002040A3"/>
    <w:rsid w:val="00204258"/>
    <w:rsid w:val="00205945"/>
    <w:rsid w:val="0021049B"/>
    <w:rsid w:val="00210D33"/>
    <w:rsid w:val="00214D30"/>
    <w:rsid w:val="00216CB3"/>
    <w:rsid w:val="00216EB5"/>
    <w:rsid w:val="002216EB"/>
    <w:rsid w:val="00222242"/>
    <w:rsid w:val="002238E3"/>
    <w:rsid w:val="0022513E"/>
    <w:rsid w:val="00226839"/>
    <w:rsid w:val="00231117"/>
    <w:rsid w:val="00234E63"/>
    <w:rsid w:val="002418A5"/>
    <w:rsid w:val="00241A82"/>
    <w:rsid w:val="00241DE7"/>
    <w:rsid w:val="00242083"/>
    <w:rsid w:val="0025091C"/>
    <w:rsid w:val="00253BC6"/>
    <w:rsid w:val="00256386"/>
    <w:rsid w:val="00256845"/>
    <w:rsid w:val="00256CAD"/>
    <w:rsid w:val="00260A50"/>
    <w:rsid w:val="00260D12"/>
    <w:rsid w:val="0026394A"/>
    <w:rsid w:val="002667D4"/>
    <w:rsid w:val="002704F1"/>
    <w:rsid w:val="00272019"/>
    <w:rsid w:val="00274437"/>
    <w:rsid w:val="00274AE8"/>
    <w:rsid w:val="00276884"/>
    <w:rsid w:val="0027697C"/>
    <w:rsid w:val="00276E40"/>
    <w:rsid w:val="00283934"/>
    <w:rsid w:val="00284AF5"/>
    <w:rsid w:val="00286EBF"/>
    <w:rsid w:val="00287A50"/>
    <w:rsid w:val="00294728"/>
    <w:rsid w:val="002A2130"/>
    <w:rsid w:val="002A302A"/>
    <w:rsid w:val="002A4C4F"/>
    <w:rsid w:val="002A656F"/>
    <w:rsid w:val="002B368D"/>
    <w:rsid w:val="002B3E46"/>
    <w:rsid w:val="002B55AF"/>
    <w:rsid w:val="002B6634"/>
    <w:rsid w:val="002B7FB4"/>
    <w:rsid w:val="002C0B32"/>
    <w:rsid w:val="002C63D8"/>
    <w:rsid w:val="002C6F39"/>
    <w:rsid w:val="002D0790"/>
    <w:rsid w:val="002D0B6E"/>
    <w:rsid w:val="002D3362"/>
    <w:rsid w:val="002D3F38"/>
    <w:rsid w:val="002D5496"/>
    <w:rsid w:val="002D653D"/>
    <w:rsid w:val="002D6D0D"/>
    <w:rsid w:val="002E1C67"/>
    <w:rsid w:val="002E32F6"/>
    <w:rsid w:val="002E5915"/>
    <w:rsid w:val="002E5B87"/>
    <w:rsid w:val="002E7E37"/>
    <w:rsid w:val="002F1E7C"/>
    <w:rsid w:val="002F25F3"/>
    <w:rsid w:val="002F3A5F"/>
    <w:rsid w:val="002F6543"/>
    <w:rsid w:val="002F6ED8"/>
    <w:rsid w:val="003008D8"/>
    <w:rsid w:val="003019ED"/>
    <w:rsid w:val="003046ED"/>
    <w:rsid w:val="0030702A"/>
    <w:rsid w:val="0031036B"/>
    <w:rsid w:val="003132D9"/>
    <w:rsid w:val="003147D1"/>
    <w:rsid w:val="003148DC"/>
    <w:rsid w:val="003151C7"/>
    <w:rsid w:val="00317A10"/>
    <w:rsid w:val="00317EF8"/>
    <w:rsid w:val="0032099F"/>
    <w:rsid w:val="003209EE"/>
    <w:rsid w:val="00326F9F"/>
    <w:rsid w:val="00330A2C"/>
    <w:rsid w:val="003313DD"/>
    <w:rsid w:val="00331CC5"/>
    <w:rsid w:val="00341D82"/>
    <w:rsid w:val="00343127"/>
    <w:rsid w:val="00347019"/>
    <w:rsid w:val="00347AD1"/>
    <w:rsid w:val="00347ADB"/>
    <w:rsid w:val="00350256"/>
    <w:rsid w:val="003515ED"/>
    <w:rsid w:val="00352003"/>
    <w:rsid w:val="003527A9"/>
    <w:rsid w:val="00353695"/>
    <w:rsid w:val="00353979"/>
    <w:rsid w:val="0035444D"/>
    <w:rsid w:val="00354749"/>
    <w:rsid w:val="00354E7E"/>
    <w:rsid w:val="00356202"/>
    <w:rsid w:val="00357139"/>
    <w:rsid w:val="00357C85"/>
    <w:rsid w:val="003620AF"/>
    <w:rsid w:val="00362655"/>
    <w:rsid w:val="00362AF5"/>
    <w:rsid w:val="00364507"/>
    <w:rsid w:val="00365881"/>
    <w:rsid w:val="0037149E"/>
    <w:rsid w:val="003752E0"/>
    <w:rsid w:val="00376BDF"/>
    <w:rsid w:val="003808BE"/>
    <w:rsid w:val="00380BB3"/>
    <w:rsid w:val="0038101F"/>
    <w:rsid w:val="0038102C"/>
    <w:rsid w:val="0038254F"/>
    <w:rsid w:val="00383A04"/>
    <w:rsid w:val="00385B82"/>
    <w:rsid w:val="00393410"/>
    <w:rsid w:val="00393515"/>
    <w:rsid w:val="003979E6"/>
    <w:rsid w:val="00397BC9"/>
    <w:rsid w:val="003A373F"/>
    <w:rsid w:val="003A6A41"/>
    <w:rsid w:val="003B23AC"/>
    <w:rsid w:val="003B3C86"/>
    <w:rsid w:val="003B43DB"/>
    <w:rsid w:val="003B6ECB"/>
    <w:rsid w:val="003C10B8"/>
    <w:rsid w:val="003C2146"/>
    <w:rsid w:val="003C2ED8"/>
    <w:rsid w:val="003C4256"/>
    <w:rsid w:val="003C447D"/>
    <w:rsid w:val="003C63AA"/>
    <w:rsid w:val="003C7256"/>
    <w:rsid w:val="003D52DA"/>
    <w:rsid w:val="003D5FD9"/>
    <w:rsid w:val="003E02C8"/>
    <w:rsid w:val="003E12C4"/>
    <w:rsid w:val="003E1A64"/>
    <w:rsid w:val="003E26BF"/>
    <w:rsid w:val="003E26ED"/>
    <w:rsid w:val="003E55C7"/>
    <w:rsid w:val="003E64DC"/>
    <w:rsid w:val="003E64E2"/>
    <w:rsid w:val="003E7006"/>
    <w:rsid w:val="003E7584"/>
    <w:rsid w:val="003E7ACE"/>
    <w:rsid w:val="003F1D41"/>
    <w:rsid w:val="003F3583"/>
    <w:rsid w:val="004018C1"/>
    <w:rsid w:val="00401A02"/>
    <w:rsid w:val="00402033"/>
    <w:rsid w:val="004054B3"/>
    <w:rsid w:val="00415D3A"/>
    <w:rsid w:val="004161C9"/>
    <w:rsid w:val="00416F6B"/>
    <w:rsid w:val="00417A2A"/>
    <w:rsid w:val="004246B8"/>
    <w:rsid w:val="004306BD"/>
    <w:rsid w:val="00433706"/>
    <w:rsid w:val="004349EB"/>
    <w:rsid w:val="00434EC5"/>
    <w:rsid w:val="00436752"/>
    <w:rsid w:val="004370B0"/>
    <w:rsid w:val="0043770A"/>
    <w:rsid w:val="004379F7"/>
    <w:rsid w:val="00437A26"/>
    <w:rsid w:val="00437B86"/>
    <w:rsid w:val="004421EA"/>
    <w:rsid w:val="00442C4F"/>
    <w:rsid w:val="004432A5"/>
    <w:rsid w:val="004445A4"/>
    <w:rsid w:val="00444E1D"/>
    <w:rsid w:val="0044523B"/>
    <w:rsid w:val="00445682"/>
    <w:rsid w:val="0045042D"/>
    <w:rsid w:val="00453186"/>
    <w:rsid w:val="00454E96"/>
    <w:rsid w:val="004574C6"/>
    <w:rsid w:val="00457EEC"/>
    <w:rsid w:val="004608F3"/>
    <w:rsid w:val="00461A0F"/>
    <w:rsid w:val="00462650"/>
    <w:rsid w:val="00463BED"/>
    <w:rsid w:val="00465B91"/>
    <w:rsid w:val="004662BF"/>
    <w:rsid w:val="004667F5"/>
    <w:rsid w:val="00466858"/>
    <w:rsid w:val="004672A7"/>
    <w:rsid w:val="004675C0"/>
    <w:rsid w:val="004701C0"/>
    <w:rsid w:val="00474B16"/>
    <w:rsid w:val="00480A82"/>
    <w:rsid w:val="00481CD2"/>
    <w:rsid w:val="004833E0"/>
    <w:rsid w:val="004834C1"/>
    <w:rsid w:val="00483643"/>
    <w:rsid w:val="0048549C"/>
    <w:rsid w:val="004871F5"/>
    <w:rsid w:val="00487DAE"/>
    <w:rsid w:val="00491ECA"/>
    <w:rsid w:val="004951AE"/>
    <w:rsid w:val="00496AF2"/>
    <w:rsid w:val="00496C2B"/>
    <w:rsid w:val="00496D2B"/>
    <w:rsid w:val="004A1B89"/>
    <w:rsid w:val="004A280C"/>
    <w:rsid w:val="004A6A35"/>
    <w:rsid w:val="004B37E1"/>
    <w:rsid w:val="004B3E63"/>
    <w:rsid w:val="004B54D3"/>
    <w:rsid w:val="004B5865"/>
    <w:rsid w:val="004B67B7"/>
    <w:rsid w:val="004B7F52"/>
    <w:rsid w:val="004C18EE"/>
    <w:rsid w:val="004C2D7F"/>
    <w:rsid w:val="004C5570"/>
    <w:rsid w:val="004C6332"/>
    <w:rsid w:val="004C7175"/>
    <w:rsid w:val="004C7C6C"/>
    <w:rsid w:val="004E2547"/>
    <w:rsid w:val="004E37DE"/>
    <w:rsid w:val="004E39A8"/>
    <w:rsid w:val="004E41DB"/>
    <w:rsid w:val="004E51AE"/>
    <w:rsid w:val="004F0F8B"/>
    <w:rsid w:val="004F1277"/>
    <w:rsid w:val="004F1ACC"/>
    <w:rsid w:val="004F3C71"/>
    <w:rsid w:val="004F3FAA"/>
    <w:rsid w:val="0050152F"/>
    <w:rsid w:val="00502452"/>
    <w:rsid w:val="00503407"/>
    <w:rsid w:val="00503537"/>
    <w:rsid w:val="00504B5B"/>
    <w:rsid w:val="00505EB5"/>
    <w:rsid w:val="005117DC"/>
    <w:rsid w:val="00514182"/>
    <w:rsid w:val="00520A92"/>
    <w:rsid w:val="005212A2"/>
    <w:rsid w:val="00521D02"/>
    <w:rsid w:val="00522B11"/>
    <w:rsid w:val="005235E8"/>
    <w:rsid w:val="00523693"/>
    <w:rsid w:val="00523E2C"/>
    <w:rsid w:val="00525FF1"/>
    <w:rsid w:val="00540A04"/>
    <w:rsid w:val="00541CB4"/>
    <w:rsid w:val="005431DF"/>
    <w:rsid w:val="00544A15"/>
    <w:rsid w:val="00545746"/>
    <w:rsid w:val="00546A36"/>
    <w:rsid w:val="005501A1"/>
    <w:rsid w:val="00550AD5"/>
    <w:rsid w:val="00553005"/>
    <w:rsid w:val="0055455B"/>
    <w:rsid w:val="0055469F"/>
    <w:rsid w:val="0055476D"/>
    <w:rsid w:val="00555167"/>
    <w:rsid w:val="00557335"/>
    <w:rsid w:val="00557580"/>
    <w:rsid w:val="00557B63"/>
    <w:rsid w:val="00564183"/>
    <w:rsid w:val="00565401"/>
    <w:rsid w:val="005656F7"/>
    <w:rsid w:val="005658DC"/>
    <w:rsid w:val="00567265"/>
    <w:rsid w:val="00567D36"/>
    <w:rsid w:val="0057268E"/>
    <w:rsid w:val="005747DA"/>
    <w:rsid w:val="00575D3D"/>
    <w:rsid w:val="00577C7A"/>
    <w:rsid w:val="0058393E"/>
    <w:rsid w:val="00583DDF"/>
    <w:rsid w:val="00585341"/>
    <w:rsid w:val="0058575E"/>
    <w:rsid w:val="0058767F"/>
    <w:rsid w:val="00591DDD"/>
    <w:rsid w:val="00592301"/>
    <w:rsid w:val="00594AD2"/>
    <w:rsid w:val="005950CB"/>
    <w:rsid w:val="0059578D"/>
    <w:rsid w:val="005A18EA"/>
    <w:rsid w:val="005A346D"/>
    <w:rsid w:val="005A34E2"/>
    <w:rsid w:val="005B064D"/>
    <w:rsid w:val="005B0B07"/>
    <w:rsid w:val="005B10FD"/>
    <w:rsid w:val="005B141F"/>
    <w:rsid w:val="005B50EC"/>
    <w:rsid w:val="005C2384"/>
    <w:rsid w:val="005C3588"/>
    <w:rsid w:val="005C53BD"/>
    <w:rsid w:val="005C53DA"/>
    <w:rsid w:val="005C5B97"/>
    <w:rsid w:val="005D0416"/>
    <w:rsid w:val="005D252B"/>
    <w:rsid w:val="005D30FC"/>
    <w:rsid w:val="005D3930"/>
    <w:rsid w:val="005D3C36"/>
    <w:rsid w:val="005D3D40"/>
    <w:rsid w:val="005D4C1E"/>
    <w:rsid w:val="005D4FFC"/>
    <w:rsid w:val="005D5BA8"/>
    <w:rsid w:val="005D5F3D"/>
    <w:rsid w:val="005D63ED"/>
    <w:rsid w:val="005E1511"/>
    <w:rsid w:val="005E232F"/>
    <w:rsid w:val="005E5984"/>
    <w:rsid w:val="005E5B38"/>
    <w:rsid w:val="005E631F"/>
    <w:rsid w:val="005E72D4"/>
    <w:rsid w:val="005F0624"/>
    <w:rsid w:val="005F3461"/>
    <w:rsid w:val="005F5B62"/>
    <w:rsid w:val="005F6BCC"/>
    <w:rsid w:val="006005EB"/>
    <w:rsid w:val="006028F4"/>
    <w:rsid w:val="00606058"/>
    <w:rsid w:val="006106EC"/>
    <w:rsid w:val="006107E5"/>
    <w:rsid w:val="00610820"/>
    <w:rsid w:val="00610FF2"/>
    <w:rsid w:val="00612C01"/>
    <w:rsid w:val="006160D3"/>
    <w:rsid w:val="006164DC"/>
    <w:rsid w:val="00621B3D"/>
    <w:rsid w:val="006260A3"/>
    <w:rsid w:val="006265A6"/>
    <w:rsid w:val="00626A51"/>
    <w:rsid w:val="00627959"/>
    <w:rsid w:val="00630892"/>
    <w:rsid w:val="00630AAD"/>
    <w:rsid w:val="00632DD1"/>
    <w:rsid w:val="00633D51"/>
    <w:rsid w:val="00634632"/>
    <w:rsid w:val="00635612"/>
    <w:rsid w:val="00635F38"/>
    <w:rsid w:val="00640070"/>
    <w:rsid w:val="00642CEA"/>
    <w:rsid w:val="00645C44"/>
    <w:rsid w:val="00646F85"/>
    <w:rsid w:val="00650EB1"/>
    <w:rsid w:val="0065234A"/>
    <w:rsid w:val="00652DA7"/>
    <w:rsid w:val="00653439"/>
    <w:rsid w:val="00653453"/>
    <w:rsid w:val="00657FFC"/>
    <w:rsid w:val="006605A4"/>
    <w:rsid w:val="006620E8"/>
    <w:rsid w:val="00662823"/>
    <w:rsid w:val="006633FE"/>
    <w:rsid w:val="00664E82"/>
    <w:rsid w:val="00666E8F"/>
    <w:rsid w:val="0067150A"/>
    <w:rsid w:val="00673B24"/>
    <w:rsid w:val="00676026"/>
    <w:rsid w:val="006767A5"/>
    <w:rsid w:val="006807D3"/>
    <w:rsid w:val="006827B5"/>
    <w:rsid w:val="00683CFB"/>
    <w:rsid w:val="00685898"/>
    <w:rsid w:val="006865DA"/>
    <w:rsid w:val="00686CE7"/>
    <w:rsid w:val="00687BB9"/>
    <w:rsid w:val="00687FCE"/>
    <w:rsid w:val="006905C2"/>
    <w:rsid w:val="00691263"/>
    <w:rsid w:val="00691595"/>
    <w:rsid w:val="00691BC3"/>
    <w:rsid w:val="00692401"/>
    <w:rsid w:val="00692DC9"/>
    <w:rsid w:val="00693B09"/>
    <w:rsid w:val="00693ED3"/>
    <w:rsid w:val="00694D49"/>
    <w:rsid w:val="00694F98"/>
    <w:rsid w:val="006951F8"/>
    <w:rsid w:val="006952AB"/>
    <w:rsid w:val="006A0840"/>
    <w:rsid w:val="006A0C2F"/>
    <w:rsid w:val="006A154B"/>
    <w:rsid w:val="006A1563"/>
    <w:rsid w:val="006A1C5E"/>
    <w:rsid w:val="006A1F0B"/>
    <w:rsid w:val="006A35F7"/>
    <w:rsid w:val="006B1025"/>
    <w:rsid w:val="006B22C7"/>
    <w:rsid w:val="006B6A0F"/>
    <w:rsid w:val="006B7ED7"/>
    <w:rsid w:val="006C056E"/>
    <w:rsid w:val="006C1154"/>
    <w:rsid w:val="006C1DEC"/>
    <w:rsid w:val="006C2BBC"/>
    <w:rsid w:val="006C4E7A"/>
    <w:rsid w:val="006C64B3"/>
    <w:rsid w:val="006C6572"/>
    <w:rsid w:val="006D0688"/>
    <w:rsid w:val="006D15C8"/>
    <w:rsid w:val="006D189C"/>
    <w:rsid w:val="006D2AA6"/>
    <w:rsid w:val="006D46CB"/>
    <w:rsid w:val="006D5127"/>
    <w:rsid w:val="006D5335"/>
    <w:rsid w:val="006D6526"/>
    <w:rsid w:val="006D6F81"/>
    <w:rsid w:val="006D70FF"/>
    <w:rsid w:val="006E3F78"/>
    <w:rsid w:val="006E56A3"/>
    <w:rsid w:val="006E63B5"/>
    <w:rsid w:val="006E7C4E"/>
    <w:rsid w:val="006F053A"/>
    <w:rsid w:val="006F24DD"/>
    <w:rsid w:val="006F281A"/>
    <w:rsid w:val="006F3762"/>
    <w:rsid w:val="006F4836"/>
    <w:rsid w:val="006F53A1"/>
    <w:rsid w:val="006F58D3"/>
    <w:rsid w:val="007039A0"/>
    <w:rsid w:val="00703FDB"/>
    <w:rsid w:val="00705A96"/>
    <w:rsid w:val="00706935"/>
    <w:rsid w:val="00710A2E"/>
    <w:rsid w:val="007124BB"/>
    <w:rsid w:val="00712DFA"/>
    <w:rsid w:val="00713820"/>
    <w:rsid w:val="00713CA1"/>
    <w:rsid w:val="0071449C"/>
    <w:rsid w:val="00716D00"/>
    <w:rsid w:val="0071784F"/>
    <w:rsid w:val="0072003A"/>
    <w:rsid w:val="00721D38"/>
    <w:rsid w:val="00725E6D"/>
    <w:rsid w:val="00725F84"/>
    <w:rsid w:val="00727355"/>
    <w:rsid w:val="00730030"/>
    <w:rsid w:val="00730BA3"/>
    <w:rsid w:val="00730E29"/>
    <w:rsid w:val="007375BE"/>
    <w:rsid w:val="00741678"/>
    <w:rsid w:val="007421BF"/>
    <w:rsid w:val="00742F8B"/>
    <w:rsid w:val="0074593C"/>
    <w:rsid w:val="00746990"/>
    <w:rsid w:val="00747FD3"/>
    <w:rsid w:val="00751544"/>
    <w:rsid w:val="00751CE3"/>
    <w:rsid w:val="00753EEE"/>
    <w:rsid w:val="0075509C"/>
    <w:rsid w:val="00756F59"/>
    <w:rsid w:val="007610A8"/>
    <w:rsid w:val="007618B9"/>
    <w:rsid w:val="007654D9"/>
    <w:rsid w:val="00766C1B"/>
    <w:rsid w:val="0076757D"/>
    <w:rsid w:val="00767F93"/>
    <w:rsid w:val="0077156F"/>
    <w:rsid w:val="00774429"/>
    <w:rsid w:val="00775E6A"/>
    <w:rsid w:val="0077619B"/>
    <w:rsid w:val="00786F53"/>
    <w:rsid w:val="00790D1D"/>
    <w:rsid w:val="00790F28"/>
    <w:rsid w:val="00791998"/>
    <w:rsid w:val="007923D4"/>
    <w:rsid w:val="00795883"/>
    <w:rsid w:val="00796973"/>
    <w:rsid w:val="007A0089"/>
    <w:rsid w:val="007A1CB2"/>
    <w:rsid w:val="007A2F3A"/>
    <w:rsid w:val="007A318B"/>
    <w:rsid w:val="007A486B"/>
    <w:rsid w:val="007A49E7"/>
    <w:rsid w:val="007A4D4B"/>
    <w:rsid w:val="007B1C87"/>
    <w:rsid w:val="007B61AB"/>
    <w:rsid w:val="007B73CD"/>
    <w:rsid w:val="007C063C"/>
    <w:rsid w:val="007C3DFB"/>
    <w:rsid w:val="007C4000"/>
    <w:rsid w:val="007C4FB1"/>
    <w:rsid w:val="007D361E"/>
    <w:rsid w:val="007D4685"/>
    <w:rsid w:val="007D6BF2"/>
    <w:rsid w:val="007E13A8"/>
    <w:rsid w:val="007E2589"/>
    <w:rsid w:val="007E305B"/>
    <w:rsid w:val="007E6ACD"/>
    <w:rsid w:val="007E7E1E"/>
    <w:rsid w:val="007F0A77"/>
    <w:rsid w:val="007F0F3F"/>
    <w:rsid w:val="007F318A"/>
    <w:rsid w:val="007F3677"/>
    <w:rsid w:val="007F474D"/>
    <w:rsid w:val="007F6614"/>
    <w:rsid w:val="0080001A"/>
    <w:rsid w:val="00800151"/>
    <w:rsid w:val="00800694"/>
    <w:rsid w:val="00800FCF"/>
    <w:rsid w:val="00801C87"/>
    <w:rsid w:val="0080526A"/>
    <w:rsid w:val="00811D0A"/>
    <w:rsid w:val="00815FB6"/>
    <w:rsid w:val="00816DDB"/>
    <w:rsid w:val="008170B6"/>
    <w:rsid w:val="008208CF"/>
    <w:rsid w:val="0082173D"/>
    <w:rsid w:val="00821FAE"/>
    <w:rsid w:val="008252F7"/>
    <w:rsid w:val="00826D56"/>
    <w:rsid w:val="008323E4"/>
    <w:rsid w:val="008329DB"/>
    <w:rsid w:val="008331D6"/>
    <w:rsid w:val="008339E8"/>
    <w:rsid w:val="0083415E"/>
    <w:rsid w:val="00834E7F"/>
    <w:rsid w:val="00835CB5"/>
    <w:rsid w:val="00836BC8"/>
    <w:rsid w:val="00841711"/>
    <w:rsid w:val="00843A04"/>
    <w:rsid w:val="00843EEF"/>
    <w:rsid w:val="00847290"/>
    <w:rsid w:val="008472F2"/>
    <w:rsid w:val="00851319"/>
    <w:rsid w:val="00855858"/>
    <w:rsid w:val="00857155"/>
    <w:rsid w:val="0085725B"/>
    <w:rsid w:val="00860B2D"/>
    <w:rsid w:val="00863F37"/>
    <w:rsid w:val="00870075"/>
    <w:rsid w:val="00872B14"/>
    <w:rsid w:val="00873798"/>
    <w:rsid w:val="00876327"/>
    <w:rsid w:val="00876A97"/>
    <w:rsid w:val="00881ACA"/>
    <w:rsid w:val="00883B85"/>
    <w:rsid w:val="00885F8B"/>
    <w:rsid w:val="00890520"/>
    <w:rsid w:val="00892090"/>
    <w:rsid w:val="008928BC"/>
    <w:rsid w:val="008948B4"/>
    <w:rsid w:val="0089496B"/>
    <w:rsid w:val="00895E92"/>
    <w:rsid w:val="008A1ACD"/>
    <w:rsid w:val="008A294E"/>
    <w:rsid w:val="008A46AC"/>
    <w:rsid w:val="008A4AF4"/>
    <w:rsid w:val="008A5A6F"/>
    <w:rsid w:val="008A6284"/>
    <w:rsid w:val="008A6CC9"/>
    <w:rsid w:val="008B090A"/>
    <w:rsid w:val="008B0E6D"/>
    <w:rsid w:val="008B2584"/>
    <w:rsid w:val="008B4BCE"/>
    <w:rsid w:val="008B4E91"/>
    <w:rsid w:val="008B5266"/>
    <w:rsid w:val="008B5AAE"/>
    <w:rsid w:val="008B654E"/>
    <w:rsid w:val="008B6F93"/>
    <w:rsid w:val="008C293F"/>
    <w:rsid w:val="008C34CE"/>
    <w:rsid w:val="008D3BF9"/>
    <w:rsid w:val="008D4324"/>
    <w:rsid w:val="008D5762"/>
    <w:rsid w:val="008D65D5"/>
    <w:rsid w:val="008D7064"/>
    <w:rsid w:val="008E11C4"/>
    <w:rsid w:val="008E12FC"/>
    <w:rsid w:val="008E15FA"/>
    <w:rsid w:val="008E547A"/>
    <w:rsid w:val="008E5C4C"/>
    <w:rsid w:val="008E720D"/>
    <w:rsid w:val="008F03D8"/>
    <w:rsid w:val="008F23CB"/>
    <w:rsid w:val="008F29E0"/>
    <w:rsid w:val="008F38D1"/>
    <w:rsid w:val="008F54FF"/>
    <w:rsid w:val="008F5E99"/>
    <w:rsid w:val="00902E27"/>
    <w:rsid w:val="009031DD"/>
    <w:rsid w:val="0090329E"/>
    <w:rsid w:val="00904D03"/>
    <w:rsid w:val="009058B8"/>
    <w:rsid w:val="0090744F"/>
    <w:rsid w:val="00914769"/>
    <w:rsid w:val="00915A60"/>
    <w:rsid w:val="00916AB5"/>
    <w:rsid w:val="009179DF"/>
    <w:rsid w:val="00920E40"/>
    <w:rsid w:val="00921206"/>
    <w:rsid w:val="00921443"/>
    <w:rsid w:val="009223E3"/>
    <w:rsid w:val="00923B6B"/>
    <w:rsid w:val="0092432A"/>
    <w:rsid w:val="00925318"/>
    <w:rsid w:val="0092747A"/>
    <w:rsid w:val="00930D58"/>
    <w:rsid w:val="00931A81"/>
    <w:rsid w:val="00932372"/>
    <w:rsid w:val="00933389"/>
    <w:rsid w:val="00935690"/>
    <w:rsid w:val="00937F8B"/>
    <w:rsid w:val="009412F2"/>
    <w:rsid w:val="009421DD"/>
    <w:rsid w:val="00946FCA"/>
    <w:rsid w:val="0095170C"/>
    <w:rsid w:val="00952364"/>
    <w:rsid w:val="009549CD"/>
    <w:rsid w:val="0095539E"/>
    <w:rsid w:val="00955A30"/>
    <w:rsid w:val="009607F4"/>
    <w:rsid w:val="0096086B"/>
    <w:rsid w:val="00961400"/>
    <w:rsid w:val="00961AB5"/>
    <w:rsid w:val="00962203"/>
    <w:rsid w:val="00962771"/>
    <w:rsid w:val="00962A0E"/>
    <w:rsid w:val="0096371A"/>
    <w:rsid w:val="009638E3"/>
    <w:rsid w:val="00965304"/>
    <w:rsid w:val="00967162"/>
    <w:rsid w:val="00967919"/>
    <w:rsid w:val="00970825"/>
    <w:rsid w:val="00974192"/>
    <w:rsid w:val="0097466D"/>
    <w:rsid w:val="00975639"/>
    <w:rsid w:val="00980349"/>
    <w:rsid w:val="009843C1"/>
    <w:rsid w:val="00984DBC"/>
    <w:rsid w:val="009855AB"/>
    <w:rsid w:val="00985EC8"/>
    <w:rsid w:val="009904DB"/>
    <w:rsid w:val="00990F63"/>
    <w:rsid w:val="0099146A"/>
    <w:rsid w:val="00993623"/>
    <w:rsid w:val="009953B0"/>
    <w:rsid w:val="00996AEA"/>
    <w:rsid w:val="009A2167"/>
    <w:rsid w:val="009A44AC"/>
    <w:rsid w:val="009B3176"/>
    <w:rsid w:val="009B4BD8"/>
    <w:rsid w:val="009C05E9"/>
    <w:rsid w:val="009C297D"/>
    <w:rsid w:val="009C3035"/>
    <w:rsid w:val="009C3322"/>
    <w:rsid w:val="009D16BF"/>
    <w:rsid w:val="009D205C"/>
    <w:rsid w:val="009D32C2"/>
    <w:rsid w:val="009D47B6"/>
    <w:rsid w:val="009D4E7D"/>
    <w:rsid w:val="009D6081"/>
    <w:rsid w:val="009D6237"/>
    <w:rsid w:val="009D6AFA"/>
    <w:rsid w:val="009D78A1"/>
    <w:rsid w:val="009E2C03"/>
    <w:rsid w:val="009E37E6"/>
    <w:rsid w:val="009E3DBF"/>
    <w:rsid w:val="009E3EAF"/>
    <w:rsid w:val="009E53CD"/>
    <w:rsid w:val="009E6FD2"/>
    <w:rsid w:val="009F6204"/>
    <w:rsid w:val="00A00506"/>
    <w:rsid w:val="00A01F85"/>
    <w:rsid w:val="00A042CD"/>
    <w:rsid w:val="00A044C5"/>
    <w:rsid w:val="00A06845"/>
    <w:rsid w:val="00A139D9"/>
    <w:rsid w:val="00A14405"/>
    <w:rsid w:val="00A169E3"/>
    <w:rsid w:val="00A221FF"/>
    <w:rsid w:val="00A226B8"/>
    <w:rsid w:val="00A236C0"/>
    <w:rsid w:val="00A239C9"/>
    <w:rsid w:val="00A266D4"/>
    <w:rsid w:val="00A272C6"/>
    <w:rsid w:val="00A30BFA"/>
    <w:rsid w:val="00A31BE4"/>
    <w:rsid w:val="00A34ED7"/>
    <w:rsid w:val="00A434E3"/>
    <w:rsid w:val="00A435A7"/>
    <w:rsid w:val="00A44821"/>
    <w:rsid w:val="00A448EC"/>
    <w:rsid w:val="00A44CF4"/>
    <w:rsid w:val="00A44D96"/>
    <w:rsid w:val="00A5118E"/>
    <w:rsid w:val="00A51EC9"/>
    <w:rsid w:val="00A5371C"/>
    <w:rsid w:val="00A546A9"/>
    <w:rsid w:val="00A575C8"/>
    <w:rsid w:val="00A57E63"/>
    <w:rsid w:val="00A60BE1"/>
    <w:rsid w:val="00A615D7"/>
    <w:rsid w:val="00A616BE"/>
    <w:rsid w:val="00A6225E"/>
    <w:rsid w:val="00A6260B"/>
    <w:rsid w:val="00A64B41"/>
    <w:rsid w:val="00A65300"/>
    <w:rsid w:val="00A66A45"/>
    <w:rsid w:val="00A673DD"/>
    <w:rsid w:val="00A70C95"/>
    <w:rsid w:val="00A735D4"/>
    <w:rsid w:val="00A76849"/>
    <w:rsid w:val="00A80927"/>
    <w:rsid w:val="00A80B25"/>
    <w:rsid w:val="00A80EAA"/>
    <w:rsid w:val="00A8353F"/>
    <w:rsid w:val="00A83653"/>
    <w:rsid w:val="00A8370D"/>
    <w:rsid w:val="00A83A2C"/>
    <w:rsid w:val="00A85A55"/>
    <w:rsid w:val="00A85F68"/>
    <w:rsid w:val="00A86256"/>
    <w:rsid w:val="00A868D7"/>
    <w:rsid w:val="00A92A05"/>
    <w:rsid w:val="00A93743"/>
    <w:rsid w:val="00A938D9"/>
    <w:rsid w:val="00A9747C"/>
    <w:rsid w:val="00A978D5"/>
    <w:rsid w:val="00AA165C"/>
    <w:rsid w:val="00AA4232"/>
    <w:rsid w:val="00AA4CEA"/>
    <w:rsid w:val="00AB3718"/>
    <w:rsid w:val="00AB4C71"/>
    <w:rsid w:val="00AB4FB2"/>
    <w:rsid w:val="00AB785C"/>
    <w:rsid w:val="00AB7B01"/>
    <w:rsid w:val="00AB7CBF"/>
    <w:rsid w:val="00AC0DF5"/>
    <w:rsid w:val="00AC138B"/>
    <w:rsid w:val="00AC682E"/>
    <w:rsid w:val="00AD4AE1"/>
    <w:rsid w:val="00AE0ABB"/>
    <w:rsid w:val="00AE3D20"/>
    <w:rsid w:val="00AE4A1D"/>
    <w:rsid w:val="00AF192F"/>
    <w:rsid w:val="00AF2743"/>
    <w:rsid w:val="00AF29E7"/>
    <w:rsid w:val="00AF58C8"/>
    <w:rsid w:val="00AF5DFC"/>
    <w:rsid w:val="00AF7E03"/>
    <w:rsid w:val="00B03B68"/>
    <w:rsid w:val="00B11BB5"/>
    <w:rsid w:val="00B11E47"/>
    <w:rsid w:val="00B12AC8"/>
    <w:rsid w:val="00B1388F"/>
    <w:rsid w:val="00B17C28"/>
    <w:rsid w:val="00B21BE6"/>
    <w:rsid w:val="00B22B38"/>
    <w:rsid w:val="00B306D4"/>
    <w:rsid w:val="00B325CE"/>
    <w:rsid w:val="00B339F4"/>
    <w:rsid w:val="00B41A7C"/>
    <w:rsid w:val="00B4272C"/>
    <w:rsid w:val="00B433BC"/>
    <w:rsid w:val="00B43BD4"/>
    <w:rsid w:val="00B45137"/>
    <w:rsid w:val="00B45678"/>
    <w:rsid w:val="00B46BC0"/>
    <w:rsid w:val="00B504FF"/>
    <w:rsid w:val="00B54C34"/>
    <w:rsid w:val="00B55A9E"/>
    <w:rsid w:val="00B602D5"/>
    <w:rsid w:val="00B622E4"/>
    <w:rsid w:val="00B628D8"/>
    <w:rsid w:val="00B6327A"/>
    <w:rsid w:val="00B63354"/>
    <w:rsid w:val="00B63C3C"/>
    <w:rsid w:val="00B64F59"/>
    <w:rsid w:val="00B6593E"/>
    <w:rsid w:val="00B73FBA"/>
    <w:rsid w:val="00B75314"/>
    <w:rsid w:val="00B7564C"/>
    <w:rsid w:val="00B766B6"/>
    <w:rsid w:val="00B767A6"/>
    <w:rsid w:val="00B81089"/>
    <w:rsid w:val="00B8126C"/>
    <w:rsid w:val="00B81C73"/>
    <w:rsid w:val="00B82E10"/>
    <w:rsid w:val="00B83E3A"/>
    <w:rsid w:val="00B842C0"/>
    <w:rsid w:val="00B907D4"/>
    <w:rsid w:val="00B91024"/>
    <w:rsid w:val="00B9261C"/>
    <w:rsid w:val="00B92A26"/>
    <w:rsid w:val="00B92BB7"/>
    <w:rsid w:val="00B941FF"/>
    <w:rsid w:val="00B94C08"/>
    <w:rsid w:val="00B96678"/>
    <w:rsid w:val="00B9711E"/>
    <w:rsid w:val="00BA0CE9"/>
    <w:rsid w:val="00BA3BF6"/>
    <w:rsid w:val="00BA6543"/>
    <w:rsid w:val="00BA7137"/>
    <w:rsid w:val="00BA7325"/>
    <w:rsid w:val="00BB3352"/>
    <w:rsid w:val="00BB4FB2"/>
    <w:rsid w:val="00BC2DE6"/>
    <w:rsid w:val="00BC3A70"/>
    <w:rsid w:val="00BC43AF"/>
    <w:rsid w:val="00BC5F83"/>
    <w:rsid w:val="00BC6327"/>
    <w:rsid w:val="00BC7059"/>
    <w:rsid w:val="00BC764B"/>
    <w:rsid w:val="00BD230C"/>
    <w:rsid w:val="00BD3116"/>
    <w:rsid w:val="00BD4C76"/>
    <w:rsid w:val="00BD50F2"/>
    <w:rsid w:val="00BE31C3"/>
    <w:rsid w:val="00BE4F47"/>
    <w:rsid w:val="00BE6A36"/>
    <w:rsid w:val="00BF07B3"/>
    <w:rsid w:val="00BF3A40"/>
    <w:rsid w:val="00BF5ACF"/>
    <w:rsid w:val="00BF6619"/>
    <w:rsid w:val="00BF698A"/>
    <w:rsid w:val="00BF6B60"/>
    <w:rsid w:val="00C01795"/>
    <w:rsid w:val="00C074E5"/>
    <w:rsid w:val="00C17701"/>
    <w:rsid w:val="00C2062E"/>
    <w:rsid w:val="00C20772"/>
    <w:rsid w:val="00C21296"/>
    <w:rsid w:val="00C21397"/>
    <w:rsid w:val="00C213A3"/>
    <w:rsid w:val="00C2175C"/>
    <w:rsid w:val="00C2253A"/>
    <w:rsid w:val="00C25679"/>
    <w:rsid w:val="00C25CEE"/>
    <w:rsid w:val="00C26B19"/>
    <w:rsid w:val="00C3204B"/>
    <w:rsid w:val="00C332C5"/>
    <w:rsid w:val="00C33E62"/>
    <w:rsid w:val="00C36704"/>
    <w:rsid w:val="00C40712"/>
    <w:rsid w:val="00C411BC"/>
    <w:rsid w:val="00C436C9"/>
    <w:rsid w:val="00C4486D"/>
    <w:rsid w:val="00C4620C"/>
    <w:rsid w:val="00C5202A"/>
    <w:rsid w:val="00C52B3F"/>
    <w:rsid w:val="00C52BA5"/>
    <w:rsid w:val="00C53E70"/>
    <w:rsid w:val="00C54BE3"/>
    <w:rsid w:val="00C55B22"/>
    <w:rsid w:val="00C572EC"/>
    <w:rsid w:val="00C6659A"/>
    <w:rsid w:val="00C666F7"/>
    <w:rsid w:val="00C6678B"/>
    <w:rsid w:val="00C67AF0"/>
    <w:rsid w:val="00C70E9D"/>
    <w:rsid w:val="00C732D9"/>
    <w:rsid w:val="00C73C0C"/>
    <w:rsid w:val="00C81274"/>
    <w:rsid w:val="00C845EF"/>
    <w:rsid w:val="00C847CA"/>
    <w:rsid w:val="00C85F4D"/>
    <w:rsid w:val="00C86553"/>
    <w:rsid w:val="00C909DF"/>
    <w:rsid w:val="00C90B17"/>
    <w:rsid w:val="00C919A5"/>
    <w:rsid w:val="00C93A65"/>
    <w:rsid w:val="00C93B20"/>
    <w:rsid w:val="00C97222"/>
    <w:rsid w:val="00CA0079"/>
    <w:rsid w:val="00CA2982"/>
    <w:rsid w:val="00CA4017"/>
    <w:rsid w:val="00CA5B4B"/>
    <w:rsid w:val="00CA63DD"/>
    <w:rsid w:val="00CA7FF0"/>
    <w:rsid w:val="00CB0550"/>
    <w:rsid w:val="00CB1F77"/>
    <w:rsid w:val="00CB57DD"/>
    <w:rsid w:val="00CB5B49"/>
    <w:rsid w:val="00CC1CD5"/>
    <w:rsid w:val="00CC2350"/>
    <w:rsid w:val="00CC272E"/>
    <w:rsid w:val="00CC2BA2"/>
    <w:rsid w:val="00CC381E"/>
    <w:rsid w:val="00CC4564"/>
    <w:rsid w:val="00CC462C"/>
    <w:rsid w:val="00CC631B"/>
    <w:rsid w:val="00CC7135"/>
    <w:rsid w:val="00CD2C4E"/>
    <w:rsid w:val="00CD3D29"/>
    <w:rsid w:val="00CD49A1"/>
    <w:rsid w:val="00CD4EEE"/>
    <w:rsid w:val="00CD71BB"/>
    <w:rsid w:val="00CE141A"/>
    <w:rsid w:val="00CE14F6"/>
    <w:rsid w:val="00CE31CB"/>
    <w:rsid w:val="00CE46BE"/>
    <w:rsid w:val="00CE4B31"/>
    <w:rsid w:val="00CE542D"/>
    <w:rsid w:val="00CE54CE"/>
    <w:rsid w:val="00CE703A"/>
    <w:rsid w:val="00CF0F46"/>
    <w:rsid w:val="00CF14D0"/>
    <w:rsid w:val="00CF17F6"/>
    <w:rsid w:val="00CF3718"/>
    <w:rsid w:val="00CF60B0"/>
    <w:rsid w:val="00D0124D"/>
    <w:rsid w:val="00D0184D"/>
    <w:rsid w:val="00D02706"/>
    <w:rsid w:val="00D027B3"/>
    <w:rsid w:val="00D02E5C"/>
    <w:rsid w:val="00D03F2C"/>
    <w:rsid w:val="00D044D9"/>
    <w:rsid w:val="00D04FC2"/>
    <w:rsid w:val="00D078BE"/>
    <w:rsid w:val="00D07DD7"/>
    <w:rsid w:val="00D11252"/>
    <w:rsid w:val="00D120BD"/>
    <w:rsid w:val="00D13F8A"/>
    <w:rsid w:val="00D2023B"/>
    <w:rsid w:val="00D273BF"/>
    <w:rsid w:val="00D333E4"/>
    <w:rsid w:val="00D33545"/>
    <w:rsid w:val="00D35A31"/>
    <w:rsid w:val="00D35CE1"/>
    <w:rsid w:val="00D42271"/>
    <w:rsid w:val="00D428BD"/>
    <w:rsid w:val="00D44875"/>
    <w:rsid w:val="00D462E1"/>
    <w:rsid w:val="00D479AE"/>
    <w:rsid w:val="00D50BA6"/>
    <w:rsid w:val="00D51187"/>
    <w:rsid w:val="00D51336"/>
    <w:rsid w:val="00D53404"/>
    <w:rsid w:val="00D5637B"/>
    <w:rsid w:val="00D60123"/>
    <w:rsid w:val="00D62DD1"/>
    <w:rsid w:val="00D62ECC"/>
    <w:rsid w:val="00D641EE"/>
    <w:rsid w:val="00D64C18"/>
    <w:rsid w:val="00D652A6"/>
    <w:rsid w:val="00D653A0"/>
    <w:rsid w:val="00D7063B"/>
    <w:rsid w:val="00D743C1"/>
    <w:rsid w:val="00D74E44"/>
    <w:rsid w:val="00D75311"/>
    <w:rsid w:val="00D75D90"/>
    <w:rsid w:val="00D76044"/>
    <w:rsid w:val="00D7712E"/>
    <w:rsid w:val="00D779FB"/>
    <w:rsid w:val="00D81369"/>
    <w:rsid w:val="00D85B0E"/>
    <w:rsid w:val="00D86F8C"/>
    <w:rsid w:val="00D86FB5"/>
    <w:rsid w:val="00D912A9"/>
    <w:rsid w:val="00D918D5"/>
    <w:rsid w:val="00D91F62"/>
    <w:rsid w:val="00D92FD7"/>
    <w:rsid w:val="00D944EC"/>
    <w:rsid w:val="00D94C08"/>
    <w:rsid w:val="00D952DF"/>
    <w:rsid w:val="00D956B1"/>
    <w:rsid w:val="00D95DD3"/>
    <w:rsid w:val="00DA2057"/>
    <w:rsid w:val="00DA2129"/>
    <w:rsid w:val="00DA3C6A"/>
    <w:rsid w:val="00DA3D50"/>
    <w:rsid w:val="00DA5216"/>
    <w:rsid w:val="00DA5FC7"/>
    <w:rsid w:val="00DB2283"/>
    <w:rsid w:val="00DB6EB3"/>
    <w:rsid w:val="00DB706B"/>
    <w:rsid w:val="00DB723B"/>
    <w:rsid w:val="00DC7FA2"/>
    <w:rsid w:val="00DD32B7"/>
    <w:rsid w:val="00DD5EB8"/>
    <w:rsid w:val="00DD6182"/>
    <w:rsid w:val="00DE5661"/>
    <w:rsid w:val="00DE7782"/>
    <w:rsid w:val="00DF1403"/>
    <w:rsid w:val="00DF4C6C"/>
    <w:rsid w:val="00DF6024"/>
    <w:rsid w:val="00E00E4A"/>
    <w:rsid w:val="00E02510"/>
    <w:rsid w:val="00E02CF2"/>
    <w:rsid w:val="00E07B98"/>
    <w:rsid w:val="00E07F96"/>
    <w:rsid w:val="00E1091D"/>
    <w:rsid w:val="00E10A06"/>
    <w:rsid w:val="00E11CEE"/>
    <w:rsid w:val="00E11FC8"/>
    <w:rsid w:val="00E156E7"/>
    <w:rsid w:val="00E17686"/>
    <w:rsid w:val="00E20FE7"/>
    <w:rsid w:val="00E2274D"/>
    <w:rsid w:val="00E2627E"/>
    <w:rsid w:val="00E30D21"/>
    <w:rsid w:val="00E32D4D"/>
    <w:rsid w:val="00E32EE4"/>
    <w:rsid w:val="00E34C0D"/>
    <w:rsid w:val="00E35C17"/>
    <w:rsid w:val="00E406A9"/>
    <w:rsid w:val="00E41A90"/>
    <w:rsid w:val="00E4299B"/>
    <w:rsid w:val="00E4500D"/>
    <w:rsid w:val="00E4583D"/>
    <w:rsid w:val="00E4615C"/>
    <w:rsid w:val="00E53D3F"/>
    <w:rsid w:val="00E56702"/>
    <w:rsid w:val="00E57678"/>
    <w:rsid w:val="00E60B13"/>
    <w:rsid w:val="00E60FFE"/>
    <w:rsid w:val="00E64825"/>
    <w:rsid w:val="00E65116"/>
    <w:rsid w:val="00E7176B"/>
    <w:rsid w:val="00E718FC"/>
    <w:rsid w:val="00E72DB9"/>
    <w:rsid w:val="00E7650C"/>
    <w:rsid w:val="00E81CC3"/>
    <w:rsid w:val="00E85033"/>
    <w:rsid w:val="00E8554C"/>
    <w:rsid w:val="00E90D4C"/>
    <w:rsid w:val="00E92521"/>
    <w:rsid w:val="00E95922"/>
    <w:rsid w:val="00E95C1D"/>
    <w:rsid w:val="00EA003A"/>
    <w:rsid w:val="00EA02D6"/>
    <w:rsid w:val="00EA0C08"/>
    <w:rsid w:val="00EA18FE"/>
    <w:rsid w:val="00EA1A46"/>
    <w:rsid w:val="00EA1FED"/>
    <w:rsid w:val="00EA25A8"/>
    <w:rsid w:val="00EA2C83"/>
    <w:rsid w:val="00EA3AA4"/>
    <w:rsid w:val="00EA3E09"/>
    <w:rsid w:val="00EA5177"/>
    <w:rsid w:val="00EA5358"/>
    <w:rsid w:val="00EB090E"/>
    <w:rsid w:val="00EB5FCE"/>
    <w:rsid w:val="00EC210D"/>
    <w:rsid w:val="00EC45E7"/>
    <w:rsid w:val="00EC5BC0"/>
    <w:rsid w:val="00EC5E7B"/>
    <w:rsid w:val="00ED0AA5"/>
    <w:rsid w:val="00ED1DC4"/>
    <w:rsid w:val="00ED27D1"/>
    <w:rsid w:val="00ED3677"/>
    <w:rsid w:val="00ED3A12"/>
    <w:rsid w:val="00ED4330"/>
    <w:rsid w:val="00ED4839"/>
    <w:rsid w:val="00ED576B"/>
    <w:rsid w:val="00ED60BB"/>
    <w:rsid w:val="00ED65B8"/>
    <w:rsid w:val="00ED7116"/>
    <w:rsid w:val="00EE54C7"/>
    <w:rsid w:val="00EE6D6E"/>
    <w:rsid w:val="00EF0502"/>
    <w:rsid w:val="00EF2B56"/>
    <w:rsid w:val="00EF3137"/>
    <w:rsid w:val="00EF3D9A"/>
    <w:rsid w:val="00EF59A1"/>
    <w:rsid w:val="00EF749C"/>
    <w:rsid w:val="00EF766C"/>
    <w:rsid w:val="00EF783F"/>
    <w:rsid w:val="00F02AEC"/>
    <w:rsid w:val="00F04705"/>
    <w:rsid w:val="00F04902"/>
    <w:rsid w:val="00F108CF"/>
    <w:rsid w:val="00F10EAA"/>
    <w:rsid w:val="00F116BF"/>
    <w:rsid w:val="00F1217B"/>
    <w:rsid w:val="00F12819"/>
    <w:rsid w:val="00F1530E"/>
    <w:rsid w:val="00F15EAD"/>
    <w:rsid w:val="00F16637"/>
    <w:rsid w:val="00F174D3"/>
    <w:rsid w:val="00F21815"/>
    <w:rsid w:val="00F23EF4"/>
    <w:rsid w:val="00F2682D"/>
    <w:rsid w:val="00F26BB2"/>
    <w:rsid w:val="00F31E09"/>
    <w:rsid w:val="00F326DB"/>
    <w:rsid w:val="00F33A92"/>
    <w:rsid w:val="00F340A5"/>
    <w:rsid w:val="00F44DFB"/>
    <w:rsid w:val="00F54841"/>
    <w:rsid w:val="00F555E1"/>
    <w:rsid w:val="00F5562B"/>
    <w:rsid w:val="00F55B0F"/>
    <w:rsid w:val="00F5626E"/>
    <w:rsid w:val="00F574A9"/>
    <w:rsid w:val="00F6110E"/>
    <w:rsid w:val="00F615F2"/>
    <w:rsid w:val="00F62CDF"/>
    <w:rsid w:val="00F6319F"/>
    <w:rsid w:val="00F6408D"/>
    <w:rsid w:val="00F641A4"/>
    <w:rsid w:val="00F65676"/>
    <w:rsid w:val="00F70E93"/>
    <w:rsid w:val="00F7307C"/>
    <w:rsid w:val="00F746A0"/>
    <w:rsid w:val="00F7494A"/>
    <w:rsid w:val="00F76AB5"/>
    <w:rsid w:val="00F812E8"/>
    <w:rsid w:val="00F8262B"/>
    <w:rsid w:val="00F845BE"/>
    <w:rsid w:val="00F849C2"/>
    <w:rsid w:val="00F86852"/>
    <w:rsid w:val="00F8777E"/>
    <w:rsid w:val="00F91420"/>
    <w:rsid w:val="00F91CEC"/>
    <w:rsid w:val="00F94A6E"/>
    <w:rsid w:val="00F94F90"/>
    <w:rsid w:val="00FA052F"/>
    <w:rsid w:val="00FA28B3"/>
    <w:rsid w:val="00FA2934"/>
    <w:rsid w:val="00FA2C8C"/>
    <w:rsid w:val="00FA3581"/>
    <w:rsid w:val="00FA3C98"/>
    <w:rsid w:val="00FA49C3"/>
    <w:rsid w:val="00FA4CF5"/>
    <w:rsid w:val="00FB0C61"/>
    <w:rsid w:val="00FB1035"/>
    <w:rsid w:val="00FB128D"/>
    <w:rsid w:val="00FB32C3"/>
    <w:rsid w:val="00FB547D"/>
    <w:rsid w:val="00FB55CA"/>
    <w:rsid w:val="00FC22B8"/>
    <w:rsid w:val="00FC40AE"/>
    <w:rsid w:val="00FC52CD"/>
    <w:rsid w:val="00FC5FC0"/>
    <w:rsid w:val="00FD0959"/>
    <w:rsid w:val="00FD1221"/>
    <w:rsid w:val="00FD54ED"/>
    <w:rsid w:val="00FE12E3"/>
    <w:rsid w:val="00FE1531"/>
    <w:rsid w:val="00FE5551"/>
    <w:rsid w:val="00FE63C6"/>
    <w:rsid w:val="00FE63C8"/>
    <w:rsid w:val="00FE746F"/>
    <w:rsid w:val="00FF0FEB"/>
    <w:rsid w:val="00FF3508"/>
    <w:rsid w:val="00FF72A2"/>
    <w:rsid w:val="024A7EC2"/>
    <w:rsid w:val="0265D8B8"/>
    <w:rsid w:val="0372E64E"/>
    <w:rsid w:val="05732000"/>
    <w:rsid w:val="0FAA5F64"/>
    <w:rsid w:val="19A32D05"/>
    <w:rsid w:val="22BBC78E"/>
    <w:rsid w:val="25F54FF4"/>
    <w:rsid w:val="25F74F53"/>
    <w:rsid w:val="2C85BDEA"/>
    <w:rsid w:val="371384AD"/>
    <w:rsid w:val="3CB8BF54"/>
    <w:rsid w:val="3EA3C184"/>
    <w:rsid w:val="40709531"/>
    <w:rsid w:val="4B59158C"/>
    <w:rsid w:val="4DAAA5F1"/>
    <w:rsid w:val="4E24F04A"/>
    <w:rsid w:val="55F06A60"/>
    <w:rsid w:val="566D149D"/>
    <w:rsid w:val="5D345C1B"/>
    <w:rsid w:val="5D8C1FE7"/>
    <w:rsid w:val="5E715832"/>
    <w:rsid w:val="5ED746C9"/>
    <w:rsid w:val="6311EA99"/>
    <w:rsid w:val="63A294B1"/>
    <w:rsid w:val="6447FA94"/>
    <w:rsid w:val="65202AAA"/>
    <w:rsid w:val="6947C0A3"/>
    <w:rsid w:val="6B87AEA3"/>
    <w:rsid w:val="6BE323F8"/>
    <w:rsid w:val="72B837F8"/>
    <w:rsid w:val="74E23774"/>
    <w:rsid w:val="7E7F7B53"/>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B27629"/>
  <w15:chartTrackingRefBased/>
  <w15:docId w15:val="{8D28D227-26B7-481F-A238-C2BC64A4D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AU" w:eastAsia="en-US" w:bidi="ar-SA"/>
      </w:rPr>
    </w:rPrDefault>
    <w:pPrDefault>
      <w:pPr>
        <w:spacing w:after="12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381E"/>
    <w:rPr>
      <w:rFonts w:ascii="Arial" w:hAnsi="Arial"/>
    </w:rPr>
  </w:style>
  <w:style w:type="paragraph" w:styleId="Heading1">
    <w:name w:val="heading 1"/>
    <w:basedOn w:val="Normal"/>
    <w:next w:val="Normal"/>
    <w:link w:val="Heading1Char"/>
    <w:uiPriority w:val="9"/>
    <w:qFormat/>
    <w:rsid w:val="00CC381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qFormat/>
    <w:rsid w:val="00CC381E"/>
    <w:pPr>
      <w:keepNext/>
      <w:keepLines/>
      <w:spacing w:before="480" w:line="240" w:lineRule="atLeast"/>
      <w:outlineLvl w:val="1"/>
    </w:pPr>
    <w:rPr>
      <w:rFonts w:eastAsia="Times New Roman" w:cs="Times New Roman"/>
      <w:b/>
      <w:bCs/>
      <w:color w:val="001871"/>
      <w:sz w:val="38"/>
      <w:szCs w:val="38"/>
    </w:rPr>
  </w:style>
  <w:style w:type="paragraph" w:styleId="Heading3">
    <w:name w:val="heading 3"/>
    <w:basedOn w:val="Normal"/>
    <w:next w:val="Normal"/>
    <w:link w:val="Heading3Char"/>
    <w:autoRedefine/>
    <w:qFormat/>
    <w:rsid w:val="00CC381E"/>
    <w:pPr>
      <w:keepNext/>
      <w:keepLines/>
      <w:spacing w:before="480" w:line="240" w:lineRule="atLeast"/>
      <w:outlineLvl w:val="2"/>
    </w:pPr>
    <w:rPr>
      <w:rFonts w:eastAsia="Times New Roman" w:cs="Times New Roman"/>
      <w:b/>
      <w:bCs/>
      <w:color w:val="001871"/>
      <w:sz w:val="32"/>
      <w:szCs w:val="32"/>
    </w:rPr>
  </w:style>
  <w:style w:type="paragraph" w:styleId="Heading4">
    <w:name w:val="heading 4"/>
    <w:basedOn w:val="Normal"/>
    <w:next w:val="Normal"/>
    <w:link w:val="Heading4Char"/>
    <w:autoRedefine/>
    <w:qFormat/>
    <w:rsid w:val="00CC381E"/>
    <w:pPr>
      <w:keepNext/>
      <w:keepLines/>
      <w:spacing w:before="360" w:line="240" w:lineRule="atLeast"/>
      <w:outlineLvl w:val="3"/>
    </w:pPr>
    <w:rPr>
      <w:rFonts w:eastAsia="Cambria" w:cs="Times New Roman"/>
      <w:bCs/>
      <w:color w:val="001871"/>
      <w:sz w:val="28"/>
      <w:szCs w:val="26"/>
    </w:rPr>
  </w:style>
  <w:style w:type="paragraph" w:styleId="Heading5">
    <w:name w:val="heading 5"/>
    <w:basedOn w:val="Normal"/>
    <w:next w:val="Normal"/>
    <w:link w:val="Heading5Char"/>
    <w:autoRedefine/>
    <w:uiPriority w:val="9"/>
    <w:rsid w:val="001F77DA"/>
    <w:pPr>
      <w:keepNext/>
      <w:keepLines/>
      <w:numPr>
        <w:numId w:val="46"/>
      </w:numPr>
      <w:spacing w:before="240" w:line="240" w:lineRule="atLeast"/>
      <w:outlineLvl w:val="4"/>
    </w:pPr>
    <w:rPr>
      <w:rFonts w:eastAsia="Times New Roman" w:cs="Times New Roman"/>
      <w:bCs/>
      <w:i/>
      <w:color w:val="001871"/>
      <w:sz w:val="26"/>
      <w:szCs w:val="26"/>
    </w:rPr>
  </w:style>
  <w:style w:type="paragraph" w:styleId="Heading6">
    <w:name w:val="heading 6"/>
    <w:basedOn w:val="Normal"/>
    <w:next w:val="Normal"/>
    <w:link w:val="Heading6Char"/>
    <w:autoRedefine/>
    <w:uiPriority w:val="9"/>
    <w:rsid w:val="001330F6"/>
    <w:pPr>
      <w:keepNext/>
      <w:keepLines/>
      <w:spacing w:before="240" w:line="240" w:lineRule="atLeast"/>
      <w:ind w:firstLine="720"/>
      <w:outlineLvl w:val="5"/>
    </w:pPr>
    <w:rPr>
      <w:rFonts w:eastAsia="Times New Roman" w:cs="Times New Roman"/>
      <w:bCs/>
      <w:color w:val="001871"/>
      <w:sz w:val="24"/>
      <w:szCs w:val="21"/>
    </w:rPr>
  </w:style>
  <w:style w:type="paragraph" w:styleId="Heading7">
    <w:name w:val="heading 7"/>
    <w:basedOn w:val="Normal"/>
    <w:next w:val="Normal"/>
    <w:link w:val="Heading7Char"/>
    <w:uiPriority w:val="9"/>
    <w:rsid w:val="00CC381E"/>
    <w:pPr>
      <w:keepNext/>
      <w:keepLines/>
      <w:spacing w:before="240" w:after="60" w:line="180" w:lineRule="atLeast"/>
      <w:ind w:left="1296" w:hanging="1296"/>
      <w:outlineLvl w:val="6"/>
    </w:pPr>
    <w:rPr>
      <w:rFonts w:ascii="Cambria" w:eastAsia="Times New Roman" w:hAnsi="Cambria" w:cs="Times New Roman"/>
      <w:bCs/>
      <w:i/>
      <w:szCs w:val="22"/>
    </w:rPr>
  </w:style>
  <w:style w:type="paragraph" w:styleId="Heading8">
    <w:name w:val="heading 8"/>
    <w:basedOn w:val="Normal"/>
    <w:next w:val="Normal"/>
    <w:link w:val="Heading8Char"/>
    <w:autoRedefine/>
    <w:uiPriority w:val="9"/>
    <w:semiHidden/>
    <w:unhideWhenUsed/>
    <w:qFormat/>
    <w:rsid w:val="00CC381E"/>
    <w:pPr>
      <w:keepNext/>
      <w:keepLines/>
      <w:spacing w:before="200" w:after="0" w:line="240" w:lineRule="atLeast"/>
      <w:ind w:left="1440" w:hanging="1440"/>
      <w:outlineLvl w:val="7"/>
    </w:pPr>
    <w:rPr>
      <w:rFonts w:eastAsiaTheme="majorEastAsia" w:cstheme="majorBidi"/>
    </w:rPr>
  </w:style>
  <w:style w:type="paragraph" w:styleId="Heading9">
    <w:name w:val="heading 9"/>
    <w:basedOn w:val="Normal"/>
    <w:next w:val="Normal"/>
    <w:link w:val="Heading9Char"/>
    <w:uiPriority w:val="9"/>
    <w:semiHidden/>
    <w:unhideWhenUsed/>
    <w:qFormat/>
    <w:rsid w:val="00CC381E"/>
    <w:pPr>
      <w:keepNext/>
      <w:keepLines/>
      <w:spacing w:before="200" w:after="0" w:line="240" w:lineRule="atLeast"/>
      <w:ind w:left="1584" w:hanging="1584"/>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TGAblue2023">
    <w:name w:val="Table TGA blue 2023"/>
    <w:basedOn w:val="TableNormal"/>
    <w:uiPriority w:val="99"/>
    <w:qFormat/>
    <w:rsid w:val="00CC381E"/>
    <w:pPr>
      <w:spacing w:before="80" w:after="40" w:line="264" w:lineRule="auto"/>
      <w:ind w:left="113"/>
    </w:pPr>
    <w:rPr>
      <w:rFonts w:ascii="Arial" w:eastAsia="Cambria" w:hAnsi="Arial" w:cs="Times New Roman"/>
      <w:color w:val="000000"/>
      <w:sz w:val="18"/>
      <w:szCs w:val="21"/>
      <w:lang w:eastAsia="en-AU"/>
    </w:rPr>
    <w:tblPr>
      <w:tblBorders>
        <w:top w:val="single" w:sz="4" w:space="0" w:color="263287"/>
        <w:left w:val="single" w:sz="4" w:space="0" w:color="263287"/>
        <w:bottom w:val="single" w:sz="4" w:space="0" w:color="263287"/>
        <w:right w:val="single" w:sz="4" w:space="0" w:color="263287"/>
        <w:insideH w:val="single" w:sz="4" w:space="0" w:color="263287"/>
        <w:insideV w:val="single" w:sz="4" w:space="0" w:color="263287"/>
      </w:tblBorders>
    </w:tblPr>
    <w:tcPr>
      <w:shd w:val="clear" w:color="auto" w:fill="FFFFFF" w:themeFill="background1"/>
    </w:tcPr>
    <w:tblStylePr w:type="firstRow">
      <w:pPr>
        <w:keepNext/>
        <w:wordWrap/>
      </w:pPr>
      <w:rPr>
        <w:rFonts w:ascii="Arial" w:hAnsi="Arial"/>
        <w:b/>
        <w:color w:val="263287"/>
        <w:sz w:val="22"/>
      </w:rPr>
      <w:tblPr/>
      <w:trPr>
        <w:tblHeader/>
      </w:trPr>
      <w:tcPr>
        <w:shd w:val="clear" w:color="auto" w:fill="B8CCEA"/>
      </w:tcPr>
    </w:tblStylePr>
    <w:tblStylePr w:type="firstCol">
      <w:pPr>
        <w:keepNext w:val="0"/>
        <w:wordWrap/>
      </w:pPr>
    </w:tblStylePr>
  </w:style>
  <w:style w:type="character" w:customStyle="1" w:styleId="Heading2Char">
    <w:name w:val="Heading 2 Char"/>
    <w:basedOn w:val="DefaultParagraphFont"/>
    <w:link w:val="Heading2"/>
    <w:rsid w:val="00CC381E"/>
    <w:rPr>
      <w:rFonts w:ascii="Arial" w:eastAsia="Times New Roman" w:hAnsi="Arial" w:cs="Times New Roman"/>
      <w:b/>
      <w:bCs/>
      <w:color w:val="001871"/>
      <w:sz w:val="38"/>
      <w:szCs w:val="38"/>
    </w:rPr>
  </w:style>
  <w:style w:type="character" w:customStyle="1" w:styleId="Heading3Char">
    <w:name w:val="Heading 3 Char"/>
    <w:basedOn w:val="DefaultParagraphFont"/>
    <w:link w:val="Heading3"/>
    <w:rsid w:val="00CC381E"/>
    <w:rPr>
      <w:rFonts w:ascii="Arial" w:eastAsia="Times New Roman" w:hAnsi="Arial" w:cs="Times New Roman"/>
      <w:b/>
      <w:bCs/>
      <w:color w:val="001871"/>
      <w:sz w:val="32"/>
      <w:szCs w:val="32"/>
    </w:rPr>
  </w:style>
  <w:style w:type="character" w:customStyle="1" w:styleId="Heading4Char">
    <w:name w:val="Heading 4 Char"/>
    <w:basedOn w:val="DefaultParagraphFont"/>
    <w:link w:val="Heading4"/>
    <w:rsid w:val="00CC381E"/>
    <w:rPr>
      <w:rFonts w:ascii="Arial" w:eastAsia="Cambria" w:hAnsi="Arial" w:cs="Times New Roman"/>
      <w:bCs/>
      <w:color w:val="001871"/>
      <w:sz w:val="28"/>
      <w:szCs w:val="26"/>
    </w:rPr>
  </w:style>
  <w:style w:type="character" w:customStyle="1" w:styleId="Heading5Char">
    <w:name w:val="Heading 5 Char"/>
    <w:basedOn w:val="DefaultParagraphFont"/>
    <w:link w:val="Heading5"/>
    <w:uiPriority w:val="9"/>
    <w:rsid w:val="001F77DA"/>
    <w:rPr>
      <w:rFonts w:ascii="Arial" w:eastAsia="Times New Roman" w:hAnsi="Arial" w:cs="Times New Roman"/>
      <w:bCs/>
      <w:i/>
      <w:color w:val="001871"/>
      <w:sz w:val="26"/>
      <w:szCs w:val="26"/>
    </w:rPr>
  </w:style>
  <w:style w:type="character" w:customStyle="1" w:styleId="Heading6Char">
    <w:name w:val="Heading 6 Char"/>
    <w:basedOn w:val="DefaultParagraphFont"/>
    <w:link w:val="Heading6"/>
    <w:uiPriority w:val="9"/>
    <w:rsid w:val="001330F6"/>
    <w:rPr>
      <w:rFonts w:ascii="Arial" w:eastAsia="Times New Roman" w:hAnsi="Arial" w:cs="Times New Roman"/>
      <w:bCs/>
      <w:color w:val="001871"/>
      <w:sz w:val="24"/>
      <w:szCs w:val="21"/>
    </w:rPr>
  </w:style>
  <w:style w:type="paragraph" w:styleId="Date">
    <w:name w:val="Date"/>
    <w:basedOn w:val="Normal"/>
    <w:next w:val="Normal"/>
    <w:link w:val="DateChar"/>
    <w:uiPriority w:val="99"/>
    <w:rsid w:val="00CC381E"/>
    <w:pPr>
      <w:spacing w:before="120" w:after="0" w:line="240" w:lineRule="atLeast"/>
    </w:pPr>
    <w:rPr>
      <w:rFonts w:eastAsia="Cambria" w:cs="Times New Roman"/>
      <w:color w:val="333F4A"/>
      <w:sz w:val="28"/>
    </w:rPr>
  </w:style>
  <w:style w:type="character" w:customStyle="1" w:styleId="DateChar">
    <w:name w:val="Date Char"/>
    <w:basedOn w:val="DefaultParagraphFont"/>
    <w:link w:val="Date"/>
    <w:uiPriority w:val="99"/>
    <w:rsid w:val="00CC381E"/>
    <w:rPr>
      <w:rFonts w:ascii="Arial" w:eastAsia="Cambria" w:hAnsi="Arial" w:cs="Times New Roman"/>
      <w:color w:val="333F4A"/>
      <w:sz w:val="28"/>
    </w:rPr>
  </w:style>
  <w:style w:type="paragraph" w:styleId="Footer">
    <w:name w:val="footer"/>
    <w:basedOn w:val="Normal"/>
    <w:link w:val="FooterChar"/>
    <w:uiPriority w:val="99"/>
    <w:rsid w:val="00CC381E"/>
    <w:pPr>
      <w:tabs>
        <w:tab w:val="center" w:pos="4513"/>
        <w:tab w:val="right" w:pos="9026"/>
      </w:tabs>
      <w:spacing w:after="0" w:line="240" w:lineRule="auto"/>
    </w:pPr>
    <w:rPr>
      <w:rFonts w:eastAsia="Cambria" w:cs="Times New Roman"/>
      <w:color w:val="333F4A"/>
      <w:sz w:val="17"/>
    </w:rPr>
  </w:style>
  <w:style w:type="character" w:customStyle="1" w:styleId="FooterChar">
    <w:name w:val="Footer Char"/>
    <w:basedOn w:val="DefaultParagraphFont"/>
    <w:link w:val="Footer"/>
    <w:uiPriority w:val="99"/>
    <w:rsid w:val="00CC381E"/>
    <w:rPr>
      <w:rFonts w:ascii="Arial" w:eastAsia="Cambria" w:hAnsi="Arial" w:cs="Times New Roman"/>
      <w:color w:val="333F4A"/>
      <w:sz w:val="17"/>
    </w:rPr>
  </w:style>
  <w:style w:type="paragraph" w:styleId="Header">
    <w:name w:val="header"/>
    <w:basedOn w:val="Normal"/>
    <w:link w:val="HeaderChar"/>
    <w:uiPriority w:val="99"/>
    <w:rsid w:val="00CC381E"/>
    <w:pPr>
      <w:pBdr>
        <w:bottom w:val="single" w:sz="4" w:space="3" w:color="auto"/>
      </w:pBdr>
      <w:tabs>
        <w:tab w:val="center" w:pos="4513"/>
        <w:tab w:val="right" w:pos="9026"/>
      </w:tabs>
      <w:spacing w:after="0" w:line="240" w:lineRule="auto"/>
      <w:jc w:val="right"/>
    </w:pPr>
    <w:rPr>
      <w:rFonts w:eastAsia="Cambria" w:cs="Times New Roman"/>
      <w:color w:val="333F4A"/>
      <w:sz w:val="17"/>
    </w:rPr>
  </w:style>
  <w:style w:type="character" w:customStyle="1" w:styleId="HeaderChar">
    <w:name w:val="Header Char"/>
    <w:basedOn w:val="DefaultParagraphFont"/>
    <w:link w:val="Header"/>
    <w:uiPriority w:val="99"/>
    <w:rsid w:val="00CC381E"/>
    <w:rPr>
      <w:rFonts w:ascii="Arial" w:eastAsia="Cambria" w:hAnsi="Arial" w:cs="Times New Roman"/>
      <w:color w:val="333F4A"/>
      <w:sz w:val="17"/>
    </w:rPr>
  </w:style>
  <w:style w:type="character" w:styleId="Hyperlink">
    <w:name w:val="Hyperlink"/>
    <w:aliases w:val="OECD Hyperlink"/>
    <w:basedOn w:val="DefaultParagraphFont"/>
    <w:uiPriority w:val="99"/>
    <w:unhideWhenUsed/>
    <w:rsid w:val="00CC381E"/>
    <w:rPr>
      <w:rFonts w:ascii="Arial" w:hAnsi="Arial"/>
      <w:color w:val="0000FF"/>
      <w:u w:val="single"/>
    </w:rPr>
  </w:style>
  <w:style w:type="paragraph" w:customStyle="1" w:styleId="LegalCopy">
    <w:name w:val="Legal Copy"/>
    <w:basedOn w:val="Footer"/>
    <w:rsid w:val="00CC381E"/>
  </w:style>
  <w:style w:type="paragraph" w:customStyle="1" w:styleId="LegalSubheading">
    <w:name w:val="Legal Subheading"/>
    <w:basedOn w:val="Normal"/>
    <w:rsid w:val="00CC381E"/>
    <w:pPr>
      <w:outlineLvl w:val="1"/>
    </w:pPr>
    <w:rPr>
      <w:sz w:val="17"/>
    </w:rPr>
  </w:style>
  <w:style w:type="paragraph" w:styleId="ListBullet">
    <w:name w:val="List Bullet"/>
    <w:basedOn w:val="Normal"/>
    <w:autoRedefine/>
    <w:uiPriority w:val="2"/>
    <w:qFormat/>
    <w:rsid w:val="00990F63"/>
    <w:pPr>
      <w:numPr>
        <w:numId w:val="7"/>
      </w:numPr>
      <w:spacing w:before="120" w:after="180" w:line="240" w:lineRule="atLeast"/>
    </w:pPr>
    <w:rPr>
      <w:rFonts w:eastAsia="Cambria" w:cs="Times New Roman"/>
    </w:rPr>
  </w:style>
  <w:style w:type="paragraph" w:styleId="ListBullet2">
    <w:name w:val="List Bullet 2"/>
    <w:basedOn w:val="Normal"/>
    <w:uiPriority w:val="2"/>
    <w:qFormat/>
    <w:rsid w:val="001F14FD"/>
    <w:pPr>
      <w:numPr>
        <w:ilvl w:val="1"/>
        <w:numId w:val="7"/>
      </w:numPr>
      <w:spacing w:before="120" w:after="180" w:line="240" w:lineRule="atLeast"/>
    </w:pPr>
    <w:rPr>
      <w:rFonts w:eastAsia="Cambria" w:cs="Times New Roman"/>
    </w:rPr>
  </w:style>
  <w:style w:type="paragraph" w:styleId="ListBullet3">
    <w:name w:val="List Bullet 3"/>
    <w:basedOn w:val="Normal"/>
    <w:uiPriority w:val="2"/>
    <w:qFormat/>
    <w:rsid w:val="001F14FD"/>
    <w:pPr>
      <w:numPr>
        <w:numId w:val="4"/>
      </w:numPr>
      <w:spacing w:before="120" w:after="180" w:line="240" w:lineRule="atLeast"/>
    </w:pPr>
    <w:rPr>
      <w:rFonts w:eastAsia="Cambria" w:cs="Times New Roman"/>
    </w:rPr>
  </w:style>
  <w:style w:type="numbering" w:customStyle="1" w:styleId="ListBullets">
    <w:name w:val="ListBullets"/>
    <w:uiPriority w:val="99"/>
    <w:locked/>
    <w:rsid w:val="00CC381E"/>
    <w:pPr>
      <w:numPr>
        <w:numId w:val="2"/>
      </w:numPr>
    </w:pPr>
  </w:style>
  <w:style w:type="paragraph" w:customStyle="1" w:styleId="Numberbullet0">
    <w:name w:val="Number bullet"/>
    <w:basedOn w:val="ListBullet"/>
    <w:uiPriority w:val="3"/>
    <w:qFormat/>
    <w:rsid w:val="00CC381E"/>
    <w:pPr>
      <w:numPr>
        <w:numId w:val="10"/>
      </w:numPr>
    </w:pPr>
  </w:style>
  <w:style w:type="paragraph" w:customStyle="1" w:styleId="Numberbullet2">
    <w:name w:val="Number bullet 2"/>
    <w:basedOn w:val="ListBullet2"/>
    <w:uiPriority w:val="3"/>
    <w:qFormat/>
    <w:rsid w:val="00CC381E"/>
    <w:pPr>
      <w:numPr>
        <w:ilvl w:val="0"/>
        <w:numId w:val="8"/>
      </w:numPr>
    </w:pPr>
  </w:style>
  <w:style w:type="paragraph" w:customStyle="1" w:styleId="Numberbullet3">
    <w:name w:val="Number bullet 3"/>
    <w:basedOn w:val="Normal"/>
    <w:uiPriority w:val="3"/>
    <w:qFormat/>
    <w:rsid w:val="002A2130"/>
    <w:pPr>
      <w:numPr>
        <w:numId w:val="9"/>
      </w:numPr>
      <w:spacing w:before="120" w:after="180" w:line="240" w:lineRule="atLeast"/>
    </w:pPr>
    <w:rPr>
      <w:rFonts w:eastAsia="Cambria" w:cs="Times New Roman"/>
      <w:color w:val="333F48"/>
    </w:rPr>
  </w:style>
  <w:style w:type="numbering" w:customStyle="1" w:styleId="NumberBullet">
    <w:name w:val="NumberBullet"/>
    <w:uiPriority w:val="99"/>
    <w:locked/>
    <w:rsid w:val="00CC381E"/>
    <w:pPr>
      <w:numPr>
        <w:numId w:val="1"/>
      </w:numPr>
    </w:pPr>
  </w:style>
  <w:style w:type="paragraph" w:styleId="Subtitle">
    <w:name w:val="Subtitle"/>
    <w:basedOn w:val="Normal"/>
    <w:link w:val="SubtitleChar"/>
    <w:uiPriority w:val="11"/>
    <w:rsid w:val="00CC381E"/>
    <w:pPr>
      <w:numPr>
        <w:ilvl w:val="1"/>
      </w:numPr>
      <w:spacing w:after="0" w:line="240" w:lineRule="atLeast"/>
      <w:ind w:left="170"/>
    </w:pPr>
    <w:rPr>
      <w:rFonts w:eastAsia="Times New Roman" w:cs="Times New Roman"/>
      <w:bCs/>
      <w:iCs/>
      <w:color w:val="006BA6"/>
      <w:sz w:val="40"/>
      <w:szCs w:val="24"/>
    </w:rPr>
  </w:style>
  <w:style w:type="character" w:customStyle="1" w:styleId="SubtitleChar">
    <w:name w:val="Subtitle Char"/>
    <w:basedOn w:val="DefaultParagraphFont"/>
    <w:link w:val="Subtitle"/>
    <w:uiPriority w:val="11"/>
    <w:rsid w:val="00CC381E"/>
    <w:rPr>
      <w:rFonts w:ascii="Arial" w:eastAsia="Times New Roman" w:hAnsi="Arial" w:cs="Times New Roman"/>
      <w:bCs/>
      <w:iCs/>
      <w:color w:val="006BA6"/>
      <w:sz w:val="40"/>
      <w:szCs w:val="24"/>
    </w:rPr>
  </w:style>
  <w:style w:type="table" w:styleId="TableGrid">
    <w:name w:val="Table Grid"/>
    <w:basedOn w:val="TableNormal"/>
    <w:uiPriority w:val="59"/>
    <w:rsid w:val="00CC381E"/>
    <w:pPr>
      <w:spacing w:after="0" w:line="240" w:lineRule="auto"/>
    </w:pPr>
    <w:rPr>
      <w:rFonts w:ascii="Cambria" w:eastAsia="Cambria" w:hAnsi="Cambria" w:cs="Times New Roman"/>
      <w:sz w:val="21"/>
      <w:szCs w:val="21"/>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GASignoff">
    <w:name w:val="TGA Signoff"/>
    <w:basedOn w:val="Normal"/>
    <w:rsid w:val="00CC381E"/>
    <w:pPr>
      <w:spacing w:before="120" w:after="360" w:line="240" w:lineRule="atLeast"/>
      <w:jc w:val="center"/>
    </w:pPr>
    <w:rPr>
      <w:rFonts w:eastAsia="Cambria" w:cs="Times New Roman"/>
      <w:b/>
      <w:color w:val="333F48"/>
      <w:sz w:val="28"/>
    </w:rPr>
  </w:style>
  <w:style w:type="paragraph" w:styleId="Title">
    <w:name w:val="Title"/>
    <w:link w:val="TitleChar"/>
    <w:uiPriority w:val="10"/>
    <w:rsid w:val="00CC381E"/>
    <w:pPr>
      <w:spacing w:line="240" w:lineRule="auto"/>
      <w:contextualSpacing/>
      <w:outlineLvl w:val="0"/>
    </w:pPr>
    <w:rPr>
      <w:rFonts w:ascii="Arial" w:eastAsia="Times New Roman" w:hAnsi="Arial" w:cs="Times New Roman"/>
      <w:color w:val="001871"/>
      <w:spacing w:val="5"/>
      <w:kern w:val="28"/>
      <w:sz w:val="52"/>
      <w:szCs w:val="52"/>
    </w:rPr>
  </w:style>
  <w:style w:type="character" w:customStyle="1" w:styleId="TitleChar">
    <w:name w:val="Title Char"/>
    <w:basedOn w:val="DefaultParagraphFont"/>
    <w:link w:val="Title"/>
    <w:uiPriority w:val="10"/>
    <w:rsid w:val="00CC381E"/>
    <w:rPr>
      <w:rFonts w:ascii="Arial" w:eastAsia="Times New Roman" w:hAnsi="Arial" w:cs="Times New Roman"/>
      <w:color w:val="001871"/>
      <w:spacing w:val="5"/>
      <w:kern w:val="28"/>
      <w:sz w:val="52"/>
      <w:szCs w:val="52"/>
    </w:rPr>
  </w:style>
  <w:style w:type="paragraph" w:styleId="TOC1">
    <w:name w:val="toc 1"/>
    <w:basedOn w:val="Normal"/>
    <w:next w:val="Normal"/>
    <w:autoRedefine/>
    <w:uiPriority w:val="39"/>
    <w:unhideWhenUsed/>
    <w:rsid w:val="00CC381E"/>
    <w:pPr>
      <w:keepNext/>
      <w:keepLines/>
      <w:tabs>
        <w:tab w:val="right" w:leader="underscore" w:pos="8505"/>
      </w:tabs>
      <w:spacing w:before="240" w:after="0" w:line="240" w:lineRule="atLeast"/>
    </w:pPr>
    <w:rPr>
      <w:rFonts w:eastAsia="Cambria" w:cs="Times New Roman"/>
      <w:b/>
      <w:color w:val="333F48"/>
      <w:sz w:val="32"/>
    </w:rPr>
  </w:style>
  <w:style w:type="paragraph" w:styleId="TOC2">
    <w:name w:val="toc 2"/>
    <w:basedOn w:val="Normal"/>
    <w:next w:val="Normal"/>
    <w:autoRedefine/>
    <w:uiPriority w:val="39"/>
    <w:unhideWhenUsed/>
    <w:rsid w:val="00317EF8"/>
    <w:pPr>
      <w:keepNext/>
      <w:keepLines/>
      <w:tabs>
        <w:tab w:val="right" w:leader="underscore" w:pos="8505"/>
      </w:tabs>
      <w:spacing w:before="60" w:after="0" w:line="240" w:lineRule="atLeast"/>
      <w:ind w:left="425"/>
    </w:pPr>
    <w:rPr>
      <w:rFonts w:eastAsia="Cambria" w:cs="Times New Roman"/>
      <w:noProof/>
      <w:color w:val="333F48"/>
      <w:sz w:val="24"/>
      <w:szCs w:val="24"/>
    </w:rPr>
  </w:style>
  <w:style w:type="paragraph" w:styleId="TOC3">
    <w:name w:val="toc 3"/>
    <w:basedOn w:val="Normal"/>
    <w:next w:val="Normal"/>
    <w:autoRedefine/>
    <w:uiPriority w:val="39"/>
    <w:unhideWhenUsed/>
    <w:rsid w:val="00CC381E"/>
    <w:pPr>
      <w:keepNext/>
      <w:keepLines/>
      <w:tabs>
        <w:tab w:val="right" w:leader="hyphen" w:pos="8505"/>
      </w:tabs>
      <w:spacing w:before="60" w:after="0" w:line="240" w:lineRule="atLeast"/>
      <w:ind w:left="851"/>
    </w:pPr>
    <w:rPr>
      <w:rFonts w:eastAsia="Cambria" w:cs="Times New Roman"/>
      <w:color w:val="333F48"/>
      <w:sz w:val="22"/>
    </w:rPr>
  </w:style>
  <w:style w:type="paragraph" w:styleId="FootnoteText">
    <w:name w:val="footnote text"/>
    <w:basedOn w:val="Normal"/>
    <w:link w:val="FootnoteTextChar"/>
    <w:rsid w:val="00CC381E"/>
    <w:pPr>
      <w:keepLines/>
      <w:spacing w:after="0" w:line="240" w:lineRule="atLeast"/>
    </w:pPr>
    <w:rPr>
      <w:rFonts w:eastAsia="Cambria" w:cs="Times New Roman"/>
      <w:color w:val="333F48"/>
      <w:sz w:val="16"/>
    </w:rPr>
  </w:style>
  <w:style w:type="character" w:customStyle="1" w:styleId="FootnoteTextChar">
    <w:name w:val="Footnote Text Char"/>
    <w:basedOn w:val="DefaultParagraphFont"/>
    <w:link w:val="FootnoteText"/>
    <w:rsid w:val="00CC381E"/>
    <w:rPr>
      <w:rFonts w:ascii="Arial" w:eastAsia="Cambria" w:hAnsi="Arial" w:cs="Times New Roman"/>
      <w:color w:val="333F48"/>
      <w:sz w:val="16"/>
    </w:rPr>
  </w:style>
  <w:style w:type="character" w:styleId="FootnoteReference">
    <w:name w:val="footnote reference"/>
    <w:basedOn w:val="DefaultParagraphFont"/>
    <w:uiPriority w:val="99"/>
    <w:unhideWhenUsed/>
    <w:rsid w:val="00CC381E"/>
    <w:rPr>
      <w:vertAlign w:val="superscript"/>
    </w:rPr>
  </w:style>
  <w:style w:type="paragraph" w:customStyle="1" w:styleId="NonTOCheading2">
    <w:name w:val="Non TOC heading 2"/>
    <w:basedOn w:val="Normal"/>
    <w:next w:val="Normal"/>
    <w:rsid w:val="00CC381E"/>
    <w:pPr>
      <w:keepNext/>
      <w:keepLines/>
      <w:pageBreakBefore/>
      <w:spacing w:after="180" w:line="240" w:lineRule="atLeast"/>
      <w:outlineLvl w:val="1"/>
    </w:pPr>
    <w:rPr>
      <w:rFonts w:eastAsia="Cambria" w:cs="Times New Roman"/>
      <w:b/>
      <w:color w:val="001871"/>
      <w:sz w:val="38"/>
    </w:rPr>
  </w:style>
  <w:style w:type="paragraph" w:customStyle="1" w:styleId="Headernoline">
    <w:name w:val="Header no line"/>
    <w:basedOn w:val="Header"/>
    <w:rsid w:val="00CC381E"/>
    <w:pPr>
      <w:pBdr>
        <w:bottom w:val="none" w:sz="0" w:space="0" w:color="auto"/>
      </w:pBdr>
      <w:spacing w:line="240" w:lineRule="atLeast"/>
    </w:pPr>
  </w:style>
  <w:style w:type="paragraph" w:customStyle="1" w:styleId="Tabledescription">
    <w:name w:val="Table description"/>
    <w:basedOn w:val="Normal"/>
    <w:next w:val="Normal"/>
    <w:rsid w:val="00CC381E"/>
    <w:pPr>
      <w:spacing w:before="120" w:after="240" w:line="180" w:lineRule="atLeast"/>
    </w:pPr>
    <w:rPr>
      <w:rFonts w:eastAsia="Cambria" w:cs="Times New Roman"/>
      <w:color w:val="333F48"/>
      <w:sz w:val="18"/>
    </w:rPr>
  </w:style>
  <w:style w:type="paragraph" w:customStyle="1" w:styleId="Tabletitle">
    <w:name w:val="Table title"/>
    <w:basedOn w:val="Normal"/>
    <w:next w:val="Normal"/>
    <w:rsid w:val="00CC381E"/>
    <w:pPr>
      <w:keepNext/>
      <w:spacing w:before="120" w:after="180" w:line="240" w:lineRule="atLeast"/>
    </w:pPr>
    <w:rPr>
      <w:rFonts w:eastAsia="Cambria" w:cs="Times New Roman"/>
      <w:b/>
      <w:color w:val="333F48"/>
    </w:rPr>
  </w:style>
  <w:style w:type="paragraph" w:customStyle="1" w:styleId="Address">
    <w:name w:val="Address"/>
    <w:basedOn w:val="Normal"/>
    <w:rsid w:val="00CC381E"/>
    <w:pPr>
      <w:spacing w:after="0" w:line="240" w:lineRule="auto"/>
    </w:pPr>
    <w:rPr>
      <w:rFonts w:eastAsia="Cambria" w:cs="Times New Roman"/>
      <w:color w:val="333F48"/>
      <w:sz w:val="21"/>
    </w:rPr>
  </w:style>
  <w:style w:type="paragraph" w:customStyle="1" w:styleId="ListBullet-dotick">
    <w:name w:val="List Bullet - do (tick)"/>
    <w:basedOn w:val="ListBullet"/>
    <w:autoRedefine/>
    <w:uiPriority w:val="1"/>
    <w:qFormat/>
    <w:rsid w:val="00CC381E"/>
    <w:pPr>
      <w:tabs>
        <w:tab w:val="left" w:pos="425"/>
      </w:tabs>
    </w:pPr>
  </w:style>
  <w:style w:type="paragraph" w:customStyle="1" w:styleId="ListBullet-donotcross">
    <w:name w:val="List Bullet - do not (cross)"/>
    <w:basedOn w:val="ListBullet"/>
    <w:autoRedefine/>
    <w:uiPriority w:val="1"/>
    <w:qFormat/>
    <w:rsid w:val="00CC381E"/>
    <w:pPr>
      <w:ind w:left="357" w:hanging="357"/>
    </w:pPr>
    <w:rPr>
      <w:rFonts w:eastAsiaTheme="minorHAnsi" w:cstheme="minorBidi"/>
      <w:szCs w:val="22"/>
    </w:rPr>
  </w:style>
  <w:style w:type="table" w:customStyle="1" w:styleId="TGABlack2023">
    <w:name w:val="TGA Black 2023"/>
    <w:basedOn w:val="TableTGAblue2023"/>
    <w:uiPriority w:val="99"/>
    <w:rsid w:val="00CC381E"/>
    <w:pPr>
      <w:spacing w:line="240" w:lineRule="auto"/>
    </w:pPr>
    <w:tblPr>
      <w:tblBorders>
        <w:top w:val="single" w:sz="4" w:space="0" w:color="0D0D0D" w:themeColor="text1" w:themeTint="F2"/>
        <w:left w:val="single" w:sz="4" w:space="0" w:color="0D0D0D" w:themeColor="text1" w:themeTint="F2"/>
        <w:bottom w:val="single" w:sz="4" w:space="0" w:color="0D0D0D" w:themeColor="text1" w:themeTint="F2"/>
        <w:right w:val="single" w:sz="4" w:space="0" w:color="0D0D0D" w:themeColor="text1" w:themeTint="F2"/>
        <w:insideH w:val="single" w:sz="4" w:space="0" w:color="0D0D0D" w:themeColor="text1" w:themeTint="F2"/>
        <w:insideV w:val="single" w:sz="4" w:space="0" w:color="0D0D0D" w:themeColor="text1" w:themeTint="F2"/>
      </w:tblBorders>
    </w:tblPr>
    <w:tblStylePr w:type="firstRow">
      <w:pPr>
        <w:keepNext/>
        <w:wordWrap/>
      </w:pPr>
      <w:rPr>
        <w:rFonts w:ascii="Arial" w:hAnsi="Arial"/>
        <w:b/>
        <w:color w:val="FFFFFF" w:themeColor="background1"/>
        <w:sz w:val="22"/>
      </w:rPr>
      <w:tblPr/>
      <w:trPr>
        <w:tblHeader/>
      </w:trPr>
      <w:tcPr>
        <w:shd w:val="clear" w:color="auto" w:fill="171717" w:themeFill="background2" w:themeFillShade="1A"/>
      </w:tcPr>
    </w:tblStylePr>
    <w:tblStylePr w:type="firstCol">
      <w:pPr>
        <w:keepNext w:val="0"/>
        <w:wordWrap/>
      </w:pPr>
    </w:tblStylePr>
  </w:style>
  <w:style w:type="character" w:styleId="CommentReference">
    <w:name w:val="annotation reference"/>
    <w:basedOn w:val="DefaultParagraphFont"/>
    <w:uiPriority w:val="99"/>
    <w:semiHidden/>
    <w:unhideWhenUsed/>
    <w:rsid w:val="00CC381E"/>
    <w:rPr>
      <w:sz w:val="16"/>
      <w:szCs w:val="16"/>
    </w:rPr>
  </w:style>
  <w:style w:type="paragraph" w:styleId="CommentText">
    <w:name w:val="annotation text"/>
    <w:basedOn w:val="Normal"/>
    <w:link w:val="CommentTextChar"/>
    <w:uiPriority w:val="99"/>
    <w:unhideWhenUsed/>
    <w:rsid w:val="00CC381E"/>
    <w:pPr>
      <w:spacing w:before="120" w:after="180" w:line="240" w:lineRule="auto"/>
    </w:pPr>
    <w:rPr>
      <w:rFonts w:ascii="Cambria" w:eastAsia="Cambria" w:hAnsi="Cambria" w:cs="Times New Roman"/>
    </w:rPr>
  </w:style>
  <w:style w:type="character" w:customStyle="1" w:styleId="CommentTextChar">
    <w:name w:val="Comment Text Char"/>
    <w:basedOn w:val="DefaultParagraphFont"/>
    <w:link w:val="CommentText"/>
    <w:uiPriority w:val="99"/>
    <w:rsid w:val="00CC381E"/>
    <w:rPr>
      <w:rFonts w:ascii="Cambria" w:eastAsia="Cambria" w:hAnsi="Cambria" w:cs="Times New Roman"/>
    </w:rPr>
  </w:style>
  <w:style w:type="numbering" w:customStyle="1" w:styleId="NumberBullet1">
    <w:name w:val="NumberBullet1"/>
    <w:uiPriority w:val="99"/>
    <w:locked/>
    <w:rsid w:val="00CC381E"/>
  </w:style>
  <w:style w:type="table" w:customStyle="1" w:styleId="TableGrid1">
    <w:name w:val="Table Grid1"/>
    <w:basedOn w:val="TableNormal"/>
    <w:next w:val="TableGrid"/>
    <w:uiPriority w:val="39"/>
    <w:rsid w:val="002008D8"/>
    <w:pPr>
      <w:spacing w:after="0" w:line="240" w:lineRule="auto"/>
    </w:pPr>
    <w:rPr>
      <w:rFonts w:ascii="Cambria" w:eastAsia="Cambria" w:hAnsi="Cambria" w:cs="Times New Roman"/>
      <w:sz w:val="21"/>
      <w:szCs w:val="21"/>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C381E"/>
    <w:rPr>
      <w:color w:val="808080"/>
    </w:rPr>
  </w:style>
  <w:style w:type="character" w:customStyle="1" w:styleId="Heading7Char">
    <w:name w:val="Heading 7 Char"/>
    <w:basedOn w:val="DefaultParagraphFont"/>
    <w:link w:val="Heading7"/>
    <w:uiPriority w:val="9"/>
    <w:rsid w:val="00CC381E"/>
    <w:rPr>
      <w:rFonts w:ascii="Cambria" w:eastAsia="Times New Roman" w:hAnsi="Cambria" w:cs="Times New Roman"/>
      <w:bCs/>
      <w:i/>
      <w:szCs w:val="22"/>
    </w:rPr>
  </w:style>
  <w:style w:type="character" w:styleId="SubtleReference">
    <w:name w:val="Subtle Reference"/>
    <w:basedOn w:val="DefaultParagraphFont"/>
    <w:uiPriority w:val="31"/>
    <w:qFormat/>
    <w:rsid w:val="00CC381E"/>
    <w:rPr>
      <w:rFonts w:ascii="Arial" w:hAnsi="Arial"/>
      <w:smallCaps/>
      <w:color w:val="0D0D0D" w:themeColor="text1" w:themeTint="F2"/>
    </w:rPr>
  </w:style>
  <w:style w:type="character" w:styleId="SubtleEmphasis">
    <w:name w:val="Subtle Emphasis"/>
    <w:basedOn w:val="DefaultParagraphFont"/>
    <w:uiPriority w:val="19"/>
    <w:qFormat/>
    <w:rsid w:val="00CC381E"/>
    <w:rPr>
      <w:rFonts w:ascii="Arial" w:hAnsi="Arial"/>
      <w:i/>
      <w:iCs/>
      <w:color w:val="000000" w:themeColor="text1"/>
    </w:rPr>
  </w:style>
  <w:style w:type="paragraph" w:styleId="CommentSubject">
    <w:name w:val="annotation subject"/>
    <w:basedOn w:val="CommentText"/>
    <w:next w:val="CommentText"/>
    <w:link w:val="CommentSubjectChar"/>
    <w:uiPriority w:val="99"/>
    <w:semiHidden/>
    <w:unhideWhenUsed/>
    <w:rsid w:val="00CC381E"/>
    <w:rPr>
      <w:b/>
      <w:bCs/>
    </w:rPr>
  </w:style>
  <w:style w:type="character" w:customStyle="1" w:styleId="CommentSubjectChar">
    <w:name w:val="Comment Subject Char"/>
    <w:basedOn w:val="CommentTextChar"/>
    <w:link w:val="CommentSubject"/>
    <w:uiPriority w:val="99"/>
    <w:semiHidden/>
    <w:rsid w:val="00CC381E"/>
    <w:rPr>
      <w:rFonts w:ascii="Cambria" w:eastAsia="Cambria" w:hAnsi="Cambria" w:cs="Times New Roman"/>
      <w:b/>
      <w:bCs/>
    </w:rPr>
  </w:style>
  <w:style w:type="paragraph" w:styleId="NoSpacing">
    <w:name w:val="No Spacing"/>
    <w:autoRedefine/>
    <w:uiPriority w:val="1"/>
    <w:qFormat/>
    <w:rsid w:val="00CC381E"/>
    <w:pPr>
      <w:spacing w:after="0" w:line="240" w:lineRule="auto"/>
    </w:pPr>
    <w:rPr>
      <w:rFonts w:ascii="Arial" w:hAnsi="Arial"/>
      <w:color w:val="000000" w:themeColor="text1"/>
      <w:sz w:val="22"/>
    </w:rPr>
  </w:style>
  <w:style w:type="character" w:styleId="Emphasis">
    <w:name w:val="Emphasis"/>
    <w:basedOn w:val="DefaultParagraphFont"/>
    <w:uiPriority w:val="20"/>
    <w:qFormat/>
    <w:rsid w:val="00CC381E"/>
    <w:rPr>
      <w:rFonts w:ascii="Arial" w:hAnsi="Arial"/>
      <w:i/>
      <w:iCs/>
    </w:rPr>
  </w:style>
  <w:style w:type="character" w:styleId="Strong">
    <w:name w:val="Strong"/>
    <w:basedOn w:val="DefaultParagraphFont"/>
    <w:uiPriority w:val="22"/>
    <w:qFormat/>
    <w:rsid w:val="00CC381E"/>
    <w:rPr>
      <w:rFonts w:ascii="Arial" w:hAnsi="Arial"/>
      <w:b/>
      <w:bCs/>
      <w:color w:val="000000" w:themeColor="text1"/>
    </w:rPr>
  </w:style>
  <w:style w:type="paragraph" w:styleId="Quote">
    <w:name w:val="Quote"/>
    <w:basedOn w:val="Normal"/>
    <w:next w:val="Normal"/>
    <w:link w:val="QuoteChar"/>
    <w:autoRedefine/>
    <w:uiPriority w:val="29"/>
    <w:qFormat/>
    <w:rsid w:val="00CC381E"/>
    <w:pPr>
      <w:spacing w:before="200" w:after="160"/>
      <w:ind w:left="864" w:right="864"/>
      <w:jc w:val="center"/>
    </w:pPr>
    <w:rPr>
      <w:i/>
      <w:iCs/>
    </w:rPr>
  </w:style>
  <w:style w:type="character" w:customStyle="1" w:styleId="QuoteChar">
    <w:name w:val="Quote Char"/>
    <w:basedOn w:val="DefaultParagraphFont"/>
    <w:link w:val="Quote"/>
    <w:uiPriority w:val="29"/>
    <w:rsid w:val="00CC381E"/>
    <w:rPr>
      <w:rFonts w:ascii="Arial" w:hAnsi="Arial"/>
      <w:i/>
      <w:iCs/>
    </w:rPr>
  </w:style>
  <w:style w:type="character" w:styleId="BookTitle">
    <w:name w:val="Book Title"/>
    <w:basedOn w:val="DefaultParagraphFont"/>
    <w:uiPriority w:val="33"/>
    <w:qFormat/>
    <w:rsid w:val="00CC381E"/>
    <w:rPr>
      <w:rFonts w:ascii="Arial" w:hAnsi="Arial"/>
      <w:b/>
      <w:bCs/>
      <w:i/>
      <w:iCs/>
      <w:spacing w:val="5"/>
    </w:rPr>
  </w:style>
  <w:style w:type="paragraph" w:styleId="ListParagraph">
    <w:name w:val="List Paragraph"/>
    <w:basedOn w:val="ListBullet"/>
    <w:link w:val="ListParagraphChar"/>
    <w:autoRedefine/>
    <w:uiPriority w:val="34"/>
    <w:qFormat/>
    <w:rsid w:val="00EF783F"/>
    <w:pPr>
      <w:numPr>
        <w:numId w:val="143"/>
      </w:numPr>
      <w:spacing w:after="120"/>
    </w:pPr>
  </w:style>
  <w:style w:type="paragraph" w:styleId="BalloonText">
    <w:name w:val="Balloon Text"/>
    <w:basedOn w:val="Normal"/>
    <w:link w:val="BalloonTextChar"/>
    <w:uiPriority w:val="99"/>
    <w:semiHidden/>
    <w:unhideWhenUsed/>
    <w:rsid w:val="00CC381E"/>
    <w:pPr>
      <w:spacing w:before="120" w:after="0" w:line="240" w:lineRule="atLeast"/>
    </w:pPr>
    <w:rPr>
      <w:rFonts w:ascii="Tahoma" w:eastAsia="Cambria" w:hAnsi="Tahoma" w:cs="Tahoma"/>
      <w:sz w:val="16"/>
      <w:szCs w:val="16"/>
    </w:rPr>
  </w:style>
  <w:style w:type="character" w:customStyle="1" w:styleId="BalloonTextChar">
    <w:name w:val="Balloon Text Char"/>
    <w:basedOn w:val="DefaultParagraphFont"/>
    <w:link w:val="BalloonText"/>
    <w:uiPriority w:val="99"/>
    <w:semiHidden/>
    <w:rsid w:val="00CC381E"/>
    <w:rPr>
      <w:rFonts w:ascii="Tahoma" w:eastAsia="Cambria" w:hAnsi="Tahoma" w:cs="Tahoma"/>
      <w:sz w:val="16"/>
      <w:szCs w:val="16"/>
    </w:rPr>
  </w:style>
  <w:style w:type="paragraph" w:customStyle="1" w:styleId="Default">
    <w:name w:val="Default"/>
    <w:rsid w:val="00CC381E"/>
    <w:pPr>
      <w:autoSpaceDE w:val="0"/>
      <w:autoSpaceDN w:val="0"/>
      <w:adjustRightInd w:val="0"/>
      <w:spacing w:after="0" w:line="240" w:lineRule="auto"/>
    </w:pPr>
    <w:rPr>
      <w:rFonts w:ascii="Times New Roman" w:eastAsia="Cambria" w:hAnsi="Times New Roman" w:cs="Times New Roman"/>
      <w:color w:val="000000"/>
      <w:sz w:val="24"/>
      <w:szCs w:val="24"/>
      <w:lang w:eastAsia="en-AU"/>
    </w:rPr>
  </w:style>
  <w:style w:type="paragraph" w:styleId="DocumentMap">
    <w:name w:val="Document Map"/>
    <w:basedOn w:val="Normal"/>
    <w:link w:val="DocumentMapChar"/>
    <w:uiPriority w:val="99"/>
    <w:semiHidden/>
    <w:unhideWhenUsed/>
    <w:rsid w:val="00CC381E"/>
    <w:pPr>
      <w:spacing w:after="0" w:line="240" w:lineRule="auto"/>
    </w:pPr>
    <w:rPr>
      <w:rFonts w:ascii="Tahoma" w:eastAsia="Cambria" w:hAnsi="Tahoma" w:cs="Tahoma"/>
      <w:sz w:val="16"/>
      <w:szCs w:val="16"/>
    </w:rPr>
  </w:style>
  <w:style w:type="character" w:customStyle="1" w:styleId="DocumentMapChar">
    <w:name w:val="Document Map Char"/>
    <w:basedOn w:val="DefaultParagraphFont"/>
    <w:link w:val="DocumentMap"/>
    <w:uiPriority w:val="99"/>
    <w:semiHidden/>
    <w:rsid w:val="00CC381E"/>
    <w:rPr>
      <w:rFonts w:ascii="Tahoma" w:eastAsia="Cambria" w:hAnsi="Tahoma" w:cs="Tahoma"/>
      <w:sz w:val="16"/>
      <w:szCs w:val="16"/>
    </w:rPr>
  </w:style>
  <w:style w:type="character" w:styleId="EndnoteReference">
    <w:name w:val="endnote reference"/>
    <w:basedOn w:val="DefaultParagraphFont"/>
    <w:uiPriority w:val="99"/>
    <w:semiHidden/>
    <w:unhideWhenUsed/>
    <w:rsid w:val="00CC381E"/>
    <w:rPr>
      <w:vertAlign w:val="superscript"/>
    </w:rPr>
  </w:style>
  <w:style w:type="paragraph" w:styleId="EndnoteText">
    <w:name w:val="endnote text"/>
    <w:basedOn w:val="FootnoteText"/>
    <w:link w:val="EndnoteTextChar"/>
    <w:semiHidden/>
    <w:unhideWhenUsed/>
    <w:rsid w:val="00CC381E"/>
    <w:rPr>
      <w:rFonts w:asciiTheme="minorHAnsi" w:hAnsiTheme="minorHAnsi" w:cstheme="minorBidi"/>
      <w:color w:val="auto"/>
      <w:szCs w:val="22"/>
    </w:rPr>
  </w:style>
  <w:style w:type="character" w:customStyle="1" w:styleId="EndnoteTextChar">
    <w:name w:val="Endnote Text Char"/>
    <w:basedOn w:val="DefaultParagraphFont"/>
    <w:link w:val="EndnoteText"/>
    <w:semiHidden/>
    <w:rsid w:val="00CC381E"/>
    <w:rPr>
      <w:rFonts w:eastAsia="Cambria"/>
      <w:sz w:val="16"/>
      <w:szCs w:val="22"/>
    </w:rPr>
  </w:style>
  <w:style w:type="character" w:styleId="FollowedHyperlink">
    <w:name w:val="FollowedHyperlink"/>
    <w:basedOn w:val="DefaultParagraphFont"/>
    <w:semiHidden/>
    <w:unhideWhenUsed/>
    <w:rsid w:val="00CC381E"/>
    <w:rPr>
      <w:color w:val="800080"/>
      <w:u w:val="single"/>
    </w:rPr>
  </w:style>
  <w:style w:type="character" w:customStyle="1" w:styleId="fontstyle01">
    <w:name w:val="fontstyle01"/>
    <w:basedOn w:val="DefaultParagraphFont"/>
    <w:rsid w:val="00CC381E"/>
    <w:rPr>
      <w:rFonts w:ascii="Cambria" w:hAnsi="Cambria" w:hint="default"/>
      <w:b w:val="0"/>
      <w:bCs w:val="0"/>
      <w:i w:val="0"/>
      <w:iCs w:val="0"/>
      <w:color w:val="000000"/>
      <w:sz w:val="22"/>
      <w:szCs w:val="22"/>
    </w:rPr>
  </w:style>
  <w:style w:type="character" w:customStyle="1" w:styleId="fontstyle21">
    <w:name w:val="fontstyle21"/>
    <w:basedOn w:val="DefaultParagraphFont"/>
    <w:rsid w:val="00CC381E"/>
    <w:rPr>
      <w:rFonts w:ascii="Cambria-Bold" w:hAnsi="Cambria-Bold" w:hint="default"/>
      <w:b/>
      <w:bCs/>
      <w:i w:val="0"/>
      <w:iCs w:val="0"/>
      <w:color w:val="000000"/>
      <w:sz w:val="22"/>
      <w:szCs w:val="22"/>
    </w:rPr>
  </w:style>
  <w:style w:type="paragraph" w:customStyle="1" w:styleId="HeaderNoLine0">
    <w:name w:val="Header No Line"/>
    <w:basedOn w:val="Header"/>
    <w:rsid w:val="00CC381E"/>
    <w:pPr>
      <w:pBdr>
        <w:bottom w:val="none" w:sz="0" w:space="0" w:color="auto"/>
      </w:pBdr>
    </w:pPr>
    <w:rPr>
      <w:rFonts w:ascii="Cambria" w:hAnsi="Cambria"/>
      <w:color w:val="auto"/>
    </w:rPr>
  </w:style>
  <w:style w:type="character" w:customStyle="1" w:styleId="Heading1Char">
    <w:name w:val="Heading 1 Char"/>
    <w:basedOn w:val="DefaultParagraphFont"/>
    <w:link w:val="Heading1"/>
    <w:uiPriority w:val="9"/>
    <w:rsid w:val="00CC381E"/>
    <w:rPr>
      <w:rFonts w:asciiTheme="majorHAnsi" w:eastAsiaTheme="majorEastAsia" w:hAnsiTheme="majorHAnsi" w:cstheme="majorBidi"/>
      <w:color w:val="2F5496" w:themeColor="accent1" w:themeShade="BF"/>
      <w:sz w:val="32"/>
      <w:szCs w:val="32"/>
    </w:rPr>
  </w:style>
  <w:style w:type="character" w:customStyle="1" w:styleId="Heading8Char">
    <w:name w:val="Heading 8 Char"/>
    <w:basedOn w:val="DefaultParagraphFont"/>
    <w:link w:val="Heading8"/>
    <w:uiPriority w:val="9"/>
    <w:semiHidden/>
    <w:rsid w:val="00CC381E"/>
    <w:rPr>
      <w:rFonts w:ascii="Arial" w:eastAsiaTheme="majorEastAsia" w:hAnsi="Arial" w:cstheme="majorBidi"/>
    </w:rPr>
  </w:style>
  <w:style w:type="character" w:customStyle="1" w:styleId="Heading9Char">
    <w:name w:val="Heading 9 Char"/>
    <w:basedOn w:val="DefaultParagraphFont"/>
    <w:link w:val="Heading9"/>
    <w:uiPriority w:val="9"/>
    <w:semiHidden/>
    <w:rsid w:val="00CC381E"/>
    <w:rPr>
      <w:rFonts w:asciiTheme="majorHAnsi" w:eastAsiaTheme="majorEastAsia" w:hAnsiTheme="majorHAnsi" w:cstheme="majorBidi"/>
      <w:i/>
      <w:iCs/>
      <w:color w:val="404040" w:themeColor="text1" w:themeTint="BF"/>
    </w:rPr>
  </w:style>
  <w:style w:type="character" w:styleId="IntenseEmphasis">
    <w:name w:val="Intense Emphasis"/>
    <w:basedOn w:val="DefaultParagraphFont"/>
    <w:uiPriority w:val="21"/>
    <w:qFormat/>
    <w:rsid w:val="00CC381E"/>
    <w:rPr>
      <w:rFonts w:ascii="Arial" w:hAnsi="Arial"/>
      <w:i/>
      <w:iCs/>
      <w:color w:val="auto"/>
    </w:rPr>
  </w:style>
  <w:style w:type="character" w:styleId="IntenseReference">
    <w:name w:val="Intense Reference"/>
    <w:basedOn w:val="DefaultParagraphFont"/>
    <w:uiPriority w:val="32"/>
    <w:qFormat/>
    <w:rsid w:val="00CC381E"/>
    <w:rPr>
      <w:rFonts w:ascii="Arial" w:hAnsi="Arial"/>
      <w:b/>
      <w:bCs/>
      <w:smallCaps/>
      <w:color w:val="1F3864" w:themeColor="accent1" w:themeShade="80"/>
      <w:spacing w:val="5"/>
    </w:rPr>
  </w:style>
  <w:style w:type="paragraph" w:customStyle="1" w:styleId="Legislation">
    <w:name w:val="Legislation"/>
    <w:basedOn w:val="Normal"/>
    <w:qFormat/>
    <w:rsid w:val="00CC381E"/>
    <w:pPr>
      <w:jc w:val="center"/>
    </w:pPr>
    <w:rPr>
      <w:i/>
      <w:color w:val="333F48"/>
    </w:rPr>
  </w:style>
  <w:style w:type="paragraph" w:customStyle="1" w:styleId="Legislation-list">
    <w:name w:val="Legislation-list"/>
    <w:basedOn w:val="Numberbullet0"/>
    <w:rsid w:val="00CC381E"/>
    <w:pPr>
      <w:numPr>
        <w:numId w:val="3"/>
      </w:numPr>
      <w:jc w:val="center"/>
    </w:pPr>
    <w:rPr>
      <w:i/>
    </w:rPr>
  </w:style>
  <w:style w:type="table" w:styleId="LightList-Accent1">
    <w:name w:val="Light List Accent 1"/>
    <w:basedOn w:val="TableNormal"/>
    <w:uiPriority w:val="61"/>
    <w:rsid w:val="00CC381E"/>
    <w:pPr>
      <w:spacing w:after="0" w:line="240" w:lineRule="auto"/>
    </w:pPr>
    <w:rPr>
      <w:rFonts w:eastAsiaTheme="minorEastAsia"/>
      <w:sz w:val="22"/>
      <w:szCs w:val="22"/>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ghtShading-Accent2">
    <w:name w:val="Light Shading Accent 2"/>
    <w:basedOn w:val="TableNormal"/>
    <w:uiPriority w:val="60"/>
    <w:rsid w:val="00CC381E"/>
    <w:pPr>
      <w:spacing w:after="0" w:line="240" w:lineRule="auto"/>
    </w:pPr>
    <w:rPr>
      <w:rFonts w:ascii="Cambria" w:eastAsia="Calibri" w:hAnsi="Cambria" w:cs="Times New Roman"/>
      <w:color w:val="943634"/>
      <w:sz w:val="21"/>
      <w:szCs w:val="21"/>
      <w:lang w:eastAsia="en-AU"/>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1">
    <w:name w:val="Light Shading1"/>
    <w:basedOn w:val="TableNormal"/>
    <w:uiPriority w:val="60"/>
    <w:rsid w:val="00CC381E"/>
    <w:pPr>
      <w:spacing w:after="0" w:line="240" w:lineRule="auto"/>
    </w:pPr>
    <w:rPr>
      <w:rFonts w:ascii="Cambria" w:eastAsia="Cambria" w:hAnsi="Cambria" w:cs="Times New Roman"/>
      <w:color w:val="000000" w:themeColor="text1" w:themeShade="BF"/>
      <w:lang w:eastAsia="en-AU"/>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ListBulleta">
    <w:name w:val="List Bullet (a)"/>
    <w:basedOn w:val="ListBullet"/>
    <w:autoRedefine/>
    <w:uiPriority w:val="1"/>
    <w:qFormat/>
    <w:rsid w:val="00BB3352"/>
    <w:pPr>
      <w:numPr>
        <w:numId w:val="5"/>
      </w:numPr>
    </w:pPr>
  </w:style>
  <w:style w:type="paragraph" w:customStyle="1" w:styleId="ListBulleti">
    <w:name w:val="List Bullet (i)"/>
    <w:basedOn w:val="ListBullet"/>
    <w:autoRedefine/>
    <w:uiPriority w:val="1"/>
    <w:qFormat/>
    <w:rsid w:val="00BB3352"/>
    <w:pPr>
      <w:numPr>
        <w:numId w:val="6"/>
      </w:numPr>
    </w:pPr>
  </w:style>
  <w:style w:type="numbering" w:customStyle="1" w:styleId="ListBullets1">
    <w:name w:val="ListBullets1"/>
    <w:uiPriority w:val="99"/>
    <w:rsid w:val="00CC381E"/>
  </w:style>
  <w:style w:type="table" w:styleId="MediumGrid2-Accent5">
    <w:name w:val="Medium Grid 2 Accent 5"/>
    <w:basedOn w:val="TableNormal"/>
    <w:uiPriority w:val="68"/>
    <w:rsid w:val="00CC381E"/>
    <w:pPr>
      <w:spacing w:after="0" w:line="240" w:lineRule="auto"/>
    </w:pPr>
    <w:rPr>
      <w:rFonts w:ascii="Cambria" w:eastAsia="Times New Roman" w:hAnsi="Cambria" w:cs="Times New Roman"/>
      <w:color w:val="000000"/>
      <w:sz w:val="21"/>
      <w:szCs w:val="21"/>
      <w:lang w:eastAsia="en-AU"/>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styleId="NormalWeb">
    <w:name w:val="Normal (Web)"/>
    <w:basedOn w:val="Normal"/>
    <w:uiPriority w:val="99"/>
    <w:semiHidden/>
    <w:unhideWhenUsed/>
    <w:rsid w:val="00CC381E"/>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Quotation">
    <w:name w:val="Quotation"/>
    <w:basedOn w:val="Normal"/>
    <w:next w:val="Normal"/>
    <w:autoRedefine/>
    <w:uiPriority w:val="4"/>
    <w:qFormat/>
    <w:rsid w:val="00CC381E"/>
    <w:pPr>
      <w:spacing w:before="120" w:after="180" w:line="240" w:lineRule="atLeast"/>
      <w:ind w:left="425"/>
    </w:pPr>
    <w:rPr>
      <w:rFonts w:eastAsia="Cambria" w:cs="Times New Roman"/>
    </w:rPr>
  </w:style>
  <w:style w:type="paragraph" w:customStyle="1" w:styleId="Reference">
    <w:name w:val="Reference"/>
    <w:basedOn w:val="Normal"/>
    <w:rsid w:val="00CC381E"/>
    <w:pPr>
      <w:spacing w:before="40" w:after="0" w:line="240" w:lineRule="atLeast"/>
      <w:ind w:left="170" w:hanging="170"/>
    </w:pPr>
    <w:rPr>
      <w:rFonts w:ascii="Cambria" w:eastAsia="Cambria" w:hAnsi="Cambria" w:cs="Times New Roman"/>
      <w:sz w:val="19"/>
    </w:rPr>
  </w:style>
  <w:style w:type="character" w:customStyle="1" w:styleId="Style1">
    <w:name w:val="Style1"/>
    <w:basedOn w:val="DefaultParagraphFont"/>
    <w:uiPriority w:val="1"/>
    <w:rsid w:val="00CC381E"/>
    <w:rPr>
      <w:rFonts w:ascii="Cambria" w:hAnsi="Cambria"/>
      <w:sz w:val="22"/>
    </w:rPr>
  </w:style>
  <w:style w:type="table" w:customStyle="1" w:styleId="TableTGAblack">
    <w:name w:val="Table TGA black"/>
    <w:basedOn w:val="TableNormal"/>
    <w:uiPriority w:val="99"/>
    <w:rsid w:val="00CC381E"/>
    <w:pPr>
      <w:spacing w:before="60" w:after="0" w:line="240" w:lineRule="auto"/>
    </w:pPr>
    <w:rPr>
      <w:rFonts w:ascii="Cambria" w:eastAsia="Cambria" w:hAnsi="Cambria" w:cs="Times New Roman"/>
      <w:color w:val="000000"/>
      <w:sz w:val="22"/>
      <w:szCs w:val="21"/>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cantSplit/>
    </w:trPr>
    <w:tcPr>
      <w:shd w:val="clear" w:color="auto" w:fill="auto"/>
    </w:tcPr>
    <w:tblStylePr w:type="firstRow">
      <w:pPr>
        <w:keepNext/>
        <w:wordWrap/>
      </w:pPr>
      <w:rPr>
        <w:rFonts w:ascii="Cambria" w:hAnsi="Cambria"/>
        <w:b/>
        <w:color w:val="FFFFFF"/>
        <w:sz w:val="22"/>
      </w:rPr>
      <w:tblPr/>
      <w:tcPr>
        <w:shd w:val="clear" w:color="auto" w:fill="000000"/>
      </w:tcPr>
    </w:tblStylePr>
    <w:tblStylePr w:type="lastRow">
      <w:rPr>
        <w:b w:val="0"/>
      </w:rPr>
    </w:tblStylePr>
    <w:tblStylePr w:type="firstCol">
      <w:pPr>
        <w:keepNext w:val="0"/>
        <w:wordWrap/>
      </w:pPr>
    </w:tblStylePr>
    <w:tblStylePr w:type="neCell">
      <w:rPr>
        <w:b w:val="0"/>
        <w:i w:val="0"/>
      </w:rPr>
    </w:tblStylePr>
    <w:tblStylePr w:type="nwCell">
      <w:rPr>
        <w:rFonts w:ascii="Cambria" w:hAnsi="Cambria"/>
        <w:b/>
        <w:i w:val="0"/>
        <w:color w:val="FFFFFF"/>
        <w:sz w:val="22"/>
      </w:rPr>
    </w:tblStylePr>
  </w:style>
  <w:style w:type="table" w:customStyle="1" w:styleId="TableTGAblue">
    <w:name w:val="Table TGA blue"/>
    <w:basedOn w:val="TableNormal"/>
    <w:uiPriority w:val="99"/>
    <w:qFormat/>
    <w:rsid w:val="00CC381E"/>
    <w:pPr>
      <w:spacing w:after="0" w:line="240" w:lineRule="auto"/>
    </w:pPr>
    <w:rPr>
      <w:rFonts w:ascii="Cambria" w:eastAsia="Cambria" w:hAnsi="Cambria" w:cs="Times New Roman"/>
      <w:color w:val="000000"/>
      <w:sz w:val="22"/>
      <w:szCs w:val="21"/>
      <w:lang w:eastAsia="en-AU"/>
    </w:rPr>
    <w:tblPr>
      <w:tblBorders>
        <w:top w:val="single" w:sz="8" w:space="0" w:color="002C47"/>
        <w:left w:val="single" w:sz="8" w:space="0" w:color="002C47"/>
        <w:bottom w:val="single" w:sz="8" w:space="0" w:color="002C47"/>
        <w:right w:val="single" w:sz="8" w:space="0" w:color="002C47"/>
        <w:insideH w:val="single" w:sz="8" w:space="0" w:color="002C47"/>
        <w:insideV w:val="single" w:sz="8" w:space="0" w:color="002C47"/>
      </w:tblBorders>
    </w:tblPr>
    <w:trPr>
      <w:cantSplit/>
    </w:trPr>
    <w:tcPr>
      <w:shd w:val="clear" w:color="auto" w:fill="auto"/>
    </w:tcPr>
    <w:tblStylePr w:type="firstRow">
      <w:pPr>
        <w:keepNext/>
        <w:wordWrap/>
      </w:pPr>
      <w:rPr>
        <w:rFonts w:ascii="Cambria" w:hAnsi="Cambria"/>
        <w:b/>
        <w:color w:val="FFFFFF"/>
        <w:sz w:val="22"/>
      </w:rPr>
      <w:tblPr/>
      <w:tcPr>
        <w:tcBorders>
          <w:top w:val="single" w:sz="8" w:space="0" w:color="002C47"/>
          <w:left w:val="single" w:sz="8" w:space="0" w:color="002C47"/>
          <w:bottom w:val="single" w:sz="8" w:space="0" w:color="002C47"/>
          <w:right w:val="single" w:sz="8" w:space="0" w:color="002C47"/>
          <w:insideH w:val="nil"/>
          <w:insideV w:val="nil"/>
          <w:tl2br w:val="nil"/>
          <w:tr2bl w:val="nil"/>
        </w:tcBorders>
        <w:shd w:val="clear" w:color="auto" w:fill="006DA7"/>
      </w:tcPr>
    </w:tblStylePr>
    <w:tblStylePr w:type="firstCol">
      <w:pPr>
        <w:keepNext w:val="0"/>
        <w:wordWrap/>
      </w:pPr>
    </w:tblStylePr>
  </w:style>
  <w:style w:type="paragraph" w:customStyle="1" w:styleId="TableTitle0">
    <w:name w:val="Table Title"/>
    <w:basedOn w:val="Normal"/>
    <w:next w:val="Normal"/>
    <w:autoRedefine/>
    <w:qFormat/>
    <w:rsid w:val="00CC381E"/>
    <w:pPr>
      <w:spacing w:before="180" w:after="180" w:line="240" w:lineRule="atLeast"/>
    </w:pPr>
    <w:rPr>
      <w:rFonts w:eastAsia="Cambria" w:cs="Times New Roman"/>
      <w:b/>
    </w:rPr>
  </w:style>
  <w:style w:type="paragraph" w:styleId="TOC4">
    <w:name w:val="toc 4"/>
    <w:basedOn w:val="Normal"/>
    <w:next w:val="Normal"/>
    <w:autoRedefine/>
    <w:uiPriority w:val="39"/>
    <w:semiHidden/>
    <w:unhideWhenUsed/>
    <w:rsid w:val="00CC381E"/>
    <w:pPr>
      <w:tabs>
        <w:tab w:val="right" w:leader="hyphen" w:pos="8505"/>
      </w:tabs>
      <w:spacing w:before="120" w:after="100" w:line="240" w:lineRule="atLeast"/>
      <w:ind w:left="1276"/>
    </w:pPr>
    <w:rPr>
      <w:rFonts w:ascii="Cambria" w:eastAsia="Cambria" w:hAnsi="Cambria" w:cs="Times New Roman"/>
    </w:rPr>
  </w:style>
  <w:style w:type="paragraph" w:styleId="TOC5">
    <w:name w:val="toc 5"/>
    <w:basedOn w:val="Normal"/>
    <w:next w:val="Normal"/>
    <w:autoRedefine/>
    <w:uiPriority w:val="39"/>
    <w:semiHidden/>
    <w:unhideWhenUsed/>
    <w:rsid w:val="00CC381E"/>
    <w:pPr>
      <w:tabs>
        <w:tab w:val="right" w:leader="dot" w:pos="8505"/>
      </w:tabs>
      <w:spacing w:before="120" w:after="100" w:line="240" w:lineRule="atLeast"/>
      <w:ind w:left="1701"/>
    </w:pPr>
    <w:rPr>
      <w:rFonts w:ascii="Cambria" w:eastAsia="Cambria" w:hAnsi="Cambria" w:cs="Times New Roman"/>
      <w:noProof/>
    </w:rPr>
  </w:style>
  <w:style w:type="paragraph" w:styleId="TOC6">
    <w:name w:val="toc 6"/>
    <w:basedOn w:val="Normal"/>
    <w:next w:val="Normal"/>
    <w:autoRedefine/>
    <w:uiPriority w:val="39"/>
    <w:semiHidden/>
    <w:unhideWhenUsed/>
    <w:rsid w:val="00CC381E"/>
    <w:pPr>
      <w:tabs>
        <w:tab w:val="right" w:pos="8505"/>
      </w:tabs>
      <w:spacing w:before="120" w:after="100" w:line="240" w:lineRule="atLeast"/>
      <w:ind w:left="2126"/>
    </w:pPr>
    <w:rPr>
      <w:rFonts w:ascii="Cambria" w:eastAsia="Cambria" w:hAnsi="Cambria" w:cs="Times New Roman"/>
    </w:rPr>
  </w:style>
  <w:style w:type="paragraph" w:styleId="TOC7">
    <w:name w:val="toc 7"/>
    <w:basedOn w:val="Normal"/>
    <w:next w:val="Normal"/>
    <w:autoRedefine/>
    <w:uiPriority w:val="39"/>
    <w:semiHidden/>
    <w:unhideWhenUsed/>
    <w:rsid w:val="00CC381E"/>
    <w:pPr>
      <w:spacing w:before="120" w:after="100" w:line="240" w:lineRule="atLeast"/>
      <w:ind w:left="2211"/>
    </w:pPr>
    <w:rPr>
      <w:rFonts w:ascii="Cambria" w:eastAsia="Cambria" w:hAnsi="Cambria" w:cs="Times New Roman"/>
    </w:rPr>
  </w:style>
  <w:style w:type="paragraph" w:styleId="TOC9">
    <w:name w:val="toc 9"/>
    <w:basedOn w:val="Normal"/>
    <w:next w:val="Normal"/>
    <w:autoRedefine/>
    <w:uiPriority w:val="39"/>
    <w:semiHidden/>
    <w:unhideWhenUsed/>
    <w:rsid w:val="00CC381E"/>
    <w:pPr>
      <w:spacing w:before="120" w:after="100" w:line="240" w:lineRule="atLeast"/>
      <w:ind w:left="1760"/>
    </w:pPr>
    <w:rPr>
      <w:rFonts w:ascii="Cambria" w:eastAsia="Cambria" w:hAnsi="Cambria" w:cs="Times New Roman"/>
    </w:rPr>
  </w:style>
  <w:style w:type="paragraph" w:styleId="TOCHeading">
    <w:name w:val="TOC Heading"/>
    <w:basedOn w:val="Heading1"/>
    <w:next w:val="Normal"/>
    <w:uiPriority w:val="39"/>
    <w:unhideWhenUsed/>
    <w:qFormat/>
    <w:rsid w:val="00CC381E"/>
    <w:pPr>
      <w:outlineLvl w:val="9"/>
    </w:pPr>
    <w:rPr>
      <w:lang w:val="en-US"/>
    </w:rPr>
  </w:style>
  <w:style w:type="character" w:styleId="UnresolvedMention">
    <w:name w:val="Unresolved Mention"/>
    <w:basedOn w:val="DefaultParagraphFont"/>
    <w:uiPriority w:val="99"/>
    <w:semiHidden/>
    <w:unhideWhenUsed/>
    <w:rsid w:val="00CC381E"/>
    <w:rPr>
      <w:color w:val="605E5C"/>
      <w:shd w:val="clear" w:color="auto" w:fill="E1DFDD"/>
    </w:rPr>
  </w:style>
  <w:style w:type="paragraph" w:styleId="Revision">
    <w:name w:val="Revision"/>
    <w:hidden/>
    <w:uiPriority w:val="99"/>
    <w:semiHidden/>
    <w:rsid w:val="00881ACA"/>
    <w:pPr>
      <w:spacing w:after="0" w:line="240" w:lineRule="auto"/>
    </w:pPr>
    <w:rPr>
      <w:rFonts w:ascii="Arial" w:hAnsi="Arial"/>
    </w:rPr>
  </w:style>
  <w:style w:type="character" w:customStyle="1" w:styleId="ListParagraphChar">
    <w:name w:val="List Paragraph Char"/>
    <w:basedOn w:val="DefaultParagraphFont"/>
    <w:link w:val="ListParagraph"/>
    <w:uiPriority w:val="34"/>
    <w:rsid w:val="00EF783F"/>
    <w:rPr>
      <w:rFonts w:ascii="Arial" w:eastAsia="Cambria" w:hAnsi="Arial"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consultations.health.gov.au" TargetMode="External"/><Relationship Id="rId26" Type="http://schemas.openxmlformats.org/officeDocument/2006/relationships/hyperlink" Target="https://consultations.tga.gov.au/tga/scheduling-pre-meeting-june-2025/" TargetMode="External"/><Relationship Id="rId39" Type="http://schemas.openxmlformats.org/officeDocument/2006/relationships/footer" Target="footer5.xml"/><Relationship Id="rId21" Type="http://schemas.openxmlformats.org/officeDocument/2006/relationships/hyperlink" Target="https://www.tga.gov.au/safety/database-adverse-event-notifications-daen" TargetMode="External"/><Relationship Id="rId34" Type="http://schemas.openxmlformats.org/officeDocument/2006/relationships/header" Target="header4.xml"/><Relationship Id="rId42"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consultations.tga.gov.au/tga/scheduling-pre-meeting-somatrogon-acms-june-2025/user_uploads/d25-1981111--pre-meeting-public-notice---june-2025---somatrogon-lonapegsomatropin-somapacitan.pdf" TargetMode="External"/><Relationship Id="rId29" Type="http://schemas.openxmlformats.org/officeDocument/2006/relationships/hyperlink" Target="https://www.industrialchemicals.gov.au/sites/default/files/2024-12/EVA00153%20-%20Evaluation%20Statement%20-%2016%20December%202024.pdf" TargetMode="External"/><Relationship Id="rId41"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consultations.tga.gov.au/tga/scheduling-pre-meeting-june-2025/user_uploads/pre-meeting-public-notice---june-2025-1.pdf" TargetMode="External"/><Relationship Id="rId32" Type="http://schemas.openxmlformats.org/officeDocument/2006/relationships/hyperlink" Target="https://www.industrialchemicals.gov.au/sites/default/files/2024-06/EVA00136%20-%20Evaluation%20Statement%20-%2026%20June%202024.pdf" TargetMode="External"/><Relationship Id="rId37" Type="http://schemas.openxmlformats.org/officeDocument/2006/relationships/hyperlink" Target="https://www.tga.gov.au/" TargetMode="Externa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https://consultations.tga.gov.au/tga/scheduling-pre-meeting-june-2025/" TargetMode="External"/><Relationship Id="rId28" Type="http://schemas.openxmlformats.org/officeDocument/2006/relationships/hyperlink" Target="https://www.hsa.gov.sg/cosmetic-products/asean-cosmetic-directive" TargetMode="External"/><Relationship Id="rId36" Type="http://schemas.openxmlformats.org/officeDocument/2006/relationships/hyperlink" Target="mailto:info@tga.gov.au" TargetMode="External"/><Relationship Id="rId10" Type="http://schemas.openxmlformats.org/officeDocument/2006/relationships/endnotes" Target="endnotes.xml"/><Relationship Id="rId19" Type="http://schemas.openxmlformats.org/officeDocument/2006/relationships/hyperlink" Target="https://consultations.tga.gov.au/tga/scheduling-pre-meeting-somatrogon-acms-june-2025/" TargetMode="External"/><Relationship Id="rId31" Type="http://schemas.openxmlformats.org/officeDocument/2006/relationships/hyperlink" Target="https://consultations.tga.gov.au/tga/scheduling-pre-meeting-june-2025/user_uploads/pre-meeting-public-notice---june-2025-1.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tga.gov.au/resources/australian-register-therapeutic-goods-artg" TargetMode="External"/><Relationship Id="rId27" Type="http://schemas.openxmlformats.org/officeDocument/2006/relationships/hyperlink" Target="https://consultations.tga.gov.au/tga/scheduling-pre-meeting-june-2025/user_uploads/pre-meeting-public-notice---june-2025-1.pdf" TargetMode="External"/><Relationship Id="rId30" Type="http://schemas.openxmlformats.org/officeDocument/2006/relationships/hyperlink" Target="https://consultations.tga.gov.au/tga/scheduling-pre-meeting-june-2025/" TargetMode="External"/><Relationship Id="rId35" Type="http://schemas.openxmlformats.org/officeDocument/2006/relationships/footer" Target="footer4.xml"/><Relationship Id="rId43" Type="http://schemas.microsoft.com/office/2020/10/relationships/intelligence" Target="intelligence2.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eader" Target="header2.xml"/><Relationship Id="rId17" Type="http://schemas.openxmlformats.org/officeDocument/2006/relationships/hyperlink" Target="mailto:tga.copyright@tga.gov.au" TargetMode="External"/><Relationship Id="rId25" Type="http://schemas.openxmlformats.org/officeDocument/2006/relationships/hyperlink" Target="https://echa.europa.eu/information-on-chemicals/cl-inventory-database/-/discli/notification-details/347759/1783855" TargetMode="External"/><Relationship Id="rId33" Type="http://schemas.openxmlformats.org/officeDocument/2006/relationships/hyperlink" Target="https://www.industrialchemicals.gov.au/sites/default/files/2024-12/EVA00153%20-%20Evaluation%20Statement%20-%2016%20December%202024.pdf" TargetMode="External"/><Relationship Id="rId38" Type="http://schemas.openxmlformats.org/officeDocument/2006/relationships/header" Target="header5.xml"/></Relationships>
</file>

<file path=word/_rels/footnotes.xml.rels><?xml version="1.0" encoding="UTF-8" standalone="yes"?>
<Relationships xmlns="http://schemas.openxmlformats.org/package/2006/relationships"><Relationship Id="rId8" Type="http://schemas.openxmlformats.org/officeDocument/2006/relationships/hyperlink" Target="https://doi.org/10.1111/jocd.15923" TargetMode="External"/><Relationship Id="rId13" Type="http://schemas.openxmlformats.org/officeDocument/2006/relationships/hyperlink" Target="https://doi.org/10.2147/ccid.s485237" TargetMode="External"/><Relationship Id="rId3" Type="http://schemas.openxmlformats.org/officeDocument/2006/relationships/hyperlink" Target="https://doi.org/10.1002/(SICI)1098-2299(199809)45:1%3C10::AID-DDR2%3E3.0.CO;2-G" TargetMode="External"/><Relationship Id="rId7" Type="http://schemas.openxmlformats.org/officeDocument/2006/relationships/hyperlink" Target="https://www.tga.gov.au/sites/default/files/2024-11/notice-final-decision-amend-or-not-amend-current-poisons-standard-acms-44-accs-38-joint-acms-accs-36-marh-2024.pdf" TargetMode="External"/><Relationship Id="rId12" Type="http://schemas.openxmlformats.org/officeDocument/2006/relationships/hyperlink" Target="https://doi.org/10.3390/ph18091273" TargetMode="External"/><Relationship Id="rId2" Type="http://schemas.openxmlformats.org/officeDocument/2006/relationships/hyperlink" Target="https://doi.org/10.5694/mja2.52423" TargetMode="External"/><Relationship Id="rId16" Type="http://schemas.openxmlformats.org/officeDocument/2006/relationships/hyperlink" Target="https://doi.org/10.3109/09546630903440064" TargetMode="External"/><Relationship Id="rId1" Type="http://schemas.openxmlformats.org/officeDocument/2006/relationships/hyperlink" Target="https://doi.org/10.1007/s11136-017-1529-1" TargetMode="External"/><Relationship Id="rId6" Type="http://schemas.openxmlformats.org/officeDocument/2006/relationships/hyperlink" Target="https://www.tga.gov.au/sites/default/files/2023-07/public-notice-of-interim-decisions-acms-41-accs-36-joint-acms-accs-33-march-2023.pdf" TargetMode="External"/><Relationship Id="rId11" Type="http://schemas.openxmlformats.org/officeDocument/2006/relationships/hyperlink" Target="https://www.canada.ca/en/health-canada/services/consumer-product-safety/cosmetics/cosmetic-ingredient-hotlist-prohibited-restricted-ingredients/changes.html" TargetMode="External"/><Relationship Id="rId5" Type="http://schemas.openxmlformats.org/officeDocument/2006/relationships/hyperlink" Target="https://consultations.tga.gov.au/tga/scheduling-pre-meeting-june-2025/user_uploads/pre-meeting-public-notice---june-2025-1.pdf" TargetMode="External"/><Relationship Id="rId15" Type="http://schemas.openxmlformats.org/officeDocument/2006/relationships/hyperlink" Target="https://doi.org/10.3109/15569527.2011.581257" TargetMode="External"/><Relationship Id="rId10" Type="http://schemas.openxmlformats.org/officeDocument/2006/relationships/hyperlink" Target="https://www.industrialchemicals.gov.au/sites/default/files/2021-09/EVA00010%20-%20Evaluation%20Statement%20-%2014%20September%202021%20%5B702%20KB%5D.pdf" TargetMode="External"/><Relationship Id="rId4" Type="http://schemas.openxmlformats.org/officeDocument/2006/relationships/hyperlink" Target="https://doi.org/10.1016/j.toxlet.2025.01.007" TargetMode="External"/><Relationship Id="rId9" Type="http://schemas.openxmlformats.org/officeDocument/2006/relationships/hyperlink" Target="https://www.medsafe.govt.nz/profs/class/classintro.asp" TargetMode="External"/><Relationship Id="rId14" Type="http://schemas.openxmlformats.org/officeDocument/2006/relationships/hyperlink" Target="https://doi.org/10.3390/pharmaceutics13040567"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OSTOA\AppData\Roaming\Micro%20focus\content%20manager\TRIM\TEMP\HPTRIM.22684\D25-190684%20%20Template%20-%20Public%20notice%20of%20interim%20decisions%20-%20ACMS%23XX,%20ACCS%23XX,%20Joint%20ACMS-ACCS%23XX.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F834FA51FA84CABB111F538A8567C41"/>
        <w:category>
          <w:name w:val="General"/>
          <w:gallery w:val="placeholder"/>
        </w:category>
        <w:types>
          <w:type w:val="bbPlcHdr"/>
        </w:types>
        <w:behaviors>
          <w:behavior w:val="content"/>
        </w:behaviors>
        <w:guid w:val="{37827D80-DA08-4193-A6B3-5BC2B7438D54}"/>
      </w:docPartPr>
      <w:docPartBody>
        <w:p w:rsidR="008C06F4" w:rsidRDefault="00BA7325">
          <w:pPr>
            <w:pStyle w:val="5F834FA51FA84CABB111F538A8567C41"/>
          </w:pPr>
          <w:r w:rsidRPr="0077627B">
            <w:rPr>
              <w:rStyle w:val="PlaceholderText"/>
            </w:rPr>
            <w:t>Click or tap here to enter text.</w:t>
          </w:r>
        </w:p>
      </w:docPartBody>
    </w:docPart>
    <w:docPart>
      <w:docPartPr>
        <w:name w:val="DE47628AA4424D72AB72D9CD90A0DA12"/>
        <w:category>
          <w:name w:val="General"/>
          <w:gallery w:val="placeholder"/>
        </w:category>
        <w:types>
          <w:type w:val="bbPlcHdr"/>
        </w:types>
        <w:behaviors>
          <w:behavior w:val="content"/>
        </w:behaviors>
        <w:guid w:val="{7080C6BD-3DB4-40FB-A63F-1EA5438969EB}"/>
      </w:docPartPr>
      <w:docPartBody>
        <w:p w:rsidR="008C06F4" w:rsidRDefault="00BA7325">
          <w:pPr>
            <w:pStyle w:val="DE47628AA4424D72AB72D9CD90A0DA12"/>
          </w:pPr>
          <w:r w:rsidRPr="0077627B">
            <w:rPr>
              <w:rStyle w:val="PlaceholderText"/>
            </w:rPr>
            <w:t>Click or tap here to enter text.</w:t>
          </w:r>
        </w:p>
      </w:docPartBody>
    </w:docPart>
    <w:docPart>
      <w:docPartPr>
        <w:name w:val="F57B25EFCBD7415591DAA5C69F5305F1"/>
        <w:category>
          <w:name w:val="General"/>
          <w:gallery w:val="placeholder"/>
        </w:category>
        <w:types>
          <w:type w:val="bbPlcHdr"/>
        </w:types>
        <w:behaviors>
          <w:behavior w:val="content"/>
        </w:behaviors>
        <w:guid w:val="{8650803F-E1C8-4860-BA46-FD51E6A72AF7}"/>
      </w:docPartPr>
      <w:docPartBody>
        <w:p w:rsidR="008C06F4" w:rsidRDefault="00BA7325">
          <w:pPr>
            <w:pStyle w:val="F57B25EFCBD7415591DAA5C69F5305F1"/>
          </w:pPr>
          <w:r w:rsidRPr="00B210A9">
            <w:rPr>
              <w:rStyle w:val="PlaceholderText"/>
            </w:rPr>
            <w:t>Click or tap here to enter text.</w:t>
          </w:r>
        </w:p>
      </w:docPartBody>
    </w:docPart>
    <w:docPart>
      <w:docPartPr>
        <w:name w:val="B9471DBBB0594C70A333F9F7FBABB0DB"/>
        <w:category>
          <w:name w:val="General"/>
          <w:gallery w:val="placeholder"/>
        </w:category>
        <w:types>
          <w:type w:val="bbPlcHdr"/>
        </w:types>
        <w:behaviors>
          <w:behavior w:val="content"/>
        </w:behaviors>
        <w:guid w:val="{6EF61E36-AABE-4437-9269-FE2B2438B720}"/>
      </w:docPartPr>
      <w:docPartBody>
        <w:p w:rsidR="008B1F42" w:rsidRDefault="008B1F42" w:rsidP="008B1F42">
          <w:pPr>
            <w:pStyle w:val="B9471DBBB0594C70A333F9F7FBABB0DB"/>
          </w:pPr>
          <w:r w:rsidRPr="0077627B">
            <w:rPr>
              <w:rStyle w:val="PlaceholderText"/>
            </w:rPr>
            <w:t>Click or tap here to enter text.</w:t>
          </w:r>
        </w:p>
      </w:docPartBody>
    </w:docPart>
    <w:docPart>
      <w:docPartPr>
        <w:name w:val="41C7287D82824A7D8F978AED29161D22"/>
        <w:category>
          <w:name w:val="General"/>
          <w:gallery w:val="placeholder"/>
        </w:category>
        <w:types>
          <w:type w:val="bbPlcHdr"/>
        </w:types>
        <w:behaviors>
          <w:behavior w:val="content"/>
        </w:behaviors>
        <w:guid w:val="{91F9F3B0-C697-45CD-A25A-C721EB91F0F6}"/>
      </w:docPartPr>
      <w:docPartBody>
        <w:p w:rsidR="008B1F42" w:rsidRDefault="008B1F42" w:rsidP="008B1F42">
          <w:pPr>
            <w:pStyle w:val="41C7287D82824A7D8F978AED29161D22"/>
          </w:pPr>
          <w:r w:rsidRPr="0077627B">
            <w:rPr>
              <w:rStyle w:val="PlaceholderText"/>
            </w:rPr>
            <w:t>Click or tap here to enter text.</w:t>
          </w:r>
        </w:p>
      </w:docPartBody>
    </w:docPart>
    <w:docPart>
      <w:docPartPr>
        <w:name w:val="237A5F6C5F754915B656227907912483"/>
        <w:category>
          <w:name w:val="General"/>
          <w:gallery w:val="placeholder"/>
        </w:category>
        <w:types>
          <w:type w:val="bbPlcHdr"/>
        </w:types>
        <w:behaviors>
          <w:behavior w:val="content"/>
        </w:behaviors>
        <w:guid w:val="{1984809D-BC8A-47C0-953D-9C6CEBFC08BB}"/>
      </w:docPartPr>
      <w:docPartBody>
        <w:p w:rsidR="008B1F42" w:rsidRDefault="008B1F42" w:rsidP="008B1F42">
          <w:pPr>
            <w:pStyle w:val="237A5F6C5F754915B656227907912483"/>
          </w:pPr>
          <w:r w:rsidRPr="00B210A9">
            <w:rPr>
              <w:rStyle w:val="PlaceholderText"/>
            </w:rPr>
            <w:t>Click or tap here to enter text.</w:t>
          </w:r>
        </w:p>
      </w:docPartBody>
    </w:docPart>
    <w:docPart>
      <w:docPartPr>
        <w:name w:val="64FF39A4C10C4297B04F26B68C9522F9"/>
        <w:category>
          <w:name w:val="General"/>
          <w:gallery w:val="placeholder"/>
        </w:category>
        <w:types>
          <w:type w:val="bbPlcHdr"/>
        </w:types>
        <w:behaviors>
          <w:behavior w:val="content"/>
        </w:behaviors>
        <w:guid w:val="{9B9FB94C-1DE5-49AF-835B-323469F42895}"/>
      </w:docPartPr>
      <w:docPartBody>
        <w:p w:rsidR="008B1F42" w:rsidRDefault="008B1F42" w:rsidP="008B1F42">
          <w:pPr>
            <w:pStyle w:val="64FF39A4C10C4297B04F26B68C9522F9"/>
          </w:pPr>
          <w:r w:rsidRPr="0077627B">
            <w:rPr>
              <w:rStyle w:val="PlaceholderText"/>
            </w:rPr>
            <w:t>Click or tap here to enter text.</w:t>
          </w:r>
        </w:p>
      </w:docPartBody>
    </w:docPart>
    <w:docPart>
      <w:docPartPr>
        <w:name w:val="EA1E883A60A6405182D17F7608275E7E"/>
        <w:category>
          <w:name w:val="General"/>
          <w:gallery w:val="placeholder"/>
        </w:category>
        <w:types>
          <w:type w:val="bbPlcHdr"/>
        </w:types>
        <w:behaviors>
          <w:behavior w:val="content"/>
        </w:behaviors>
        <w:guid w:val="{1E1C2B17-371F-4686-85B6-C4931EACFA05}"/>
      </w:docPartPr>
      <w:docPartBody>
        <w:p w:rsidR="008B1F42" w:rsidRDefault="008B1F42" w:rsidP="008B1F42">
          <w:pPr>
            <w:pStyle w:val="EA1E883A60A6405182D17F7608275E7E"/>
          </w:pPr>
          <w:r w:rsidRPr="0077627B">
            <w:rPr>
              <w:rStyle w:val="PlaceholderText"/>
            </w:rPr>
            <w:t>Click or tap here to enter text.</w:t>
          </w:r>
        </w:p>
      </w:docPartBody>
    </w:docPart>
    <w:docPart>
      <w:docPartPr>
        <w:name w:val="B6733330E88C438D806B6D10B1E07212"/>
        <w:category>
          <w:name w:val="General"/>
          <w:gallery w:val="placeholder"/>
        </w:category>
        <w:types>
          <w:type w:val="bbPlcHdr"/>
        </w:types>
        <w:behaviors>
          <w:behavior w:val="content"/>
        </w:behaviors>
        <w:guid w:val="{5D0D623F-6A99-446F-93E9-D9638990AEE2}"/>
      </w:docPartPr>
      <w:docPartBody>
        <w:p w:rsidR="008B1F42" w:rsidRDefault="008B1F42" w:rsidP="008B1F42">
          <w:pPr>
            <w:pStyle w:val="B6733330E88C438D806B6D10B1E07212"/>
          </w:pPr>
          <w:r w:rsidRPr="00B210A9">
            <w:rPr>
              <w:rStyle w:val="PlaceholderText"/>
            </w:rPr>
            <w:t>Click or tap here to enter text.</w:t>
          </w:r>
        </w:p>
      </w:docPartBody>
    </w:docPart>
    <w:docPart>
      <w:docPartPr>
        <w:name w:val="84864EA52C28433689EEDA2D59084CA5"/>
        <w:category>
          <w:name w:val="General"/>
          <w:gallery w:val="placeholder"/>
        </w:category>
        <w:types>
          <w:type w:val="bbPlcHdr"/>
        </w:types>
        <w:behaviors>
          <w:behavior w:val="content"/>
        </w:behaviors>
        <w:guid w:val="{FBEA100B-0A71-4EAE-88C1-FE9211782A2F}"/>
      </w:docPartPr>
      <w:docPartBody>
        <w:p w:rsidR="008B1F42" w:rsidRDefault="008B1F42" w:rsidP="008B1F42">
          <w:pPr>
            <w:pStyle w:val="84864EA52C28433689EEDA2D59084CA5"/>
          </w:pPr>
          <w:r w:rsidRPr="0077627B">
            <w:rPr>
              <w:rStyle w:val="PlaceholderText"/>
            </w:rPr>
            <w:t>Click or tap here to enter text.</w:t>
          </w:r>
        </w:p>
      </w:docPartBody>
    </w:docPart>
    <w:docPart>
      <w:docPartPr>
        <w:name w:val="0298A87F43F34E01A99ADDCD30664BD3"/>
        <w:category>
          <w:name w:val="General"/>
          <w:gallery w:val="placeholder"/>
        </w:category>
        <w:types>
          <w:type w:val="bbPlcHdr"/>
        </w:types>
        <w:behaviors>
          <w:behavior w:val="content"/>
        </w:behaviors>
        <w:guid w:val="{BE8B09D0-E767-4CDE-9116-19D74ED709BD}"/>
      </w:docPartPr>
      <w:docPartBody>
        <w:p w:rsidR="008B1F42" w:rsidRDefault="008B1F42" w:rsidP="008B1F42">
          <w:pPr>
            <w:pStyle w:val="0298A87F43F34E01A99ADDCD30664BD3"/>
          </w:pPr>
          <w:r w:rsidRPr="0077627B">
            <w:rPr>
              <w:rStyle w:val="PlaceholderText"/>
            </w:rPr>
            <w:t>Click or tap here to enter text.</w:t>
          </w:r>
        </w:p>
      </w:docPartBody>
    </w:docPart>
    <w:docPart>
      <w:docPartPr>
        <w:name w:val="291642D39A3E417AA7580635D36BD467"/>
        <w:category>
          <w:name w:val="General"/>
          <w:gallery w:val="placeholder"/>
        </w:category>
        <w:types>
          <w:type w:val="bbPlcHdr"/>
        </w:types>
        <w:behaviors>
          <w:behavior w:val="content"/>
        </w:behaviors>
        <w:guid w:val="{F46B5026-0B09-459C-8E58-BDE1E2AA6057}"/>
      </w:docPartPr>
      <w:docPartBody>
        <w:p w:rsidR="008B1F42" w:rsidRDefault="008B1F42" w:rsidP="008B1F42">
          <w:pPr>
            <w:pStyle w:val="291642D39A3E417AA7580635D36BD467"/>
          </w:pPr>
          <w:r w:rsidRPr="00B210A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Cambria-Bold">
    <w:altName w:val="Cambria"/>
    <w:panose1 w:val="00000000000000000000"/>
    <w:charset w:val="00"/>
    <w:family w:val="roman"/>
    <w:notTrueType/>
    <w:pitch w:val="default"/>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rialMT">
    <w:altName w:val="Arial"/>
    <w:panose1 w:val="00000000000000000000"/>
    <w:charset w:val="00"/>
    <w:family w:val="swiss"/>
    <w:notTrueType/>
    <w:pitch w:val="default"/>
    <w:sig w:usb0="00000003" w:usb1="08070000" w:usb2="00000010" w:usb3="00000000" w:csb0="00020001"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6DE8"/>
    <w:rsid w:val="00016595"/>
    <w:rsid w:val="000222C6"/>
    <w:rsid w:val="00032ED6"/>
    <w:rsid w:val="00085E5D"/>
    <w:rsid w:val="000E4930"/>
    <w:rsid w:val="000E7DBD"/>
    <w:rsid w:val="000F62BA"/>
    <w:rsid w:val="00101CB0"/>
    <w:rsid w:val="001176B9"/>
    <w:rsid w:val="00143F50"/>
    <w:rsid w:val="001C3B10"/>
    <w:rsid w:val="001C5ED4"/>
    <w:rsid w:val="001E1CC4"/>
    <w:rsid w:val="002001C5"/>
    <w:rsid w:val="00214D30"/>
    <w:rsid w:val="00234E63"/>
    <w:rsid w:val="00242F4C"/>
    <w:rsid w:val="00254283"/>
    <w:rsid w:val="00256386"/>
    <w:rsid w:val="00266F25"/>
    <w:rsid w:val="0026762E"/>
    <w:rsid w:val="0027740C"/>
    <w:rsid w:val="00295A4B"/>
    <w:rsid w:val="002D29F8"/>
    <w:rsid w:val="002F1E7C"/>
    <w:rsid w:val="003015A5"/>
    <w:rsid w:val="00310B0C"/>
    <w:rsid w:val="003151C7"/>
    <w:rsid w:val="00317A10"/>
    <w:rsid w:val="0032087C"/>
    <w:rsid w:val="003356A5"/>
    <w:rsid w:val="00336DE8"/>
    <w:rsid w:val="00347AD1"/>
    <w:rsid w:val="003808BE"/>
    <w:rsid w:val="003A318A"/>
    <w:rsid w:val="003E3FBB"/>
    <w:rsid w:val="003F3652"/>
    <w:rsid w:val="00401A02"/>
    <w:rsid w:val="004306BD"/>
    <w:rsid w:val="00444C5E"/>
    <w:rsid w:val="0046432F"/>
    <w:rsid w:val="004668F4"/>
    <w:rsid w:val="00480A82"/>
    <w:rsid w:val="004834C1"/>
    <w:rsid w:val="004B085E"/>
    <w:rsid w:val="004B54D3"/>
    <w:rsid w:val="004D5C69"/>
    <w:rsid w:val="004E3168"/>
    <w:rsid w:val="005121DD"/>
    <w:rsid w:val="0056690C"/>
    <w:rsid w:val="0057268E"/>
    <w:rsid w:val="00591DDD"/>
    <w:rsid w:val="005C5B97"/>
    <w:rsid w:val="005D252B"/>
    <w:rsid w:val="00625EB7"/>
    <w:rsid w:val="00635612"/>
    <w:rsid w:val="006418CE"/>
    <w:rsid w:val="006807D3"/>
    <w:rsid w:val="00685298"/>
    <w:rsid w:val="00696BF5"/>
    <w:rsid w:val="006A10B9"/>
    <w:rsid w:val="006A34EC"/>
    <w:rsid w:val="0071784F"/>
    <w:rsid w:val="0072003A"/>
    <w:rsid w:val="00732071"/>
    <w:rsid w:val="007B5A37"/>
    <w:rsid w:val="007C7878"/>
    <w:rsid w:val="00821F94"/>
    <w:rsid w:val="00832175"/>
    <w:rsid w:val="0085235D"/>
    <w:rsid w:val="00855858"/>
    <w:rsid w:val="0089124F"/>
    <w:rsid w:val="008B1F42"/>
    <w:rsid w:val="008B3F46"/>
    <w:rsid w:val="008C06F4"/>
    <w:rsid w:val="00931C5A"/>
    <w:rsid w:val="00934487"/>
    <w:rsid w:val="00937F8B"/>
    <w:rsid w:val="00954EEC"/>
    <w:rsid w:val="00965304"/>
    <w:rsid w:val="00967919"/>
    <w:rsid w:val="0097304B"/>
    <w:rsid w:val="009E3EAF"/>
    <w:rsid w:val="00A2090E"/>
    <w:rsid w:val="00A4727C"/>
    <w:rsid w:val="00A80EAA"/>
    <w:rsid w:val="00A81E91"/>
    <w:rsid w:val="00B33A16"/>
    <w:rsid w:val="00B43BD4"/>
    <w:rsid w:val="00B55A9E"/>
    <w:rsid w:val="00B93760"/>
    <w:rsid w:val="00B96FA0"/>
    <w:rsid w:val="00BA7325"/>
    <w:rsid w:val="00BB676C"/>
    <w:rsid w:val="00BD760C"/>
    <w:rsid w:val="00BE1208"/>
    <w:rsid w:val="00BE1EF4"/>
    <w:rsid w:val="00BF02ED"/>
    <w:rsid w:val="00BF7F78"/>
    <w:rsid w:val="00C46AC8"/>
    <w:rsid w:val="00C845EF"/>
    <w:rsid w:val="00C93B20"/>
    <w:rsid w:val="00CF14D0"/>
    <w:rsid w:val="00D02E5C"/>
    <w:rsid w:val="00D33545"/>
    <w:rsid w:val="00D369EF"/>
    <w:rsid w:val="00D7063B"/>
    <w:rsid w:val="00D72F04"/>
    <w:rsid w:val="00DA3C6A"/>
    <w:rsid w:val="00DB4476"/>
    <w:rsid w:val="00DE7782"/>
    <w:rsid w:val="00E00E4A"/>
    <w:rsid w:val="00E0323C"/>
    <w:rsid w:val="00E72DB9"/>
    <w:rsid w:val="00E9131B"/>
    <w:rsid w:val="00EA476A"/>
    <w:rsid w:val="00EF0502"/>
    <w:rsid w:val="00F01AF0"/>
    <w:rsid w:val="00F16E52"/>
    <w:rsid w:val="00F21815"/>
    <w:rsid w:val="00F55B0F"/>
    <w:rsid w:val="00F6319F"/>
    <w:rsid w:val="00F845BE"/>
    <w:rsid w:val="00F849C2"/>
    <w:rsid w:val="00F945C3"/>
    <w:rsid w:val="00FF0193"/>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B1F42"/>
    <w:rPr>
      <w:color w:val="808080"/>
    </w:rPr>
  </w:style>
  <w:style w:type="paragraph" w:customStyle="1" w:styleId="5F834FA51FA84CABB111F538A8567C41">
    <w:name w:val="5F834FA51FA84CABB111F538A8567C41"/>
  </w:style>
  <w:style w:type="paragraph" w:customStyle="1" w:styleId="DE47628AA4424D72AB72D9CD90A0DA12">
    <w:name w:val="DE47628AA4424D72AB72D9CD90A0DA12"/>
  </w:style>
  <w:style w:type="paragraph" w:customStyle="1" w:styleId="F57B25EFCBD7415591DAA5C69F5305F1">
    <w:name w:val="F57B25EFCBD7415591DAA5C69F5305F1"/>
  </w:style>
  <w:style w:type="paragraph" w:customStyle="1" w:styleId="B9471DBBB0594C70A333F9F7FBABB0DB">
    <w:name w:val="B9471DBBB0594C70A333F9F7FBABB0DB"/>
    <w:rsid w:val="008B1F42"/>
  </w:style>
  <w:style w:type="paragraph" w:customStyle="1" w:styleId="41C7287D82824A7D8F978AED29161D22">
    <w:name w:val="41C7287D82824A7D8F978AED29161D22"/>
    <w:rsid w:val="008B1F42"/>
  </w:style>
  <w:style w:type="paragraph" w:customStyle="1" w:styleId="237A5F6C5F754915B656227907912483">
    <w:name w:val="237A5F6C5F754915B656227907912483"/>
    <w:rsid w:val="008B1F42"/>
  </w:style>
  <w:style w:type="paragraph" w:customStyle="1" w:styleId="64FF39A4C10C4297B04F26B68C9522F9">
    <w:name w:val="64FF39A4C10C4297B04F26B68C9522F9"/>
    <w:rsid w:val="008B1F42"/>
  </w:style>
  <w:style w:type="paragraph" w:customStyle="1" w:styleId="EA1E883A60A6405182D17F7608275E7E">
    <w:name w:val="EA1E883A60A6405182D17F7608275E7E"/>
    <w:rsid w:val="008B1F42"/>
  </w:style>
  <w:style w:type="paragraph" w:customStyle="1" w:styleId="B6733330E88C438D806B6D10B1E07212">
    <w:name w:val="B6733330E88C438D806B6D10B1E07212"/>
    <w:rsid w:val="008B1F42"/>
  </w:style>
  <w:style w:type="paragraph" w:customStyle="1" w:styleId="84864EA52C28433689EEDA2D59084CA5">
    <w:name w:val="84864EA52C28433689EEDA2D59084CA5"/>
    <w:rsid w:val="008B1F42"/>
  </w:style>
  <w:style w:type="paragraph" w:customStyle="1" w:styleId="0298A87F43F34E01A99ADDCD30664BD3">
    <w:name w:val="0298A87F43F34E01A99ADDCD30664BD3"/>
    <w:rsid w:val="008B1F42"/>
  </w:style>
  <w:style w:type="paragraph" w:customStyle="1" w:styleId="291642D39A3E417AA7580635D36BD467">
    <w:name w:val="291642D39A3E417AA7580635D36BD467"/>
    <w:rsid w:val="008B1F4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FE0E35EFD4F464680E6AF1C0D13EB20" ma:contentTypeVersion="17" ma:contentTypeDescription="Create a new document." ma:contentTypeScope="" ma:versionID="63445b0f5962617af566cb45de4dbe26">
  <xsd:schema xmlns:xsd="http://www.w3.org/2001/XMLSchema" xmlns:xs="http://www.w3.org/2001/XMLSchema" xmlns:p="http://schemas.microsoft.com/office/2006/metadata/properties" xmlns:ns2="f482729e-2cfb-42d6-a767-262eef245714" xmlns:ns3="2410a292-e042-440d-aef8-ab5a9bd10e41" targetNamespace="http://schemas.microsoft.com/office/2006/metadata/properties" ma:root="true" ma:fieldsID="7b06c7d5b72df4158dfdbec0f239ccff" ns2:_="" ns3:_="">
    <xsd:import namespace="f482729e-2cfb-42d6-a767-262eef245714"/>
    <xsd:import namespace="2410a292-e042-440d-aef8-ab5a9bd10e4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82729e-2cfb-42d6-a767-262eef2457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Flow_SignoffStatus" ma:index="22" nillable="true" ma:displayName="Sign-off status" ma:internalName="Sign_x002d_off_x0020_status">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10a292-e042-440d-aef8-ab5a9bd10e4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d62ffbc-183f-4805-a010-07f79be95aa9}" ma:internalName="TaxCatchAll" ma:showField="CatchAllData" ma:web="2410a292-e042-440d-aef8-ab5a9bd10e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2410a292-e042-440d-aef8-ab5a9bd10e41" xsi:nil="true"/>
    <_Flow_SignoffStatus xmlns="f482729e-2cfb-42d6-a767-262eef245714" xsi:nil="true"/>
    <lcf76f155ced4ddcb4097134ff3c332f xmlns="f482729e-2cfb-42d6-a767-262eef245714">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DAE72E-49B1-4648-83D3-C5056BAB03AF}">
  <ds:schemaRefs>
    <ds:schemaRef ds:uri="http://schemas.microsoft.com/sharepoint/v3/contenttype/forms"/>
  </ds:schemaRefs>
</ds:datastoreItem>
</file>

<file path=customXml/itemProps2.xml><?xml version="1.0" encoding="utf-8"?>
<ds:datastoreItem xmlns:ds="http://schemas.openxmlformats.org/officeDocument/2006/customXml" ds:itemID="{46E8D5D8-3058-4DF9-852E-1DA38DAF00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82729e-2cfb-42d6-a767-262eef245714"/>
    <ds:schemaRef ds:uri="2410a292-e042-440d-aef8-ab5a9bd10e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C4DDCBD-0E3F-48B8-9C29-45F5F78DFD5A}">
  <ds:schemaRefs>
    <ds:schemaRef ds:uri="http://schemas.microsoft.com/office/2006/metadata/properties"/>
    <ds:schemaRef ds:uri="http://schemas.microsoft.com/office/infopath/2007/PartnerControls"/>
    <ds:schemaRef ds:uri="2410a292-e042-440d-aef8-ab5a9bd10e41"/>
    <ds:schemaRef ds:uri="f482729e-2cfb-42d6-a767-262eef245714"/>
  </ds:schemaRefs>
</ds:datastoreItem>
</file>

<file path=customXml/itemProps4.xml><?xml version="1.0" encoding="utf-8"?>
<ds:datastoreItem xmlns:ds="http://schemas.openxmlformats.org/officeDocument/2006/customXml" ds:itemID="{85BAA4F9-C0C3-4113-8249-266DBC0679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D25-190684  Template - Public notice of interim decisions - ACMS#XX, ACCS#XX, Joint ACMS-ACCS#XX.DOTM</Template>
  <TotalTime>2</TotalTime>
  <Pages>26</Pages>
  <Words>9218</Words>
  <Characters>52548</Characters>
  <Application>Microsoft Office Word</Application>
  <DocSecurity>0</DocSecurity>
  <Lines>437</Lines>
  <Paragraphs>123</Paragraphs>
  <ScaleCrop>false</ScaleCrop>
  <HeadingPairs>
    <vt:vector size="2" baseType="variant">
      <vt:variant>
        <vt:lpstr>Title</vt:lpstr>
      </vt:variant>
      <vt:variant>
        <vt:i4>1</vt:i4>
      </vt:variant>
    </vt:vector>
  </HeadingPairs>
  <TitlesOfParts>
    <vt:vector size="1" baseType="lpstr">
      <vt:lpstr>Notice of interim decisions to amend (or not amend</vt:lpstr>
    </vt:vector>
  </TitlesOfParts>
  <Company>Department of Health, Disability and Ageing</Company>
  <LinksUpToDate>false</LinksUpToDate>
  <CharactersWithSpaces>61643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of interim decisions to amend (or not amend) the current Poisons Standard</dc:title>
  <dc:subject>scheduling</dc:subject>
  <dc:creator>Therapeutic Goods Administration</dc:creator>
  <cp:keywords/>
  <dc:description/>
  <cp:lastModifiedBy>LACK, Janet</cp:lastModifiedBy>
  <cp:revision>3</cp:revision>
  <dcterms:created xsi:type="dcterms:W3CDTF">2026-06-09T04:56:00Z</dcterms:created>
  <dcterms:modified xsi:type="dcterms:W3CDTF">2026-06-09T04:58:00Z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0x010100EFE0E35EFD4F464680E6AF1C0D13EB20</vt:lpwstr>
  </property>
  <property fmtid="{D5CDD505-2E9C-101B-9397-08002B2CF9AE}" pid="3" name="ClassificationContentMarkingHeaderShapeIds">
    <vt:lpwstr>59b27d43,6331b926,cf6af23,490ebc52,25e0526f</vt:lpwstr>
  </property>
  <property fmtid="{D5CDD505-2E9C-101B-9397-08002B2CF9AE}" pid="4" name="ClassificationContentMarkingHeaderFontProps">
    <vt:lpwstr>#ff0000,12,Aptos</vt:lpwstr>
  </property>
  <property fmtid="{D5CDD505-2E9C-101B-9397-08002B2CF9AE}" pid="5" name="ClassificationContentMarkingHeaderText">
    <vt:lpwstr>OFFICIAL</vt:lpwstr>
  </property>
  <property fmtid="{D5CDD505-2E9C-101B-9397-08002B2CF9AE}" pid="6" name="ClassificationContentMarkingFooterShapeIds">
    <vt:lpwstr>5f46fb8e,16fd1f77,6e228066,2c820edc,30050058</vt:lpwstr>
  </property>
  <property fmtid="{D5CDD505-2E9C-101B-9397-08002B2CF9AE}" pid="7" name="ClassificationContentMarkingFooterFontProps">
    <vt:lpwstr>#ff0000,12,Aptos</vt:lpwstr>
  </property>
  <property fmtid="{D5CDD505-2E9C-101B-9397-08002B2CF9AE}" pid="8" name="ClassificationContentMarkingFooterText">
    <vt:lpwstr>OFFICIAL</vt:lpwstr>
  </property>
  <property fmtid="{D5CDD505-2E9C-101B-9397-08002B2CF9AE}" pid="9" name="MSIP_Label_7cd3e8b9-ffed-43a8-b7f4-cc2fa0382d36_Enabled">
    <vt:lpwstr>true</vt:lpwstr>
  </property>
  <property fmtid="{D5CDD505-2E9C-101B-9397-08002B2CF9AE}" pid="10" name="MSIP_Label_7cd3e8b9-ffed-43a8-b7f4-cc2fa0382d36_SetDate">
    <vt:lpwstr>2025-09-30T23:31:23Z</vt:lpwstr>
  </property>
  <property fmtid="{D5CDD505-2E9C-101B-9397-08002B2CF9AE}" pid="11" name="MSIP_Label_7cd3e8b9-ffed-43a8-b7f4-cc2fa0382d36_Method">
    <vt:lpwstr>Privileged</vt:lpwstr>
  </property>
  <property fmtid="{D5CDD505-2E9C-101B-9397-08002B2CF9AE}" pid="12" name="MSIP_Label_7cd3e8b9-ffed-43a8-b7f4-cc2fa0382d36_Name">
    <vt:lpwstr>O</vt:lpwstr>
  </property>
  <property fmtid="{D5CDD505-2E9C-101B-9397-08002B2CF9AE}" pid="13" name="MSIP_Label_7cd3e8b9-ffed-43a8-b7f4-cc2fa0382d36_SiteId">
    <vt:lpwstr>34a3929c-73cf-4954-abfe-147dc3517892</vt:lpwstr>
  </property>
  <property fmtid="{D5CDD505-2E9C-101B-9397-08002B2CF9AE}" pid="14" name="MSIP_Label_7cd3e8b9-ffed-43a8-b7f4-cc2fa0382d36_ActionId">
    <vt:lpwstr>cc4a7631-6de2-4758-b6f9-e7c6b08558da</vt:lpwstr>
  </property>
  <property fmtid="{D5CDD505-2E9C-101B-9397-08002B2CF9AE}" pid="15" name="MSIP_Label_7cd3e8b9-ffed-43a8-b7f4-cc2fa0382d36_ContentBits">
    <vt:lpwstr>3</vt:lpwstr>
  </property>
  <property fmtid="{D5CDD505-2E9C-101B-9397-08002B2CF9AE}" pid="16" name="MSIP_Label_7cd3e8b9-ffed-43a8-b7f4-cc2fa0382d36_Tag">
    <vt:lpwstr>10, 0, 1, 2</vt:lpwstr>
  </property>
  <property fmtid="{D5CDD505-2E9C-101B-9397-08002B2CF9AE}" pid="17" name="MediaServiceImageTags">
    <vt:lpwstr/>
  </property>
  <property fmtid="{D5CDD505-2E9C-101B-9397-08002B2CF9AE}" pid="18" name="docLang">
    <vt:lpwstr>en</vt:lpwstr>
  </property>
</Properties>
</file>