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0FE7235C" w:rsidR="00F02AEC" w:rsidRPr="00215D48" w:rsidRDefault="00457050" w:rsidP="002B29B2">
            <w:pPr>
              <w:pStyle w:val="Title"/>
            </w:pPr>
            <w:bookmarkStart w:id="0" w:name="_Toc230002889"/>
            <w:r>
              <w:t>Notice of final decisions to amend (or not amend) the current Poisons Standard</w:t>
            </w:r>
            <w:bookmarkEnd w:id="0"/>
          </w:p>
        </w:tc>
      </w:tr>
      <w:tr w:rsidR="00F02AEC" w:rsidRPr="00215D48" w14:paraId="5819680E" w14:textId="77777777" w:rsidTr="002B29B2">
        <w:trPr>
          <w:trHeight w:val="1916"/>
        </w:trPr>
        <w:tc>
          <w:tcPr>
            <w:tcW w:w="8720" w:type="dxa"/>
          </w:tcPr>
          <w:p w14:paraId="54DDB299" w14:textId="292733F1" w:rsidR="00F02AEC" w:rsidRPr="00215D48" w:rsidRDefault="00734BB7" w:rsidP="00D1612F">
            <w:pPr>
              <w:pStyle w:val="Subtitle"/>
              <w:ind w:left="0"/>
            </w:pPr>
            <w:r w:rsidRPr="0071112E">
              <w:t>2</w:t>
            </w:r>
            <w:r w:rsidR="00AB70A4">
              <w:t xml:space="preserve"> June 2026</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B93EE9">
      <w:pPr>
        <w:pStyle w:val="ListBullet"/>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6840433B" w:rsidR="00175CD8" w:rsidRPr="00DE78C9" w:rsidRDefault="00F02AEC" w:rsidP="00DE78C9">
      <w:pPr>
        <w:rPr>
          <w:sz w:val="16"/>
          <w:szCs w:val="16"/>
        </w:rPr>
      </w:pPr>
      <w:r w:rsidRPr="00DE78C9">
        <w:rPr>
          <w:sz w:val="16"/>
          <w:szCs w:val="16"/>
        </w:rPr>
        <w:t>© Commonwealth of Australia 202</w:t>
      </w:r>
      <w:r w:rsidR="00377E98">
        <w:rPr>
          <w:sz w:val="16"/>
          <w:szCs w:val="16"/>
        </w:rPr>
        <w:t>6</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DE78C9">
          <w:rPr>
            <w:rStyle w:val="Hyperlink"/>
            <w:rFonts w:cs="Arial"/>
            <w:sz w:val="16"/>
            <w:szCs w:val="16"/>
          </w:rPr>
          <w:t>tga.copyright@tga.gov.au</w:t>
        </w:r>
      </w:hyperlink>
      <w:r w:rsidRPr="00DE78C9">
        <w:rPr>
          <w:sz w:val="16"/>
          <w:szCs w:val="16"/>
        </w:rPr>
        <w:t>.</w:t>
      </w:r>
    </w:p>
    <w:bookmarkStart w:id="1" w:name="_Toc230002890"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1"/>
        </w:p>
        <w:p w14:paraId="6C6150E4" w14:textId="2998D6F1" w:rsidR="00B93EE9" w:rsidRDefault="0063493E">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30002889" w:history="1">
            <w:r w:rsidR="00B93EE9" w:rsidRPr="005B6183">
              <w:rPr>
                <w:rStyle w:val="Hyperlink"/>
                <w:noProof/>
              </w:rPr>
              <w:t>Notice of final decisions to amend (or not amend) the current Poisons Standard</w:t>
            </w:r>
            <w:r w:rsidR="00B93EE9">
              <w:rPr>
                <w:noProof/>
                <w:webHidden/>
              </w:rPr>
              <w:tab/>
            </w:r>
            <w:r w:rsidR="00B93EE9">
              <w:rPr>
                <w:noProof/>
                <w:webHidden/>
              </w:rPr>
              <w:fldChar w:fldCharType="begin"/>
            </w:r>
            <w:r w:rsidR="00B93EE9">
              <w:rPr>
                <w:noProof/>
                <w:webHidden/>
              </w:rPr>
              <w:instrText xml:space="preserve"> PAGEREF _Toc230002889 \h </w:instrText>
            </w:r>
            <w:r w:rsidR="00B93EE9">
              <w:rPr>
                <w:noProof/>
                <w:webHidden/>
              </w:rPr>
            </w:r>
            <w:r w:rsidR="00B93EE9">
              <w:rPr>
                <w:noProof/>
                <w:webHidden/>
              </w:rPr>
              <w:fldChar w:fldCharType="separate"/>
            </w:r>
            <w:r w:rsidR="00B93EE9">
              <w:rPr>
                <w:noProof/>
                <w:webHidden/>
              </w:rPr>
              <w:t>1</w:t>
            </w:r>
            <w:r w:rsidR="00B93EE9">
              <w:rPr>
                <w:noProof/>
                <w:webHidden/>
              </w:rPr>
              <w:fldChar w:fldCharType="end"/>
            </w:r>
          </w:hyperlink>
        </w:p>
        <w:p w14:paraId="6C692DFE" w14:textId="64520B44" w:rsidR="00B93EE9" w:rsidRDefault="00B93EE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002890" w:history="1">
            <w:r w:rsidRPr="005B6183">
              <w:rPr>
                <w:rStyle w:val="Hyperlink"/>
                <w:noProof/>
              </w:rPr>
              <w:t>Contents</w:t>
            </w:r>
            <w:r>
              <w:rPr>
                <w:noProof/>
                <w:webHidden/>
              </w:rPr>
              <w:tab/>
            </w:r>
            <w:r>
              <w:rPr>
                <w:noProof/>
                <w:webHidden/>
              </w:rPr>
              <w:fldChar w:fldCharType="begin"/>
            </w:r>
            <w:r>
              <w:rPr>
                <w:noProof/>
                <w:webHidden/>
              </w:rPr>
              <w:instrText xml:space="preserve"> PAGEREF _Toc230002890 \h </w:instrText>
            </w:r>
            <w:r>
              <w:rPr>
                <w:noProof/>
                <w:webHidden/>
              </w:rPr>
            </w:r>
            <w:r>
              <w:rPr>
                <w:noProof/>
                <w:webHidden/>
              </w:rPr>
              <w:fldChar w:fldCharType="separate"/>
            </w:r>
            <w:r>
              <w:rPr>
                <w:noProof/>
                <w:webHidden/>
              </w:rPr>
              <w:t>3</w:t>
            </w:r>
            <w:r>
              <w:rPr>
                <w:noProof/>
                <w:webHidden/>
              </w:rPr>
              <w:fldChar w:fldCharType="end"/>
            </w:r>
          </w:hyperlink>
        </w:p>
        <w:p w14:paraId="1A16588B" w14:textId="69CAE810" w:rsidR="00B93EE9" w:rsidRDefault="00B93EE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002891" w:history="1">
            <w:r w:rsidRPr="005B6183">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_Toc230002891 \h </w:instrText>
            </w:r>
            <w:r>
              <w:rPr>
                <w:noProof/>
                <w:webHidden/>
              </w:rPr>
            </w:r>
            <w:r>
              <w:rPr>
                <w:noProof/>
                <w:webHidden/>
              </w:rPr>
              <w:fldChar w:fldCharType="separate"/>
            </w:r>
            <w:r>
              <w:rPr>
                <w:noProof/>
                <w:webHidden/>
              </w:rPr>
              <w:t>4</w:t>
            </w:r>
            <w:r>
              <w:rPr>
                <w:noProof/>
                <w:webHidden/>
              </w:rPr>
              <w:fldChar w:fldCharType="end"/>
            </w:r>
          </w:hyperlink>
        </w:p>
        <w:p w14:paraId="664F9C4B" w14:textId="2AFD882F" w:rsidR="00B93EE9" w:rsidRDefault="00B93EE9">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30002892" w:history="1">
            <w:r w:rsidRPr="005B6183">
              <w:rPr>
                <w:rStyle w:val="Hyperlink"/>
                <w:noProof/>
              </w:rPr>
              <w:t>Final decisions on proposed amendments to the current Poisons Standard under regulation 42ZCZU</w:t>
            </w:r>
            <w:r>
              <w:rPr>
                <w:noProof/>
                <w:webHidden/>
              </w:rPr>
              <w:tab/>
            </w:r>
            <w:r>
              <w:rPr>
                <w:noProof/>
                <w:webHidden/>
              </w:rPr>
              <w:fldChar w:fldCharType="begin"/>
            </w:r>
            <w:r>
              <w:rPr>
                <w:noProof/>
                <w:webHidden/>
              </w:rPr>
              <w:instrText xml:space="preserve"> PAGEREF _Toc230002892 \h </w:instrText>
            </w:r>
            <w:r>
              <w:rPr>
                <w:noProof/>
                <w:webHidden/>
              </w:rPr>
            </w:r>
            <w:r>
              <w:rPr>
                <w:noProof/>
                <w:webHidden/>
              </w:rPr>
              <w:fldChar w:fldCharType="separate"/>
            </w:r>
            <w:r>
              <w:rPr>
                <w:noProof/>
                <w:webHidden/>
              </w:rPr>
              <w:t>5</w:t>
            </w:r>
            <w:r>
              <w:rPr>
                <w:noProof/>
                <w:webHidden/>
              </w:rPr>
              <w:fldChar w:fldCharType="end"/>
            </w:r>
          </w:hyperlink>
        </w:p>
        <w:p w14:paraId="172BD43F" w14:textId="48722471" w:rsidR="00B93EE9" w:rsidRDefault="00B93EE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0002893" w:history="1">
            <w:r w:rsidRPr="005B6183">
              <w:rPr>
                <w:rStyle w:val="Hyperlink"/>
                <w:rFonts w:cs="Arial"/>
                <w:noProof/>
              </w:rPr>
              <w:t xml:space="preserve">Final decision in relation to </w:t>
            </w:r>
            <w:r w:rsidRPr="005B6183">
              <w:rPr>
                <w:rStyle w:val="Hyperlink"/>
                <w:rFonts w:cs="Arial"/>
                <w:i/>
                <w:iCs/>
                <w:noProof/>
              </w:rPr>
              <w:t>Bacillus paralicheniformis</w:t>
            </w:r>
            <w:r>
              <w:rPr>
                <w:noProof/>
                <w:webHidden/>
              </w:rPr>
              <w:tab/>
            </w:r>
            <w:r>
              <w:rPr>
                <w:noProof/>
                <w:webHidden/>
              </w:rPr>
              <w:fldChar w:fldCharType="begin"/>
            </w:r>
            <w:r>
              <w:rPr>
                <w:noProof/>
                <w:webHidden/>
              </w:rPr>
              <w:instrText xml:space="preserve"> PAGEREF _Toc230002893 \h </w:instrText>
            </w:r>
            <w:r>
              <w:rPr>
                <w:noProof/>
                <w:webHidden/>
              </w:rPr>
            </w:r>
            <w:r>
              <w:rPr>
                <w:noProof/>
                <w:webHidden/>
              </w:rPr>
              <w:fldChar w:fldCharType="separate"/>
            </w:r>
            <w:r>
              <w:rPr>
                <w:noProof/>
                <w:webHidden/>
              </w:rPr>
              <w:t>5</w:t>
            </w:r>
            <w:r>
              <w:rPr>
                <w:noProof/>
                <w:webHidden/>
              </w:rPr>
              <w:fldChar w:fldCharType="end"/>
            </w:r>
          </w:hyperlink>
        </w:p>
        <w:p w14:paraId="077A370D" w14:textId="64EE10F6" w:rsidR="00B93EE9" w:rsidRDefault="00B93EE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0002894" w:history="1">
            <w:r w:rsidRPr="005B6183">
              <w:rPr>
                <w:rStyle w:val="Hyperlink"/>
                <w:noProof/>
              </w:rPr>
              <w:t>Final decision in relation to dimethyl disulfide</w:t>
            </w:r>
            <w:r>
              <w:rPr>
                <w:noProof/>
                <w:webHidden/>
              </w:rPr>
              <w:tab/>
            </w:r>
            <w:r>
              <w:rPr>
                <w:noProof/>
                <w:webHidden/>
              </w:rPr>
              <w:fldChar w:fldCharType="begin"/>
            </w:r>
            <w:r>
              <w:rPr>
                <w:noProof/>
                <w:webHidden/>
              </w:rPr>
              <w:instrText xml:space="preserve"> PAGEREF _Toc230002894 \h </w:instrText>
            </w:r>
            <w:r>
              <w:rPr>
                <w:noProof/>
                <w:webHidden/>
              </w:rPr>
            </w:r>
            <w:r>
              <w:rPr>
                <w:noProof/>
                <w:webHidden/>
              </w:rPr>
              <w:fldChar w:fldCharType="separate"/>
            </w:r>
            <w:r>
              <w:rPr>
                <w:noProof/>
                <w:webHidden/>
              </w:rPr>
              <w:t>7</w:t>
            </w:r>
            <w:r>
              <w:rPr>
                <w:noProof/>
                <w:webHidden/>
              </w:rPr>
              <w:fldChar w:fldCharType="end"/>
            </w:r>
          </w:hyperlink>
        </w:p>
        <w:p w14:paraId="769EB01B" w14:textId="508CB0F5" w:rsidR="00B93EE9" w:rsidRDefault="00B93EE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0002895" w:history="1">
            <w:r w:rsidRPr="005B6183">
              <w:rPr>
                <w:rStyle w:val="Hyperlink"/>
                <w:noProof/>
              </w:rPr>
              <w:t>Final decision in relation to enflicoxib sodium</w:t>
            </w:r>
            <w:r>
              <w:rPr>
                <w:noProof/>
                <w:webHidden/>
              </w:rPr>
              <w:tab/>
            </w:r>
            <w:r>
              <w:rPr>
                <w:noProof/>
                <w:webHidden/>
              </w:rPr>
              <w:fldChar w:fldCharType="begin"/>
            </w:r>
            <w:r>
              <w:rPr>
                <w:noProof/>
                <w:webHidden/>
              </w:rPr>
              <w:instrText xml:space="preserve"> PAGEREF _Toc230002895 \h </w:instrText>
            </w:r>
            <w:r>
              <w:rPr>
                <w:noProof/>
                <w:webHidden/>
              </w:rPr>
            </w:r>
            <w:r>
              <w:rPr>
                <w:noProof/>
                <w:webHidden/>
              </w:rPr>
              <w:fldChar w:fldCharType="separate"/>
            </w:r>
            <w:r>
              <w:rPr>
                <w:noProof/>
                <w:webHidden/>
              </w:rPr>
              <w:t>9</w:t>
            </w:r>
            <w:r>
              <w:rPr>
                <w:noProof/>
                <w:webHidden/>
              </w:rPr>
              <w:fldChar w:fldCharType="end"/>
            </w:r>
          </w:hyperlink>
        </w:p>
        <w:p w14:paraId="40D6F977" w14:textId="4387750E" w:rsidR="00B93EE9" w:rsidRDefault="00B93EE9">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30002896" w:history="1">
            <w:r w:rsidRPr="005B6183">
              <w:rPr>
                <w:rStyle w:val="Hyperlink"/>
                <w:noProof/>
              </w:rPr>
              <w:t>Final decision in relation to spidoxamat</w:t>
            </w:r>
            <w:r>
              <w:rPr>
                <w:noProof/>
                <w:webHidden/>
              </w:rPr>
              <w:tab/>
            </w:r>
            <w:r>
              <w:rPr>
                <w:noProof/>
                <w:webHidden/>
              </w:rPr>
              <w:fldChar w:fldCharType="begin"/>
            </w:r>
            <w:r>
              <w:rPr>
                <w:noProof/>
                <w:webHidden/>
              </w:rPr>
              <w:instrText xml:space="preserve"> PAGEREF _Toc230002896 \h </w:instrText>
            </w:r>
            <w:r>
              <w:rPr>
                <w:noProof/>
                <w:webHidden/>
              </w:rPr>
            </w:r>
            <w:r>
              <w:rPr>
                <w:noProof/>
                <w:webHidden/>
              </w:rPr>
              <w:fldChar w:fldCharType="separate"/>
            </w:r>
            <w:r>
              <w:rPr>
                <w:noProof/>
                <w:webHidden/>
              </w:rPr>
              <w:t>11</w:t>
            </w:r>
            <w:r>
              <w:rPr>
                <w:noProof/>
                <w:webHidden/>
              </w:rPr>
              <w:fldChar w:fldCharType="end"/>
            </w:r>
          </w:hyperlink>
        </w:p>
        <w:p w14:paraId="09B05728" w14:textId="122D153D" w:rsidR="00F02AEC" w:rsidRPr="00215D48" w:rsidRDefault="0063493E" w:rsidP="00967490">
          <w:r>
            <w:rPr>
              <w:rFonts w:eastAsia="Cambria" w:cs="Times New Roman"/>
              <w:color w:val="333F48"/>
              <w:sz w:val="32"/>
            </w:rPr>
            <w:fldChar w:fldCharType="end"/>
          </w:r>
        </w:p>
      </w:sdtContent>
    </w:sdt>
    <w:p w14:paraId="4D0C412B" w14:textId="77777777" w:rsidR="00F02AEC" w:rsidRPr="00215D48" w:rsidRDefault="00F02AEC" w:rsidP="00967490">
      <w:r w:rsidRPr="00215D48">
        <w:br w:type="page"/>
      </w:r>
    </w:p>
    <w:p w14:paraId="3A06BE1E" w14:textId="1A01AD45" w:rsidR="00457050" w:rsidRPr="00BC2009" w:rsidRDefault="00457050" w:rsidP="00967490">
      <w:pPr>
        <w:pStyle w:val="Heading2"/>
      </w:pPr>
      <w:bookmarkStart w:id="2" w:name="_Toc97640261"/>
      <w:bookmarkStart w:id="3" w:name="_Toc230002891"/>
      <w:r w:rsidRPr="00597B50">
        <w:lastRenderedPageBreak/>
        <w:t>Notice of final decisions to amend (or not amend) the current Poisons Standard</w:t>
      </w:r>
      <w:bookmarkEnd w:id="2"/>
      <w:bookmarkEnd w:id="3"/>
    </w:p>
    <w:p w14:paraId="5C76B929" w14:textId="43DB1569" w:rsidR="003764C6" w:rsidRDefault="00457050" w:rsidP="00740E93">
      <w:r w:rsidRPr="00457050">
        <w:t xml:space="preserve">This web publication constitutes a notice for the purposes of regulation </w:t>
      </w:r>
      <w:proofErr w:type="spellStart"/>
      <w:r w:rsidRPr="003B7D97">
        <w:t>42ZCZX</w:t>
      </w:r>
      <w:proofErr w:type="spellEnd"/>
      <w:r w:rsidRPr="00457050">
        <w:t xml:space="preserve"> of the </w:t>
      </w:r>
      <w:r w:rsidRPr="00457050">
        <w:rPr>
          <w:i/>
        </w:rPr>
        <w:t xml:space="preserve">Therapeutic Goods Regulations 1990 </w:t>
      </w:r>
      <w:r w:rsidRPr="00457050">
        <w:t xml:space="preserve">(the </w:t>
      </w:r>
      <w:r w:rsidRPr="00457050">
        <w:rPr>
          <w:b/>
        </w:rPr>
        <w:t>Regulations</w:t>
      </w:r>
      <w:r w:rsidRPr="00457050">
        <w:t>). In accordance with regulation</w:t>
      </w:r>
      <w:r w:rsidR="003B7D97">
        <w:t xml:space="preserve"> </w:t>
      </w:r>
      <w:proofErr w:type="spellStart"/>
      <w:r w:rsidRPr="003B7D97">
        <w:t>42</w:t>
      </w:r>
      <w:r w:rsidR="003B7D97" w:rsidRPr="003B7D97">
        <w:t>Z</w:t>
      </w:r>
      <w:r w:rsidRPr="003B7D97">
        <w:t>CZX</w:t>
      </w:r>
      <w:proofErr w:type="spellEnd"/>
      <w:r w:rsidRPr="00457050">
        <w:t>, this notice publishes</w:t>
      </w:r>
      <w:r w:rsidR="003764C6">
        <w:t>:</w:t>
      </w:r>
    </w:p>
    <w:p w14:paraId="4D038242" w14:textId="51B30940" w:rsidR="00457050" w:rsidRPr="00B93EE9" w:rsidRDefault="00457050" w:rsidP="00B93EE9">
      <w:pPr>
        <w:pStyle w:val="ListBullet"/>
        <w:numPr>
          <w:ilvl w:val="0"/>
          <w:numId w:val="28"/>
        </w:numPr>
      </w:pPr>
      <w:r w:rsidRPr="00B93EE9">
        <w:t>the decisions made by a delegate</w:t>
      </w:r>
      <w:r w:rsidRPr="00B93EE9">
        <w:rPr>
          <w:rStyle w:val="FootnoteReference"/>
          <w:i/>
          <w:iCs/>
        </w:rPr>
        <w:footnoteReference w:id="1"/>
      </w:r>
      <w:r w:rsidRPr="00B93EE9">
        <w:t xml:space="preserve"> of the Secretary of the Department of Health and Aged Care (the </w:t>
      </w:r>
      <w:r w:rsidRPr="00B93EE9">
        <w:rPr>
          <w:b/>
          <w:bCs/>
        </w:rPr>
        <w:t>Delegate</w:t>
      </w:r>
      <w:r w:rsidRPr="00B93EE9">
        <w:t xml:space="preserve">) pursuant to regulations </w:t>
      </w:r>
      <w:proofErr w:type="spellStart"/>
      <w:r w:rsidRPr="00B93EE9">
        <w:t>42ZCZU</w:t>
      </w:r>
      <w:proofErr w:type="spellEnd"/>
      <w:r w:rsidR="00740E93" w:rsidRPr="00B93EE9">
        <w:t>.</w:t>
      </w:r>
    </w:p>
    <w:p w14:paraId="1AA8F280" w14:textId="7FF46EAB" w:rsidR="00457050" w:rsidRPr="00B93EE9" w:rsidRDefault="00457050" w:rsidP="00B93EE9">
      <w:pPr>
        <w:pStyle w:val="ListBullet"/>
        <w:numPr>
          <w:ilvl w:val="0"/>
          <w:numId w:val="28"/>
        </w:numPr>
      </w:pPr>
      <w:r w:rsidRPr="00B93EE9">
        <w:t>the reasons for the final decisions and</w:t>
      </w:r>
    </w:p>
    <w:p w14:paraId="5E6BC7C7" w14:textId="709AB194" w:rsidR="00457050" w:rsidRPr="00C176C5" w:rsidRDefault="00457050" w:rsidP="00B93EE9">
      <w:pPr>
        <w:pStyle w:val="ListBullet"/>
        <w:numPr>
          <w:ilvl w:val="0"/>
          <w:numId w:val="28"/>
        </w:numPr>
      </w:pPr>
      <w:r w:rsidRPr="00B93EE9">
        <w:t>the date of effect of those decisions.</w:t>
      </w:r>
    </w:p>
    <w:p w14:paraId="67DC0EBB" w14:textId="44269554" w:rsidR="00457050" w:rsidRPr="00B93EE9" w:rsidRDefault="00831B56" w:rsidP="00B93EE9">
      <w:pPr>
        <w:pStyle w:val="ListBullet"/>
      </w:pPr>
      <w:r w:rsidRPr="00B93EE9">
        <w:t>Defined terms</w:t>
      </w:r>
    </w:p>
    <w:p w14:paraId="3518FC9A" w14:textId="39B18FB7" w:rsidR="00831B56" w:rsidRPr="00B93EE9" w:rsidRDefault="00831B56" w:rsidP="00B93EE9">
      <w:pPr>
        <w:pStyle w:val="ListBullet"/>
      </w:pPr>
      <w:r w:rsidRPr="00B93EE9">
        <w:t>In this notice the following defined terms are used in addition to those above:</w:t>
      </w:r>
    </w:p>
    <w:p w14:paraId="6BE33439" w14:textId="173C0B3E" w:rsidR="00831B56" w:rsidRPr="00C176C5" w:rsidRDefault="00831B56" w:rsidP="00B93EE9">
      <w:pPr>
        <w:pStyle w:val="ListBullet"/>
        <w:numPr>
          <w:ilvl w:val="0"/>
          <w:numId w:val="28"/>
        </w:numPr>
      </w:pPr>
      <w:r w:rsidRPr="00C176C5">
        <w:t xml:space="preserve">the </w:t>
      </w:r>
      <w:r w:rsidRPr="00B93EE9">
        <w:rPr>
          <w:i/>
          <w:iCs/>
        </w:rPr>
        <w:t>Therapeutic Goods Act</w:t>
      </w:r>
      <w:r w:rsidR="00B93EE9">
        <w:rPr>
          <w:i/>
          <w:iCs/>
        </w:rPr>
        <w:t>,</w:t>
      </w:r>
      <w:r w:rsidRPr="00B93EE9">
        <w:rPr>
          <w:i/>
          <w:iCs/>
        </w:rPr>
        <w:t xml:space="preserve"> 1989</w:t>
      </w:r>
      <w:r w:rsidRPr="00C176C5">
        <w:t xml:space="preserve"> (</w:t>
      </w:r>
      <w:proofErr w:type="spellStart"/>
      <w:r w:rsidRPr="00C176C5">
        <w:t>Cth</w:t>
      </w:r>
      <w:proofErr w:type="spellEnd"/>
      <w:r w:rsidRPr="00C176C5">
        <w:t xml:space="preserve">) (the </w:t>
      </w:r>
      <w:r w:rsidRPr="00C176C5">
        <w:rPr>
          <w:b/>
          <w:bCs/>
        </w:rPr>
        <w:t>Act</w:t>
      </w:r>
      <w:r w:rsidRPr="00C176C5">
        <w:t>)</w:t>
      </w:r>
    </w:p>
    <w:p w14:paraId="6550B5E6" w14:textId="5EBA37FF" w:rsidR="00831B56" w:rsidRPr="00C176C5" w:rsidRDefault="00831B56" w:rsidP="00B93EE9">
      <w:pPr>
        <w:pStyle w:val="ListBullet"/>
        <w:numPr>
          <w:ilvl w:val="0"/>
          <w:numId w:val="28"/>
        </w:numPr>
        <w:rPr>
          <w:rFonts w:cs="Arial"/>
        </w:rPr>
      </w:pPr>
      <w:r w:rsidRPr="00C176C5">
        <w:rPr>
          <w:rFonts w:cs="Arial"/>
        </w:rPr>
        <w:t xml:space="preserve">the </w:t>
      </w:r>
      <w:hyperlink r:id="rId15" w:history="1">
        <w:r w:rsidRPr="00C176C5">
          <w:rPr>
            <w:rStyle w:val="Hyperlink"/>
            <w:rFonts w:cs="Arial"/>
          </w:rPr>
          <w:t>Scheduling Policy Framework</w:t>
        </w:r>
      </w:hyperlink>
      <w:r w:rsidRPr="00C176C5">
        <w:rPr>
          <w:rFonts w:cs="Arial"/>
        </w:rPr>
        <w:t xml:space="preserve"> 2018 (the </w:t>
      </w:r>
      <w:r w:rsidRPr="00C176C5">
        <w:rPr>
          <w:rFonts w:cs="Arial"/>
          <w:b/>
          <w:bCs/>
        </w:rPr>
        <w:t>SPF</w:t>
      </w:r>
      <w:r w:rsidRPr="00C176C5">
        <w:rPr>
          <w:rFonts w:cs="Arial"/>
        </w:rPr>
        <w:t>)</w:t>
      </w:r>
    </w:p>
    <w:p w14:paraId="4CDC567B" w14:textId="46FFCF22" w:rsidR="00831B56" w:rsidRPr="00C176C5" w:rsidRDefault="00831B56" w:rsidP="00B93EE9">
      <w:pPr>
        <w:pStyle w:val="ListBullet"/>
        <w:numPr>
          <w:ilvl w:val="0"/>
          <w:numId w:val="28"/>
        </w:numPr>
        <w:rPr>
          <w:rFonts w:cs="Arial"/>
        </w:rPr>
      </w:pPr>
      <w:r w:rsidRPr="00C176C5">
        <w:rPr>
          <w:rFonts w:cs="Arial"/>
        </w:rPr>
        <w:t>the Scheduling handbook</w:t>
      </w:r>
      <w:r w:rsidR="00FC1EB4" w:rsidRPr="00C176C5">
        <w:rPr>
          <w:rFonts w:cs="Arial"/>
        </w:rPr>
        <w:t>,</w:t>
      </w:r>
      <w:r w:rsidRPr="00C176C5">
        <w:rPr>
          <w:rFonts w:cs="Arial"/>
        </w:rPr>
        <w:t xml:space="preserve"> </w:t>
      </w:r>
      <w:hyperlink r:id="rId16" w:history="1">
        <w:r w:rsidRPr="00C176C5">
          <w:rPr>
            <w:rStyle w:val="Hyperlink"/>
            <w:rFonts w:cs="Arial"/>
          </w:rPr>
          <w:t>Guidance for amending the Poisons Standard</w:t>
        </w:r>
      </w:hyperlink>
      <w:r w:rsidRPr="00C176C5">
        <w:rPr>
          <w:rFonts w:cs="Arial"/>
        </w:rPr>
        <w:t xml:space="preserve"> (the </w:t>
      </w:r>
      <w:r w:rsidRPr="00C176C5">
        <w:rPr>
          <w:rFonts w:cs="Arial"/>
          <w:b/>
          <w:bCs/>
        </w:rPr>
        <w:t>Handbook</w:t>
      </w:r>
      <w:r w:rsidRPr="00C176C5">
        <w:rPr>
          <w:rFonts w:cs="Arial"/>
        </w:rPr>
        <w:t>) and</w:t>
      </w:r>
    </w:p>
    <w:p w14:paraId="78D91CCD" w14:textId="3DC73865" w:rsidR="00831B56" w:rsidRPr="00C176C5" w:rsidRDefault="00831B56" w:rsidP="00B93EE9">
      <w:pPr>
        <w:pStyle w:val="ListBullet"/>
        <w:numPr>
          <w:ilvl w:val="0"/>
          <w:numId w:val="28"/>
        </w:numPr>
      </w:pPr>
      <w:r w:rsidRPr="00C176C5">
        <w:t xml:space="preserve">the Therapeutic Goods Administration (the </w:t>
      </w:r>
      <w:r w:rsidRPr="00C176C5">
        <w:rPr>
          <w:b/>
          <w:bCs/>
        </w:rPr>
        <w:t>TGA</w:t>
      </w:r>
      <w:r w:rsidRPr="00C176C5">
        <w:t>).</w:t>
      </w:r>
    </w:p>
    <w:p w14:paraId="34BB1F69" w14:textId="14C997E7" w:rsidR="00457050" w:rsidRPr="004A213A" w:rsidRDefault="00831B56" w:rsidP="00B93EE9">
      <w:pPr>
        <w:pStyle w:val="ListBullet"/>
      </w:pPr>
      <w:r w:rsidRPr="00831B56">
        <w:t>Note: additional terms are also defined for individual decisions.</w:t>
      </w:r>
    </w:p>
    <w:p w14:paraId="60E14E1E" w14:textId="77777777" w:rsidR="003764C6" w:rsidRDefault="003764C6" w:rsidP="00973CBF">
      <w:r>
        <w:br w:type="page"/>
      </w:r>
    </w:p>
    <w:p w14:paraId="09B0C61B" w14:textId="46D12766" w:rsidR="00457050" w:rsidRPr="00BC2009" w:rsidRDefault="00457050" w:rsidP="00967490">
      <w:pPr>
        <w:pStyle w:val="Heading2"/>
      </w:pPr>
      <w:bookmarkStart w:id="4" w:name="_Toc230002892"/>
      <w:r w:rsidRPr="00B41852">
        <w:lastRenderedPageBreak/>
        <w:t xml:space="preserve">Final decisions on proposed amendments to the current Poisons Standard under regulation </w:t>
      </w:r>
      <w:proofErr w:type="spellStart"/>
      <w:r w:rsidRPr="005F3EA0">
        <w:t>42ZCZU</w:t>
      </w:r>
      <w:bookmarkEnd w:id="4"/>
      <w:proofErr w:type="spellEnd"/>
    </w:p>
    <w:p w14:paraId="5DACADCF" w14:textId="4D235ECE" w:rsidR="00457050" w:rsidRPr="000F601F" w:rsidRDefault="00457050" w:rsidP="00967490">
      <w:pPr>
        <w:rPr>
          <w:rFonts w:cs="Arial"/>
          <w:szCs w:val="20"/>
        </w:rPr>
      </w:pPr>
      <w:r w:rsidRPr="000F601F">
        <w:rPr>
          <w:rFonts w:cs="Arial"/>
          <w:szCs w:val="20"/>
        </w:rPr>
        <w:t xml:space="preserve">In my capacity as a delegate of the Secretary for the purpose of regulation </w:t>
      </w:r>
      <w:proofErr w:type="spellStart"/>
      <w:r w:rsidRPr="000F601F">
        <w:rPr>
          <w:rFonts w:cs="Arial"/>
          <w:szCs w:val="20"/>
        </w:rPr>
        <w:t>42ZCZU</w:t>
      </w:r>
      <w:proofErr w:type="spellEnd"/>
      <w:r w:rsidRPr="000F601F" w:rsidDel="005F3EA0">
        <w:rPr>
          <w:rFonts w:cs="Arial"/>
          <w:szCs w:val="20"/>
        </w:rPr>
        <w:t xml:space="preserve"> </w:t>
      </w:r>
      <w:r w:rsidRPr="000F601F">
        <w:rPr>
          <w:rFonts w:cs="Arial"/>
          <w:szCs w:val="20"/>
        </w:rPr>
        <w:t xml:space="preserve">of the </w:t>
      </w:r>
      <w:r w:rsidRPr="000F601F">
        <w:rPr>
          <w:rFonts w:cs="Arial"/>
          <w:bCs/>
          <w:szCs w:val="20"/>
        </w:rPr>
        <w:t>Regulations</w:t>
      </w:r>
      <w:r w:rsidRPr="000F601F">
        <w:rPr>
          <w:rFonts w:cs="Arial"/>
          <w:szCs w:val="20"/>
        </w:rPr>
        <w:t xml:space="preserve">, I have made final decisions under regulation </w:t>
      </w:r>
      <w:proofErr w:type="spellStart"/>
      <w:r w:rsidRPr="000F601F">
        <w:rPr>
          <w:rFonts w:cs="Arial"/>
          <w:szCs w:val="20"/>
        </w:rPr>
        <w:t>42ZCZU</w:t>
      </w:r>
      <w:proofErr w:type="spellEnd"/>
      <w:r w:rsidRPr="000F601F" w:rsidDel="005F3EA0">
        <w:rPr>
          <w:rFonts w:cs="Arial"/>
          <w:szCs w:val="20"/>
        </w:rPr>
        <w:t xml:space="preserve"> </w:t>
      </w:r>
      <w:r w:rsidRPr="000F601F">
        <w:rPr>
          <w:rFonts w:cs="Arial"/>
          <w:szCs w:val="20"/>
        </w:rPr>
        <w:t>with respect to the following substances:</w:t>
      </w:r>
    </w:p>
    <w:p w14:paraId="3F74214D" w14:textId="391299AF" w:rsidR="007053C3" w:rsidRPr="00B93EE9" w:rsidRDefault="007053C3" w:rsidP="00B93EE9">
      <w:pPr>
        <w:pStyle w:val="ListBullet"/>
        <w:numPr>
          <w:ilvl w:val="0"/>
          <w:numId w:val="28"/>
        </w:numPr>
        <w:rPr>
          <w:i/>
          <w:iCs/>
        </w:rPr>
      </w:pPr>
      <w:r w:rsidRPr="00B93EE9">
        <w:rPr>
          <w:i/>
          <w:iCs/>
        </w:rPr>
        <w:t xml:space="preserve">Bacillus </w:t>
      </w:r>
      <w:proofErr w:type="spellStart"/>
      <w:r w:rsidR="003764C6" w:rsidRPr="00B93EE9">
        <w:rPr>
          <w:i/>
          <w:iCs/>
        </w:rPr>
        <w:t>p</w:t>
      </w:r>
      <w:r w:rsidRPr="00B93EE9">
        <w:rPr>
          <w:i/>
          <w:iCs/>
        </w:rPr>
        <w:t>aralicheniformis</w:t>
      </w:r>
      <w:proofErr w:type="spellEnd"/>
    </w:p>
    <w:p w14:paraId="71EE6B77" w14:textId="0D068083" w:rsidR="006647C0" w:rsidRDefault="006647C0" w:rsidP="00B93EE9">
      <w:pPr>
        <w:pStyle w:val="ListBullet"/>
        <w:numPr>
          <w:ilvl w:val="0"/>
          <w:numId w:val="28"/>
        </w:numPr>
      </w:pPr>
      <w:r>
        <w:t>Dimethyl Disulfide</w:t>
      </w:r>
    </w:p>
    <w:p w14:paraId="07CC0F7C" w14:textId="3A3F82F4" w:rsidR="000B29BD" w:rsidRDefault="000B29BD" w:rsidP="00B93EE9">
      <w:pPr>
        <w:pStyle w:val="ListBullet"/>
        <w:numPr>
          <w:ilvl w:val="0"/>
          <w:numId w:val="28"/>
        </w:numPr>
      </w:pPr>
      <w:proofErr w:type="spellStart"/>
      <w:r>
        <w:t>Enflicoxib</w:t>
      </w:r>
      <w:proofErr w:type="spellEnd"/>
      <w:r>
        <w:t xml:space="preserve"> sodium</w:t>
      </w:r>
    </w:p>
    <w:p w14:paraId="657084DD" w14:textId="58B38353" w:rsidR="006647C0" w:rsidRDefault="00CC2EE7" w:rsidP="00B93EE9">
      <w:pPr>
        <w:pStyle w:val="ListBullet"/>
        <w:numPr>
          <w:ilvl w:val="0"/>
          <w:numId w:val="28"/>
        </w:numPr>
      </w:pPr>
      <w:proofErr w:type="spellStart"/>
      <w:r>
        <w:t>Spidoxamat</w:t>
      </w:r>
      <w:proofErr w:type="spellEnd"/>
    </w:p>
    <w:p w14:paraId="1056F81D" w14:textId="7FABE762" w:rsidR="00BD23F0" w:rsidRPr="00BD23F0" w:rsidRDefault="00BD23F0" w:rsidP="00BD23F0">
      <w:pPr>
        <w:pStyle w:val="Heading3"/>
        <w:rPr>
          <w:rFonts w:cs="Arial"/>
        </w:rPr>
      </w:pPr>
      <w:bookmarkStart w:id="5" w:name="_Toc230002893"/>
      <w:r w:rsidRPr="001A1480">
        <w:rPr>
          <w:rFonts w:cs="Arial"/>
        </w:rPr>
        <w:t xml:space="preserve">Final decision in relation to </w:t>
      </w:r>
      <w:bookmarkStart w:id="6" w:name="_Toc164149822"/>
      <w:bookmarkStart w:id="7" w:name="_Toc198028603"/>
      <w:r w:rsidR="003764C6" w:rsidRPr="003764C6">
        <w:rPr>
          <w:rFonts w:cs="Arial"/>
          <w:i/>
          <w:iCs/>
        </w:rPr>
        <w:t>B</w:t>
      </w:r>
      <w:r w:rsidRPr="003764C6">
        <w:rPr>
          <w:rFonts w:cs="Arial"/>
          <w:i/>
          <w:iCs/>
        </w:rPr>
        <w:t xml:space="preserve">acillus </w:t>
      </w:r>
      <w:proofErr w:type="spellStart"/>
      <w:r w:rsidRPr="003764C6">
        <w:rPr>
          <w:rFonts w:cs="Arial"/>
          <w:i/>
          <w:iCs/>
        </w:rPr>
        <w:t>paralicheniformis</w:t>
      </w:r>
      <w:bookmarkEnd w:id="5"/>
      <w:bookmarkEnd w:id="6"/>
      <w:bookmarkEnd w:id="7"/>
      <w:proofErr w:type="spellEnd"/>
    </w:p>
    <w:p w14:paraId="73793517" w14:textId="77777777" w:rsidR="00BD23F0" w:rsidRPr="00505AF6" w:rsidRDefault="00BD23F0"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Final Decision</w:t>
      </w:r>
    </w:p>
    <w:p w14:paraId="0BF6BB47" w14:textId="47ADC3DB" w:rsidR="00BD23F0" w:rsidRPr="00027C26" w:rsidRDefault="00BD23F0" w:rsidP="00BD23F0">
      <w:pPr>
        <w:rPr>
          <w:rFonts w:eastAsia="Cambria" w:cs="Arial"/>
          <w:szCs w:val="20"/>
        </w:rPr>
      </w:pPr>
      <w:r w:rsidRPr="00027C26">
        <w:rPr>
          <w:rFonts w:eastAsia="Cambria" w:cs="Arial"/>
          <w:szCs w:val="20"/>
        </w:rPr>
        <w:t xml:space="preserve">Pursuant to regulation </w:t>
      </w:r>
      <w:proofErr w:type="spellStart"/>
      <w:r w:rsidRPr="00027C26">
        <w:rPr>
          <w:rFonts w:eastAsia="Cambria" w:cs="Arial"/>
          <w:szCs w:val="20"/>
        </w:rPr>
        <w:t>42ZCZU</w:t>
      </w:r>
      <w:proofErr w:type="spellEnd"/>
      <w:r w:rsidRPr="00027C26">
        <w:rPr>
          <w:rFonts w:eastAsia="Cambria" w:cs="Arial"/>
          <w:szCs w:val="20"/>
        </w:rPr>
        <w:t xml:space="preserve"> of the Regulations, a Delegate of the Secretary has made a final decision to amend the current Poisons Standard in relation to </w:t>
      </w:r>
      <w:bookmarkStart w:id="8" w:name="_Hlk195191434"/>
      <w:r w:rsidR="003764C6" w:rsidRPr="003764C6">
        <w:rPr>
          <w:rFonts w:eastAsia="Cambria" w:cs="Arial"/>
          <w:i/>
          <w:iCs/>
          <w:szCs w:val="20"/>
        </w:rPr>
        <w:t>B</w:t>
      </w:r>
      <w:r w:rsidRPr="003764C6">
        <w:rPr>
          <w:rFonts w:eastAsia="Cambria" w:cs="Arial"/>
          <w:i/>
          <w:iCs/>
          <w:szCs w:val="20"/>
        </w:rPr>
        <w:t xml:space="preserve">acillus </w:t>
      </w:r>
      <w:proofErr w:type="spellStart"/>
      <w:r w:rsidRPr="003764C6">
        <w:rPr>
          <w:rFonts w:eastAsia="Cambria" w:cs="Arial"/>
          <w:i/>
          <w:iCs/>
          <w:szCs w:val="20"/>
        </w:rPr>
        <w:t>paralicheniformis</w:t>
      </w:r>
      <w:proofErr w:type="spellEnd"/>
      <w:r w:rsidRPr="00027C26">
        <w:rPr>
          <w:rFonts w:eastAsia="Cambria" w:cs="Arial"/>
          <w:szCs w:val="20"/>
        </w:rPr>
        <w:t xml:space="preserve"> </w:t>
      </w:r>
      <w:bookmarkEnd w:id="8"/>
      <w:r w:rsidRPr="00027C26">
        <w:rPr>
          <w:rFonts w:eastAsia="Cambria" w:cs="Arial"/>
          <w:szCs w:val="20"/>
        </w:rPr>
        <w:t>as follows:</w:t>
      </w:r>
      <w:r w:rsidRPr="00027C26">
        <w:rPr>
          <w:rStyle w:val="FootnoteReference"/>
          <w:rFonts w:eastAsia="Cambria" w:cs="Arial"/>
        </w:rPr>
        <w:footnoteReference w:id="2"/>
      </w:r>
    </w:p>
    <w:p w14:paraId="137B5974" w14:textId="77777777" w:rsidR="00BD23F0" w:rsidRPr="006F3A37" w:rsidRDefault="00BD23F0" w:rsidP="00BD23F0">
      <w:pPr>
        <w:ind w:left="425"/>
        <w:rPr>
          <w:rFonts w:cs="Arial"/>
          <w:b/>
          <w:bCs/>
          <w:szCs w:val="20"/>
        </w:rPr>
      </w:pPr>
      <w:r>
        <w:rPr>
          <w:rFonts w:cs="Arial"/>
          <w:b/>
          <w:bCs/>
          <w:szCs w:val="20"/>
        </w:rPr>
        <w:t>Appendix B, Clause 3</w:t>
      </w:r>
      <w:r w:rsidRPr="0016159C">
        <w:rPr>
          <w:rFonts w:cs="Arial"/>
          <w:b/>
          <w:bCs/>
          <w:szCs w:val="20"/>
        </w:rPr>
        <w:t xml:space="preserve"> – New Entry</w:t>
      </w:r>
    </w:p>
    <w:tbl>
      <w:tblPr>
        <w:tblW w:w="850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3359"/>
        <w:gridCol w:w="2126"/>
        <w:gridCol w:w="1276"/>
        <w:gridCol w:w="1100"/>
      </w:tblGrid>
      <w:tr w:rsidR="00BD23F0" w:rsidRPr="00283958" w14:paraId="31648E10" w14:textId="77777777" w:rsidTr="003764C6">
        <w:trPr>
          <w:tblHeader/>
        </w:trPr>
        <w:tc>
          <w:tcPr>
            <w:tcW w:w="8500" w:type="dxa"/>
            <w:gridSpan w:val="5"/>
            <w:tcBorders>
              <w:top w:val="single" w:sz="12" w:space="0" w:color="auto"/>
              <w:bottom w:val="single" w:sz="6" w:space="0" w:color="auto"/>
            </w:tcBorders>
            <w:tcMar>
              <w:top w:w="113" w:type="dxa"/>
              <w:bottom w:w="113" w:type="dxa"/>
            </w:tcMar>
          </w:tcPr>
          <w:p w14:paraId="7E2375A1" w14:textId="77777777" w:rsidR="00BD23F0" w:rsidRPr="00283958" w:rsidRDefault="00BD23F0" w:rsidP="00986A0B">
            <w:pPr>
              <w:pStyle w:val="TableHeading"/>
              <w:rPr>
                <w:rFonts w:ascii="Arial" w:hAnsi="Arial" w:cs="Arial"/>
                <w:b w:val="0"/>
                <w:bCs/>
              </w:rPr>
            </w:pPr>
            <w:r w:rsidRPr="00283958">
              <w:rPr>
                <w:rFonts w:ascii="Arial" w:hAnsi="Arial" w:cs="Arial"/>
                <w:b w:val="0"/>
                <w:bCs/>
              </w:rPr>
              <w:t>Substances exempt in certain uses</w:t>
            </w:r>
          </w:p>
        </w:tc>
      </w:tr>
      <w:tr w:rsidR="00BD23F0" w:rsidRPr="00283958" w14:paraId="20253CF9" w14:textId="77777777" w:rsidTr="00283958">
        <w:trPr>
          <w:tblHeader/>
        </w:trPr>
        <w:tc>
          <w:tcPr>
            <w:tcW w:w="639" w:type="dxa"/>
            <w:tcBorders>
              <w:top w:val="single" w:sz="6" w:space="0" w:color="auto"/>
              <w:bottom w:val="single" w:sz="12" w:space="0" w:color="auto"/>
            </w:tcBorders>
            <w:tcMar>
              <w:top w:w="113" w:type="dxa"/>
              <w:bottom w:w="113" w:type="dxa"/>
            </w:tcMar>
          </w:tcPr>
          <w:p w14:paraId="79AAB6ED" w14:textId="77777777" w:rsidR="00BD23F0" w:rsidRPr="00283958" w:rsidRDefault="00BD23F0" w:rsidP="00986A0B">
            <w:pPr>
              <w:pStyle w:val="TableHeading"/>
              <w:rPr>
                <w:rFonts w:ascii="Arial" w:hAnsi="Arial" w:cs="Arial"/>
                <w:b w:val="0"/>
                <w:bCs/>
              </w:rPr>
            </w:pPr>
            <w:r w:rsidRPr="00283958">
              <w:rPr>
                <w:rFonts w:ascii="Arial" w:hAnsi="Arial" w:cs="Arial"/>
                <w:b w:val="0"/>
                <w:bCs/>
              </w:rPr>
              <w:t>Item</w:t>
            </w:r>
          </w:p>
        </w:tc>
        <w:tc>
          <w:tcPr>
            <w:tcW w:w="3359" w:type="dxa"/>
            <w:tcBorders>
              <w:top w:val="single" w:sz="6" w:space="0" w:color="auto"/>
              <w:bottom w:val="single" w:sz="12" w:space="0" w:color="auto"/>
            </w:tcBorders>
            <w:tcMar>
              <w:top w:w="113" w:type="dxa"/>
              <w:bottom w:w="113" w:type="dxa"/>
            </w:tcMar>
          </w:tcPr>
          <w:p w14:paraId="2538AE5E" w14:textId="77777777" w:rsidR="00BD23F0" w:rsidRPr="00283958" w:rsidRDefault="00BD23F0" w:rsidP="00986A0B">
            <w:pPr>
              <w:pStyle w:val="TableHeading"/>
              <w:rPr>
                <w:rFonts w:ascii="Arial" w:hAnsi="Arial" w:cs="Arial"/>
                <w:b w:val="0"/>
                <w:bCs/>
              </w:rPr>
            </w:pPr>
            <w:r w:rsidRPr="00283958">
              <w:rPr>
                <w:rFonts w:ascii="Arial" w:hAnsi="Arial" w:cs="Arial"/>
                <w:b w:val="0"/>
                <w:bCs/>
              </w:rPr>
              <w:t>Column 1</w:t>
            </w:r>
            <w:r w:rsidRPr="00283958">
              <w:rPr>
                <w:rFonts w:ascii="Arial" w:hAnsi="Arial" w:cs="Arial"/>
                <w:b w:val="0"/>
                <w:bCs/>
              </w:rPr>
              <w:br/>
              <w:t>Substance</w:t>
            </w:r>
          </w:p>
        </w:tc>
        <w:tc>
          <w:tcPr>
            <w:tcW w:w="2126" w:type="dxa"/>
            <w:tcBorders>
              <w:top w:val="single" w:sz="6" w:space="0" w:color="auto"/>
              <w:bottom w:val="single" w:sz="12" w:space="0" w:color="auto"/>
            </w:tcBorders>
            <w:tcMar>
              <w:top w:w="113" w:type="dxa"/>
              <w:bottom w:w="113" w:type="dxa"/>
            </w:tcMar>
          </w:tcPr>
          <w:p w14:paraId="0A8600D4" w14:textId="77777777" w:rsidR="00BD23F0" w:rsidRPr="00283958" w:rsidRDefault="00BD23F0" w:rsidP="00986A0B">
            <w:pPr>
              <w:pStyle w:val="TableHeading"/>
              <w:rPr>
                <w:rFonts w:ascii="Arial" w:hAnsi="Arial" w:cs="Arial"/>
                <w:b w:val="0"/>
                <w:bCs/>
              </w:rPr>
            </w:pPr>
            <w:r w:rsidRPr="00283958">
              <w:rPr>
                <w:rFonts w:ascii="Arial" w:hAnsi="Arial" w:cs="Arial"/>
                <w:b w:val="0"/>
                <w:bCs/>
              </w:rPr>
              <w:t>Column 2</w:t>
            </w:r>
            <w:r w:rsidRPr="00283958">
              <w:rPr>
                <w:rFonts w:ascii="Arial" w:hAnsi="Arial" w:cs="Arial"/>
                <w:b w:val="0"/>
                <w:bCs/>
              </w:rPr>
              <w:br/>
              <w:t>Area, sub</w:t>
            </w:r>
            <w:r w:rsidRPr="00283958">
              <w:rPr>
                <w:rFonts w:ascii="Arial" w:hAnsi="Arial" w:cs="Arial"/>
                <w:b w:val="0"/>
                <w:bCs/>
              </w:rPr>
              <w:noBreakHyphen/>
              <w:t>area or sub</w:t>
            </w:r>
            <w:r w:rsidRPr="00283958">
              <w:rPr>
                <w:rFonts w:ascii="Arial" w:hAnsi="Arial" w:cs="Arial"/>
                <w:b w:val="0"/>
                <w:bCs/>
              </w:rPr>
              <w:noBreakHyphen/>
              <w:t>sub</w:t>
            </w:r>
            <w:r w:rsidRPr="00283958">
              <w:rPr>
                <w:rFonts w:ascii="Arial" w:hAnsi="Arial" w:cs="Arial"/>
                <w:b w:val="0"/>
                <w:bCs/>
              </w:rPr>
              <w:noBreakHyphen/>
              <w:t>area of use</w:t>
            </w:r>
          </w:p>
        </w:tc>
        <w:tc>
          <w:tcPr>
            <w:tcW w:w="1276" w:type="dxa"/>
            <w:tcBorders>
              <w:top w:val="single" w:sz="6" w:space="0" w:color="auto"/>
              <w:bottom w:val="single" w:sz="12" w:space="0" w:color="auto"/>
            </w:tcBorders>
            <w:tcMar>
              <w:top w:w="113" w:type="dxa"/>
              <w:bottom w:w="113" w:type="dxa"/>
            </w:tcMar>
          </w:tcPr>
          <w:p w14:paraId="51DA6CBA" w14:textId="77777777" w:rsidR="00BD23F0" w:rsidRPr="00283958" w:rsidRDefault="00BD23F0" w:rsidP="00986A0B">
            <w:pPr>
              <w:pStyle w:val="TableHeading"/>
              <w:rPr>
                <w:rFonts w:ascii="Arial" w:hAnsi="Arial" w:cs="Arial"/>
                <w:b w:val="0"/>
                <w:bCs/>
              </w:rPr>
            </w:pPr>
            <w:r w:rsidRPr="00283958">
              <w:rPr>
                <w:rFonts w:ascii="Arial" w:hAnsi="Arial" w:cs="Arial"/>
                <w:b w:val="0"/>
                <w:bCs/>
              </w:rPr>
              <w:t>Column 3</w:t>
            </w:r>
            <w:r w:rsidRPr="00283958">
              <w:rPr>
                <w:rFonts w:ascii="Arial" w:hAnsi="Arial" w:cs="Arial"/>
                <w:b w:val="0"/>
                <w:bCs/>
              </w:rPr>
              <w:br/>
              <w:t>Reason for inclusion</w:t>
            </w:r>
          </w:p>
        </w:tc>
        <w:tc>
          <w:tcPr>
            <w:tcW w:w="1100" w:type="dxa"/>
            <w:tcBorders>
              <w:top w:val="single" w:sz="6" w:space="0" w:color="auto"/>
              <w:bottom w:val="single" w:sz="12" w:space="0" w:color="auto"/>
            </w:tcBorders>
            <w:tcMar>
              <w:top w:w="113" w:type="dxa"/>
              <w:bottom w:w="113" w:type="dxa"/>
            </w:tcMar>
          </w:tcPr>
          <w:p w14:paraId="4389FFC0" w14:textId="77777777" w:rsidR="00BD23F0" w:rsidRPr="00283958" w:rsidRDefault="00BD23F0" w:rsidP="00986A0B">
            <w:pPr>
              <w:pStyle w:val="TableHeading"/>
              <w:rPr>
                <w:rFonts w:ascii="Arial" w:hAnsi="Arial" w:cs="Arial"/>
                <w:b w:val="0"/>
                <w:bCs/>
              </w:rPr>
            </w:pPr>
            <w:r w:rsidRPr="00283958">
              <w:rPr>
                <w:rFonts w:ascii="Arial" w:hAnsi="Arial" w:cs="Arial"/>
                <w:b w:val="0"/>
                <w:bCs/>
              </w:rPr>
              <w:t>Column 4</w:t>
            </w:r>
            <w:r w:rsidRPr="00283958">
              <w:rPr>
                <w:rFonts w:ascii="Arial" w:hAnsi="Arial" w:cs="Arial"/>
                <w:b w:val="0"/>
                <w:bCs/>
              </w:rPr>
              <w:br/>
              <w:t>Date of inclusion</w:t>
            </w:r>
          </w:p>
        </w:tc>
      </w:tr>
      <w:tr w:rsidR="00BD23F0" w:rsidRPr="00705E25" w14:paraId="72EFED68" w14:textId="77777777" w:rsidTr="00283958">
        <w:tc>
          <w:tcPr>
            <w:tcW w:w="639" w:type="dxa"/>
            <w:tcBorders>
              <w:top w:val="single" w:sz="12" w:space="0" w:color="auto"/>
              <w:bottom w:val="single" w:sz="2" w:space="0" w:color="auto"/>
            </w:tcBorders>
            <w:tcMar>
              <w:top w:w="113" w:type="dxa"/>
              <w:bottom w:w="113" w:type="dxa"/>
            </w:tcMar>
          </w:tcPr>
          <w:p w14:paraId="4FA0D63A" w14:textId="77777777" w:rsidR="00BD23F0" w:rsidRPr="00705E25" w:rsidRDefault="00BD23F0" w:rsidP="00986A0B">
            <w:pPr>
              <w:pStyle w:val="Tabletext"/>
              <w:rPr>
                <w:rFonts w:ascii="Arial" w:hAnsi="Arial" w:cs="Arial"/>
              </w:rPr>
            </w:pPr>
            <w:r w:rsidRPr="00705E25">
              <w:rPr>
                <w:rFonts w:ascii="Arial" w:hAnsi="Arial" w:cs="Arial"/>
              </w:rPr>
              <w:t>22</w:t>
            </w:r>
          </w:p>
        </w:tc>
        <w:tc>
          <w:tcPr>
            <w:tcW w:w="3359" w:type="dxa"/>
            <w:tcBorders>
              <w:top w:val="single" w:sz="12" w:space="0" w:color="auto"/>
              <w:bottom w:val="single" w:sz="2" w:space="0" w:color="auto"/>
            </w:tcBorders>
            <w:tcMar>
              <w:top w:w="113" w:type="dxa"/>
              <w:bottom w:w="113" w:type="dxa"/>
            </w:tcMar>
          </w:tcPr>
          <w:p w14:paraId="68474AA1" w14:textId="77777777" w:rsidR="00BD23F0" w:rsidRPr="00705E25" w:rsidRDefault="00BD23F0" w:rsidP="00986A0B">
            <w:pPr>
              <w:pStyle w:val="Tabletext"/>
              <w:rPr>
                <w:rFonts w:ascii="Arial" w:hAnsi="Arial" w:cs="Arial"/>
                <w:u w:val="single"/>
              </w:rPr>
            </w:pPr>
            <w:r w:rsidRPr="00705E25">
              <w:rPr>
                <w:rFonts w:ascii="Arial" w:hAnsi="Arial" w:cs="Arial"/>
                <w:color w:val="00B050"/>
                <w:u w:val="single"/>
              </w:rPr>
              <w:t xml:space="preserve">BACILLUS </w:t>
            </w:r>
            <w:proofErr w:type="spellStart"/>
            <w:r w:rsidRPr="00705E25">
              <w:rPr>
                <w:rFonts w:ascii="Arial" w:hAnsi="Arial" w:cs="Arial"/>
                <w:color w:val="00B050"/>
                <w:u w:val="single"/>
              </w:rPr>
              <w:t>PARALICHENIFORMIS</w:t>
            </w:r>
            <w:proofErr w:type="spellEnd"/>
          </w:p>
        </w:tc>
        <w:tc>
          <w:tcPr>
            <w:tcW w:w="2126" w:type="dxa"/>
            <w:tcBorders>
              <w:top w:val="single" w:sz="12" w:space="0" w:color="auto"/>
              <w:bottom w:val="single" w:sz="2" w:space="0" w:color="auto"/>
            </w:tcBorders>
            <w:tcMar>
              <w:top w:w="113" w:type="dxa"/>
              <w:bottom w:w="113" w:type="dxa"/>
            </w:tcMar>
          </w:tcPr>
          <w:p w14:paraId="12070158" w14:textId="77777777" w:rsidR="00BD23F0" w:rsidRPr="00705E25" w:rsidRDefault="00BD23F0" w:rsidP="00986A0B">
            <w:pPr>
              <w:pStyle w:val="Tabletext"/>
              <w:rPr>
                <w:rFonts w:ascii="Arial" w:hAnsi="Arial" w:cs="Arial"/>
                <w:color w:val="00B050"/>
              </w:rPr>
            </w:pPr>
            <w:r w:rsidRPr="00705E25">
              <w:rPr>
                <w:rFonts w:ascii="Arial" w:hAnsi="Arial" w:cs="Arial"/>
                <w:color w:val="00B050"/>
              </w:rPr>
              <w:t>1.10</w:t>
            </w:r>
          </w:p>
        </w:tc>
        <w:tc>
          <w:tcPr>
            <w:tcW w:w="1276" w:type="dxa"/>
            <w:tcBorders>
              <w:top w:val="single" w:sz="12" w:space="0" w:color="auto"/>
              <w:bottom w:val="single" w:sz="2" w:space="0" w:color="auto"/>
            </w:tcBorders>
            <w:tcMar>
              <w:top w:w="113" w:type="dxa"/>
              <w:bottom w:w="113" w:type="dxa"/>
            </w:tcMar>
          </w:tcPr>
          <w:p w14:paraId="31CB544D" w14:textId="77777777" w:rsidR="00BD23F0" w:rsidRPr="00705E25" w:rsidRDefault="00BD23F0" w:rsidP="00986A0B">
            <w:pPr>
              <w:pStyle w:val="Tabletext"/>
              <w:rPr>
                <w:rFonts w:ascii="Arial" w:hAnsi="Arial" w:cs="Arial"/>
                <w:color w:val="00B050"/>
              </w:rPr>
            </w:pPr>
            <w:r w:rsidRPr="00705E25">
              <w:rPr>
                <w:rFonts w:ascii="Arial" w:hAnsi="Arial" w:cs="Arial"/>
                <w:color w:val="00B050"/>
              </w:rPr>
              <w:t>a</w:t>
            </w:r>
          </w:p>
        </w:tc>
        <w:tc>
          <w:tcPr>
            <w:tcW w:w="1100" w:type="dxa"/>
            <w:tcBorders>
              <w:top w:val="single" w:sz="12" w:space="0" w:color="auto"/>
              <w:bottom w:val="single" w:sz="2" w:space="0" w:color="auto"/>
            </w:tcBorders>
            <w:tcMar>
              <w:top w:w="113" w:type="dxa"/>
              <w:bottom w:w="113" w:type="dxa"/>
            </w:tcMar>
          </w:tcPr>
          <w:p w14:paraId="606DE4D0" w14:textId="77777777" w:rsidR="00BD23F0" w:rsidRPr="00705E25" w:rsidRDefault="00BD23F0" w:rsidP="00986A0B">
            <w:pPr>
              <w:pStyle w:val="Tabletext"/>
              <w:rPr>
                <w:rFonts w:ascii="Arial" w:hAnsi="Arial" w:cs="Arial"/>
              </w:rPr>
            </w:pPr>
            <w:r w:rsidRPr="00705E25">
              <w:rPr>
                <w:rFonts w:ascii="Arial" w:hAnsi="Arial" w:cs="Arial"/>
                <w:color w:val="00B050"/>
              </w:rPr>
              <w:t>Jun 2026</w:t>
            </w:r>
          </w:p>
        </w:tc>
      </w:tr>
    </w:tbl>
    <w:p w14:paraId="7973938E" w14:textId="77777777" w:rsidR="00BD23F0" w:rsidRPr="00307556" w:rsidRDefault="00BD23F0" w:rsidP="00973CBF"/>
    <w:p w14:paraId="61F0BAA0" w14:textId="77777777" w:rsidR="00BD23F0" w:rsidRPr="00307556" w:rsidRDefault="00BD23F0" w:rsidP="00BD23F0">
      <w:pPr>
        <w:ind w:left="425"/>
        <w:rPr>
          <w:rFonts w:cs="Arial"/>
          <w:b/>
          <w:bCs/>
          <w:szCs w:val="20"/>
        </w:rPr>
      </w:pPr>
      <w:r w:rsidRPr="00307556">
        <w:rPr>
          <w:rFonts w:cs="Arial"/>
          <w:b/>
          <w:bCs/>
          <w:szCs w:val="20"/>
        </w:rPr>
        <w:t>Index – New Entry</w:t>
      </w:r>
    </w:p>
    <w:p w14:paraId="6B3478B2" w14:textId="77777777" w:rsidR="00BD23F0" w:rsidRPr="00B93EE9" w:rsidRDefault="00BD23F0" w:rsidP="00BD23F0">
      <w:pPr>
        <w:ind w:left="709"/>
        <w:rPr>
          <w:rFonts w:eastAsia="Cambria" w:cs="Arial"/>
          <w:b/>
          <w:bCs/>
          <w:color w:val="00B050"/>
          <w:kern w:val="24"/>
          <w:szCs w:val="20"/>
          <w:u w:val="single"/>
        </w:rPr>
      </w:pPr>
      <w:r w:rsidRPr="00B93EE9">
        <w:rPr>
          <w:rFonts w:eastAsia="Cambria" w:cs="Arial"/>
          <w:b/>
          <w:bCs/>
          <w:color w:val="00B050"/>
          <w:kern w:val="24"/>
          <w:szCs w:val="20"/>
          <w:u w:val="single"/>
        </w:rPr>
        <w:t xml:space="preserve">BACILLUS </w:t>
      </w:r>
      <w:proofErr w:type="spellStart"/>
      <w:r w:rsidRPr="00B93EE9">
        <w:rPr>
          <w:rFonts w:eastAsia="Cambria" w:cs="Arial"/>
          <w:b/>
          <w:bCs/>
          <w:color w:val="00B050"/>
          <w:kern w:val="24"/>
          <w:szCs w:val="20"/>
          <w:u w:val="single"/>
        </w:rPr>
        <w:t>PARALICHENIFORMIS</w:t>
      </w:r>
      <w:proofErr w:type="spellEnd"/>
    </w:p>
    <w:p w14:paraId="484C5F79" w14:textId="17CD1C55" w:rsidR="00BD23F0" w:rsidRPr="00BD23F0" w:rsidRDefault="00BD23F0" w:rsidP="00BD23F0">
      <w:pPr>
        <w:ind w:left="709"/>
        <w:rPr>
          <w:rFonts w:eastAsia="Cambria" w:cs="Arial"/>
          <w:color w:val="00B050"/>
          <w:kern w:val="24"/>
          <w:szCs w:val="20"/>
          <w:u w:val="single"/>
        </w:rPr>
      </w:pPr>
      <w:r w:rsidRPr="005B00AA">
        <w:rPr>
          <w:rFonts w:eastAsia="Cambria" w:cs="Arial"/>
          <w:color w:val="00B050"/>
          <w:kern w:val="24"/>
          <w:szCs w:val="20"/>
          <w:u w:val="single"/>
        </w:rPr>
        <w:t xml:space="preserve">Appendix B, Clause </w:t>
      </w:r>
      <w:r>
        <w:rPr>
          <w:rFonts w:eastAsia="Cambria" w:cs="Arial"/>
          <w:color w:val="00B050"/>
          <w:kern w:val="24"/>
          <w:szCs w:val="20"/>
          <w:u w:val="single"/>
        </w:rPr>
        <w:t>3</w:t>
      </w:r>
    </w:p>
    <w:p w14:paraId="34F7841E" w14:textId="77777777" w:rsidR="00BD23F0" w:rsidRPr="00505AF6" w:rsidRDefault="00BD23F0"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Materials considered</w:t>
      </w:r>
    </w:p>
    <w:p w14:paraId="1694409A" w14:textId="77777777" w:rsidR="00BD23F0" w:rsidRPr="00307556" w:rsidRDefault="00BD23F0" w:rsidP="00BD23F0">
      <w:pPr>
        <w:rPr>
          <w:rFonts w:cs="Arial"/>
        </w:rPr>
      </w:pPr>
      <w:r w:rsidRPr="00307556">
        <w:rPr>
          <w:rFonts w:cs="Arial"/>
        </w:rPr>
        <w:t>In making this final decision, the Delegate considered the following material:</w:t>
      </w:r>
    </w:p>
    <w:p w14:paraId="507F1548" w14:textId="77777777" w:rsidR="00BD23F0" w:rsidRPr="00307556" w:rsidRDefault="00BD23F0" w:rsidP="00B93EE9">
      <w:pPr>
        <w:pStyle w:val="ListBullet"/>
        <w:numPr>
          <w:ilvl w:val="0"/>
          <w:numId w:val="28"/>
        </w:numPr>
      </w:pPr>
      <w:r w:rsidRPr="003764C6">
        <w:t>the application to amend the current Poisons Standard with respect to</w:t>
      </w:r>
      <w:r w:rsidRPr="00307556">
        <w:t xml:space="preserve"> </w:t>
      </w:r>
      <w:r w:rsidRPr="00B93EE9">
        <w:rPr>
          <w:i/>
          <w:iCs/>
          <w:szCs w:val="20"/>
        </w:rPr>
        <w:t xml:space="preserve">Bacillus </w:t>
      </w:r>
      <w:proofErr w:type="spellStart"/>
      <w:r w:rsidRPr="00B93EE9">
        <w:rPr>
          <w:i/>
          <w:iCs/>
          <w:szCs w:val="20"/>
        </w:rPr>
        <w:t>paralicheniformis</w:t>
      </w:r>
      <w:proofErr w:type="spellEnd"/>
      <w:r w:rsidRPr="00027C26">
        <w:rPr>
          <w:szCs w:val="20"/>
        </w:rPr>
        <w:t xml:space="preserve"> </w:t>
      </w:r>
      <w:r w:rsidRPr="00307556">
        <w:t>(</w:t>
      </w:r>
      <w:r w:rsidRPr="003764C6">
        <w:t>the</w:t>
      </w:r>
      <w:r w:rsidRPr="00307556">
        <w:t xml:space="preserve"> </w:t>
      </w:r>
      <w:r w:rsidRPr="003764C6">
        <w:rPr>
          <w:b/>
          <w:bCs/>
        </w:rPr>
        <w:t>Application</w:t>
      </w:r>
      <w:r w:rsidRPr="00307556">
        <w:t>)</w:t>
      </w:r>
    </w:p>
    <w:p w14:paraId="366053FB" w14:textId="75D98693" w:rsidR="00BD23F0" w:rsidRPr="003764C6" w:rsidRDefault="00BD23F0" w:rsidP="00B93EE9">
      <w:pPr>
        <w:pStyle w:val="ListBullet"/>
        <w:numPr>
          <w:ilvl w:val="0"/>
          <w:numId w:val="28"/>
        </w:numPr>
      </w:pPr>
      <w:r w:rsidRPr="003764C6">
        <w:t xml:space="preserve">subsection </w:t>
      </w:r>
      <w:proofErr w:type="spellStart"/>
      <w:r w:rsidRPr="003764C6">
        <w:t>52E</w:t>
      </w:r>
      <w:proofErr w:type="spellEnd"/>
      <w:r w:rsidRPr="003764C6">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2882A272" w14:textId="77777777" w:rsidR="00BD23F0" w:rsidRPr="003764C6" w:rsidRDefault="00BD23F0" w:rsidP="00B93EE9">
      <w:pPr>
        <w:pStyle w:val="ListBullet"/>
        <w:numPr>
          <w:ilvl w:val="0"/>
          <w:numId w:val="28"/>
        </w:numPr>
      </w:pPr>
      <w:r w:rsidRPr="003764C6">
        <w:lastRenderedPageBreak/>
        <w:t xml:space="preserve">pursuant to paragraph </w:t>
      </w:r>
      <w:proofErr w:type="spellStart"/>
      <w:r w:rsidRPr="003764C6">
        <w:t>52E</w:t>
      </w:r>
      <w:proofErr w:type="spellEnd"/>
      <w:r w:rsidRPr="003764C6">
        <w:t>(2)(a) of the Act, the SPF</w:t>
      </w:r>
    </w:p>
    <w:p w14:paraId="369EB639" w14:textId="77777777" w:rsidR="00BD23F0" w:rsidRPr="00307556" w:rsidRDefault="00BD23F0" w:rsidP="00B93EE9">
      <w:pPr>
        <w:pStyle w:val="ListBullet"/>
        <w:numPr>
          <w:ilvl w:val="0"/>
          <w:numId w:val="28"/>
        </w:numPr>
      </w:pPr>
      <w:r w:rsidRPr="003764C6">
        <w:t>the Handbook.</w:t>
      </w:r>
    </w:p>
    <w:p w14:paraId="01C17523" w14:textId="77777777" w:rsidR="00BD23F0" w:rsidRPr="00505AF6" w:rsidRDefault="00BD23F0"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Reasons for the final decision (including findings on material questions of fact)</w:t>
      </w:r>
    </w:p>
    <w:p w14:paraId="75B77DAD" w14:textId="1E5D1349" w:rsidR="00BD23F0" w:rsidRPr="003764C6" w:rsidRDefault="00BD23F0" w:rsidP="003764C6">
      <w:pPr>
        <w:rPr>
          <w:rFonts w:cs="Arial"/>
        </w:rPr>
      </w:pPr>
      <w:r w:rsidRPr="003764C6">
        <w:rPr>
          <w:rFonts w:cs="Arial"/>
        </w:rPr>
        <w:t xml:space="preserve">The proposal is to amend the current Poisons Standard to include </w:t>
      </w:r>
      <w:r w:rsidR="003764C6" w:rsidRPr="003764C6">
        <w:rPr>
          <w:rFonts w:cs="Arial"/>
          <w:i/>
          <w:iCs/>
        </w:rPr>
        <w:t>B</w:t>
      </w:r>
      <w:r w:rsidRPr="003764C6">
        <w:rPr>
          <w:rFonts w:cs="Arial"/>
          <w:i/>
          <w:iCs/>
        </w:rPr>
        <w:t xml:space="preserve">acillus </w:t>
      </w:r>
      <w:proofErr w:type="spellStart"/>
      <w:r w:rsidRPr="003764C6">
        <w:rPr>
          <w:rFonts w:cs="Arial"/>
          <w:i/>
          <w:iCs/>
        </w:rPr>
        <w:t>paralicheniformis</w:t>
      </w:r>
      <w:proofErr w:type="spellEnd"/>
      <w:r w:rsidRPr="003764C6">
        <w:rPr>
          <w:rFonts w:cs="Arial"/>
        </w:rPr>
        <w:t xml:space="preserve"> </w:t>
      </w:r>
      <w:r w:rsidR="003764C6" w:rsidRPr="003764C6">
        <w:rPr>
          <w:rFonts w:cs="Arial"/>
        </w:rPr>
        <w:t>(</w:t>
      </w:r>
      <w:r w:rsidR="003764C6" w:rsidRPr="003764C6">
        <w:rPr>
          <w:rFonts w:cs="Arial"/>
          <w:i/>
          <w:iCs/>
        </w:rPr>
        <w:t>B. </w:t>
      </w:r>
      <w:proofErr w:type="spellStart"/>
      <w:r w:rsidR="003764C6" w:rsidRPr="003764C6">
        <w:rPr>
          <w:rFonts w:cs="Arial"/>
          <w:i/>
          <w:iCs/>
        </w:rPr>
        <w:t>paralicheniformis</w:t>
      </w:r>
      <w:proofErr w:type="spellEnd"/>
      <w:r w:rsidR="003764C6" w:rsidRPr="003764C6">
        <w:rPr>
          <w:rFonts w:cs="Arial"/>
        </w:rPr>
        <w:t>)</w:t>
      </w:r>
      <w:r w:rsidR="00283958">
        <w:rPr>
          <w:rFonts w:cs="Arial"/>
        </w:rPr>
        <w:t xml:space="preserve"> </w:t>
      </w:r>
      <w:r w:rsidRPr="003764C6">
        <w:rPr>
          <w:rFonts w:cs="Arial"/>
        </w:rPr>
        <w:t>in Appendix B, Clause 3 of the Poisons Standard. Appendix B lists substances considered not to require control by scheduling.</w:t>
      </w:r>
    </w:p>
    <w:p w14:paraId="1B5D5E5F" w14:textId="04DC131A" w:rsidR="00BD23F0" w:rsidRPr="002B193E" w:rsidRDefault="00BD23F0" w:rsidP="00BD23F0">
      <w:pPr>
        <w:rPr>
          <w:rFonts w:cs="Arial"/>
        </w:rPr>
      </w:pPr>
      <w:r w:rsidRPr="00307556">
        <w:rPr>
          <w:rFonts w:cs="Arial"/>
        </w:rPr>
        <w:t xml:space="preserve">In determining that this matter will be a delegate-only decision I have </w:t>
      </w:r>
      <w:proofErr w:type="gramStart"/>
      <w:r w:rsidRPr="00307556">
        <w:rPr>
          <w:rFonts w:cs="Arial"/>
        </w:rPr>
        <w:t>taken into account</w:t>
      </w:r>
      <w:proofErr w:type="gramEnd"/>
      <w:r w:rsidRPr="00307556">
        <w:rPr>
          <w:rFonts w:cs="Arial"/>
        </w:rPr>
        <w:t xml:space="preserve"> the information provided in the Application, and the matters outlined under s </w:t>
      </w:r>
      <w:proofErr w:type="spellStart"/>
      <w:r w:rsidRPr="00307556">
        <w:rPr>
          <w:rFonts w:cs="Arial"/>
        </w:rPr>
        <w:t>52E</w:t>
      </w:r>
      <w:proofErr w:type="spellEnd"/>
      <w:r w:rsidRPr="00307556">
        <w:rPr>
          <w:rFonts w:cs="Arial"/>
        </w:rPr>
        <w:t xml:space="preserve"> of the Act and the SPF. My reasons for making the final decision follow.</w:t>
      </w:r>
    </w:p>
    <w:p w14:paraId="67FA2B1D" w14:textId="350CB59B" w:rsidR="00BD23F0" w:rsidRDefault="00BD23F0" w:rsidP="00BD23F0">
      <w:pPr>
        <w:rPr>
          <w:rFonts w:cs="Arial"/>
        </w:rPr>
      </w:pPr>
      <w:r w:rsidRPr="009124F2">
        <w:rPr>
          <w:rFonts w:cs="Arial"/>
          <w:i/>
          <w:iCs/>
        </w:rPr>
        <w:t xml:space="preserve">B. </w:t>
      </w:r>
      <w:proofErr w:type="spellStart"/>
      <w:r w:rsidRPr="009124F2">
        <w:rPr>
          <w:rFonts w:cs="Arial"/>
          <w:i/>
          <w:iCs/>
        </w:rPr>
        <w:t>paralicheniformis</w:t>
      </w:r>
      <w:proofErr w:type="spellEnd"/>
      <w:r>
        <w:rPr>
          <w:rFonts w:cs="Arial"/>
        </w:rPr>
        <w:t>) is a bacterium proposed for use in the control of root-knot nematode (</w:t>
      </w:r>
      <w:r w:rsidRPr="00FF3268">
        <w:rPr>
          <w:rFonts w:cs="Arial"/>
          <w:i/>
          <w:iCs/>
        </w:rPr>
        <w:t>Meloidogyne</w:t>
      </w:r>
      <w:r>
        <w:rPr>
          <w:rFonts w:cs="Arial"/>
        </w:rPr>
        <w:t xml:space="preserve"> spp.) in a wide range of vegetables such as fruiting, root and tuber vegetables. Root-knot nematode infestations can severely impact nutrient uptake, leading to stalled plant growth and diminished crop yield.</w:t>
      </w:r>
      <w:r>
        <w:rPr>
          <w:rStyle w:val="FootnoteReference"/>
          <w:rFonts w:cs="Arial"/>
        </w:rPr>
        <w:footnoteReference w:id="3"/>
      </w:r>
    </w:p>
    <w:p w14:paraId="0354F81E" w14:textId="536CFC91" w:rsidR="00BD23F0" w:rsidRPr="00307556" w:rsidRDefault="00BD23F0" w:rsidP="00BD23F0">
      <w:pPr>
        <w:rPr>
          <w:rFonts w:cs="Arial"/>
        </w:rPr>
      </w:pPr>
      <w:r>
        <w:rPr>
          <w:rFonts w:cs="Arial"/>
        </w:rPr>
        <w:t xml:space="preserve">The genus </w:t>
      </w:r>
      <w:r>
        <w:rPr>
          <w:rFonts w:cs="Arial"/>
          <w:i/>
          <w:iCs/>
        </w:rPr>
        <w:t>Bacillus</w:t>
      </w:r>
      <w:r w:rsidR="00CD6B3A">
        <w:rPr>
          <w:rFonts w:cs="Arial"/>
        </w:rPr>
        <w:t xml:space="preserve"> are </w:t>
      </w:r>
      <w:r>
        <w:rPr>
          <w:rFonts w:cs="Arial"/>
        </w:rPr>
        <w:t xml:space="preserve">gram-positive, rod-shaped bacteria which are ubiquitous in soil and commonly found in water, air, food and feed. </w:t>
      </w:r>
      <w:r w:rsidRPr="009124F2">
        <w:rPr>
          <w:rFonts w:cs="Arial"/>
          <w:i/>
          <w:iCs/>
        </w:rPr>
        <w:t xml:space="preserve">B. </w:t>
      </w:r>
      <w:proofErr w:type="spellStart"/>
      <w:r w:rsidRPr="009124F2">
        <w:rPr>
          <w:rFonts w:cs="Arial"/>
          <w:i/>
          <w:iCs/>
        </w:rPr>
        <w:t>paralicheniformis</w:t>
      </w:r>
      <w:proofErr w:type="spellEnd"/>
      <w:r>
        <w:rPr>
          <w:rFonts w:cs="Arial"/>
        </w:rPr>
        <w:t xml:space="preserve"> </w:t>
      </w:r>
      <w:r w:rsidR="00CD6B3A" w:rsidRPr="003764C6">
        <w:rPr>
          <w:rFonts w:cs="Arial"/>
        </w:rPr>
        <w:t xml:space="preserve">strain </w:t>
      </w:r>
      <w:proofErr w:type="spellStart"/>
      <w:r w:rsidR="00CD6B3A" w:rsidRPr="003764C6">
        <w:rPr>
          <w:rFonts w:cs="Arial"/>
        </w:rPr>
        <w:t>FMCH001</w:t>
      </w:r>
      <w:proofErr w:type="spellEnd"/>
      <w:r w:rsidR="00CD6B3A" w:rsidRPr="003764C6">
        <w:rPr>
          <w:rFonts w:cs="Arial"/>
        </w:rPr>
        <w:t xml:space="preserve"> </w:t>
      </w:r>
      <w:r>
        <w:rPr>
          <w:rFonts w:cs="Arial"/>
        </w:rPr>
        <w:t xml:space="preserve">is one of two </w:t>
      </w:r>
      <w:r w:rsidR="00F829E1">
        <w:rPr>
          <w:rFonts w:cs="Arial"/>
        </w:rPr>
        <w:t xml:space="preserve">biological control agents </w:t>
      </w:r>
      <w:r>
        <w:rPr>
          <w:rFonts w:cs="Arial"/>
        </w:rPr>
        <w:t>in a new product yet to be registered</w:t>
      </w:r>
      <w:r w:rsidR="00F829E1">
        <w:rPr>
          <w:rFonts w:cs="Arial"/>
        </w:rPr>
        <w:t xml:space="preserve"> for agricultural use.</w:t>
      </w:r>
    </w:p>
    <w:p w14:paraId="6DBF3EAF" w14:textId="003AB1AB" w:rsidR="00BD23F0" w:rsidRDefault="00BD23F0" w:rsidP="00BD23F0">
      <w:pPr>
        <w:rPr>
          <w:rFonts w:cs="Arial"/>
        </w:rPr>
      </w:pPr>
      <w:proofErr w:type="gramStart"/>
      <w:r>
        <w:rPr>
          <w:rFonts w:cs="Arial"/>
        </w:rPr>
        <w:t>With regard to</w:t>
      </w:r>
      <w:proofErr w:type="gramEnd"/>
      <w:r>
        <w:rPr>
          <w:rFonts w:cs="Arial"/>
        </w:rPr>
        <w:t xml:space="preserve"> subsection </w:t>
      </w:r>
      <w:proofErr w:type="spellStart"/>
      <w:r>
        <w:rPr>
          <w:rFonts w:cs="Arial"/>
        </w:rPr>
        <w:t>52E</w:t>
      </w:r>
      <w:proofErr w:type="spellEnd"/>
      <w:r>
        <w:rPr>
          <w:rFonts w:cs="Arial"/>
        </w:rPr>
        <w:t xml:space="preserve">(1)(a) of the Act, </w:t>
      </w:r>
      <w:r w:rsidRPr="009124F2">
        <w:rPr>
          <w:rFonts w:cs="Arial"/>
          <w:i/>
          <w:iCs/>
        </w:rPr>
        <w:t xml:space="preserve">B. </w:t>
      </w:r>
      <w:proofErr w:type="spellStart"/>
      <w:r w:rsidRPr="009124F2">
        <w:rPr>
          <w:rFonts w:cs="Arial"/>
          <w:i/>
          <w:iCs/>
        </w:rPr>
        <w:t>paralicheniformis</w:t>
      </w:r>
      <w:proofErr w:type="spellEnd"/>
      <w:r>
        <w:rPr>
          <w:rFonts w:cs="Arial"/>
          <w:i/>
          <w:iCs/>
        </w:rPr>
        <w:t xml:space="preserve"> </w:t>
      </w:r>
      <w:r>
        <w:rPr>
          <w:rFonts w:cs="Arial"/>
        </w:rPr>
        <w:t xml:space="preserve">possesses very little inherent risk associated with its use due to </w:t>
      </w:r>
      <w:r w:rsidR="002676AB">
        <w:rPr>
          <w:rFonts w:cs="Arial"/>
        </w:rPr>
        <w:t>the</w:t>
      </w:r>
      <w:r>
        <w:rPr>
          <w:rFonts w:cs="Arial"/>
        </w:rPr>
        <w:t xml:space="preserve"> absence </w:t>
      </w:r>
      <w:r w:rsidR="002676AB">
        <w:rPr>
          <w:rFonts w:cs="Arial"/>
        </w:rPr>
        <w:t xml:space="preserve">of </w:t>
      </w:r>
      <w:r w:rsidR="00125CB0">
        <w:rPr>
          <w:rFonts w:cs="Arial"/>
        </w:rPr>
        <w:t>information indicating its</w:t>
      </w:r>
      <w:r>
        <w:rPr>
          <w:rFonts w:cs="Arial"/>
        </w:rPr>
        <w:t xml:space="preserve"> pathogenicity, infectivity and toxicity as determined through toxicological analysis. </w:t>
      </w:r>
      <w:r w:rsidRPr="009124F2">
        <w:rPr>
          <w:rFonts w:cs="Arial"/>
          <w:i/>
          <w:iCs/>
        </w:rPr>
        <w:t xml:space="preserve">B. </w:t>
      </w:r>
      <w:proofErr w:type="spellStart"/>
      <w:r w:rsidRPr="009124F2">
        <w:rPr>
          <w:rFonts w:cs="Arial"/>
          <w:i/>
          <w:iCs/>
        </w:rPr>
        <w:t>paralicheniformis</w:t>
      </w:r>
      <w:proofErr w:type="spellEnd"/>
      <w:r>
        <w:rPr>
          <w:rFonts w:cs="Arial"/>
        </w:rPr>
        <w:t xml:space="preserve"> is a common additive in feed for livestock with potential use in human probiotics. The substance’s benefit of use </w:t>
      </w:r>
      <w:r w:rsidR="002676AB">
        <w:rPr>
          <w:rFonts w:cs="Arial"/>
        </w:rPr>
        <w:t>includes</w:t>
      </w:r>
      <w:r>
        <w:rPr>
          <w:rFonts w:cs="Arial"/>
        </w:rPr>
        <w:t xml:space="preserve"> its effectiveness in preventing root-knot nematode</w:t>
      </w:r>
      <w:r w:rsidR="00FF2DE2">
        <w:rPr>
          <w:rFonts w:cs="Arial"/>
        </w:rPr>
        <w:t>s</w:t>
      </w:r>
      <w:r>
        <w:rPr>
          <w:rFonts w:cs="Arial"/>
        </w:rPr>
        <w:t>, which will in turn improve crop yield and size of produce.</w:t>
      </w:r>
    </w:p>
    <w:p w14:paraId="5CD4AAB9" w14:textId="4CF95DC0" w:rsidR="00BD23F0" w:rsidRDefault="00BD23F0" w:rsidP="00BD23F0">
      <w:pPr>
        <w:rPr>
          <w:rFonts w:cs="Arial"/>
        </w:rPr>
      </w:pPr>
      <w:r>
        <w:rPr>
          <w:rFonts w:cs="Arial"/>
        </w:rPr>
        <w:t xml:space="preserve">Regarding s </w:t>
      </w:r>
      <w:proofErr w:type="spellStart"/>
      <w:r>
        <w:rPr>
          <w:rFonts w:cs="Arial"/>
        </w:rPr>
        <w:t>52E</w:t>
      </w:r>
      <w:proofErr w:type="spellEnd"/>
      <w:r>
        <w:rPr>
          <w:rFonts w:cs="Arial"/>
        </w:rPr>
        <w:t>(1)(b) and (d) of the Act, the nematicide product will be available as a suspension concentrate formulation in bottles ranging from 50 mL to 10 L net content, sealed with a screw cap</w:t>
      </w:r>
      <w:r w:rsidRPr="00F01D3A" w:rsidDel="00D52F06">
        <w:rPr>
          <w:rFonts w:cs="Arial"/>
          <w:highlight w:val="yellow"/>
        </w:rPr>
        <w:t xml:space="preserve"> </w:t>
      </w:r>
      <w:r w:rsidR="00B24954">
        <w:rPr>
          <w:rFonts w:cs="Arial"/>
        </w:rPr>
        <w:t xml:space="preserve">and </w:t>
      </w:r>
      <w:r w:rsidR="00D409B0">
        <w:rPr>
          <w:rFonts w:cs="Arial"/>
        </w:rPr>
        <w:t xml:space="preserve">is </w:t>
      </w:r>
      <w:r>
        <w:rPr>
          <w:rFonts w:cs="Arial"/>
        </w:rPr>
        <w:t xml:space="preserve">intended for professional use as part of an integrated pest management program. The product will be applied at a rate of 1 L/ha via drip irrigation into the root zone, in-furrow spray or plant hole drench. Direct seeded crops can receive banded boom application at plant emergence from the planted rows, with or prior to irrigation or rainfall. The extent of its use is to control the occurrence of root-knot nematode in several different families of vegetables including </w:t>
      </w:r>
      <w:r w:rsidRPr="002117E6">
        <w:rPr>
          <w:rFonts w:cs="Arial"/>
        </w:rPr>
        <w:t xml:space="preserve">brassica, </w:t>
      </w:r>
      <w:r w:rsidR="00F52B65" w:rsidRPr="002117E6">
        <w:rPr>
          <w:rFonts w:cs="Arial"/>
        </w:rPr>
        <w:t>legume</w:t>
      </w:r>
      <w:r w:rsidR="00F52B65">
        <w:rPr>
          <w:rFonts w:cs="Arial"/>
        </w:rPr>
        <w:t>,</w:t>
      </w:r>
      <w:r w:rsidR="00F52B65" w:rsidRPr="002117E6">
        <w:rPr>
          <w:rFonts w:cs="Arial"/>
        </w:rPr>
        <w:t xml:space="preserve"> cucurbits</w:t>
      </w:r>
      <w:r w:rsidR="00F52B65">
        <w:rPr>
          <w:rFonts w:cs="Arial"/>
        </w:rPr>
        <w:t>,</w:t>
      </w:r>
      <w:r w:rsidR="00F52B65" w:rsidRPr="002117E6">
        <w:rPr>
          <w:rFonts w:cs="Arial"/>
        </w:rPr>
        <w:t xml:space="preserve"> </w:t>
      </w:r>
      <w:r w:rsidRPr="002117E6">
        <w:rPr>
          <w:rFonts w:cs="Arial"/>
        </w:rPr>
        <w:t>bulb</w:t>
      </w:r>
      <w:r w:rsidR="00F52B65">
        <w:rPr>
          <w:rFonts w:cs="Arial"/>
        </w:rPr>
        <w:t>s,</w:t>
      </w:r>
      <w:r w:rsidR="00F52B65" w:rsidRPr="00F52B65">
        <w:rPr>
          <w:rFonts w:cs="Arial"/>
        </w:rPr>
        <w:t xml:space="preserve"> </w:t>
      </w:r>
      <w:r w:rsidR="00F52B65" w:rsidRPr="002117E6">
        <w:rPr>
          <w:rFonts w:cs="Arial"/>
        </w:rPr>
        <w:t>root and tuber</w:t>
      </w:r>
      <w:r w:rsidRPr="002117E6">
        <w:rPr>
          <w:rFonts w:cs="Arial"/>
        </w:rPr>
        <w:t xml:space="preserve">, </w:t>
      </w:r>
      <w:r w:rsidR="00F52B65" w:rsidRPr="002117E6">
        <w:rPr>
          <w:rFonts w:cs="Arial"/>
        </w:rPr>
        <w:t>stalk</w:t>
      </w:r>
      <w:r w:rsidR="00F52B65">
        <w:rPr>
          <w:rFonts w:cs="Arial"/>
        </w:rPr>
        <w:t xml:space="preserve"> and </w:t>
      </w:r>
      <w:r w:rsidR="00F52B65" w:rsidRPr="002117E6">
        <w:rPr>
          <w:rFonts w:cs="Arial"/>
        </w:rPr>
        <w:t>stem</w:t>
      </w:r>
      <w:r w:rsidR="00F52B65">
        <w:rPr>
          <w:rFonts w:cs="Arial"/>
        </w:rPr>
        <w:t xml:space="preserve">, </w:t>
      </w:r>
      <w:r w:rsidRPr="002117E6">
        <w:rPr>
          <w:rFonts w:cs="Arial"/>
        </w:rPr>
        <w:t>fruiting</w:t>
      </w:r>
      <w:r w:rsidR="00F52B65">
        <w:rPr>
          <w:rFonts w:cs="Arial"/>
        </w:rPr>
        <w:t xml:space="preserve"> and</w:t>
      </w:r>
      <w:r w:rsidRPr="002117E6">
        <w:rPr>
          <w:rFonts w:cs="Arial"/>
        </w:rPr>
        <w:t xml:space="preserve"> leafy vegetables</w:t>
      </w:r>
      <w:r w:rsidR="00F52B65">
        <w:rPr>
          <w:rFonts w:cs="Arial"/>
        </w:rPr>
        <w:t>.</w:t>
      </w:r>
    </w:p>
    <w:p w14:paraId="65A66262" w14:textId="1F39B315" w:rsidR="00BD23F0" w:rsidRDefault="00BD23F0" w:rsidP="00BD23F0">
      <w:pPr>
        <w:rPr>
          <w:rFonts w:cs="Arial"/>
        </w:rPr>
      </w:pPr>
      <w:r>
        <w:rPr>
          <w:rFonts w:cs="Arial"/>
        </w:rPr>
        <w:t xml:space="preserve">In consideration of s </w:t>
      </w:r>
      <w:proofErr w:type="spellStart"/>
      <w:r>
        <w:rPr>
          <w:rFonts w:cs="Arial"/>
        </w:rPr>
        <w:t>52E</w:t>
      </w:r>
      <w:proofErr w:type="spellEnd"/>
      <w:r>
        <w:rPr>
          <w:rFonts w:cs="Arial"/>
        </w:rPr>
        <w:t xml:space="preserve">(1)(c) of the Act, </w:t>
      </w:r>
      <w:r w:rsidRPr="009124F2">
        <w:rPr>
          <w:rFonts w:cs="Arial"/>
          <w:i/>
          <w:iCs/>
        </w:rPr>
        <w:t xml:space="preserve">B. </w:t>
      </w:r>
      <w:proofErr w:type="spellStart"/>
      <w:r w:rsidRPr="009124F2">
        <w:rPr>
          <w:rFonts w:cs="Arial"/>
          <w:i/>
          <w:iCs/>
        </w:rPr>
        <w:t>paralicheniformis</w:t>
      </w:r>
      <w:proofErr w:type="spellEnd"/>
      <w:r>
        <w:rPr>
          <w:rFonts w:cs="Arial"/>
          <w:i/>
          <w:iCs/>
        </w:rPr>
        <w:t xml:space="preserve"> </w:t>
      </w:r>
      <w:r>
        <w:rPr>
          <w:rFonts w:cs="Arial"/>
        </w:rPr>
        <w:t>does not meet the criteria for any scheduling factor classification with regard</w:t>
      </w:r>
      <w:r w:rsidR="00F52B65">
        <w:rPr>
          <w:rFonts w:cs="Arial"/>
        </w:rPr>
        <w:t>s</w:t>
      </w:r>
      <w:r>
        <w:rPr>
          <w:rFonts w:cs="Arial"/>
        </w:rPr>
        <w:t xml:space="preserve"> to acute oral, dermal, inhalation and eye toxicity. </w:t>
      </w:r>
      <w:r w:rsidR="00F52B65">
        <w:rPr>
          <w:rFonts w:cs="Arial"/>
        </w:rPr>
        <w:t>T</w:t>
      </w:r>
      <w:r>
        <w:rPr>
          <w:rFonts w:cs="Arial"/>
        </w:rPr>
        <w:t xml:space="preserve">he acute oral and dermal </w:t>
      </w:r>
      <w:r w:rsidR="00417B7B">
        <w:rPr>
          <w:rFonts w:cs="Arial"/>
        </w:rPr>
        <w:t xml:space="preserve">acute </w:t>
      </w:r>
      <w:r>
        <w:rPr>
          <w:rFonts w:cs="Arial"/>
        </w:rPr>
        <w:t>toxicity endpoints (</w:t>
      </w:r>
      <w:proofErr w:type="spellStart"/>
      <w:r>
        <w:rPr>
          <w:rFonts w:cs="Arial"/>
        </w:rPr>
        <w:t>LD</w:t>
      </w:r>
      <w:r w:rsidRPr="00221B00">
        <w:rPr>
          <w:rFonts w:cs="Arial"/>
          <w:vertAlign w:val="subscript"/>
        </w:rPr>
        <w:t>50</w:t>
      </w:r>
      <w:proofErr w:type="spellEnd"/>
      <w:r>
        <w:rPr>
          <w:rFonts w:cs="Arial"/>
        </w:rPr>
        <w:t xml:space="preserve">, rat) are </w:t>
      </w:r>
      <w:r w:rsidR="00283958">
        <w:rPr>
          <w:rFonts w:cs="Arial"/>
        </w:rPr>
        <w:t>greater than</w:t>
      </w:r>
      <w:r>
        <w:rPr>
          <w:rFonts w:cs="Arial"/>
        </w:rPr>
        <w:t xml:space="preserve"> 5</w:t>
      </w:r>
      <w:r w:rsidR="00283958">
        <w:rPr>
          <w:rFonts w:cs="Arial"/>
        </w:rPr>
        <w:t>,</w:t>
      </w:r>
      <w:r>
        <w:rPr>
          <w:rFonts w:cs="Arial"/>
        </w:rPr>
        <w:t xml:space="preserve">000 mg/kg </w:t>
      </w:r>
      <w:proofErr w:type="spellStart"/>
      <w:r>
        <w:rPr>
          <w:rFonts w:cs="Arial"/>
        </w:rPr>
        <w:t>bw</w:t>
      </w:r>
      <w:proofErr w:type="spellEnd"/>
      <w:r>
        <w:rPr>
          <w:rFonts w:cs="Arial"/>
        </w:rPr>
        <w:t xml:space="preserve"> with no deaths recorded. </w:t>
      </w:r>
      <w:r w:rsidRPr="009E201B">
        <w:rPr>
          <w:rFonts w:cs="Arial"/>
        </w:rPr>
        <w:t xml:space="preserve">It is slightly irritating to the eyes and </w:t>
      </w:r>
      <w:r w:rsidR="00283958">
        <w:rPr>
          <w:rFonts w:cs="Arial"/>
        </w:rPr>
        <w:t>has a low</w:t>
      </w:r>
      <w:r w:rsidRPr="009E201B">
        <w:rPr>
          <w:rFonts w:cs="Arial"/>
        </w:rPr>
        <w:t xml:space="preserve"> potential </w:t>
      </w:r>
      <w:r w:rsidR="00283958">
        <w:rPr>
          <w:rFonts w:cs="Arial"/>
        </w:rPr>
        <w:t xml:space="preserve">for </w:t>
      </w:r>
      <w:r w:rsidRPr="009E201B">
        <w:rPr>
          <w:rFonts w:cs="Arial"/>
        </w:rPr>
        <w:t>skin sensitis</w:t>
      </w:r>
      <w:r w:rsidR="00283958">
        <w:rPr>
          <w:rFonts w:cs="Arial"/>
        </w:rPr>
        <w:t>ation</w:t>
      </w:r>
      <w:r>
        <w:rPr>
          <w:rFonts w:cs="Arial"/>
        </w:rPr>
        <w:t>.</w:t>
      </w:r>
      <w:r w:rsidRPr="009E201B">
        <w:rPr>
          <w:rFonts w:cs="Arial"/>
        </w:rPr>
        <w:t xml:space="preserve"> </w:t>
      </w:r>
      <w:r w:rsidR="00614AE1" w:rsidRPr="009124F2">
        <w:rPr>
          <w:rFonts w:cs="Arial"/>
          <w:i/>
          <w:iCs/>
        </w:rPr>
        <w:t xml:space="preserve">B. </w:t>
      </w:r>
      <w:proofErr w:type="spellStart"/>
      <w:r w:rsidR="00614AE1" w:rsidRPr="009124F2">
        <w:rPr>
          <w:rFonts w:cs="Arial"/>
          <w:i/>
          <w:iCs/>
        </w:rPr>
        <w:t>paralicheniformis</w:t>
      </w:r>
      <w:proofErr w:type="spellEnd"/>
      <w:r w:rsidR="00614AE1">
        <w:rPr>
          <w:rFonts w:cs="Arial"/>
          <w:i/>
          <w:iCs/>
        </w:rPr>
        <w:t xml:space="preserve"> </w:t>
      </w:r>
      <w:r w:rsidR="00424518">
        <w:rPr>
          <w:rFonts w:cs="Arial"/>
        </w:rPr>
        <w:t>was not mutageni</w:t>
      </w:r>
      <w:r w:rsidR="00DC1AF5">
        <w:rPr>
          <w:rFonts w:cs="Arial"/>
        </w:rPr>
        <w:t>c or cytotoxi</w:t>
      </w:r>
      <w:r w:rsidR="004D137F">
        <w:rPr>
          <w:rFonts w:cs="Arial"/>
        </w:rPr>
        <w:t>c</w:t>
      </w:r>
      <w:r w:rsidR="009B23A9">
        <w:rPr>
          <w:rFonts w:cs="Arial"/>
        </w:rPr>
        <w:t xml:space="preserve"> in various cell culture systems</w:t>
      </w:r>
      <w:r w:rsidR="000F53C0">
        <w:rPr>
          <w:rFonts w:cs="Arial"/>
        </w:rPr>
        <w:t xml:space="preserve">. No </w:t>
      </w:r>
      <w:r w:rsidR="009D1959">
        <w:rPr>
          <w:rFonts w:cs="Arial"/>
        </w:rPr>
        <w:t>long-term repeat</w:t>
      </w:r>
      <w:r w:rsidR="001F3208">
        <w:rPr>
          <w:rFonts w:cs="Arial"/>
        </w:rPr>
        <w:t>-</w:t>
      </w:r>
      <w:r w:rsidR="009D1959">
        <w:rPr>
          <w:rFonts w:cs="Arial"/>
        </w:rPr>
        <w:t>dose toxicity studies, carcinogenicity</w:t>
      </w:r>
      <w:r w:rsidR="001F3208">
        <w:rPr>
          <w:rFonts w:cs="Arial"/>
        </w:rPr>
        <w:t>, reproductive or developmental studies were undertaken</w:t>
      </w:r>
      <w:r w:rsidR="00443560">
        <w:rPr>
          <w:rFonts w:cs="Arial"/>
        </w:rPr>
        <w:t xml:space="preserve"> </w:t>
      </w:r>
      <w:proofErr w:type="gramStart"/>
      <w:r w:rsidR="0086662B">
        <w:rPr>
          <w:rFonts w:cs="Arial"/>
        </w:rPr>
        <w:t xml:space="preserve">as </w:t>
      </w:r>
      <w:r w:rsidR="00AE6551">
        <w:rPr>
          <w:rFonts w:cs="Arial"/>
        </w:rPr>
        <w:t xml:space="preserve">a </w:t>
      </w:r>
      <w:r w:rsidR="0086662B">
        <w:rPr>
          <w:rFonts w:cs="Arial"/>
        </w:rPr>
        <w:t>result of</w:t>
      </w:r>
      <w:proofErr w:type="gramEnd"/>
      <w:r w:rsidR="0086662B">
        <w:rPr>
          <w:rFonts w:cs="Arial"/>
        </w:rPr>
        <w:t xml:space="preserve"> the absence of significant findings from the acute toxicity and infectivity/patho</w:t>
      </w:r>
      <w:r w:rsidR="00016607">
        <w:rPr>
          <w:rFonts w:cs="Arial"/>
        </w:rPr>
        <w:t xml:space="preserve">genicity studies. </w:t>
      </w:r>
      <w:r w:rsidR="0057032A">
        <w:rPr>
          <w:rFonts w:cs="Arial"/>
        </w:rPr>
        <w:t xml:space="preserve">Moreover, </w:t>
      </w:r>
      <w:r w:rsidR="00BD6F50">
        <w:rPr>
          <w:rFonts w:cs="Arial"/>
        </w:rPr>
        <w:t>the establishment of either an Acute Reference Dose (</w:t>
      </w:r>
      <w:proofErr w:type="spellStart"/>
      <w:r w:rsidR="00BD6F50">
        <w:rPr>
          <w:rFonts w:cs="Arial"/>
        </w:rPr>
        <w:t>ARfD</w:t>
      </w:r>
      <w:proofErr w:type="spellEnd"/>
      <w:r w:rsidR="00BD6F50">
        <w:rPr>
          <w:rFonts w:cs="Arial"/>
        </w:rPr>
        <w:t xml:space="preserve">) or </w:t>
      </w:r>
      <w:r w:rsidR="00DC1AF5">
        <w:rPr>
          <w:rFonts w:cs="Arial"/>
        </w:rPr>
        <w:t>Acceptable Daily Intake (ADI)</w:t>
      </w:r>
      <w:r w:rsidR="0057032A">
        <w:rPr>
          <w:rFonts w:cs="Arial"/>
        </w:rPr>
        <w:t xml:space="preserve"> was not require</w:t>
      </w:r>
      <w:r w:rsidR="00AE6551">
        <w:rPr>
          <w:rFonts w:cs="Arial"/>
        </w:rPr>
        <w:t>d</w:t>
      </w:r>
      <w:r w:rsidR="00DC1AF5">
        <w:rPr>
          <w:rFonts w:cs="Arial"/>
        </w:rPr>
        <w:t>.</w:t>
      </w:r>
      <w:r w:rsidR="00BD6F50">
        <w:rPr>
          <w:rFonts w:cs="Arial"/>
        </w:rPr>
        <w:t xml:space="preserve"> </w:t>
      </w:r>
      <w:r w:rsidRPr="009124F2">
        <w:rPr>
          <w:rFonts w:cs="Arial"/>
          <w:i/>
          <w:iCs/>
        </w:rPr>
        <w:t xml:space="preserve">B. </w:t>
      </w:r>
      <w:proofErr w:type="spellStart"/>
      <w:r w:rsidRPr="009124F2">
        <w:rPr>
          <w:rFonts w:cs="Arial"/>
          <w:i/>
          <w:iCs/>
        </w:rPr>
        <w:t>paralicheniformis</w:t>
      </w:r>
      <w:proofErr w:type="spellEnd"/>
      <w:r>
        <w:rPr>
          <w:rFonts w:cs="Arial"/>
        </w:rPr>
        <w:t xml:space="preserve"> has a long history of safe use</w:t>
      </w:r>
      <w:r w:rsidR="00F21C10">
        <w:rPr>
          <w:rFonts w:cs="Arial"/>
        </w:rPr>
        <w:t xml:space="preserve">, e.g. </w:t>
      </w:r>
      <w:r w:rsidRPr="009E201B">
        <w:rPr>
          <w:rFonts w:cs="Arial"/>
        </w:rPr>
        <w:t>in</w:t>
      </w:r>
      <w:r>
        <w:rPr>
          <w:rFonts w:cs="Arial"/>
        </w:rPr>
        <w:t xml:space="preserve"> the</w:t>
      </w:r>
      <w:r w:rsidRPr="009E201B">
        <w:rPr>
          <w:rFonts w:cs="Arial"/>
        </w:rPr>
        <w:t xml:space="preserve"> </w:t>
      </w:r>
      <w:r>
        <w:rPr>
          <w:rFonts w:cs="Arial"/>
        </w:rPr>
        <w:t xml:space="preserve">food </w:t>
      </w:r>
      <w:r w:rsidRPr="009E201B">
        <w:rPr>
          <w:rFonts w:cs="Arial"/>
        </w:rPr>
        <w:t>industry for enzyme production, as a probiotic in livestock feed and in agriculture as a plant growth-promoting bacterium</w:t>
      </w:r>
      <w:r>
        <w:rPr>
          <w:rFonts w:cs="Arial"/>
        </w:rPr>
        <w:t xml:space="preserve">. It </w:t>
      </w:r>
      <w:r w:rsidRPr="009E201B">
        <w:rPr>
          <w:rFonts w:cs="Arial"/>
        </w:rPr>
        <w:t xml:space="preserve">has only rarely been implicated in human infections </w:t>
      </w:r>
      <w:r>
        <w:rPr>
          <w:rFonts w:cs="Arial"/>
        </w:rPr>
        <w:t xml:space="preserve">and has also been added to </w:t>
      </w:r>
      <w:r w:rsidR="008F0506" w:rsidRPr="008F0506">
        <w:rPr>
          <w:rFonts w:cs="Arial"/>
        </w:rPr>
        <w:t>European Food Safety Authority</w:t>
      </w:r>
      <w:r w:rsidR="008F0506">
        <w:rPr>
          <w:rFonts w:cs="Arial"/>
        </w:rPr>
        <w:t>’s (</w:t>
      </w:r>
      <w:r w:rsidR="00424518">
        <w:rPr>
          <w:rFonts w:cs="Arial"/>
        </w:rPr>
        <w:t>EFSA</w:t>
      </w:r>
      <w:r w:rsidR="008F0506">
        <w:rPr>
          <w:rFonts w:cs="Arial"/>
        </w:rPr>
        <w:t>)</w:t>
      </w:r>
      <w:r w:rsidR="00F6713C">
        <w:rPr>
          <w:rFonts w:cs="Arial"/>
        </w:rPr>
        <w:t xml:space="preserve"> </w:t>
      </w:r>
      <w:r>
        <w:rPr>
          <w:rFonts w:cs="Arial"/>
        </w:rPr>
        <w:t xml:space="preserve">list </w:t>
      </w:r>
      <w:r w:rsidR="00F6713C">
        <w:rPr>
          <w:rFonts w:cs="Arial"/>
        </w:rPr>
        <w:t>of</w:t>
      </w:r>
      <w:r>
        <w:rPr>
          <w:rFonts w:cs="Arial"/>
        </w:rPr>
        <w:t xml:space="preserve"> Qualified Presumption of Safety (QPS)</w:t>
      </w:r>
      <w:r>
        <w:rPr>
          <w:rStyle w:val="FootnoteReference"/>
          <w:rFonts w:cs="Arial"/>
        </w:rPr>
        <w:footnoteReference w:id="4"/>
      </w:r>
      <w:r>
        <w:rPr>
          <w:rFonts w:cs="Arial"/>
        </w:rPr>
        <w:t xml:space="preserve"> recommended microorganisms intentionally added to food in 2022. </w:t>
      </w:r>
      <w:r w:rsidRPr="00705E25">
        <w:rPr>
          <w:rFonts w:cs="Arial"/>
        </w:rPr>
        <w:t xml:space="preserve">Several </w:t>
      </w:r>
      <w:r w:rsidRPr="007C0902">
        <w:rPr>
          <w:rFonts w:cs="Arial"/>
          <w:i/>
          <w:iCs/>
        </w:rPr>
        <w:t>Bacillus</w:t>
      </w:r>
      <w:r w:rsidRPr="00705E25">
        <w:rPr>
          <w:rFonts w:cs="Arial"/>
        </w:rPr>
        <w:t xml:space="preserve"> sp</w:t>
      </w:r>
      <w:r>
        <w:rPr>
          <w:rFonts w:cs="Arial"/>
        </w:rPr>
        <w:t>p</w:t>
      </w:r>
      <w:r w:rsidRPr="00705E25">
        <w:rPr>
          <w:rFonts w:cs="Arial"/>
        </w:rPr>
        <w:t xml:space="preserve">. including </w:t>
      </w:r>
      <w:r w:rsidRPr="007C0902">
        <w:rPr>
          <w:rFonts w:cs="Arial"/>
          <w:i/>
          <w:iCs/>
        </w:rPr>
        <w:lastRenderedPageBreak/>
        <w:t>B.</w:t>
      </w:r>
      <w:r w:rsidR="008F0506">
        <w:rPr>
          <w:rFonts w:cs="Arial"/>
          <w:i/>
          <w:iCs/>
        </w:rPr>
        <w:t> </w:t>
      </w:r>
      <w:r w:rsidRPr="007C0902">
        <w:rPr>
          <w:rFonts w:cs="Arial"/>
          <w:i/>
          <w:iCs/>
        </w:rPr>
        <w:t>subtilis</w:t>
      </w:r>
      <w:r w:rsidRPr="00705E25">
        <w:rPr>
          <w:rFonts w:cs="Arial"/>
        </w:rPr>
        <w:t xml:space="preserve"> – the other active in the nematicide product under consideration – are currently considered not to require control by scheduling due to their low toxicity.</w:t>
      </w:r>
    </w:p>
    <w:p w14:paraId="3B192803" w14:textId="7C244F93" w:rsidR="00BD23F0" w:rsidRPr="00A0315D" w:rsidRDefault="00BD23F0" w:rsidP="00BD23F0">
      <w:pPr>
        <w:rPr>
          <w:rFonts w:cs="Arial"/>
        </w:rPr>
      </w:pPr>
      <w:r>
        <w:rPr>
          <w:rFonts w:cs="Arial"/>
        </w:rPr>
        <w:t xml:space="preserve">A human health risk assessment for the </w:t>
      </w:r>
      <w:r w:rsidRPr="009124F2">
        <w:rPr>
          <w:rFonts w:cs="Arial"/>
          <w:i/>
          <w:iCs/>
        </w:rPr>
        <w:t xml:space="preserve">B. </w:t>
      </w:r>
      <w:proofErr w:type="spellStart"/>
      <w:r w:rsidRPr="009124F2">
        <w:rPr>
          <w:rFonts w:cs="Arial"/>
          <w:i/>
          <w:iCs/>
        </w:rPr>
        <w:t>paralicheniformis</w:t>
      </w:r>
      <w:proofErr w:type="spellEnd"/>
      <w:r>
        <w:rPr>
          <w:rFonts w:cs="Arial"/>
        </w:rPr>
        <w:t xml:space="preserve"> product was</w:t>
      </w:r>
      <w:r w:rsidR="00DE2A6C">
        <w:rPr>
          <w:rFonts w:cs="Arial"/>
        </w:rPr>
        <w:t xml:space="preserve"> prepared by </w:t>
      </w:r>
      <w:r w:rsidR="008F0506" w:rsidRPr="008F0506">
        <w:rPr>
          <w:rFonts w:cs="Arial"/>
        </w:rPr>
        <w:t>the Australian Pesticides and Veterinary Medicine Authority</w:t>
      </w:r>
      <w:r w:rsidR="00DE2A6C">
        <w:rPr>
          <w:rFonts w:cs="Arial"/>
        </w:rPr>
        <w:t xml:space="preserve"> </w:t>
      </w:r>
      <w:r w:rsidR="008F0506">
        <w:rPr>
          <w:rFonts w:cs="Arial"/>
        </w:rPr>
        <w:t>(</w:t>
      </w:r>
      <w:proofErr w:type="spellStart"/>
      <w:r w:rsidR="00DE2A6C">
        <w:rPr>
          <w:rFonts w:cs="Arial"/>
        </w:rPr>
        <w:t>APVMA</w:t>
      </w:r>
      <w:proofErr w:type="spellEnd"/>
      <w:r w:rsidR="008F0506">
        <w:rPr>
          <w:rFonts w:cs="Arial"/>
        </w:rPr>
        <w:t>)</w:t>
      </w:r>
      <w:r w:rsidR="00DE2A6C">
        <w:rPr>
          <w:rFonts w:cs="Arial"/>
        </w:rPr>
        <w:t xml:space="preserve"> and</w:t>
      </w:r>
      <w:r>
        <w:rPr>
          <w:rFonts w:cs="Arial"/>
        </w:rPr>
        <w:t xml:space="preserve"> submitted alongside the application. The assessment raised no objections on human health grounds to the approval of the active constituent or the product. As the product is intended for commercial professional use only, the potential risks associated with skin and eye exposure will be</w:t>
      </w:r>
      <w:r w:rsidR="00577EAB">
        <w:rPr>
          <w:rFonts w:cs="Arial"/>
        </w:rPr>
        <w:t xml:space="preserve"> addressed by the</w:t>
      </w:r>
      <w:r w:rsidR="00C34DBB">
        <w:rPr>
          <w:rFonts w:cs="Arial"/>
        </w:rPr>
        <w:t xml:space="preserve"> </w:t>
      </w:r>
      <w:proofErr w:type="spellStart"/>
      <w:r w:rsidR="00C34DBB">
        <w:rPr>
          <w:rFonts w:cs="Arial"/>
        </w:rPr>
        <w:t>APVMA</w:t>
      </w:r>
      <w:proofErr w:type="spellEnd"/>
      <w:r w:rsidR="00C34DBB">
        <w:rPr>
          <w:rFonts w:cs="Arial"/>
        </w:rPr>
        <w:t xml:space="preserve">, and through appropriate labelling and </w:t>
      </w:r>
      <w:r w:rsidR="00BB3DB8">
        <w:rPr>
          <w:rFonts w:cs="Arial"/>
        </w:rPr>
        <w:t xml:space="preserve">the use of applicable </w:t>
      </w:r>
      <w:r>
        <w:rPr>
          <w:rFonts w:cs="Arial"/>
        </w:rPr>
        <w:t>personal protective equipment.</w:t>
      </w:r>
    </w:p>
    <w:p w14:paraId="4F20CFD5" w14:textId="32CF4272" w:rsidR="00BD23F0" w:rsidRDefault="00BD23F0" w:rsidP="00BD23F0">
      <w:pPr>
        <w:rPr>
          <w:rFonts w:cs="Arial"/>
        </w:rPr>
      </w:pPr>
      <w:r w:rsidRPr="00B8072C">
        <w:rPr>
          <w:rFonts w:cs="Arial"/>
        </w:rPr>
        <w:t>Overall,</w:t>
      </w:r>
      <w:r>
        <w:rPr>
          <w:rFonts w:cs="Arial"/>
        </w:rPr>
        <w:t xml:space="preserve"> I am satisfied that the risk</w:t>
      </w:r>
      <w:r w:rsidR="00A569A1">
        <w:rPr>
          <w:rFonts w:cs="Arial"/>
        </w:rPr>
        <w:t>s</w:t>
      </w:r>
      <w:r>
        <w:rPr>
          <w:rFonts w:cs="Arial"/>
        </w:rPr>
        <w:t xml:space="preserve"> associated with the use of this </w:t>
      </w:r>
      <w:r w:rsidR="00AE6551">
        <w:rPr>
          <w:rFonts w:cs="Arial"/>
        </w:rPr>
        <w:t>‘</w:t>
      </w:r>
      <w:r>
        <w:rPr>
          <w:rFonts w:cs="Arial"/>
        </w:rPr>
        <w:t>substance</w:t>
      </w:r>
      <w:r w:rsidR="00AE6551">
        <w:rPr>
          <w:rFonts w:cs="Arial"/>
        </w:rPr>
        <w:t>’</w:t>
      </w:r>
      <w:r>
        <w:rPr>
          <w:rFonts w:cs="Arial"/>
        </w:rPr>
        <w:t xml:space="preserve"> </w:t>
      </w:r>
      <w:r w:rsidR="00A569A1">
        <w:rPr>
          <w:rFonts w:cs="Arial"/>
        </w:rPr>
        <w:t>are</w:t>
      </w:r>
      <w:r>
        <w:rPr>
          <w:rFonts w:cs="Arial"/>
        </w:rPr>
        <w:t xml:space="preserve"> </w:t>
      </w:r>
      <w:r w:rsidR="00F829E1">
        <w:rPr>
          <w:rFonts w:cs="Arial"/>
        </w:rPr>
        <w:t xml:space="preserve">low </w:t>
      </w:r>
      <w:r>
        <w:rPr>
          <w:rFonts w:cs="Arial"/>
        </w:rPr>
        <w:t xml:space="preserve">enough to not </w:t>
      </w:r>
      <w:r w:rsidR="00F829E1">
        <w:rPr>
          <w:rFonts w:cs="Arial"/>
        </w:rPr>
        <w:t>require</w:t>
      </w:r>
      <w:r>
        <w:rPr>
          <w:rFonts w:cs="Arial"/>
        </w:rPr>
        <w:t xml:space="preserve"> control through scheduling. </w:t>
      </w:r>
      <w:r w:rsidR="00F829E1">
        <w:rPr>
          <w:rFonts w:cs="Arial"/>
        </w:rPr>
        <w:t>Therefore,</w:t>
      </w:r>
      <w:r>
        <w:rPr>
          <w:rFonts w:cs="Arial"/>
        </w:rPr>
        <w:t xml:space="preserve"> I have decided to </w:t>
      </w:r>
      <w:r w:rsidR="00F829E1">
        <w:rPr>
          <w:rFonts w:cs="Arial"/>
        </w:rPr>
        <w:t xml:space="preserve">include </w:t>
      </w:r>
      <w:r w:rsidR="00F829E1">
        <w:rPr>
          <w:rFonts w:cs="Arial"/>
          <w:i/>
          <w:iCs/>
        </w:rPr>
        <w:t>B.</w:t>
      </w:r>
      <w:r w:rsidR="00F829E1" w:rsidRPr="00911F96">
        <w:rPr>
          <w:rFonts w:cs="Arial"/>
          <w:i/>
          <w:iCs/>
        </w:rPr>
        <w:t xml:space="preserve"> </w:t>
      </w:r>
      <w:proofErr w:type="spellStart"/>
      <w:r w:rsidR="00F829E1" w:rsidRPr="00911F96">
        <w:rPr>
          <w:rFonts w:cs="Arial"/>
          <w:i/>
          <w:iCs/>
        </w:rPr>
        <w:t>paralicheniformis</w:t>
      </w:r>
      <w:proofErr w:type="spellEnd"/>
      <w:r w:rsidR="00F829E1">
        <w:rPr>
          <w:rFonts w:cs="Arial"/>
        </w:rPr>
        <w:t xml:space="preserve"> in</w:t>
      </w:r>
      <w:r>
        <w:rPr>
          <w:rFonts w:cs="Arial"/>
        </w:rPr>
        <w:t xml:space="preserve"> </w:t>
      </w:r>
      <w:r w:rsidR="00F829E1" w:rsidRPr="00F829E1">
        <w:rPr>
          <w:rFonts w:cs="Arial"/>
        </w:rPr>
        <w:t>Appendix B—</w:t>
      </w:r>
      <w:r w:rsidR="00AE6551">
        <w:rPr>
          <w:rFonts w:cs="Arial"/>
        </w:rPr>
        <w:t>'</w:t>
      </w:r>
      <w:r w:rsidR="00F829E1" w:rsidRPr="00F829E1">
        <w:rPr>
          <w:rFonts w:cs="Arial"/>
        </w:rPr>
        <w:t>Substances considered not to require control by scheduling</w:t>
      </w:r>
      <w:r w:rsidR="00AE6551">
        <w:rPr>
          <w:rFonts w:cs="Arial"/>
        </w:rPr>
        <w:t>’</w:t>
      </w:r>
      <w:r>
        <w:rPr>
          <w:rFonts w:cs="Arial"/>
        </w:rPr>
        <w:t xml:space="preserve">, </w:t>
      </w:r>
      <w:r w:rsidR="00F829E1">
        <w:rPr>
          <w:rFonts w:cs="Arial"/>
        </w:rPr>
        <w:t xml:space="preserve">under </w:t>
      </w:r>
      <w:r>
        <w:rPr>
          <w:rFonts w:cs="Arial"/>
        </w:rPr>
        <w:t>Clause 3</w:t>
      </w:r>
      <w:r w:rsidR="00F829E1">
        <w:rPr>
          <w:rFonts w:cs="Arial"/>
        </w:rPr>
        <w:t xml:space="preserve"> as a biological control agent for use in agriculture</w:t>
      </w:r>
      <w:r>
        <w:rPr>
          <w:rFonts w:cs="Arial"/>
        </w:rPr>
        <w:t xml:space="preserve">. This amendment </w:t>
      </w:r>
      <w:r w:rsidR="00A82A8B">
        <w:rPr>
          <w:rFonts w:cs="Arial"/>
        </w:rPr>
        <w:t xml:space="preserve">to the Poisons Standard </w:t>
      </w:r>
      <w:r>
        <w:rPr>
          <w:rFonts w:cs="Arial"/>
        </w:rPr>
        <w:t>was not referred to an expert advisory committee for advice.</w:t>
      </w:r>
    </w:p>
    <w:p w14:paraId="38D208ED" w14:textId="77777777" w:rsidR="00BD23F0" w:rsidRPr="00505AF6" w:rsidRDefault="00BD23F0"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Implementation date</w:t>
      </w:r>
    </w:p>
    <w:p w14:paraId="1FDCCC0E" w14:textId="1E9968B0" w:rsidR="00584B5E" w:rsidRDefault="00BD23F0" w:rsidP="00BD23F0">
      <w:pPr>
        <w:rPr>
          <w:rFonts w:cs="Arial"/>
        </w:rPr>
      </w:pPr>
      <w:r w:rsidRPr="00F47DFF">
        <w:rPr>
          <w:rFonts w:cs="Arial"/>
        </w:rPr>
        <w:t xml:space="preserve">1 </w:t>
      </w:r>
      <w:r w:rsidR="00F829E1">
        <w:rPr>
          <w:rFonts w:cs="Arial"/>
        </w:rPr>
        <w:t>October 2026</w:t>
      </w:r>
    </w:p>
    <w:p w14:paraId="5C27C460" w14:textId="77777777" w:rsidR="00584B5E" w:rsidRDefault="00584B5E" w:rsidP="00584B5E">
      <w:pPr>
        <w:pStyle w:val="Heading3"/>
      </w:pPr>
      <w:bookmarkStart w:id="9" w:name="_Toc46325255"/>
      <w:bookmarkStart w:id="10" w:name="_Toc46325611"/>
      <w:bookmarkStart w:id="11" w:name="_Toc46327427"/>
      <w:bookmarkStart w:id="12" w:name="_Toc46412213"/>
      <w:bookmarkStart w:id="13" w:name="_Final_decision_in"/>
      <w:bookmarkStart w:id="14" w:name="_Toc46325256"/>
      <w:bookmarkStart w:id="15" w:name="_Toc46325612"/>
      <w:bookmarkStart w:id="16" w:name="_Toc46327428"/>
      <w:bookmarkStart w:id="17" w:name="_Toc46412214"/>
      <w:bookmarkStart w:id="18" w:name="_Toc46325257"/>
      <w:bookmarkStart w:id="19" w:name="_Toc46325613"/>
      <w:bookmarkStart w:id="20" w:name="_Toc46327429"/>
      <w:bookmarkStart w:id="21" w:name="_Toc46412215"/>
      <w:bookmarkStart w:id="22" w:name="_Toc46325258"/>
      <w:bookmarkStart w:id="23" w:name="_Toc46325614"/>
      <w:bookmarkStart w:id="24" w:name="_Toc46327430"/>
      <w:bookmarkStart w:id="25" w:name="_Toc46412216"/>
      <w:bookmarkStart w:id="26" w:name="_Toc46325259"/>
      <w:bookmarkStart w:id="27" w:name="_Toc46325615"/>
      <w:bookmarkStart w:id="28" w:name="_Toc46327431"/>
      <w:bookmarkStart w:id="29" w:name="_Toc46412217"/>
      <w:bookmarkStart w:id="30" w:name="_Final_decision_in_1"/>
      <w:bookmarkStart w:id="31" w:name="_Toc178340895"/>
      <w:bookmarkStart w:id="32" w:name="_Toc23000289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Final decision in relation to </w:t>
      </w:r>
      <w:bookmarkEnd w:id="31"/>
      <w:r>
        <w:t>d</w:t>
      </w:r>
      <w:r w:rsidRPr="007260D3">
        <w:t>imethyl disulfide</w:t>
      </w:r>
      <w:bookmarkEnd w:id="32"/>
    </w:p>
    <w:p w14:paraId="7CA583F8" w14:textId="66AFC1D5" w:rsidR="00584B5E" w:rsidRPr="00505AF6" w:rsidRDefault="00584B5E"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Final decision</w:t>
      </w:r>
    </w:p>
    <w:p w14:paraId="74C4ACEA" w14:textId="77777777" w:rsidR="00584B5E" w:rsidRDefault="00584B5E" w:rsidP="00584B5E">
      <w:pPr>
        <w:jc w:val="both"/>
      </w:pPr>
      <w:r w:rsidRPr="00AB01CC">
        <w:t xml:space="preserve">Pursuant to regulation </w:t>
      </w:r>
      <w:proofErr w:type="spellStart"/>
      <w:r w:rsidRPr="00AB01CC">
        <w:t>42ZCZU</w:t>
      </w:r>
      <w:proofErr w:type="spellEnd"/>
      <w:r w:rsidRPr="00AB01CC">
        <w:t xml:space="preserve"> of the Regulations, a Delegate of the Secretary has made a final decision to amend the current Poisons Standard in relation to </w:t>
      </w:r>
      <w:r w:rsidRPr="0001293D">
        <w:t>dimethyl disulfide</w:t>
      </w:r>
      <w:r w:rsidRPr="00AB01CC">
        <w:t xml:space="preserve"> as follows</w:t>
      </w:r>
      <w:r w:rsidRPr="00CC4089">
        <w:t>:</w:t>
      </w:r>
      <w:r>
        <w:rPr>
          <w:rStyle w:val="FootnoteReference"/>
        </w:rPr>
        <w:footnoteReference w:id="5"/>
      </w:r>
    </w:p>
    <w:p w14:paraId="382A7589" w14:textId="77777777" w:rsidR="00584B5E" w:rsidRPr="00B150E2" w:rsidRDefault="00584B5E" w:rsidP="00584B5E">
      <w:pPr>
        <w:ind w:left="426"/>
        <w:rPr>
          <w:rFonts w:cstheme="minorHAnsi"/>
          <w:b/>
          <w:bCs/>
          <w:color w:val="auto"/>
          <w:lang w:eastAsia="en-AU"/>
        </w:rPr>
      </w:pPr>
      <w:r w:rsidRPr="00B150E2">
        <w:rPr>
          <w:rFonts w:cstheme="minorHAnsi"/>
          <w:b/>
          <w:bCs/>
          <w:color w:val="auto"/>
        </w:rPr>
        <w:t xml:space="preserve">Schedule </w:t>
      </w:r>
      <w:r>
        <w:rPr>
          <w:rFonts w:cstheme="minorHAnsi"/>
          <w:b/>
          <w:bCs/>
          <w:color w:val="auto"/>
        </w:rPr>
        <w:t>6</w:t>
      </w:r>
      <w:r w:rsidRPr="00B150E2">
        <w:rPr>
          <w:rFonts w:cstheme="minorHAnsi"/>
          <w:b/>
          <w:bCs/>
          <w:color w:val="auto"/>
        </w:rPr>
        <w:t xml:space="preserve"> – New entry</w:t>
      </w:r>
    </w:p>
    <w:p w14:paraId="4FEBCB3B" w14:textId="77777777" w:rsidR="00584B5E" w:rsidRPr="00B150E2" w:rsidRDefault="00584B5E" w:rsidP="00584B5E">
      <w:pPr>
        <w:ind w:left="709"/>
        <w:rPr>
          <w:rFonts w:cstheme="minorHAnsi"/>
          <w:color w:val="00B050"/>
          <w:u w:val="single"/>
        </w:rPr>
      </w:pPr>
      <w:r w:rsidRPr="00D01E2E">
        <w:rPr>
          <w:rFonts w:cstheme="minorHAnsi"/>
          <w:color w:val="00B050"/>
          <w:u w:val="single"/>
        </w:rPr>
        <w:t>DIMETHYL DISULFIDE</w:t>
      </w:r>
      <w:r w:rsidRPr="00B150E2">
        <w:rPr>
          <w:rFonts w:cstheme="minorHAnsi"/>
          <w:color w:val="00B050"/>
          <w:u w:val="single"/>
        </w:rPr>
        <w:t xml:space="preserve"> </w:t>
      </w:r>
      <w:r w:rsidRPr="00EB230C">
        <w:rPr>
          <w:rFonts w:cstheme="minorHAnsi"/>
          <w:color w:val="00B050"/>
          <w:u w:val="single"/>
          <w:shd w:val="clear" w:color="auto" w:fill="FFFFFF"/>
        </w:rPr>
        <w:t>for agricultural use as a soil fumigant.</w:t>
      </w:r>
    </w:p>
    <w:p w14:paraId="23E074B2" w14:textId="77777777" w:rsidR="00584B5E" w:rsidRPr="00B150E2" w:rsidRDefault="00584B5E" w:rsidP="00584B5E">
      <w:pPr>
        <w:ind w:left="426"/>
        <w:rPr>
          <w:rFonts w:cstheme="minorHAnsi"/>
          <w:b/>
          <w:bCs/>
          <w:color w:val="auto"/>
        </w:rPr>
      </w:pPr>
      <w:r w:rsidRPr="00B150E2">
        <w:rPr>
          <w:rFonts w:cstheme="minorHAnsi"/>
          <w:b/>
          <w:bCs/>
          <w:color w:val="auto"/>
        </w:rPr>
        <w:t>Index – New entry</w:t>
      </w:r>
    </w:p>
    <w:p w14:paraId="74E99778" w14:textId="77777777" w:rsidR="00584B5E" w:rsidRPr="003176AE" w:rsidRDefault="00584B5E" w:rsidP="00584B5E">
      <w:pPr>
        <w:ind w:left="709"/>
        <w:rPr>
          <w:rFonts w:cstheme="minorHAnsi"/>
          <w:b/>
          <w:bCs/>
          <w:color w:val="00B050"/>
          <w:u w:val="single"/>
        </w:rPr>
      </w:pPr>
      <w:r w:rsidRPr="003176AE">
        <w:rPr>
          <w:rFonts w:cstheme="minorHAnsi"/>
          <w:b/>
          <w:bCs/>
          <w:color w:val="00B050"/>
          <w:u w:val="single"/>
        </w:rPr>
        <w:t xml:space="preserve">DIMETHYL DISULFIDE </w:t>
      </w:r>
    </w:p>
    <w:p w14:paraId="4064C962" w14:textId="77777777" w:rsidR="00584B5E" w:rsidRPr="00FC4B5C" w:rsidRDefault="00584B5E" w:rsidP="00584B5E">
      <w:pPr>
        <w:ind w:left="709"/>
        <w:rPr>
          <w:rFonts w:cstheme="minorHAnsi"/>
          <w:color w:val="00B050"/>
          <w:u w:val="single"/>
        </w:rPr>
      </w:pPr>
      <w:r w:rsidRPr="00B150E2">
        <w:rPr>
          <w:rFonts w:cstheme="minorHAnsi"/>
          <w:color w:val="00B050"/>
          <w:u w:val="single"/>
        </w:rPr>
        <w:t xml:space="preserve">Schedule </w:t>
      </w:r>
      <w:r>
        <w:rPr>
          <w:rFonts w:cstheme="minorHAnsi"/>
          <w:color w:val="00B050"/>
          <w:u w:val="single"/>
        </w:rPr>
        <w:t>6</w:t>
      </w:r>
    </w:p>
    <w:p w14:paraId="758E98ED" w14:textId="77777777" w:rsidR="00584B5E" w:rsidRPr="00505AF6" w:rsidRDefault="00584B5E"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Materials considered</w:t>
      </w:r>
    </w:p>
    <w:p w14:paraId="7A8DC49D" w14:textId="77777777" w:rsidR="00584B5E" w:rsidRDefault="00584B5E" w:rsidP="00584B5E">
      <w:r>
        <w:t>In making this final decision, the Delegate considered the following material:</w:t>
      </w:r>
    </w:p>
    <w:p w14:paraId="2BBCB971" w14:textId="53929335" w:rsidR="00584B5E" w:rsidRPr="00473A1B" w:rsidRDefault="00473A1B" w:rsidP="00B93EE9">
      <w:pPr>
        <w:pStyle w:val="ListBullet"/>
        <w:numPr>
          <w:ilvl w:val="0"/>
          <w:numId w:val="28"/>
        </w:numPr>
      </w:pPr>
      <w:r>
        <w:t>t</w:t>
      </w:r>
      <w:r w:rsidR="00584B5E" w:rsidRPr="00473A1B">
        <w:t xml:space="preserve">he application to amend the current Poisons Standard with respect to dimethyl disulfide (the </w:t>
      </w:r>
      <w:r w:rsidR="00584B5E" w:rsidRPr="00473A1B">
        <w:rPr>
          <w:b/>
          <w:bCs/>
        </w:rPr>
        <w:t>Application</w:t>
      </w:r>
      <w:r w:rsidR="00584B5E" w:rsidRPr="00473A1B">
        <w:t>)</w:t>
      </w:r>
    </w:p>
    <w:p w14:paraId="0222E804" w14:textId="09E96E0F" w:rsidR="00584B5E" w:rsidRPr="00473A1B" w:rsidRDefault="00473A1B" w:rsidP="00B93EE9">
      <w:pPr>
        <w:pStyle w:val="ListBullet"/>
        <w:numPr>
          <w:ilvl w:val="0"/>
          <w:numId w:val="28"/>
        </w:numPr>
      </w:pPr>
      <w:r>
        <w:t>s</w:t>
      </w:r>
      <w:r w:rsidR="00584B5E" w:rsidRPr="00473A1B">
        <w:t xml:space="preserve">ubsection </w:t>
      </w:r>
      <w:proofErr w:type="spellStart"/>
      <w:r w:rsidR="00584B5E" w:rsidRPr="00473A1B">
        <w:t>52E</w:t>
      </w:r>
      <w:proofErr w:type="spellEnd"/>
      <w:r w:rsidR="00584B5E" w:rsidRPr="00473A1B">
        <w:t>(1) of the Act,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02B8B44" w14:textId="56725001" w:rsidR="00584B5E" w:rsidRPr="00473A1B" w:rsidRDefault="00473A1B" w:rsidP="00B93EE9">
      <w:pPr>
        <w:pStyle w:val="ListBullet"/>
        <w:numPr>
          <w:ilvl w:val="0"/>
          <w:numId w:val="28"/>
        </w:numPr>
      </w:pPr>
      <w:r>
        <w:t>p</w:t>
      </w:r>
      <w:r w:rsidR="00584B5E" w:rsidRPr="00473A1B">
        <w:t xml:space="preserve">ursuant to paragraph </w:t>
      </w:r>
      <w:proofErr w:type="spellStart"/>
      <w:r w:rsidR="00584B5E" w:rsidRPr="00473A1B">
        <w:t>52E</w:t>
      </w:r>
      <w:proofErr w:type="spellEnd"/>
      <w:r w:rsidR="00584B5E" w:rsidRPr="00473A1B">
        <w:t>(2)(a) of the Act, the SPF, and</w:t>
      </w:r>
    </w:p>
    <w:p w14:paraId="718A70D1" w14:textId="5264C3A3" w:rsidR="00584B5E" w:rsidRPr="00473A1B" w:rsidRDefault="00473A1B" w:rsidP="00B93EE9">
      <w:pPr>
        <w:pStyle w:val="ListBullet"/>
        <w:numPr>
          <w:ilvl w:val="0"/>
          <w:numId w:val="28"/>
        </w:numPr>
      </w:pPr>
      <w:r>
        <w:t>t</w:t>
      </w:r>
      <w:r w:rsidR="00584B5E" w:rsidRPr="00473A1B">
        <w:t>he Handbook.</w:t>
      </w:r>
    </w:p>
    <w:p w14:paraId="6716ECD9" w14:textId="77777777" w:rsidR="00584B5E" w:rsidRPr="00505AF6" w:rsidRDefault="00584B5E"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lastRenderedPageBreak/>
        <w:t>Reasons for the final decision (including findings on material questions of fact)</w:t>
      </w:r>
    </w:p>
    <w:p w14:paraId="75892276" w14:textId="2D884A46" w:rsidR="00584B5E" w:rsidRPr="00E324DC" w:rsidRDefault="00584B5E" w:rsidP="00584B5E">
      <w:pPr>
        <w:rPr>
          <w:rFonts w:cs="Arial"/>
          <w:color w:val="000000"/>
        </w:rPr>
      </w:pPr>
      <w:r w:rsidRPr="00902003">
        <w:t>The Applicati</w:t>
      </w:r>
      <w:r>
        <w:t>on</w:t>
      </w:r>
      <w:r w:rsidRPr="00902003">
        <w:t xml:space="preserve"> </w:t>
      </w:r>
      <w:r>
        <w:t xml:space="preserve">is </w:t>
      </w:r>
      <w:r w:rsidRPr="000949AB">
        <w:rPr>
          <w:rFonts w:cs="Arial"/>
          <w:color w:val="000000"/>
        </w:rPr>
        <w:t xml:space="preserve">to amend the current Poisons Standard to create an entry for </w:t>
      </w:r>
      <w:r>
        <w:rPr>
          <w:rFonts w:cs="Arial"/>
          <w:color w:val="000000"/>
        </w:rPr>
        <w:t>d</w:t>
      </w:r>
      <w:r w:rsidRPr="00346C84">
        <w:rPr>
          <w:rFonts w:cs="Arial"/>
          <w:color w:val="000000"/>
        </w:rPr>
        <w:t xml:space="preserve">imethyl disulfide </w:t>
      </w:r>
      <w:r>
        <w:rPr>
          <w:rFonts w:cs="Arial"/>
          <w:color w:val="000000"/>
        </w:rPr>
        <w:t xml:space="preserve">under </w:t>
      </w:r>
      <w:r w:rsidRPr="00661E77">
        <w:rPr>
          <w:rFonts w:cs="Arial"/>
          <w:color w:val="000000"/>
        </w:rPr>
        <w:t>Poisons (Schedule 6)</w:t>
      </w:r>
      <w:r>
        <w:rPr>
          <w:rFonts w:cs="Arial"/>
          <w:color w:val="000000"/>
        </w:rPr>
        <w:t xml:space="preserve"> classification. </w:t>
      </w:r>
      <w:r w:rsidRPr="008B71EB">
        <w:rPr>
          <w:rFonts w:cs="Arial"/>
          <w:color w:val="000000"/>
        </w:rPr>
        <w:t>D</w:t>
      </w:r>
      <w:r w:rsidR="00283958">
        <w:rPr>
          <w:rFonts w:cs="Arial"/>
          <w:color w:val="000000"/>
        </w:rPr>
        <w:t xml:space="preserve">imethyl disulfide </w:t>
      </w:r>
      <w:r>
        <w:rPr>
          <w:rFonts w:cs="Arial"/>
          <w:color w:val="000000"/>
        </w:rPr>
        <w:t>is not currently listed in the Poisons Standard.</w:t>
      </w:r>
    </w:p>
    <w:p w14:paraId="28FBFCB5" w14:textId="77777777" w:rsidR="00584B5E" w:rsidRDefault="00584B5E" w:rsidP="00584B5E">
      <w:pPr>
        <w:jc w:val="both"/>
      </w:pPr>
      <w:r w:rsidRPr="009B0128">
        <w:t xml:space="preserve">In determining that this matter will be a delegate-only decision I have </w:t>
      </w:r>
      <w:proofErr w:type="gramStart"/>
      <w:r w:rsidRPr="009B0128">
        <w:t>taken into account</w:t>
      </w:r>
      <w:proofErr w:type="gramEnd"/>
      <w:r w:rsidRPr="009B0128">
        <w:t xml:space="preserve"> the information provided by the Australian Pesticides and Veterinary Medicine Authority (</w:t>
      </w:r>
      <w:proofErr w:type="spellStart"/>
      <w:r w:rsidRPr="009B0128">
        <w:t>APVMA</w:t>
      </w:r>
      <w:proofErr w:type="spellEnd"/>
      <w:r w:rsidRPr="009B0128">
        <w:t xml:space="preserve">), and the matters outlined under s </w:t>
      </w:r>
      <w:proofErr w:type="spellStart"/>
      <w:r w:rsidRPr="009B0128">
        <w:t>52E</w:t>
      </w:r>
      <w:proofErr w:type="spellEnd"/>
      <w:r w:rsidRPr="009B0128">
        <w:t xml:space="preserve"> of the Act and the SPF. My reasons for making the final decision </w:t>
      </w:r>
      <w:r>
        <w:t xml:space="preserve">are as </w:t>
      </w:r>
      <w:r w:rsidRPr="009B0128">
        <w:t>follow</w:t>
      </w:r>
      <w:r>
        <w:t>s</w:t>
      </w:r>
      <w:r w:rsidRPr="009B0128">
        <w:t>.</w:t>
      </w:r>
    </w:p>
    <w:p w14:paraId="661A7EB3" w14:textId="1B4AA0BE" w:rsidR="00584B5E" w:rsidRDefault="00584B5E" w:rsidP="00584B5E">
      <w:pPr>
        <w:rPr>
          <w:szCs w:val="20"/>
        </w:rPr>
      </w:pPr>
      <w:bookmarkStart w:id="33" w:name="_Toc97640264"/>
      <w:r w:rsidRPr="003A105E">
        <w:rPr>
          <w:szCs w:val="20"/>
        </w:rPr>
        <w:t>D</w:t>
      </w:r>
      <w:r w:rsidR="00283958">
        <w:rPr>
          <w:szCs w:val="20"/>
        </w:rPr>
        <w:t>imethyl disulfide</w:t>
      </w:r>
      <w:r w:rsidRPr="003A105E">
        <w:rPr>
          <w:szCs w:val="20"/>
        </w:rPr>
        <w:t xml:space="preserve"> is an organic and volatile chemical compound. This compound is used as a pre-plant soil fumigant for controlling nematodes, weeds, </w:t>
      </w:r>
      <w:r>
        <w:rPr>
          <w:szCs w:val="20"/>
        </w:rPr>
        <w:t xml:space="preserve">insects </w:t>
      </w:r>
      <w:r w:rsidRPr="003A105E">
        <w:rPr>
          <w:szCs w:val="20"/>
        </w:rPr>
        <w:t xml:space="preserve">and </w:t>
      </w:r>
      <w:r>
        <w:rPr>
          <w:szCs w:val="20"/>
        </w:rPr>
        <w:t xml:space="preserve">soil borne </w:t>
      </w:r>
      <w:r w:rsidRPr="003A105E">
        <w:rPr>
          <w:szCs w:val="20"/>
        </w:rPr>
        <w:t>pathogens. It exhibits broad-spectrum activity with non-selective characteristics due to its complex mode of action. The mechanism of action involves disruption of mitochondrial function, activation of ATP-sensitive potassium channels, and inhibition of cytochrome oxidase.</w:t>
      </w:r>
    </w:p>
    <w:p w14:paraId="217B75CA" w14:textId="6FC582D5" w:rsidR="00584B5E" w:rsidRPr="00BB0B72" w:rsidRDefault="00584B5E" w:rsidP="00584B5E">
      <w:pPr>
        <w:rPr>
          <w:rFonts w:cs="Arial"/>
          <w:szCs w:val="20"/>
        </w:rPr>
      </w:pPr>
      <w:r>
        <w:rPr>
          <w:rFonts w:cs="Arial"/>
          <w:szCs w:val="20"/>
        </w:rPr>
        <w:t>D</w:t>
      </w:r>
      <w:r w:rsidR="00283958">
        <w:rPr>
          <w:rFonts w:cs="Arial"/>
          <w:szCs w:val="20"/>
        </w:rPr>
        <w:t xml:space="preserve">imethyl disulfide </w:t>
      </w:r>
      <w:r w:rsidRPr="001C1BB6">
        <w:rPr>
          <w:rFonts w:cs="Arial"/>
          <w:szCs w:val="20"/>
        </w:rPr>
        <w:t xml:space="preserve">is also used as a flavouring agent and the safety evaluation of its use in food has been </w:t>
      </w:r>
      <w:r>
        <w:rPr>
          <w:rFonts w:cs="Arial"/>
          <w:szCs w:val="20"/>
        </w:rPr>
        <w:t>evaluated by</w:t>
      </w:r>
      <w:r w:rsidRPr="009E7CD6">
        <w:rPr>
          <w:rFonts w:cs="Arial"/>
          <w:szCs w:val="20"/>
        </w:rPr>
        <w:t xml:space="preserve"> the Joint FAO/WHO Expert Committee on Food Additives </w:t>
      </w:r>
      <w:r w:rsidRPr="001C1BB6">
        <w:rPr>
          <w:rFonts w:cs="Arial"/>
          <w:szCs w:val="20"/>
        </w:rPr>
        <w:t>evaluations (</w:t>
      </w:r>
      <w:proofErr w:type="spellStart"/>
      <w:r>
        <w:rPr>
          <w:rFonts w:cs="Arial"/>
          <w:szCs w:val="20"/>
        </w:rPr>
        <w:t>JEFCA</w:t>
      </w:r>
      <w:proofErr w:type="spellEnd"/>
      <w:r w:rsidRPr="001C1BB6">
        <w:rPr>
          <w:rFonts w:cs="Arial"/>
          <w:szCs w:val="20"/>
        </w:rPr>
        <w:t xml:space="preserve">). </w:t>
      </w:r>
      <w:r w:rsidR="009E2723">
        <w:rPr>
          <w:rFonts w:cs="Arial"/>
          <w:szCs w:val="20"/>
        </w:rPr>
        <w:t xml:space="preserve">Results from </w:t>
      </w:r>
      <w:proofErr w:type="spellStart"/>
      <w:r w:rsidRPr="001C1BB6">
        <w:rPr>
          <w:rFonts w:cs="Arial"/>
          <w:szCs w:val="20"/>
        </w:rPr>
        <w:t>JECFA</w:t>
      </w:r>
      <w:proofErr w:type="spellEnd"/>
      <w:r w:rsidRPr="001C1BB6">
        <w:rPr>
          <w:rFonts w:cs="Arial"/>
          <w:szCs w:val="20"/>
        </w:rPr>
        <w:t xml:space="preserve"> suggest a low </w:t>
      </w:r>
      <w:r>
        <w:rPr>
          <w:rFonts w:cs="Arial"/>
          <w:szCs w:val="20"/>
        </w:rPr>
        <w:t>level</w:t>
      </w:r>
      <w:r w:rsidRPr="001C1BB6">
        <w:rPr>
          <w:rFonts w:cs="Arial"/>
          <w:szCs w:val="20"/>
        </w:rPr>
        <w:t xml:space="preserve"> of toxicity when administered orally.</w:t>
      </w:r>
      <w:r>
        <w:rPr>
          <w:rFonts w:cs="Arial"/>
          <w:szCs w:val="20"/>
        </w:rPr>
        <w:t xml:space="preserve"> </w:t>
      </w:r>
      <w:proofErr w:type="spellStart"/>
      <w:r>
        <w:rPr>
          <w:rFonts w:cs="Arial"/>
          <w:szCs w:val="20"/>
        </w:rPr>
        <w:t>JEFCA</w:t>
      </w:r>
      <w:proofErr w:type="spellEnd"/>
      <w:r>
        <w:rPr>
          <w:rFonts w:cs="Arial"/>
          <w:szCs w:val="20"/>
        </w:rPr>
        <w:t xml:space="preserve"> indicated that </w:t>
      </w:r>
      <w:r w:rsidRPr="001C1BB6">
        <w:rPr>
          <w:rFonts w:cs="Arial"/>
          <w:szCs w:val="20"/>
        </w:rPr>
        <w:t>the</w:t>
      </w:r>
      <w:r w:rsidRPr="0051233A">
        <w:rPr>
          <w:rFonts w:cs="Arial"/>
          <w:szCs w:val="20"/>
        </w:rPr>
        <w:t xml:space="preserve"> threshold for human intake </w:t>
      </w:r>
      <w:r>
        <w:rPr>
          <w:rFonts w:cs="Arial"/>
          <w:szCs w:val="20"/>
        </w:rPr>
        <w:t>is 1</w:t>
      </w:r>
      <w:r w:rsidR="00283958">
        <w:rPr>
          <w:rFonts w:cs="Arial"/>
          <w:szCs w:val="20"/>
        </w:rPr>
        <w:t>,</w:t>
      </w:r>
      <w:r>
        <w:rPr>
          <w:rFonts w:cs="Arial"/>
          <w:szCs w:val="20"/>
        </w:rPr>
        <w:t xml:space="preserve">800 </w:t>
      </w:r>
      <w:r w:rsidR="00473A1B">
        <w:rPr>
          <w:rFonts w:cs="Arial"/>
          <w:szCs w:val="20"/>
        </w:rPr>
        <w:t>µg</w:t>
      </w:r>
      <w:r>
        <w:rPr>
          <w:rFonts w:cs="Arial"/>
          <w:szCs w:val="20"/>
        </w:rPr>
        <w:t xml:space="preserve"> per day.</w:t>
      </w:r>
      <w:r>
        <w:rPr>
          <w:rStyle w:val="FootnoteReference"/>
          <w:rFonts w:cs="Arial"/>
          <w:color w:val="1A1A1A"/>
        </w:rPr>
        <w:footnoteReference w:id="6"/>
      </w:r>
    </w:p>
    <w:p w14:paraId="18629B48" w14:textId="7F9CAF2A" w:rsidR="00584B5E" w:rsidRDefault="00584B5E" w:rsidP="00584B5E">
      <w:r w:rsidRPr="008F11BC">
        <w:rPr>
          <w:rFonts w:cs="Arial"/>
          <w:color w:val="000000"/>
        </w:rPr>
        <w:t>D</w:t>
      </w:r>
      <w:r w:rsidR="00283958">
        <w:rPr>
          <w:rFonts w:cs="Arial"/>
          <w:color w:val="000000"/>
        </w:rPr>
        <w:t>imethyl disulfide</w:t>
      </w:r>
      <w:r w:rsidRPr="008F11BC">
        <w:rPr>
          <w:rFonts w:cs="Arial"/>
          <w:color w:val="000000"/>
        </w:rPr>
        <w:t xml:space="preserve"> </w:t>
      </w:r>
      <w:r>
        <w:rPr>
          <w:rFonts w:cs="Arial"/>
          <w:color w:val="000000"/>
        </w:rPr>
        <w:t>is regulated</w:t>
      </w:r>
      <w:r w:rsidRPr="00EC095E">
        <w:rPr>
          <w:rFonts w:cs="Arial"/>
          <w:color w:val="000000"/>
        </w:rPr>
        <w:t xml:space="preserve"> </w:t>
      </w:r>
      <w:r w:rsidR="00473A1B">
        <w:rPr>
          <w:rFonts w:cs="Arial"/>
          <w:color w:val="000000"/>
        </w:rPr>
        <w:t>by</w:t>
      </w:r>
      <w:r w:rsidRPr="00EC095E">
        <w:rPr>
          <w:rFonts w:cs="Arial"/>
          <w:color w:val="000000"/>
        </w:rPr>
        <w:t xml:space="preserve"> the United States </w:t>
      </w:r>
      <w:r w:rsidRPr="00990BB5">
        <w:rPr>
          <w:rFonts w:cs="Arial"/>
          <w:color w:val="000000"/>
        </w:rPr>
        <w:t>Environmental Protection Agency (EPA)</w:t>
      </w:r>
      <w:r>
        <w:rPr>
          <w:rFonts w:cs="Arial"/>
          <w:color w:val="000000"/>
        </w:rPr>
        <w:t>, and</w:t>
      </w:r>
      <w:r w:rsidRPr="003E7EEA">
        <w:rPr>
          <w:rFonts w:cs="Arial"/>
          <w:color w:val="000000"/>
        </w:rPr>
        <w:t>,</w:t>
      </w:r>
      <w:r w:rsidRPr="0016358A">
        <w:rPr>
          <w:rFonts w:cs="Arial"/>
          <w:color w:val="000000"/>
        </w:rPr>
        <w:t xml:space="preserve"> in Europe, by the European Food Safety Authority (EFSA) in collaboration with the European Chemicals Agency (ECHA) for use</w:t>
      </w:r>
      <w:r>
        <w:rPr>
          <w:rFonts w:cs="Arial"/>
          <w:color w:val="000000"/>
        </w:rPr>
        <w:t xml:space="preserve"> </w:t>
      </w:r>
      <w:r w:rsidRPr="00D50DC6">
        <w:rPr>
          <w:rFonts w:cs="Arial"/>
          <w:color w:val="000000"/>
        </w:rPr>
        <w:t xml:space="preserve">as a soil fumigant. </w:t>
      </w:r>
      <w:r>
        <w:rPr>
          <w:rFonts w:cs="Arial"/>
          <w:color w:val="000000"/>
        </w:rPr>
        <w:t>D</w:t>
      </w:r>
      <w:r w:rsidRPr="003E7EEA">
        <w:rPr>
          <w:rFonts w:cs="Arial"/>
          <w:color w:val="000000"/>
        </w:rPr>
        <w:t>ue to its toxicity, flammability, environmental risks, and occupational hazards</w:t>
      </w:r>
      <w:r>
        <w:rPr>
          <w:rFonts w:cs="Arial"/>
          <w:color w:val="000000"/>
        </w:rPr>
        <w:t>, i</w:t>
      </w:r>
      <w:r w:rsidRPr="003E7EEA">
        <w:rPr>
          <w:rFonts w:cs="Arial"/>
          <w:color w:val="000000"/>
        </w:rPr>
        <w:t xml:space="preserve">ts use in industry and pesticides </w:t>
      </w:r>
      <w:r>
        <w:rPr>
          <w:rFonts w:cs="Arial"/>
          <w:color w:val="000000"/>
        </w:rPr>
        <w:t>is</w:t>
      </w:r>
      <w:r w:rsidRPr="003E7EEA">
        <w:rPr>
          <w:rFonts w:cs="Arial"/>
          <w:color w:val="000000"/>
        </w:rPr>
        <w:t xml:space="preserve"> permitted under </w:t>
      </w:r>
      <w:r>
        <w:rPr>
          <w:rFonts w:cs="Arial"/>
          <w:color w:val="000000"/>
        </w:rPr>
        <w:t xml:space="preserve">strict </w:t>
      </w:r>
      <w:r w:rsidRPr="003E7EEA">
        <w:rPr>
          <w:rFonts w:cs="Arial"/>
          <w:color w:val="000000"/>
        </w:rPr>
        <w:t>safety</w:t>
      </w:r>
      <w:r>
        <w:rPr>
          <w:rFonts w:cs="Arial"/>
          <w:color w:val="000000"/>
        </w:rPr>
        <w:t xml:space="preserve"> and</w:t>
      </w:r>
      <w:r w:rsidRPr="003E7EEA">
        <w:rPr>
          <w:rFonts w:cs="Arial"/>
          <w:color w:val="000000"/>
        </w:rPr>
        <w:t xml:space="preserve"> labelling</w:t>
      </w:r>
      <w:r>
        <w:rPr>
          <w:rFonts w:cs="Arial"/>
          <w:color w:val="000000"/>
        </w:rPr>
        <w:t xml:space="preserve"> requirements.</w:t>
      </w:r>
    </w:p>
    <w:p w14:paraId="04EE21D9" w14:textId="3AB20759" w:rsidR="00584B5E" w:rsidRDefault="00584B5E" w:rsidP="00584B5E">
      <w:pPr>
        <w:rPr>
          <w:rFonts w:cs="Arial"/>
          <w:szCs w:val="20"/>
        </w:rPr>
      </w:pPr>
      <w:proofErr w:type="gramStart"/>
      <w:r w:rsidRPr="00EE5770">
        <w:rPr>
          <w:rFonts w:cs="Arial"/>
          <w:color w:val="000000"/>
        </w:rPr>
        <w:t xml:space="preserve">With </w:t>
      </w:r>
      <w:r>
        <w:rPr>
          <w:rFonts w:cs="Arial"/>
          <w:color w:val="000000"/>
        </w:rPr>
        <w:t>regard to</w:t>
      </w:r>
      <w:proofErr w:type="gramEnd"/>
      <w:r>
        <w:rPr>
          <w:rFonts w:cs="Arial"/>
          <w:color w:val="000000"/>
        </w:rPr>
        <w:t xml:space="preserve"> </w:t>
      </w:r>
      <w:proofErr w:type="spellStart"/>
      <w:r w:rsidRPr="0062406F">
        <w:rPr>
          <w:rFonts w:cs="Arial"/>
          <w:color w:val="000000"/>
        </w:rPr>
        <w:t>52E</w:t>
      </w:r>
      <w:proofErr w:type="spellEnd"/>
      <w:r w:rsidRPr="0062406F">
        <w:rPr>
          <w:rFonts w:cs="Arial"/>
          <w:color w:val="000000"/>
        </w:rPr>
        <w:t xml:space="preserve"> (1) (a) and (b) of the Act, </w:t>
      </w:r>
      <w:r>
        <w:rPr>
          <w:rFonts w:cs="Arial"/>
          <w:color w:val="000000"/>
        </w:rPr>
        <w:t xml:space="preserve">I have considered that </w:t>
      </w:r>
      <w:r w:rsidR="00283958">
        <w:rPr>
          <w:rFonts w:cs="Arial"/>
          <w:color w:val="000000"/>
        </w:rPr>
        <w:t>dimethyl disulfide</w:t>
      </w:r>
      <w:r w:rsidRPr="008F6906">
        <w:rPr>
          <w:rFonts w:cs="Arial"/>
          <w:szCs w:val="20"/>
        </w:rPr>
        <w:t xml:space="preserve"> </w:t>
      </w:r>
      <w:r>
        <w:rPr>
          <w:rFonts w:cs="Arial"/>
          <w:szCs w:val="20"/>
        </w:rPr>
        <w:t xml:space="preserve">is for </w:t>
      </w:r>
      <w:r w:rsidRPr="002E7578">
        <w:rPr>
          <w:rFonts w:cs="Arial"/>
          <w:szCs w:val="20"/>
        </w:rPr>
        <w:t xml:space="preserve">agricultural use </w:t>
      </w:r>
      <w:r>
        <w:rPr>
          <w:rFonts w:cs="Arial"/>
          <w:szCs w:val="20"/>
        </w:rPr>
        <w:t xml:space="preserve">and </w:t>
      </w:r>
      <w:r w:rsidRPr="00C638CA">
        <w:rPr>
          <w:rFonts w:cs="Arial"/>
          <w:szCs w:val="20"/>
        </w:rPr>
        <w:t>effectively controls a wide range of pests, leading to improvements in crop production and reduced management time to grow a crop.</w:t>
      </w:r>
      <w:r>
        <w:rPr>
          <w:rFonts w:cs="Arial"/>
          <w:szCs w:val="20"/>
        </w:rPr>
        <w:t xml:space="preserve"> The applicant indicated that </w:t>
      </w:r>
      <w:r w:rsidR="00283958">
        <w:rPr>
          <w:rFonts w:cs="Arial"/>
          <w:szCs w:val="20"/>
        </w:rPr>
        <w:t>dimethyl disulfide</w:t>
      </w:r>
      <w:r w:rsidRPr="00CF010E">
        <w:rPr>
          <w:rFonts w:cs="Arial"/>
          <w:szCs w:val="20"/>
        </w:rPr>
        <w:t xml:space="preserve"> has the potential to be a safer alternative than some soil fumigants registered for the same use such as methyl bromide or methyl iodide (iodomethane)</w:t>
      </w:r>
      <w:r w:rsidR="00473A1B">
        <w:rPr>
          <w:rFonts w:cs="Arial"/>
          <w:szCs w:val="20"/>
        </w:rPr>
        <w:t xml:space="preserve"> which are Dangerous </w:t>
      </w:r>
      <w:r w:rsidR="00505AF6">
        <w:rPr>
          <w:rFonts w:cs="Arial"/>
          <w:szCs w:val="20"/>
        </w:rPr>
        <w:t>p</w:t>
      </w:r>
      <w:r w:rsidR="00473A1B">
        <w:rPr>
          <w:rFonts w:cs="Arial"/>
          <w:szCs w:val="20"/>
        </w:rPr>
        <w:t>oisons (</w:t>
      </w:r>
      <w:r w:rsidRPr="00CF010E">
        <w:rPr>
          <w:rFonts w:cs="Arial"/>
          <w:szCs w:val="20"/>
        </w:rPr>
        <w:t>Schedule 7</w:t>
      </w:r>
      <w:r w:rsidR="00473A1B">
        <w:rPr>
          <w:rFonts w:cs="Arial"/>
          <w:szCs w:val="20"/>
        </w:rPr>
        <w:t>)</w:t>
      </w:r>
      <w:r w:rsidRPr="00CF010E">
        <w:rPr>
          <w:rFonts w:cs="Arial"/>
          <w:szCs w:val="20"/>
        </w:rPr>
        <w:t>.</w:t>
      </w:r>
    </w:p>
    <w:p w14:paraId="3E953755" w14:textId="1A87739C" w:rsidR="00584B5E" w:rsidRDefault="00584B5E" w:rsidP="00584B5E">
      <w:proofErr w:type="gramStart"/>
      <w:r>
        <w:t>With regard to</w:t>
      </w:r>
      <w:proofErr w:type="gramEnd"/>
      <w:r w:rsidRPr="00F152AB">
        <w:t xml:space="preserve"> </w:t>
      </w:r>
      <w:proofErr w:type="spellStart"/>
      <w:r w:rsidRPr="00F152AB">
        <w:t>52E</w:t>
      </w:r>
      <w:proofErr w:type="spellEnd"/>
      <w:r w:rsidRPr="00F152AB">
        <w:t xml:space="preserve"> (1) (</w:t>
      </w:r>
      <w:r>
        <w:t>c</w:t>
      </w:r>
      <w:r w:rsidRPr="00F152AB">
        <w:t>) of the Act</w:t>
      </w:r>
      <w:r>
        <w:t xml:space="preserve">, </w:t>
      </w:r>
      <w:r w:rsidRPr="00992027">
        <w:t xml:space="preserve">the </w:t>
      </w:r>
      <w:proofErr w:type="spellStart"/>
      <w:r w:rsidRPr="00992027">
        <w:t>APVMA</w:t>
      </w:r>
      <w:proofErr w:type="spellEnd"/>
      <w:r w:rsidRPr="00992027">
        <w:t xml:space="preserve"> provided a Human Health Risk Assessment (</w:t>
      </w:r>
      <w:proofErr w:type="spellStart"/>
      <w:r w:rsidRPr="00992027">
        <w:t>HHRA</w:t>
      </w:r>
      <w:proofErr w:type="spellEnd"/>
      <w:r w:rsidRPr="00992027">
        <w:t xml:space="preserve">) for both </w:t>
      </w:r>
      <w:r w:rsidR="00283958">
        <w:t>dimethyl disulfide</w:t>
      </w:r>
      <w:r w:rsidRPr="0056419E">
        <w:t xml:space="preserve"> </w:t>
      </w:r>
      <w:r w:rsidRPr="00992027">
        <w:t xml:space="preserve">and the intended product </w:t>
      </w:r>
      <w:r>
        <w:t>containing this substance.</w:t>
      </w:r>
    </w:p>
    <w:p w14:paraId="7D7885E0" w14:textId="6D508C5C" w:rsidR="00584B5E" w:rsidRDefault="00584B5E" w:rsidP="00584B5E">
      <w:r w:rsidRPr="00C37A13">
        <w:t>D</w:t>
      </w:r>
      <w:r w:rsidR="00283958">
        <w:t>imethyl disulfide</w:t>
      </w:r>
      <w:r w:rsidRPr="00C37A13">
        <w:t xml:space="preserve"> has moderate acute oral, low dermal and </w:t>
      </w:r>
      <w:r w:rsidR="00283958">
        <w:t xml:space="preserve">low </w:t>
      </w:r>
      <w:r w:rsidRPr="00C37A13">
        <w:t>inhalational acute toxicity</w:t>
      </w:r>
      <w:r>
        <w:t xml:space="preserve"> in rats</w:t>
      </w:r>
      <w:r w:rsidRPr="00C37A13">
        <w:t>. It is a slight irritant to skin, a moderate irritant to the eyes</w:t>
      </w:r>
      <w:r>
        <w:t xml:space="preserve"> in rabbits</w:t>
      </w:r>
      <w:r w:rsidR="00283958">
        <w:t>,</w:t>
      </w:r>
      <w:r w:rsidRPr="00C37A13">
        <w:t xml:space="preserve"> and is a skin sensitiser based on the results of a local lymph node assay in mic</w:t>
      </w:r>
      <w:r>
        <w:t>e.</w:t>
      </w:r>
    </w:p>
    <w:p w14:paraId="13B4E5F4" w14:textId="5C4290BC" w:rsidR="00584B5E" w:rsidRPr="001D7C95" w:rsidRDefault="009E2723" w:rsidP="00584B5E">
      <w:pPr>
        <w:rPr>
          <w:rFonts w:cs="Arial"/>
          <w:color w:val="000000"/>
        </w:rPr>
      </w:pPr>
      <w:r>
        <w:rPr>
          <w:rFonts w:eastAsia="Times New Roman" w:cs="Arial"/>
          <w:color w:val="auto"/>
          <w:szCs w:val="20"/>
          <w:lang w:eastAsia="en-AU"/>
        </w:rPr>
        <w:t>R</w:t>
      </w:r>
      <w:r w:rsidR="00584B5E" w:rsidRPr="00117AB5">
        <w:rPr>
          <w:rFonts w:eastAsia="Times New Roman" w:cs="Arial"/>
          <w:color w:val="auto"/>
          <w:szCs w:val="20"/>
          <w:lang w:eastAsia="en-AU"/>
        </w:rPr>
        <w:t>epeat-dose toxicity studies</w:t>
      </w:r>
      <w:r w:rsidR="00D02894">
        <w:rPr>
          <w:rFonts w:eastAsia="Times New Roman" w:cs="Arial"/>
          <w:color w:val="auto"/>
          <w:szCs w:val="20"/>
          <w:lang w:eastAsia="en-AU"/>
        </w:rPr>
        <w:t xml:space="preserve"> in animals by the inhalation route</w:t>
      </w:r>
      <w:r w:rsidR="00584B5E" w:rsidRPr="00117AB5">
        <w:rPr>
          <w:rFonts w:eastAsia="Times New Roman" w:cs="Arial"/>
          <w:color w:val="auto"/>
          <w:szCs w:val="20"/>
          <w:lang w:eastAsia="en-AU"/>
        </w:rPr>
        <w:t xml:space="preserve"> </w:t>
      </w:r>
      <w:r>
        <w:rPr>
          <w:rFonts w:eastAsia="Times New Roman" w:cs="Arial"/>
          <w:color w:val="auto"/>
          <w:szCs w:val="20"/>
          <w:lang w:eastAsia="en-AU"/>
        </w:rPr>
        <w:t>demonstrated that</w:t>
      </w:r>
      <w:r w:rsidR="00584B5E" w:rsidRPr="0082739C">
        <w:t xml:space="preserve"> the most sensitive </w:t>
      </w:r>
      <w:r w:rsidR="00584B5E">
        <w:t xml:space="preserve">outcome </w:t>
      </w:r>
      <w:r w:rsidR="00584B5E" w:rsidRPr="0082739C">
        <w:t>was concentration dependent nasal irritation.</w:t>
      </w:r>
      <w:r w:rsidR="00584B5E" w:rsidRPr="00117AB5">
        <w:rPr>
          <w:rFonts w:eastAsia="Times New Roman" w:cs="Arial"/>
          <w:color w:val="auto"/>
          <w:szCs w:val="20"/>
          <w:lang w:eastAsia="en-AU"/>
        </w:rPr>
        <w:t xml:space="preserve"> </w:t>
      </w:r>
      <w:r w:rsidR="00D02894">
        <w:t>T</w:t>
      </w:r>
      <w:r w:rsidR="00584B5E" w:rsidRPr="00935AC1">
        <w:t>he concentration at which nasal irritation occurs is similar for a single exposure</w:t>
      </w:r>
      <w:r w:rsidR="00D02894">
        <w:t xml:space="preserve"> and for repeat exposure</w:t>
      </w:r>
      <w:r w:rsidR="00584B5E" w:rsidRPr="00EE5770">
        <w:rPr>
          <w:rFonts w:cs="Arial"/>
          <w:color w:val="000000"/>
        </w:rPr>
        <w:t>.</w:t>
      </w:r>
      <w:r w:rsidR="00584B5E">
        <w:rPr>
          <w:rStyle w:val="FootnoteReference"/>
          <w:rFonts w:cs="Arial"/>
          <w:color w:val="000000"/>
        </w:rPr>
        <w:footnoteReference w:id="7"/>
      </w:r>
      <w:r w:rsidR="00505AF6">
        <w:rPr>
          <w:rFonts w:cs="Arial"/>
          <w:color w:val="000000"/>
        </w:rPr>
        <w:t xml:space="preserve"> </w:t>
      </w:r>
      <w:r w:rsidR="00D02894">
        <w:rPr>
          <w:rFonts w:cs="Arial"/>
          <w:color w:val="000000"/>
        </w:rPr>
        <w:t xml:space="preserve">Systemic toxicity (reduced body weight and food consumption) was only observed following repeat exposure at higher doses. </w:t>
      </w:r>
    </w:p>
    <w:p w14:paraId="6D081A35" w14:textId="106B8D7A" w:rsidR="00505AF6" w:rsidRPr="00505AF6" w:rsidRDefault="00505AF6" w:rsidP="00505AF6">
      <w:pPr>
        <w:tabs>
          <w:tab w:val="left" w:pos="1440"/>
        </w:tabs>
        <w:spacing w:before="120" w:line="240" w:lineRule="auto"/>
        <w:jc w:val="both"/>
        <w:rPr>
          <w:rFonts w:cs="Arial"/>
          <w:szCs w:val="20"/>
        </w:rPr>
      </w:pPr>
      <w:r w:rsidRPr="00505AF6">
        <w:rPr>
          <w:rFonts w:cs="Arial"/>
          <w:szCs w:val="20"/>
        </w:rPr>
        <w:t xml:space="preserve">Crops grown after </w:t>
      </w:r>
      <w:r w:rsidR="00283958">
        <w:rPr>
          <w:rFonts w:cs="Arial"/>
          <w:szCs w:val="20"/>
        </w:rPr>
        <w:t>dimethyl disulfide</w:t>
      </w:r>
      <w:r w:rsidRPr="00505AF6">
        <w:rPr>
          <w:rFonts w:cs="Arial"/>
          <w:szCs w:val="20"/>
        </w:rPr>
        <w:t xml:space="preserve"> soil treatment showed no toxicologically significant residues that could contribute to dietary exposure.</w:t>
      </w:r>
    </w:p>
    <w:p w14:paraId="2CEE5429" w14:textId="78117FB3" w:rsidR="00584B5E" w:rsidRPr="008B6B5F" w:rsidRDefault="00584B5E" w:rsidP="00584B5E">
      <w:pPr>
        <w:tabs>
          <w:tab w:val="left" w:pos="1440"/>
        </w:tabs>
        <w:spacing w:before="120" w:line="240" w:lineRule="auto"/>
        <w:jc w:val="both"/>
        <w:rPr>
          <w:rFonts w:eastAsia="Times New Roman" w:cs="Arial"/>
          <w:color w:val="auto"/>
          <w:szCs w:val="20"/>
          <w:lang w:eastAsia="en-AU"/>
        </w:rPr>
      </w:pPr>
      <w:proofErr w:type="gramStart"/>
      <w:r w:rsidRPr="00B437A0">
        <w:rPr>
          <w:rFonts w:cs="Arial"/>
          <w:szCs w:val="20"/>
        </w:rPr>
        <w:t>With regard to</w:t>
      </w:r>
      <w:proofErr w:type="gramEnd"/>
      <w:r w:rsidRPr="00B437A0">
        <w:rPr>
          <w:rFonts w:cs="Arial"/>
          <w:szCs w:val="20"/>
        </w:rPr>
        <w:t xml:space="preserve"> </w:t>
      </w:r>
      <w:proofErr w:type="spellStart"/>
      <w:r w:rsidRPr="00B437A0">
        <w:rPr>
          <w:rFonts w:cs="Arial"/>
          <w:szCs w:val="20"/>
        </w:rPr>
        <w:t>52E</w:t>
      </w:r>
      <w:proofErr w:type="spellEnd"/>
      <w:r w:rsidRPr="00B437A0">
        <w:rPr>
          <w:rFonts w:cs="Arial"/>
          <w:szCs w:val="20"/>
        </w:rPr>
        <w:t xml:space="preserve"> (1) (d) of the Act, </w:t>
      </w:r>
      <w:r>
        <w:rPr>
          <w:rFonts w:cs="Arial"/>
          <w:szCs w:val="20"/>
        </w:rPr>
        <w:t xml:space="preserve">I have considered </w:t>
      </w:r>
      <w:r w:rsidRPr="00B437A0">
        <w:rPr>
          <w:rFonts w:cs="Arial"/>
          <w:szCs w:val="20"/>
        </w:rPr>
        <w:t xml:space="preserve">the formulated product is intended for </w:t>
      </w:r>
      <w:r>
        <w:rPr>
          <w:rFonts w:cs="Arial"/>
          <w:szCs w:val="20"/>
        </w:rPr>
        <w:t xml:space="preserve">agricultural </w:t>
      </w:r>
      <w:r w:rsidRPr="00B437A0">
        <w:rPr>
          <w:rFonts w:cs="Arial"/>
          <w:szCs w:val="20"/>
        </w:rPr>
        <w:t>professional use only.</w:t>
      </w:r>
      <w:r w:rsidRPr="00B437A0">
        <w:rPr>
          <w:rFonts w:eastAsia="Times New Roman" w:cs="Arial"/>
          <w:color w:val="auto"/>
          <w:szCs w:val="20"/>
          <w:lang w:eastAsia="en-AU"/>
        </w:rPr>
        <w:t xml:space="preserve"> </w:t>
      </w:r>
      <w:r>
        <w:rPr>
          <w:rFonts w:eastAsia="Times New Roman" w:cs="Arial"/>
          <w:color w:val="auto"/>
          <w:szCs w:val="20"/>
          <w:lang w:eastAsia="en-AU"/>
        </w:rPr>
        <w:t xml:space="preserve">The </w:t>
      </w:r>
      <w:proofErr w:type="spellStart"/>
      <w:r>
        <w:rPr>
          <w:rFonts w:eastAsia="Times New Roman" w:cs="Arial"/>
          <w:color w:val="auto"/>
          <w:szCs w:val="20"/>
          <w:lang w:eastAsia="en-AU"/>
        </w:rPr>
        <w:t>HHRA</w:t>
      </w:r>
      <w:proofErr w:type="spellEnd"/>
      <w:r>
        <w:rPr>
          <w:rFonts w:eastAsia="Times New Roman" w:cs="Arial"/>
          <w:color w:val="auto"/>
          <w:szCs w:val="20"/>
          <w:lang w:eastAsia="en-AU"/>
        </w:rPr>
        <w:t xml:space="preserve"> </w:t>
      </w:r>
      <w:r w:rsidRPr="00A50512">
        <w:rPr>
          <w:rFonts w:eastAsia="Times New Roman" w:cs="Arial"/>
          <w:color w:val="auto"/>
          <w:szCs w:val="20"/>
          <w:lang w:eastAsia="en-AU"/>
        </w:rPr>
        <w:t>indicated that</w:t>
      </w:r>
      <w:r>
        <w:rPr>
          <w:rFonts w:eastAsia="Times New Roman" w:cs="Arial"/>
          <w:color w:val="auto"/>
          <w:szCs w:val="20"/>
          <w:lang w:eastAsia="en-AU"/>
        </w:rPr>
        <w:t xml:space="preserve"> considering the </w:t>
      </w:r>
      <w:r w:rsidRPr="00A50512">
        <w:rPr>
          <w:rFonts w:eastAsia="Times New Roman" w:cs="Arial"/>
          <w:color w:val="auto"/>
          <w:szCs w:val="20"/>
          <w:lang w:eastAsia="en-AU"/>
        </w:rPr>
        <w:t>potential toxicological hazard, use pattern and likelihood of handler exposure, the directions for use</w:t>
      </w:r>
      <w:r>
        <w:rPr>
          <w:rFonts w:eastAsia="Times New Roman" w:cs="Arial"/>
          <w:color w:val="auto"/>
          <w:szCs w:val="20"/>
          <w:lang w:eastAsia="en-AU"/>
        </w:rPr>
        <w:t xml:space="preserve">, </w:t>
      </w:r>
      <w:r w:rsidRPr="00A50512">
        <w:rPr>
          <w:rFonts w:eastAsia="Times New Roman" w:cs="Arial"/>
          <w:color w:val="auto"/>
          <w:szCs w:val="20"/>
          <w:lang w:eastAsia="en-AU"/>
        </w:rPr>
        <w:t>first aid instructions</w:t>
      </w:r>
      <w:r>
        <w:rPr>
          <w:rFonts w:eastAsia="Times New Roman" w:cs="Arial"/>
          <w:color w:val="auto"/>
          <w:szCs w:val="20"/>
          <w:lang w:eastAsia="en-AU"/>
        </w:rPr>
        <w:t xml:space="preserve"> and </w:t>
      </w:r>
      <w:r w:rsidRPr="00A50512">
        <w:rPr>
          <w:rFonts w:eastAsia="Times New Roman" w:cs="Arial"/>
          <w:color w:val="auto"/>
          <w:szCs w:val="20"/>
          <w:lang w:eastAsia="en-AU"/>
        </w:rPr>
        <w:t>safety directions</w:t>
      </w:r>
      <w:r>
        <w:rPr>
          <w:rFonts w:eastAsia="Times New Roman" w:cs="Arial"/>
          <w:color w:val="auto"/>
          <w:szCs w:val="20"/>
          <w:lang w:eastAsia="en-AU"/>
        </w:rPr>
        <w:t xml:space="preserve"> </w:t>
      </w:r>
      <w:r w:rsidRPr="00A50512">
        <w:rPr>
          <w:rFonts w:eastAsia="Times New Roman" w:cs="Arial"/>
          <w:color w:val="auto"/>
          <w:szCs w:val="20"/>
          <w:lang w:eastAsia="en-AU"/>
        </w:rPr>
        <w:t>should appear on the product label</w:t>
      </w:r>
      <w:r>
        <w:rPr>
          <w:rFonts w:eastAsia="Times New Roman" w:cs="Arial"/>
          <w:color w:val="auto"/>
          <w:szCs w:val="20"/>
          <w:lang w:eastAsia="en-AU"/>
        </w:rPr>
        <w:t>.</w:t>
      </w:r>
    </w:p>
    <w:p w14:paraId="4E1F619D" w14:textId="2E886863" w:rsidR="00584B5E" w:rsidRPr="00CE5C54" w:rsidRDefault="00584B5E" w:rsidP="00584B5E">
      <w:r>
        <w:rPr>
          <w:rFonts w:cs="Arial"/>
          <w:color w:val="000000"/>
        </w:rPr>
        <w:lastRenderedPageBreak/>
        <w:t xml:space="preserve">Regarding </w:t>
      </w:r>
      <w:proofErr w:type="spellStart"/>
      <w:r w:rsidRPr="00B56866">
        <w:rPr>
          <w:rFonts w:cs="Arial"/>
          <w:color w:val="000000"/>
        </w:rPr>
        <w:t>52E</w:t>
      </w:r>
      <w:proofErr w:type="spellEnd"/>
      <w:r w:rsidRPr="00B56866">
        <w:rPr>
          <w:rFonts w:cs="Arial"/>
          <w:color w:val="000000"/>
        </w:rPr>
        <w:t>(1)(</w:t>
      </w:r>
      <w:r>
        <w:rPr>
          <w:rFonts w:cs="Arial"/>
          <w:color w:val="000000"/>
        </w:rPr>
        <w:t>f</w:t>
      </w:r>
      <w:r w:rsidRPr="00B56866">
        <w:rPr>
          <w:rFonts w:cs="Arial"/>
          <w:color w:val="000000"/>
        </w:rPr>
        <w:t>) of the Act</w:t>
      </w:r>
      <w:r>
        <w:t>, t</w:t>
      </w:r>
      <w:r w:rsidRPr="00341324">
        <w:t xml:space="preserve">he proposed application of </w:t>
      </w:r>
      <w:r w:rsidR="00283958">
        <w:t>dimethyl disulfide</w:t>
      </w:r>
      <w:r w:rsidRPr="00341324">
        <w:t xml:space="preserve"> is not expected to result in a significant change in the concentration of </w:t>
      </w:r>
      <w:r w:rsidR="00283958">
        <w:t>dimethyl disulfide</w:t>
      </w:r>
      <w:r w:rsidRPr="00341324">
        <w:t xml:space="preserve"> present in human food. Consequently, this usage should have minimal impact on dietary exposure levels and is considered to pose an acceptable risk</w:t>
      </w:r>
      <w:r>
        <w:t xml:space="preserve"> for a Schedule 6 poison</w:t>
      </w:r>
      <w:r w:rsidRPr="00341324">
        <w:t>.</w:t>
      </w:r>
    </w:p>
    <w:p w14:paraId="24F0B122" w14:textId="77777777" w:rsidR="00584B5E" w:rsidRPr="00A46992" w:rsidRDefault="00584B5E" w:rsidP="00584B5E">
      <w:pPr>
        <w:rPr>
          <w:rFonts w:cs="Arial"/>
          <w:szCs w:val="20"/>
        </w:rPr>
      </w:pPr>
      <w:r w:rsidRPr="00084FB0">
        <w:rPr>
          <w:szCs w:val="20"/>
        </w:rPr>
        <w:t>Based on the above considerations and the information provided, I have decided to amend the Poisons (Schedule 6) entry for dimethyl disulfide in the current Poisons Standard in the manner set out above. The proposed amendment was not referred to an expert advisory committee</w:t>
      </w:r>
      <w:r>
        <w:rPr>
          <w:szCs w:val="20"/>
        </w:rPr>
        <w:t>.</w:t>
      </w:r>
    </w:p>
    <w:p w14:paraId="40C82ACF" w14:textId="77777777" w:rsidR="00584B5E" w:rsidRPr="00505AF6" w:rsidRDefault="00584B5E"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Implementation date</w:t>
      </w:r>
    </w:p>
    <w:bookmarkEnd w:id="33"/>
    <w:p w14:paraId="3638C38D" w14:textId="77777777" w:rsidR="00505AF6" w:rsidRDefault="00584B5E" w:rsidP="00505AF6">
      <w:r w:rsidRPr="008C116A">
        <w:t xml:space="preserve">1 </w:t>
      </w:r>
      <w:r>
        <w:t>October 2026</w:t>
      </w:r>
    </w:p>
    <w:p w14:paraId="5BA8D870" w14:textId="724E0593" w:rsidR="00BF56B4" w:rsidRPr="00505AF6" w:rsidRDefault="00BF56B4" w:rsidP="00505AF6">
      <w:pPr>
        <w:pStyle w:val="Heading3"/>
      </w:pPr>
      <w:bookmarkStart w:id="34" w:name="_Toc230002895"/>
      <w:r>
        <w:t>F</w:t>
      </w:r>
      <w:r w:rsidRPr="000F1DF4">
        <w:t xml:space="preserve">inal decision in relation to </w:t>
      </w:r>
      <w:proofErr w:type="spellStart"/>
      <w:r>
        <w:t>e</w:t>
      </w:r>
      <w:r w:rsidRPr="00164AC6">
        <w:t>nflicoxib</w:t>
      </w:r>
      <w:proofErr w:type="spellEnd"/>
      <w:r>
        <w:t xml:space="preserve"> </w:t>
      </w:r>
      <w:r w:rsidRPr="00505AF6">
        <w:t>sodium</w:t>
      </w:r>
      <w:bookmarkEnd w:id="34"/>
    </w:p>
    <w:p w14:paraId="77841BB9" w14:textId="77777777" w:rsidR="00BF56B4" w:rsidRPr="000F1DF4" w:rsidRDefault="00BF56B4" w:rsidP="00BF56B4">
      <w:pPr>
        <w:keepNext/>
        <w:keepLines/>
        <w:spacing w:before="360" w:line="240" w:lineRule="atLeast"/>
        <w:outlineLvl w:val="3"/>
        <w:rPr>
          <w:rFonts w:eastAsia="Cambria"/>
          <w:bCs/>
          <w:color w:val="001871"/>
          <w:sz w:val="28"/>
          <w:szCs w:val="26"/>
        </w:rPr>
      </w:pPr>
      <w:r w:rsidRPr="000F1DF4">
        <w:rPr>
          <w:rFonts w:eastAsia="Cambria"/>
          <w:bCs/>
          <w:color w:val="001871"/>
          <w:sz w:val="28"/>
          <w:szCs w:val="26"/>
        </w:rPr>
        <w:t>Final Decision</w:t>
      </w:r>
    </w:p>
    <w:p w14:paraId="22287CA6" w14:textId="77777777" w:rsidR="00BF56B4" w:rsidRPr="000F1DF4" w:rsidRDefault="00BF56B4" w:rsidP="00BF56B4">
      <w:pPr>
        <w:rPr>
          <w:rFonts w:eastAsia="Cambria" w:cs="Arial"/>
          <w:color w:val="000000"/>
          <w:szCs w:val="20"/>
        </w:rPr>
      </w:pPr>
      <w:r w:rsidRPr="000F1DF4">
        <w:rPr>
          <w:rFonts w:eastAsia="Cambria" w:cs="Arial"/>
          <w:color w:val="000000"/>
          <w:szCs w:val="20"/>
        </w:rPr>
        <w:t xml:space="preserve">Pursuant to regulation </w:t>
      </w:r>
      <w:proofErr w:type="spellStart"/>
      <w:r w:rsidRPr="000F1DF4">
        <w:rPr>
          <w:rFonts w:eastAsia="Cambria" w:cs="Arial"/>
          <w:color w:val="000000"/>
          <w:szCs w:val="20"/>
        </w:rPr>
        <w:t>42ZCZU</w:t>
      </w:r>
      <w:proofErr w:type="spellEnd"/>
      <w:r w:rsidRPr="000F1DF4">
        <w:rPr>
          <w:rFonts w:eastAsia="Cambria" w:cs="Arial"/>
          <w:color w:val="000000"/>
          <w:szCs w:val="20"/>
        </w:rPr>
        <w:t xml:space="preserve"> of the Regulations, a Delegate of the Secretary has made a final decision to amend the current Poisons Standard in relation to </w:t>
      </w:r>
      <w:proofErr w:type="spellStart"/>
      <w:r w:rsidRPr="00164AC6">
        <w:rPr>
          <w:rFonts w:eastAsia="Cambria" w:cs="Arial"/>
          <w:color w:val="000000"/>
          <w:szCs w:val="20"/>
        </w:rPr>
        <w:t>enflicoxib</w:t>
      </w:r>
      <w:proofErr w:type="spellEnd"/>
      <w:r w:rsidRPr="00164AC6">
        <w:rPr>
          <w:rFonts w:eastAsia="Cambria" w:cs="Arial"/>
          <w:color w:val="000000"/>
          <w:szCs w:val="20"/>
        </w:rPr>
        <w:t xml:space="preserve"> </w:t>
      </w:r>
      <w:r w:rsidRPr="000F1DF4">
        <w:rPr>
          <w:rFonts w:eastAsia="Cambria" w:cs="Arial"/>
          <w:color w:val="000000"/>
          <w:szCs w:val="20"/>
        </w:rPr>
        <w:t>sodium as follows:</w:t>
      </w:r>
      <w:r w:rsidRPr="000F1DF4">
        <w:rPr>
          <w:rFonts w:eastAsia="Cambria" w:cs="Arial"/>
          <w:color w:val="000000"/>
          <w:szCs w:val="20"/>
          <w:vertAlign w:val="superscript"/>
        </w:rPr>
        <w:footnoteReference w:id="8"/>
      </w:r>
    </w:p>
    <w:p w14:paraId="0642AA46" w14:textId="77777777" w:rsidR="00BF56B4" w:rsidRPr="000F1DF4" w:rsidRDefault="00BF56B4" w:rsidP="00BF56B4">
      <w:pPr>
        <w:ind w:left="425"/>
        <w:rPr>
          <w:rFonts w:eastAsia="Calibri" w:cs="Arial"/>
          <w:b/>
          <w:bCs/>
          <w:color w:val="000000"/>
          <w:szCs w:val="20"/>
        </w:rPr>
      </w:pPr>
      <w:r w:rsidRPr="000F1DF4">
        <w:rPr>
          <w:rFonts w:eastAsia="Calibri" w:cs="Arial"/>
          <w:b/>
          <w:bCs/>
          <w:color w:val="000000"/>
          <w:szCs w:val="20"/>
        </w:rPr>
        <w:t>Schedule 4 – New Entry</w:t>
      </w:r>
    </w:p>
    <w:p w14:paraId="468AFB39" w14:textId="77777777" w:rsidR="00BF56B4" w:rsidRPr="000F1DF4" w:rsidRDefault="00BF56B4" w:rsidP="00BF56B4">
      <w:pPr>
        <w:ind w:left="709"/>
        <w:rPr>
          <w:rFonts w:eastAsia="Calibri" w:cs="Arial"/>
          <w:b/>
          <w:bCs/>
          <w:color w:val="00B050"/>
          <w:szCs w:val="20"/>
          <w:u w:val="single"/>
        </w:rPr>
      </w:pPr>
      <w:proofErr w:type="spellStart"/>
      <w:r w:rsidRPr="007A498D">
        <w:rPr>
          <w:rFonts w:eastAsia="Cambria" w:cs="Arial"/>
          <w:color w:val="00B050"/>
          <w:kern w:val="24"/>
          <w:szCs w:val="20"/>
          <w:u w:val="single"/>
        </w:rPr>
        <w:t>ENFLICOXIB</w:t>
      </w:r>
      <w:proofErr w:type="spellEnd"/>
    </w:p>
    <w:p w14:paraId="5CD49199" w14:textId="77777777" w:rsidR="00BF56B4" w:rsidRPr="000F1DF4" w:rsidRDefault="00BF56B4" w:rsidP="00BF56B4">
      <w:pPr>
        <w:ind w:left="425"/>
        <w:rPr>
          <w:rFonts w:eastAsia="Calibri" w:cs="Arial"/>
          <w:b/>
          <w:bCs/>
          <w:color w:val="000000"/>
          <w:szCs w:val="20"/>
        </w:rPr>
      </w:pPr>
      <w:r w:rsidRPr="000F1DF4">
        <w:rPr>
          <w:rFonts w:eastAsia="Calibri" w:cs="Arial"/>
          <w:b/>
          <w:bCs/>
          <w:color w:val="000000"/>
          <w:szCs w:val="20"/>
        </w:rPr>
        <w:t>Index – New Entry</w:t>
      </w:r>
    </w:p>
    <w:p w14:paraId="61E276E4" w14:textId="77777777" w:rsidR="00BF56B4" w:rsidRPr="000F1DF4" w:rsidRDefault="00BF56B4" w:rsidP="00BF56B4">
      <w:pPr>
        <w:ind w:left="709"/>
        <w:rPr>
          <w:rFonts w:eastAsia="Calibri" w:cs="Arial"/>
          <w:b/>
          <w:bCs/>
          <w:color w:val="00B050"/>
          <w:szCs w:val="20"/>
          <w:u w:val="single"/>
        </w:rPr>
      </w:pPr>
      <w:proofErr w:type="spellStart"/>
      <w:r w:rsidRPr="007A498D">
        <w:rPr>
          <w:rFonts w:eastAsia="Cambria" w:cs="Arial"/>
          <w:color w:val="00B050"/>
          <w:kern w:val="24"/>
          <w:szCs w:val="20"/>
          <w:u w:val="single"/>
        </w:rPr>
        <w:t>ENFLICOXIB</w:t>
      </w:r>
      <w:proofErr w:type="spellEnd"/>
    </w:p>
    <w:p w14:paraId="47F800A3" w14:textId="77777777" w:rsidR="00BF56B4" w:rsidRPr="000F1DF4" w:rsidRDefault="00BF56B4" w:rsidP="00BF56B4">
      <w:pPr>
        <w:ind w:firstLine="709"/>
        <w:rPr>
          <w:rFonts w:eastAsia="Calibri"/>
          <w:color w:val="000000"/>
        </w:rPr>
      </w:pPr>
      <w:r w:rsidRPr="000F1DF4">
        <w:rPr>
          <w:rFonts w:eastAsia="Calibri" w:cs="Arial"/>
          <w:color w:val="00B050"/>
          <w:szCs w:val="20"/>
          <w:u w:val="single"/>
        </w:rPr>
        <w:t>Schedule 4</w:t>
      </w:r>
    </w:p>
    <w:p w14:paraId="103D5811" w14:textId="77777777" w:rsidR="00BF56B4" w:rsidRPr="000F1DF4" w:rsidRDefault="00BF56B4" w:rsidP="00BF56B4">
      <w:pPr>
        <w:keepNext/>
        <w:keepLines/>
        <w:spacing w:before="360" w:line="240" w:lineRule="atLeast"/>
        <w:outlineLvl w:val="3"/>
        <w:rPr>
          <w:rFonts w:eastAsia="Cambria"/>
          <w:bCs/>
          <w:color w:val="001871"/>
          <w:sz w:val="28"/>
          <w:szCs w:val="26"/>
        </w:rPr>
      </w:pPr>
      <w:r w:rsidRPr="000F1DF4">
        <w:rPr>
          <w:rFonts w:eastAsia="Cambria"/>
          <w:bCs/>
          <w:color w:val="001871"/>
          <w:sz w:val="28"/>
          <w:szCs w:val="26"/>
        </w:rPr>
        <w:t>Materials considered</w:t>
      </w:r>
    </w:p>
    <w:p w14:paraId="1C683867" w14:textId="77777777" w:rsidR="00BF56B4" w:rsidRPr="000F1DF4" w:rsidRDefault="00BF56B4" w:rsidP="00BF56B4">
      <w:pPr>
        <w:rPr>
          <w:rFonts w:eastAsia="Calibri"/>
          <w:color w:val="000000"/>
        </w:rPr>
      </w:pPr>
      <w:r w:rsidRPr="000F1DF4">
        <w:rPr>
          <w:rFonts w:eastAsia="Calibri"/>
          <w:color w:val="000000"/>
        </w:rPr>
        <w:t>In making this final decision, the Delegate considered the following material:</w:t>
      </w:r>
    </w:p>
    <w:p w14:paraId="6548920B" w14:textId="77777777" w:rsidR="00BF56B4" w:rsidRPr="00882919" w:rsidRDefault="00BF56B4" w:rsidP="00B93EE9">
      <w:pPr>
        <w:pStyle w:val="ListBullet"/>
        <w:numPr>
          <w:ilvl w:val="0"/>
          <w:numId w:val="28"/>
        </w:numPr>
      </w:pPr>
      <w:r w:rsidRPr="00882919">
        <w:t xml:space="preserve">the application to amend the current Poisons Standard with respect to </w:t>
      </w:r>
      <w:proofErr w:type="spellStart"/>
      <w:r w:rsidRPr="00882919">
        <w:rPr>
          <w:rFonts w:cs="Arial"/>
          <w:szCs w:val="20"/>
        </w:rPr>
        <w:t>enflicoxib</w:t>
      </w:r>
      <w:proofErr w:type="spellEnd"/>
      <w:r w:rsidRPr="00882919">
        <w:rPr>
          <w:rFonts w:cs="Arial"/>
          <w:szCs w:val="20"/>
        </w:rPr>
        <w:t xml:space="preserve"> </w:t>
      </w:r>
      <w:r w:rsidRPr="00882919">
        <w:t xml:space="preserve">(the </w:t>
      </w:r>
      <w:r w:rsidRPr="00882919">
        <w:rPr>
          <w:b/>
          <w:bCs/>
        </w:rPr>
        <w:t>Application</w:t>
      </w:r>
      <w:r w:rsidRPr="00882919">
        <w:t>)</w:t>
      </w:r>
    </w:p>
    <w:p w14:paraId="2C17ACE7" w14:textId="77777777" w:rsidR="00BF56B4" w:rsidRPr="00882919" w:rsidRDefault="00BF56B4" w:rsidP="00B93EE9">
      <w:pPr>
        <w:pStyle w:val="ListBullet"/>
        <w:numPr>
          <w:ilvl w:val="0"/>
          <w:numId w:val="28"/>
        </w:numPr>
      </w:pPr>
      <w:r w:rsidRPr="00882919">
        <w:t xml:space="preserve">subsection </w:t>
      </w:r>
      <w:proofErr w:type="spellStart"/>
      <w:r w:rsidRPr="00882919">
        <w:t>52E</w:t>
      </w:r>
      <w:proofErr w:type="spellEnd"/>
      <w:r w:rsidRPr="00882919">
        <w:t xml:space="preserv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2350EBE4" w14:textId="77777777" w:rsidR="00BF56B4" w:rsidRPr="00882919" w:rsidRDefault="00BF56B4" w:rsidP="00B93EE9">
      <w:pPr>
        <w:pStyle w:val="ListBullet"/>
        <w:numPr>
          <w:ilvl w:val="0"/>
          <w:numId w:val="28"/>
        </w:numPr>
      </w:pPr>
      <w:r w:rsidRPr="00882919">
        <w:t xml:space="preserve">pursuant to paragraph </w:t>
      </w:r>
      <w:proofErr w:type="spellStart"/>
      <w:r w:rsidRPr="00882919">
        <w:t>52E</w:t>
      </w:r>
      <w:proofErr w:type="spellEnd"/>
      <w:r w:rsidRPr="00882919">
        <w:t>(2)(a) of the Act, the SPF</w:t>
      </w:r>
    </w:p>
    <w:p w14:paraId="727658BA" w14:textId="77777777" w:rsidR="00BF56B4" w:rsidRPr="00882919" w:rsidRDefault="00BF56B4" w:rsidP="00B93EE9">
      <w:pPr>
        <w:pStyle w:val="ListBullet"/>
        <w:numPr>
          <w:ilvl w:val="0"/>
          <w:numId w:val="28"/>
        </w:numPr>
      </w:pPr>
      <w:r w:rsidRPr="00882919">
        <w:t>the Handbook.</w:t>
      </w:r>
    </w:p>
    <w:p w14:paraId="4136BBAD" w14:textId="77777777" w:rsidR="00BF56B4" w:rsidRPr="000F1DF4" w:rsidRDefault="00BF56B4" w:rsidP="00BF56B4">
      <w:pPr>
        <w:keepNext/>
        <w:keepLines/>
        <w:spacing w:before="360" w:line="240" w:lineRule="atLeast"/>
        <w:outlineLvl w:val="3"/>
        <w:rPr>
          <w:rFonts w:eastAsia="Cambria"/>
          <w:bCs/>
          <w:color w:val="001871"/>
          <w:sz w:val="28"/>
          <w:szCs w:val="26"/>
        </w:rPr>
      </w:pPr>
      <w:r w:rsidRPr="000F1DF4">
        <w:rPr>
          <w:rFonts w:eastAsia="Cambria"/>
          <w:bCs/>
          <w:color w:val="001871"/>
          <w:sz w:val="28"/>
          <w:szCs w:val="26"/>
        </w:rPr>
        <w:t>Reasons for the final decision (including findings on material questions of fact)</w:t>
      </w:r>
    </w:p>
    <w:p w14:paraId="6BCAA919" w14:textId="77777777" w:rsidR="00BF56B4" w:rsidRPr="000F1DF4" w:rsidRDefault="00BF56B4" w:rsidP="00BF56B4">
      <w:pPr>
        <w:spacing w:before="120" w:after="180" w:line="240" w:lineRule="atLeast"/>
        <w:rPr>
          <w:rFonts w:eastAsia="Cambria" w:cs="Calibri"/>
          <w:color w:val="000000"/>
        </w:rPr>
      </w:pPr>
      <w:r w:rsidRPr="000F1DF4">
        <w:rPr>
          <w:rFonts w:eastAsia="Cambria" w:cs="Calibri"/>
          <w:color w:val="000000"/>
        </w:rPr>
        <w:t xml:space="preserve">The Application is to amend the current Poisons Standard to create a Prescription </w:t>
      </w:r>
      <w:r>
        <w:rPr>
          <w:rFonts w:eastAsia="Cambria" w:cs="Calibri"/>
          <w:color w:val="000000"/>
        </w:rPr>
        <w:t>animal remedy</w:t>
      </w:r>
      <w:r w:rsidRPr="000F1DF4">
        <w:rPr>
          <w:rFonts w:eastAsia="Cambria" w:cs="Calibri"/>
          <w:color w:val="000000"/>
        </w:rPr>
        <w:t xml:space="preserve"> (Schedule 4) entry for </w:t>
      </w:r>
      <w:proofErr w:type="spellStart"/>
      <w:r w:rsidRPr="004214F2">
        <w:rPr>
          <w:rFonts w:eastAsia="Cambria" w:cs="Calibri"/>
          <w:color w:val="000000"/>
        </w:rPr>
        <w:t>enflicoxib</w:t>
      </w:r>
      <w:proofErr w:type="spellEnd"/>
      <w:r w:rsidRPr="000F1DF4">
        <w:rPr>
          <w:rFonts w:eastAsia="Cambria" w:cs="Calibri"/>
          <w:color w:val="000000"/>
        </w:rPr>
        <w:t xml:space="preserve">. </w:t>
      </w:r>
      <w:proofErr w:type="spellStart"/>
      <w:r>
        <w:rPr>
          <w:rFonts w:eastAsia="Cambria" w:cs="Calibri"/>
          <w:color w:val="000000"/>
        </w:rPr>
        <w:t>E</w:t>
      </w:r>
      <w:r w:rsidRPr="004214F2">
        <w:rPr>
          <w:rFonts w:eastAsia="Cambria" w:cs="Calibri"/>
          <w:color w:val="000000"/>
        </w:rPr>
        <w:t>nflicoxib</w:t>
      </w:r>
      <w:proofErr w:type="spellEnd"/>
      <w:r w:rsidRPr="000F1DF4">
        <w:rPr>
          <w:rFonts w:eastAsia="Cambria" w:cs="Calibri"/>
          <w:color w:val="000000"/>
        </w:rPr>
        <w:t xml:space="preserve"> is the active ingredient of a currently unregistered veterinary medicine and is not included in the current Poisons Standard.</w:t>
      </w:r>
    </w:p>
    <w:p w14:paraId="58C60856" w14:textId="77777777" w:rsidR="00BF56B4" w:rsidRPr="000F1DF4" w:rsidRDefault="00BF56B4" w:rsidP="00BF56B4">
      <w:pPr>
        <w:rPr>
          <w:rFonts w:eastAsia="Calibri"/>
          <w:color w:val="000000"/>
        </w:rPr>
      </w:pPr>
      <w:r w:rsidRPr="000F1DF4">
        <w:rPr>
          <w:rFonts w:eastAsia="Calibri"/>
          <w:color w:val="000000"/>
        </w:rPr>
        <w:lastRenderedPageBreak/>
        <w:t xml:space="preserve">In determining that this matter will be a delegate-only decision I have </w:t>
      </w:r>
      <w:proofErr w:type="gramStart"/>
      <w:r w:rsidRPr="000F1DF4">
        <w:rPr>
          <w:rFonts w:eastAsia="Calibri"/>
          <w:color w:val="000000"/>
        </w:rPr>
        <w:t>taken into account</w:t>
      </w:r>
      <w:proofErr w:type="gramEnd"/>
      <w:r w:rsidRPr="000F1DF4">
        <w:rPr>
          <w:rFonts w:eastAsia="Calibri"/>
          <w:color w:val="000000"/>
        </w:rPr>
        <w:t xml:space="preserve"> the information provided in the Application, and the matters outlined under s </w:t>
      </w:r>
      <w:proofErr w:type="spellStart"/>
      <w:r w:rsidRPr="000F1DF4">
        <w:rPr>
          <w:rFonts w:eastAsia="Calibri"/>
          <w:color w:val="000000"/>
        </w:rPr>
        <w:t>52E</w:t>
      </w:r>
      <w:proofErr w:type="spellEnd"/>
      <w:r w:rsidRPr="000F1DF4">
        <w:rPr>
          <w:rFonts w:eastAsia="Calibri"/>
          <w:color w:val="000000"/>
        </w:rPr>
        <w:t xml:space="preserve"> of the Act and the SPF. My reasons for making the final decision follow.</w:t>
      </w:r>
    </w:p>
    <w:p w14:paraId="403AA695" w14:textId="5D5AD253" w:rsidR="00BF56B4" w:rsidRDefault="00BF56B4" w:rsidP="00BF56B4">
      <w:pPr>
        <w:spacing w:before="120" w:after="180" w:line="240" w:lineRule="atLeast"/>
        <w:rPr>
          <w:rFonts w:eastAsia="Cambria" w:cs="Calibri"/>
          <w:color w:val="000000"/>
        </w:rPr>
      </w:pPr>
      <w:proofErr w:type="spellStart"/>
      <w:r w:rsidRPr="000977B6">
        <w:rPr>
          <w:rFonts w:eastAsia="Cambria" w:cs="Calibri"/>
          <w:color w:val="000000"/>
        </w:rPr>
        <w:t>Enflicoxib</w:t>
      </w:r>
      <w:proofErr w:type="spellEnd"/>
      <w:r w:rsidRPr="000977B6">
        <w:rPr>
          <w:rFonts w:eastAsia="Cambria" w:cs="Calibri"/>
          <w:color w:val="000000"/>
        </w:rPr>
        <w:t xml:space="preserve"> is a new pyrazoline derivative that belongs to the</w:t>
      </w:r>
      <w:r w:rsidR="00365D19">
        <w:rPr>
          <w:rFonts w:eastAsia="Cambria" w:cs="Calibri"/>
          <w:color w:val="000000"/>
        </w:rPr>
        <w:t xml:space="preserve"> </w:t>
      </w:r>
      <w:r w:rsidR="00BF3040" w:rsidRPr="00FD2655">
        <w:rPr>
          <w:rFonts w:eastAsia="Cambria" w:cs="Calibri"/>
          <w:color w:val="000000"/>
        </w:rPr>
        <w:t>cyclooxygenase</w:t>
      </w:r>
      <w:r w:rsidR="00BF3040">
        <w:rPr>
          <w:rFonts w:eastAsia="Cambria" w:cs="Calibri"/>
          <w:color w:val="000000"/>
        </w:rPr>
        <w:t xml:space="preserve"> inhibitor (</w:t>
      </w:r>
      <w:proofErr w:type="spellStart"/>
      <w:r w:rsidR="00BF3040">
        <w:rPr>
          <w:rFonts w:eastAsia="Cambria" w:cs="Calibri"/>
          <w:color w:val="000000"/>
        </w:rPr>
        <w:t>COXIB</w:t>
      </w:r>
      <w:proofErr w:type="spellEnd"/>
      <w:r w:rsidR="00BF3040">
        <w:rPr>
          <w:rFonts w:eastAsia="Cambria" w:cs="Calibri"/>
          <w:color w:val="000000"/>
        </w:rPr>
        <w:t xml:space="preserve">) </w:t>
      </w:r>
      <w:r w:rsidRPr="000977B6">
        <w:rPr>
          <w:rFonts w:eastAsia="Cambria" w:cs="Calibri"/>
          <w:color w:val="000000"/>
        </w:rPr>
        <w:t xml:space="preserve">class of the non-steroidal anti-inflammatory drugs (NSAID). </w:t>
      </w:r>
      <w:proofErr w:type="spellStart"/>
      <w:r>
        <w:rPr>
          <w:rFonts w:eastAsia="Cambria" w:cs="Calibri"/>
          <w:color w:val="000000"/>
        </w:rPr>
        <w:t>Enflicoxib</w:t>
      </w:r>
      <w:proofErr w:type="spellEnd"/>
      <w:r>
        <w:rPr>
          <w:rFonts w:eastAsia="Cambria" w:cs="Calibri"/>
          <w:color w:val="000000"/>
        </w:rPr>
        <w:t xml:space="preserve"> is a </w:t>
      </w:r>
      <w:r w:rsidRPr="00FD2655">
        <w:rPr>
          <w:rFonts w:eastAsia="Cambria" w:cs="Calibri"/>
          <w:color w:val="000000"/>
        </w:rPr>
        <w:t>selective inhibit</w:t>
      </w:r>
      <w:r>
        <w:rPr>
          <w:rFonts w:eastAsia="Cambria" w:cs="Calibri"/>
          <w:color w:val="000000"/>
        </w:rPr>
        <w:t>or</w:t>
      </w:r>
      <w:r w:rsidRPr="00FD2655">
        <w:rPr>
          <w:rFonts w:eastAsia="Cambria" w:cs="Calibri"/>
          <w:color w:val="000000"/>
        </w:rPr>
        <w:t xml:space="preserve"> of </w:t>
      </w:r>
      <w:r w:rsidR="00BF3040" w:rsidRPr="00FD2655">
        <w:rPr>
          <w:rFonts w:eastAsia="Cambria" w:cs="Calibri"/>
          <w:color w:val="000000"/>
        </w:rPr>
        <w:t>cyclooxygenase-2</w:t>
      </w:r>
      <w:r w:rsidR="00BF3040">
        <w:rPr>
          <w:rFonts w:eastAsia="Cambria" w:cs="Calibri"/>
          <w:color w:val="000000"/>
        </w:rPr>
        <w:t xml:space="preserve"> (</w:t>
      </w:r>
      <w:r w:rsidRPr="00FD2655">
        <w:rPr>
          <w:rFonts w:eastAsia="Cambria" w:cs="Calibri"/>
          <w:color w:val="000000"/>
        </w:rPr>
        <w:t>COX-2</w:t>
      </w:r>
      <w:r w:rsidR="00BF3040">
        <w:rPr>
          <w:rFonts w:eastAsia="Cambria" w:cs="Calibri"/>
          <w:color w:val="000000"/>
        </w:rPr>
        <w:t>)</w:t>
      </w:r>
      <w:r w:rsidR="00BF3040" w:rsidRPr="00BF3040">
        <w:rPr>
          <w:rFonts w:eastAsia="Cambria" w:cs="Calibri"/>
          <w:color w:val="000000"/>
        </w:rPr>
        <w:t xml:space="preserve"> </w:t>
      </w:r>
      <w:r w:rsidR="00BF3040" w:rsidRPr="00FD2655">
        <w:rPr>
          <w:rFonts w:eastAsia="Cambria" w:cs="Calibri"/>
          <w:color w:val="000000"/>
        </w:rPr>
        <w:t>enzyme</w:t>
      </w:r>
      <w:r w:rsidRPr="00FD2655">
        <w:rPr>
          <w:rFonts w:eastAsia="Cambria" w:cs="Calibri"/>
          <w:color w:val="000000"/>
        </w:rPr>
        <w:t xml:space="preserve"> which plays a major role in the synthesis of prostaglandins responsible for mediating the pain and inflammatory response in tissues and organs.</w:t>
      </w:r>
      <w:r>
        <w:rPr>
          <w:rFonts w:eastAsia="Cambria" w:cs="Calibri"/>
          <w:color w:val="000000"/>
        </w:rPr>
        <w:t xml:space="preserve"> The product is intended </w:t>
      </w:r>
      <w:r w:rsidRPr="003957D5">
        <w:rPr>
          <w:rFonts w:eastAsia="Cambria" w:cs="Calibri"/>
          <w:color w:val="000000"/>
        </w:rPr>
        <w:t>solely for veterinary use in dogs for the ongoing management of pain and inflammation associated with osteoarthritis</w:t>
      </w:r>
      <w:r w:rsidR="0029062A">
        <w:rPr>
          <w:rFonts w:eastAsia="Cambria" w:cs="Calibri"/>
          <w:color w:val="000000"/>
        </w:rPr>
        <w:t>.</w:t>
      </w:r>
    </w:p>
    <w:p w14:paraId="251565B7" w14:textId="2510A8DA" w:rsidR="00BF56B4" w:rsidRPr="001060D9" w:rsidRDefault="00BF56B4" w:rsidP="00BF56B4">
      <w:pPr>
        <w:spacing w:before="120" w:after="180" w:line="240" w:lineRule="atLeast"/>
        <w:rPr>
          <w:rFonts w:eastAsia="Cambria" w:cs="Calibri"/>
          <w:color w:val="000000"/>
        </w:rPr>
      </w:pPr>
      <w:r w:rsidRPr="001060D9">
        <w:rPr>
          <w:rFonts w:eastAsia="Cambria" w:cs="Calibri"/>
          <w:color w:val="000000"/>
        </w:rPr>
        <w:t>In relation to subsection </w:t>
      </w:r>
      <w:proofErr w:type="spellStart"/>
      <w:r w:rsidRPr="001060D9">
        <w:rPr>
          <w:rFonts w:eastAsia="Cambria" w:cs="Calibri"/>
          <w:color w:val="000000"/>
        </w:rPr>
        <w:t>52E</w:t>
      </w:r>
      <w:proofErr w:type="spellEnd"/>
      <w:r w:rsidRPr="001060D9">
        <w:rPr>
          <w:rFonts w:eastAsia="Cambria" w:cs="Calibri"/>
          <w:color w:val="000000"/>
        </w:rPr>
        <w:t xml:space="preserve">(1)(a) of the Act, I note that </w:t>
      </w:r>
      <w:proofErr w:type="spellStart"/>
      <w:r w:rsidRPr="001060D9">
        <w:rPr>
          <w:rFonts w:eastAsia="Cambria" w:cs="Calibri"/>
          <w:color w:val="000000"/>
        </w:rPr>
        <w:t>enflicoxib</w:t>
      </w:r>
      <w:r>
        <w:rPr>
          <w:rFonts w:eastAsia="Cambria" w:cs="Calibri"/>
          <w:color w:val="000000"/>
        </w:rPr>
        <w:t>’s</w:t>
      </w:r>
      <w:proofErr w:type="spellEnd"/>
      <w:r w:rsidRPr="001060D9">
        <w:rPr>
          <w:rFonts w:eastAsia="Cambria" w:cs="Calibri"/>
          <w:color w:val="000000"/>
        </w:rPr>
        <w:t xml:space="preserve"> principal benefit </w:t>
      </w:r>
      <w:r>
        <w:rPr>
          <w:rFonts w:eastAsia="Cambria" w:cs="Calibri"/>
          <w:color w:val="000000"/>
        </w:rPr>
        <w:t>is</w:t>
      </w:r>
      <w:r w:rsidRPr="001060D9">
        <w:rPr>
          <w:rFonts w:eastAsia="Cambria" w:cs="Calibri"/>
          <w:color w:val="000000"/>
        </w:rPr>
        <w:t xml:space="preserve"> its use for the management of osteoarthritis in dogs. Osteoarthritis is a chronic and progressive condition that significantly compromises mobility, welfare and quality of life and generally requires veterinary diagnosis, treatment planning and long</w:t>
      </w:r>
      <w:r w:rsidRPr="001060D9">
        <w:rPr>
          <w:rFonts w:eastAsia="Cambria" w:cs="Calibri"/>
          <w:color w:val="000000"/>
        </w:rPr>
        <w:noBreakHyphen/>
        <w:t xml:space="preserve">term management (Schedule 4, scheduling factor 1). </w:t>
      </w:r>
      <w:proofErr w:type="spellStart"/>
      <w:r>
        <w:rPr>
          <w:rFonts w:eastAsia="Cambria" w:cs="Calibri"/>
          <w:color w:val="000000"/>
        </w:rPr>
        <w:t>E</w:t>
      </w:r>
      <w:r w:rsidRPr="001060D9">
        <w:rPr>
          <w:rFonts w:eastAsia="Cambria" w:cs="Calibri"/>
          <w:color w:val="000000"/>
        </w:rPr>
        <w:t>nflicoxib</w:t>
      </w:r>
      <w:proofErr w:type="spellEnd"/>
      <w:r w:rsidRPr="001060D9">
        <w:rPr>
          <w:rFonts w:eastAsia="Cambria" w:cs="Calibri"/>
          <w:color w:val="000000"/>
        </w:rPr>
        <w:t xml:space="preserve"> </w:t>
      </w:r>
      <w:r w:rsidR="00746779">
        <w:rPr>
          <w:rFonts w:eastAsia="Cambria" w:cs="Calibri"/>
          <w:color w:val="000000"/>
        </w:rPr>
        <w:t xml:space="preserve">may </w:t>
      </w:r>
      <w:r w:rsidRPr="001060D9">
        <w:rPr>
          <w:rFonts w:eastAsia="Cambria" w:cs="Calibri"/>
          <w:color w:val="000000"/>
        </w:rPr>
        <w:t>provide sustained analgesic and anti</w:t>
      </w:r>
      <w:r w:rsidRPr="001060D9">
        <w:rPr>
          <w:rFonts w:eastAsia="Cambria" w:cs="Calibri"/>
          <w:color w:val="000000"/>
        </w:rPr>
        <w:noBreakHyphen/>
        <w:t>inflammatory effects that can improve comfort and mobility in affected animals, supporting its therapeutic role in the management of this condition.</w:t>
      </w:r>
    </w:p>
    <w:p w14:paraId="40EBF12D" w14:textId="439FCD0E" w:rsidR="00BF56B4" w:rsidRDefault="00BF56B4" w:rsidP="00BF56B4">
      <w:pPr>
        <w:spacing w:before="120" w:after="180" w:line="240" w:lineRule="atLeast"/>
        <w:rPr>
          <w:rFonts w:eastAsia="Cambria" w:cs="Calibri"/>
          <w:color w:val="000000"/>
        </w:rPr>
      </w:pPr>
      <w:r>
        <w:rPr>
          <w:rFonts w:eastAsia="Cambria" w:cs="Calibri"/>
          <w:color w:val="000000"/>
        </w:rPr>
        <w:t xml:space="preserve">The principal risks from </w:t>
      </w:r>
      <w:proofErr w:type="spellStart"/>
      <w:r w:rsidRPr="001060D9">
        <w:rPr>
          <w:rFonts w:eastAsia="Cambria" w:cs="Calibri"/>
          <w:color w:val="000000"/>
        </w:rPr>
        <w:t>enflicoxib</w:t>
      </w:r>
      <w:proofErr w:type="spellEnd"/>
      <w:r>
        <w:rPr>
          <w:rFonts w:eastAsia="Cambria" w:cs="Calibri"/>
          <w:color w:val="000000"/>
        </w:rPr>
        <w:t xml:space="preserve"> include</w:t>
      </w:r>
      <w:r w:rsidRPr="00E844F8">
        <w:rPr>
          <w:rFonts w:eastAsia="Cambria" w:cs="Calibri"/>
          <w:color w:val="000000"/>
        </w:rPr>
        <w:t xml:space="preserve"> gastrointestinal irritation, ulceration and bleeding</w:t>
      </w:r>
      <w:r>
        <w:rPr>
          <w:rFonts w:eastAsia="Cambria" w:cs="Calibri"/>
          <w:color w:val="000000"/>
        </w:rPr>
        <w:t xml:space="preserve"> which is consistent with the risk profile of</w:t>
      </w:r>
      <w:r w:rsidRPr="00E844F8">
        <w:rPr>
          <w:rFonts w:eastAsia="Cambria" w:cs="Calibri"/>
          <w:color w:val="000000"/>
        </w:rPr>
        <w:t xml:space="preserve"> other</w:t>
      </w:r>
      <w:r w:rsidR="009A1840">
        <w:rPr>
          <w:rFonts w:eastAsia="Cambria" w:cs="Calibri"/>
          <w:color w:val="000000"/>
        </w:rPr>
        <w:t xml:space="preserve"> human and</w:t>
      </w:r>
      <w:r w:rsidRPr="00E844F8">
        <w:rPr>
          <w:rFonts w:eastAsia="Cambria" w:cs="Calibri"/>
          <w:color w:val="000000"/>
        </w:rPr>
        <w:t xml:space="preserve"> veterinary </w:t>
      </w:r>
      <w:r>
        <w:rPr>
          <w:rFonts w:eastAsia="Cambria" w:cs="Calibri"/>
          <w:color w:val="000000"/>
        </w:rPr>
        <w:t>n</w:t>
      </w:r>
      <w:r w:rsidRPr="00ED4F64">
        <w:rPr>
          <w:rFonts w:eastAsia="Cambria" w:cs="Calibri"/>
          <w:color w:val="000000"/>
        </w:rPr>
        <w:t>onsteroidal anti-inflammatory drugs</w:t>
      </w:r>
      <w:r>
        <w:rPr>
          <w:rFonts w:eastAsia="Cambria" w:cs="Calibri"/>
          <w:color w:val="000000"/>
        </w:rPr>
        <w:t xml:space="preserve">. </w:t>
      </w:r>
      <w:r w:rsidRPr="00E844F8">
        <w:rPr>
          <w:rFonts w:eastAsia="Cambria" w:cs="Calibri"/>
          <w:color w:val="000000"/>
        </w:rPr>
        <w:t>Repeat</w:t>
      </w:r>
      <w:r w:rsidRPr="00E844F8">
        <w:rPr>
          <w:rFonts w:eastAsia="Cambria" w:cs="Calibri"/>
          <w:color w:val="000000"/>
        </w:rPr>
        <w:noBreakHyphen/>
        <w:t>dose toxicity studies identified the gastrointestinal tract as the primary target organ at higher dose levels, and these risks are dose</w:t>
      </w:r>
      <w:r w:rsidRPr="00E844F8">
        <w:rPr>
          <w:rFonts w:eastAsia="Cambria" w:cs="Calibri"/>
          <w:color w:val="000000"/>
        </w:rPr>
        <w:noBreakHyphen/>
        <w:t xml:space="preserve">related and well characterised. </w:t>
      </w:r>
      <w:r>
        <w:rPr>
          <w:rFonts w:eastAsia="Cambria" w:cs="Calibri"/>
          <w:color w:val="000000"/>
        </w:rPr>
        <w:t xml:space="preserve">These adverse events are </w:t>
      </w:r>
      <w:r w:rsidRPr="00E844F8">
        <w:rPr>
          <w:rFonts w:eastAsia="Cambria" w:cs="Calibri"/>
          <w:color w:val="000000"/>
        </w:rPr>
        <w:t xml:space="preserve">clinically significant </w:t>
      </w:r>
      <w:r>
        <w:rPr>
          <w:rFonts w:eastAsia="Cambria" w:cs="Calibri"/>
          <w:color w:val="000000"/>
        </w:rPr>
        <w:t>and</w:t>
      </w:r>
      <w:r w:rsidRPr="00E844F8">
        <w:rPr>
          <w:rFonts w:eastAsia="Cambria" w:cs="Calibri"/>
          <w:color w:val="000000"/>
        </w:rPr>
        <w:t xml:space="preserve"> require veterinary assessment, monitoring and intervention to minimise harm (Schedule 4, scheduling factor 4). </w:t>
      </w:r>
      <w:r w:rsidRPr="00FD2655">
        <w:rPr>
          <w:rFonts w:eastAsia="Cambria" w:cs="Calibri"/>
          <w:color w:val="000000"/>
        </w:rPr>
        <w:t>I consider that these risks can be appropriately managed by qualified veterinar</w:t>
      </w:r>
      <w:r w:rsidR="00D16E75">
        <w:rPr>
          <w:rFonts w:eastAsia="Cambria" w:cs="Calibri"/>
          <w:color w:val="000000"/>
        </w:rPr>
        <w:t>ians</w:t>
      </w:r>
      <w:r w:rsidRPr="00FD2655">
        <w:rPr>
          <w:rFonts w:eastAsia="Cambria" w:cs="Calibri"/>
          <w:color w:val="000000"/>
        </w:rPr>
        <w:t xml:space="preserve"> through diagnosis, prescribing and ongoing clinical supervision.</w:t>
      </w:r>
    </w:p>
    <w:p w14:paraId="36902111" w14:textId="74D9E458" w:rsidR="00BF56B4" w:rsidRDefault="00BF56B4" w:rsidP="00BF56B4">
      <w:pPr>
        <w:spacing w:before="120" w:after="180" w:line="240" w:lineRule="atLeast"/>
        <w:rPr>
          <w:rFonts w:eastAsia="Cambria" w:cs="Calibri"/>
          <w:color w:val="000000"/>
        </w:rPr>
      </w:pPr>
      <w:proofErr w:type="gramStart"/>
      <w:r w:rsidRPr="006A057D">
        <w:rPr>
          <w:rFonts w:eastAsia="Cambria" w:cs="Calibri"/>
          <w:color w:val="000000"/>
        </w:rPr>
        <w:t>With regard to</w:t>
      </w:r>
      <w:proofErr w:type="gramEnd"/>
      <w:r w:rsidRPr="006A057D">
        <w:rPr>
          <w:rFonts w:eastAsia="Cambria" w:cs="Calibri"/>
          <w:color w:val="000000"/>
        </w:rPr>
        <w:t xml:space="preserve"> subsection </w:t>
      </w:r>
      <w:proofErr w:type="spellStart"/>
      <w:r w:rsidRPr="006A057D">
        <w:rPr>
          <w:rFonts w:eastAsia="Cambria" w:cs="Calibri"/>
          <w:color w:val="000000"/>
        </w:rPr>
        <w:t>52E</w:t>
      </w:r>
      <w:proofErr w:type="spellEnd"/>
      <w:r w:rsidRPr="006A057D">
        <w:rPr>
          <w:rFonts w:eastAsia="Cambria" w:cs="Calibri"/>
          <w:color w:val="000000"/>
        </w:rPr>
        <w:t xml:space="preserve">(1)(b) </w:t>
      </w:r>
      <w:r>
        <w:rPr>
          <w:rFonts w:eastAsia="Cambria" w:cs="Calibri"/>
          <w:color w:val="000000"/>
        </w:rPr>
        <w:t xml:space="preserve">and (d) </w:t>
      </w:r>
      <w:r w:rsidRPr="006A057D">
        <w:rPr>
          <w:rFonts w:eastAsia="Cambria" w:cs="Calibri"/>
          <w:color w:val="000000"/>
        </w:rPr>
        <w:t xml:space="preserve">of the Act, </w:t>
      </w:r>
      <w:proofErr w:type="spellStart"/>
      <w:r w:rsidRPr="006A057D">
        <w:rPr>
          <w:rFonts w:eastAsia="Cambria" w:cs="Calibri"/>
          <w:color w:val="000000"/>
        </w:rPr>
        <w:t>enflicoxib</w:t>
      </w:r>
      <w:proofErr w:type="spellEnd"/>
      <w:r w:rsidRPr="006A057D">
        <w:rPr>
          <w:rFonts w:eastAsia="Cambria" w:cs="Calibri"/>
          <w:color w:val="000000"/>
        </w:rPr>
        <w:t xml:space="preserve"> is intended </w:t>
      </w:r>
      <w:r w:rsidRPr="0099643E">
        <w:t>for oral administration to dogs by their owners under the direction of a veterinarian</w:t>
      </w:r>
      <w:r w:rsidRPr="006A057D">
        <w:rPr>
          <w:rFonts w:eastAsia="Cambria" w:cs="Calibri"/>
          <w:color w:val="000000"/>
        </w:rPr>
        <w:t>.</w:t>
      </w:r>
      <w:r>
        <w:rPr>
          <w:rFonts w:eastAsia="Cambria" w:cs="Calibri"/>
          <w:color w:val="000000"/>
        </w:rPr>
        <w:t xml:space="preserve"> The products will be available in tablet form containing </w:t>
      </w:r>
      <w:r w:rsidRPr="00FD2655">
        <w:t xml:space="preserve">15 mg, 30 mg, 45 mg, 70 mg or 100 mg of </w:t>
      </w:r>
      <w:proofErr w:type="spellStart"/>
      <w:r w:rsidRPr="00FD2655">
        <w:t>enflicoxib</w:t>
      </w:r>
      <w:proofErr w:type="spellEnd"/>
      <w:r w:rsidRPr="00FD2655">
        <w:t xml:space="preserve"> per tablet</w:t>
      </w:r>
      <w:r>
        <w:t xml:space="preserve">. Tablets will be available </w:t>
      </w:r>
      <w:r w:rsidRPr="0099643E">
        <w:t>in pack sizes of 4, 5, 10, 12, 20, 24, 50 or 100 tablets and packed in child resistant aluminium blister strips</w:t>
      </w:r>
      <w:r>
        <w:t xml:space="preserve"> inside </w:t>
      </w:r>
      <w:r w:rsidRPr="0099643E">
        <w:t>a standard carton box</w:t>
      </w:r>
      <w:r w:rsidR="00DF24F6">
        <w:t xml:space="preserve"> with a product leaflet</w:t>
      </w:r>
      <w:r w:rsidRPr="0099643E">
        <w:t>.</w:t>
      </w:r>
      <w:r w:rsidRPr="006A057D">
        <w:rPr>
          <w:rFonts w:eastAsia="Cambria" w:cs="Calibri"/>
          <w:color w:val="000000"/>
        </w:rPr>
        <w:t xml:space="preserve"> </w:t>
      </w:r>
      <w:r w:rsidRPr="0099643E">
        <w:t xml:space="preserve">The product </w:t>
      </w:r>
      <w:r>
        <w:t>will be administered</w:t>
      </w:r>
      <w:r w:rsidRPr="0099643E">
        <w:t xml:space="preserve"> </w:t>
      </w:r>
      <w:r w:rsidRPr="003957D5">
        <w:t xml:space="preserve">at an initial loading dose of 8 mg </w:t>
      </w:r>
      <w:proofErr w:type="spellStart"/>
      <w:r w:rsidRPr="003957D5">
        <w:t>enflicoxib</w:t>
      </w:r>
      <w:proofErr w:type="spellEnd"/>
      <w:r w:rsidRPr="003957D5">
        <w:t xml:space="preserve">/kg </w:t>
      </w:r>
      <w:proofErr w:type="spellStart"/>
      <w:r w:rsidRPr="003957D5">
        <w:t>bw</w:t>
      </w:r>
      <w:proofErr w:type="spellEnd"/>
      <w:r w:rsidRPr="0099643E">
        <w:t xml:space="preserve"> followed by a maintenance dose of 4 mg/kg </w:t>
      </w:r>
      <w:proofErr w:type="spellStart"/>
      <w:r w:rsidRPr="0099643E">
        <w:t>bw</w:t>
      </w:r>
      <w:proofErr w:type="spellEnd"/>
      <w:r w:rsidRPr="0099643E">
        <w:t xml:space="preserve"> per week. </w:t>
      </w:r>
      <w:r w:rsidRPr="003957D5">
        <w:t>Since osteoarthritis is a chronic condition</w:t>
      </w:r>
      <w:r w:rsidR="00DF24F6">
        <w:t>,</w:t>
      </w:r>
      <w:r w:rsidRPr="003957D5">
        <w:t xml:space="preserve"> the use pattern of </w:t>
      </w:r>
      <w:proofErr w:type="spellStart"/>
      <w:r w:rsidR="00AD3FF6">
        <w:t>enflicoxib</w:t>
      </w:r>
      <w:proofErr w:type="spellEnd"/>
      <w:r w:rsidRPr="003957D5">
        <w:t xml:space="preserve"> is expected to be long term.</w:t>
      </w:r>
    </w:p>
    <w:p w14:paraId="52515B39" w14:textId="6619F063" w:rsidR="00BF56B4" w:rsidRPr="00F746C0" w:rsidRDefault="00BF56B4" w:rsidP="00BF56B4">
      <w:proofErr w:type="spellStart"/>
      <w:r>
        <w:rPr>
          <w:rFonts w:eastAsia="Cambria" w:cs="Calibri"/>
          <w:color w:val="000000"/>
        </w:rPr>
        <w:t>E</w:t>
      </w:r>
      <w:r w:rsidRPr="006A057D">
        <w:rPr>
          <w:rFonts w:eastAsia="Cambria" w:cs="Calibri"/>
          <w:color w:val="000000"/>
        </w:rPr>
        <w:t>nflicoxib</w:t>
      </w:r>
      <w:proofErr w:type="spellEnd"/>
      <w:r w:rsidRPr="006A057D">
        <w:rPr>
          <w:rFonts w:eastAsia="Cambria" w:cs="Calibri"/>
          <w:color w:val="000000"/>
        </w:rPr>
        <w:t xml:space="preserve"> has been approved for veterinary use in overseas jurisdictions, including the European Union and the United Kingdom</w:t>
      </w:r>
      <w:r>
        <w:rPr>
          <w:rFonts w:eastAsia="Cambria" w:cs="Calibri"/>
          <w:color w:val="000000"/>
        </w:rPr>
        <w:t>. While the overseas usage</w:t>
      </w:r>
      <w:r w:rsidRPr="006A057D">
        <w:rPr>
          <w:rFonts w:eastAsia="Cambria" w:cs="Calibri"/>
          <w:color w:val="000000"/>
        </w:rPr>
        <w:t xml:space="preserve"> </w:t>
      </w:r>
      <w:r>
        <w:rPr>
          <w:rFonts w:eastAsia="Cambria" w:cs="Calibri"/>
          <w:color w:val="000000"/>
        </w:rPr>
        <w:t xml:space="preserve">can </w:t>
      </w:r>
      <w:r w:rsidRPr="006A057D">
        <w:rPr>
          <w:rFonts w:eastAsia="Cambria" w:cs="Calibri"/>
          <w:color w:val="000000"/>
        </w:rPr>
        <w:t xml:space="preserve">provide additional </w:t>
      </w:r>
      <w:r>
        <w:rPr>
          <w:rFonts w:eastAsia="Cambria" w:cs="Calibri"/>
          <w:color w:val="000000"/>
        </w:rPr>
        <w:t>information on</w:t>
      </w:r>
      <w:r w:rsidRPr="006A057D">
        <w:rPr>
          <w:rFonts w:eastAsia="Cambria" w:cs="Calibri"/>
          <w:color w:val="000000"/>
        </w:rPr>
        <w:t xml:space="preserve"> its safety and efficacy profile</w:t>
      </w:r>
      <w:r>
        <w:rPr>
          <w:rFonts w:eastAsia="Cambria" w:cs="Calibri"/>
          <w:color w:val="000000"/>
        </w:rPr>
        <w:t>,</w:t>
      </w:r>
      <w:r w:rsidRPr="006A057D">
        <w:rPr>
          <w:rFonts w:eastAsia="Cambria" w:cs="Calibri"/>
          <w:color w:val="000000"/>
        </w:rPr>
        <w:t xml:space="preserve"> </w:t>
      </w:r>
      <w:proofErr w:type="spellStart"/>
      <w:r w:rsidRPr="006A057D">
        <w:rPr>
          <w:rFonts w:eastAsia="Cambria" w:cs="Calibri"/>
          <w:color w:val="000000"/>
        </w:rPr>
        <w:t>enflicoxib</w:t>
      </w:r>
      <w:proofErr w:type="spellEnd"/>
      <w:r w:rsidR="0088466C">
        <w:rPr>
          <w:rFonts w:eastAsia="Cambria" w:cs="Calibri"/>
          <w:color w:val="000000"/>
        </w:rPr>
        <w:t xml:space="preserve"> however,</w:t>
      </w:r>
      <w:r w:rsidRPr="006A057D">
        <w:rPr>
          <w:rFonts w:eastAsia="Cambria" w:cs="Calibri"/>
          <w:color w:val="000000"/>
        </w:rPr>
        <w:t xml:space="preserve"> is a new active constituent in Australia and that there is limited local experience </w:t>
      </w:r>
      <w:r w:rsidR="00540E5B">
        <w:rPr>
          <w:rFonts w:eastAsia="Cambria" w:cs="Calibri"/>
          <w:color w:val="000000"/>
        </w:rPr>
        <w:t>of this substance</w:t>
      </w:r>
      <w:r w:rsidR="008653F2">
        <w:rPr>
          <w:rFonts w:eastAsia="Cambria" w:cs="Calibri"/>
          <w:color w:val="000000"/>
        </w:rPr>
        <w:t xml:space="preserve"> </w:t>
      </w:r>
      <w:r w:rsidRPr="006A057D">
        <w:rPr>
          <w:rFonts w:eastAsia="Cambria" w:cs="Calibri"/>
          <w:color w:val="000000"/>
        </w:rPr>
        <w:t xml:space="preserve">under normal clinical conditions (Schedule 4, scheduling factor 8). </w:t>
      </w:r>
      <w:r>
        <w:rPr>
          <w:rFonts w:eastAsia="Cambria" w:cs="Calibri"/>
          <w:color w:val="000000"/>
        </w:rPr>
        <w:t xml:space="preserve">Several COX-2 inhibitors e.g. </w:t>
      </w:r>
      <w:r w:rsidRPr="000977B6">
        <w:rPr>
          <w:rFonts w:eastAsia="Cambria" w:cs="Calibri"/>
          <w:color w:val="000000"/>
        </w:rPr>
        <w:t xml:space="preserve">firocoxib, </w:t>
      </w:r>
      <w:proofErr w:type="spellStart"/>
      <w:r w:rsidRPr="000977B6">
        <w:rPr>
          <w:rFonts w:eastAsia="Cambria" w:cs="Calibri"/>
          <w:color w:val="000000"/>
        </w:rPr>
        <w:t>mavacoxib</w:t>
      </w:r>
      <w:proofErr w:type="spellEnd"/>
      <w:r w:rsidRPr="000977B6">
        <w:rPr>
          <w:rFonts w:eastAsia="Cambria" w:cs="Calibri"/>
          <w:color w:val="000000"/>
        </w:rPr>
        <w:t xml:space="preserve">, </w:t>
      </w:r>
      <w:proofErr w:type="spellStart"/>
      <w:r w:rsidRPr="000977B6">
        <w:rPr>
          <w:rFonts w:eastAsia="Cambria" w:cs="Calibri"/>
          <w:color w:val="000000"/>
        </w:rPr>
        <w:t>robenacoxib</w:t>
      </w:r>
      <w:proofErr w:type="spellEnd"/>
      <w:r w:rsidRPr="000977B6">
        <w:rPr>
          <w:rFonts w:eastAsia="Cambria" w:cs="Calibri"/>
          <w:color w:val="000000"/>
        </w:rPr>
        <w:t xml:space="preserve"> and </w:t>
      </w:r>
      <w:proofErr w:type="spellStart"/>
      <w:r w:rsidRPr="000977B6">
        <w:rPr>
          <w:rFonts w:eastAsia="Cambria" w:cs="Calibri"/>
          <w:color w:val="000000"/>
        </w:rPr>
        <w:t>cimicoxib</w:t>
      </w:r>
      <w:proofErr w:type="spellEnd"/>
      <w:r w:rsidRPr="000977B6">
        <w:rPr>
          <w:rFonts w:eastAsia="Cambria" w:cs="Calibri"/>
          <w:color w:val="000000"/>
        </w:rPr>
        <w:t xml:space="preserve"> are</w:t>
      </w:r>
      <w:r>
        <w:rPr>
          <w:rFonts w:eastAsia="Cambria" w:cs="Calibri"/>
          <w:color w:val="000000"/>
        </w:rPr>
        <w:t xml:space="preserve"> currently classified as Schedule 4 substances without any </w:t>
      </w:r>
      <w:r w:rsidR="00F828BE">
        <w:rPr>
          <w:rFonts w:eastAsia="Cambria" w:cs="Calibri"/>
          <w:color w:val="000000"/>
        </w:rPr>
        <w:t xml:space="preserve">concentration, dose or preparation </w:t>
      </w:r>
      <w:r>
        <w:rPr>
          <w:rFonts w:eastAsia="Cambria" w:cs="Calibri"/>
          <w:color w:val="000000"/>
        </w:rPr>
        <w:t>exception</w:t>
      </w:r>
      <w:r w:rsidR="00F828BE">
        <w:rPr>
          <w:rFonts w:eastAsia="Cambria" w:cs="Calibri"/>
          <w:color w:val="000000"/>
        </w:rPr>
        <w:t>s</w:t>
      </w:r>
      <w:r w:rsidRPr="000977B6">
        <w:rPr>
          <w:rFonts w:eastAsia="Cambria" w:cs="Calibri"/>
          <w:color w:val="000000"/>
        </w:rPr>
        <w:t>.</w:t>
      </w:r>
    </w:p>
    <w:p w14:paraId="16256F94" w14:textId="2FC964D2" w:rsidR="00BF56B4" w:rsidRPr="007B1124" w:rsidRDefault="00BF56B4" w:rsidP="00BF56B4">
      <w:pPr>
        <w:spacing w:before="120" w:after="180" w:line="240" w:lineRule="atLeast"/>
        <w:rPr>
          <w:rFonts w:eastAsia="Cambria" w:cs="Calibri"/>
          <w:color w:val="000000"/>
        </w:rPr>
      </w:pPr>
      <w:r w:rsidRPr="007B1124">
        <w:rPr>
          <w:rFonts w:eastAsia="Cambria" w:cs="Calibri"/>
          <w:color w:val="000000"/>
        </w:rPr>
        <w:t>In relation to subsection </w:t>
      </w:r>
      <w:proofErr w:type="spellStart"/>
      <w:r w:rsidRPr="007B1124">
        <w:rPr>
          <w:rFonts w:eastAsia="Cambria" w:cs="Calibri"/>
          <w:color w:val="000000"/>
        </w:rPr>
        <w:t>52E</w:t>
      </w:r>
      <w:proofErr w:type="spellEnd"/>
      <w:r w:rsidRPr="007B1124">
        <w:rPr>
          <w:rFonts w:eastAsia="Cambria" w:cs="Calibri"/>
          <w:color w:val="000000"/>
        </w:rPr>
        <w:t xml:space="preserve">(1)(c) of the Act, </w:t>
      </w:r>
      <w:proofErr w:type="spellStart"/>
      <w:r w:rsidRPr="007B1124">
        <w:rPr>
          <w:rFonts w:eastAsia="Cambria" w:cs="Calibri"/>
          <w:color w:val="000000"/>
        </w:rPr>
        <w:t>enflicoxib</w:t>
      </w:r>
      <w:proofErr w:type="spellEnd"/>
      <w:r w:rsidRPr="007B1124">
        <w:rPr>
          <w:rFonts w:eastAsia="Cambria" w:cs="Calibri"/>
          <w:color w:val="000000"/>
        </w:rPr>
        <w:t xml:space="preserve"> has low acute oral toxicity in laboratory animals (LD</w:t>
      </w:r>
      <w:r w:rsidRPr="007B1124">
        <w:rPr>
          <w:rFonts w:ascii="Cambria Math" w:eastAsia="Cambria" w:hAnsi="Cambria Math" w:cs="Cambria Math"/>
          <w:color w:val="000000"/>
        </w:rPr>
        <w:t>₅₀</w:t>
      </w:r>
      <w:r w:rsidRPr="007B1124">
        <w:rPr>
          <w:rFonts w:eastAsia="Cambria" w:cs="Arial"/>
          <w:color w:val="000000"/>
        </w:rPr>
        <w:t> </w:t>
      </w:r>
      <w:r w:rsidRPr="007B1124">
        <w:rPr>
          <w:rFonts w:eastAsia="Cambria" w:cs="Calibri"/>
          <w:color w:val="000000"/>
        </w:rPr>
        <w:t>&gt;</w:t>
      </w:r>
      <w:r w:rsidRPr="007B1124">
        <w:rPr>
          <w:rFonts w:eastAsia="Cambria" w:cs="Arial"/>
          <w:color w:val="000000"/>
        </w:rPr>
        <w:t> </w:t>
      </w:r>
      <w:r w:rsidRPr="007B1124">
        <w:rPr>
          <w:rFonts w:eastAsia="Cambria" w:cs="Calibri"/>
          <w:color w:val="000000"/>
        </w:rPr>
        <w:t>2</w:t>
      </w:r>
      <w:r w:rsidR="00283958">
        <w:rPr>
          <w:rFonts w:eastAsia="Cambria" w:cs="Calibri"/>
          <w:color w:val="000000"/>
        </w:rPr>
        <w:t>,</w:t>
      </w:r>
      <w:r w:rsidRPr="007B1124">
        <w:rPr>
          <w:rFonts w:eastAsia="Cambria" w:cs="Calibri"/>
          <w:color w:val="000000"/>
        </w:rPr>
        <w:t>000</w:t>
      </w:r>
      <w:r w:rsidRPr="007B1124">
        <w:rPr>
          <w:rFonts w:eastAsia="Cambria" w:cs="Arial"/>
          <w:color w:val="000000"/>
        </w:rPr>
        <w:t> </w:t>
      </w:r>
      <w:r w:rsidRPr="007B1124">
        <w:rPr>
          <w:rFonts w:eastAsia="Cambria" w:cs="Calibri"/>
          <w:color w:val="000000"/>
        </w:rPr>
        <w:t>mg/kg bodyweight). Short</w:t>
      </w:r>
      <w:r w:rsidRPr="007B1124">
        <w:rPr>
          <w:rFonts w:eastAsia="Cambria" w:cs="Calibri"/>
          <w:color w:val="000000"/>
        </w:rPr>
        <w:noBreakHyphen/>
        <w:t>term repeat</w:t>
      </w:r>
      <w:r w:rsidRPr="007B1124">
        <w:rPr>
          <w:rFonts w:eastAsia="Cambria" w:cs="Calibri"/>
          <w:color w:val="000000"/>
        </w:rPr>
        <w:noBreakHyphen/>
        <w:t>dose toxicity studies in rats and dogs identified dose</w:t>
      </w:r>
      <w:r w:rsidRPr="007B1124">
        <w:rPr>
          <w:rFonts w:eastAsia="Cambria" w:cs="Calibri"/>
          <w:color w:val="000000"/>
        </w:rPr>
        <w:noBreakHyphen/>
        <w:t xml:space="preserve">related gastrointestinal toxicity, including ulceration and bleeding, at higher exposure levels. Target animal safety studies in dogs demonstrated that </w:t>
      </w:r>
      <w:proofErr w:type="spellStart"/>
      <w:r w:rsidRPr="007B1124">
        <w:rPr>
          <w:rFonts w:eastAsia="Cambria" w:cs="Calibri"/>
          <w:color w:val="000000"/>
        </w:rPr>
        <w:t>enflicoxib</w:t>
      </w:r>
      <w:proofErr w:type="spellEnd"/>
      <w:r w:rsidRPr="007B1124">
        <w:rPr>
          <w:rFonts w:eastAsia="Cambria" w:cs="Calibri"/>
          <w:color w:val="000000"/>
        </w:rPr>
        <w:t xml:space="preserve"> was generally well tolerated at up to </w:t>
      </w:r>
      <w:r w:rsidR="00283958">
        <w:rPr>
          <w:rFonts w:eastAsia="Cambria" w:cs="Calibri"/>
          <w:color w:val="000000"/>
        </w:rPr>
        <w:t>5</w:t>
      </w:r>
      <w:r w:rsidRPr="007B1124">
        <w:rPr>
          <w:rFonts w:eastAsia="Cambria" w:cs="Calibri"/>
          <w:color w:val="000000"/>
        </w:rPr>
        <w:t xml:space="preserve"> times the recommended therapeutic dose over a </w:t>
      </w:r>
      <w:r w:rsidR="00283958">
        <w:rPr>
          <w:rFonts w:eastAsia="Cambria" w:cs="Calibri"/>
          <w:color w:val="000000"/>
        </w:rPr>
        <w:t>7</w:t>
      </w:r>
      <w:r w:rsidRPr="007B1124">
        <w:rPr>
          <w:rFonts w:eastAsia="Cambria" w:cs="Calibri"/>
          <w:color w:val="000000"/>
        </w:rPr>
        <w:noBreakHyphen/>
        <w:t xml:space="preserve">month period, with gastrointestinal effects decreasing over time under controlled veterinary use. Genotoxicity studies were negative. </w:t>
      </w:r>
      <w:r>
        <w:rPr>
          <w:rFonts w:eastAsia="Cambria" w:cs="Calibri"/>
          <w:color w:val="000000"/>
        </w:rPr>
        <w:t>N</w:t>
      </w:r>
      <w:r w:rsidRPr="00E26551">
        <w:rPr>
          <w:rFonts w:eastAsia="Cambria" w:cs="Calibri"/>
          <w:color w:val="000000"/>
        </w:rPr>
        <w:t xml:space="preserve">o </w:t>
      </w:r>
      <w:r w:rsidR="00F82521">
        <w:rPr>
          <w:rFonts w:eastAsia="Cambria" w:cs="Calibri"/>
          <w:color w:val="000000"/>
        </w:rPr>
        <w:t xml:space="preserve">neurotoxicity, </w:t>
      </w:r>
      <w:r w:rsidRPr="00E26551">
        <w:rPr>
          <w:rFonts w:eastAsia="Cambria" w:cs="Calibri"/>
          <w:color w:val="000000"/>
        </w:rPr>
        <w:t xml:space="preserve">reproductive </w:t>
      </w:r>
      <w:r w:rsidR="00FF22F9">
        <w:rPr>
          <w:rFonts w:eastAsia="Cambria" w:cs="Calibri"/>
          <w:color w:val="000000"/>
        </w:rPr>
        <w:t xml:space="preserve">and </w:t>
      </w:r>
      <w:r w:rsidRPr="00E26551">
        <w:rPr>
          <w:rFonts w:eastAsia="Cambria" w:cs="Calibri"/>
          <w:color w:val="000000"/>
        </w:rPr>
        <w:t>developmental</w:t>
      </w:r>
      <w:r w:rsidR="00FF22F9">
        <w:rPr>
          <w:rFonts w:eastAsia="Cambria" w:cs="Calibri"/>
          <w:color w:val="000000"/>
        </w:rPr>
        <w:t xml:space="preserve"> toxicity</w:t>
      </w:r>
      <w:r w:rsidRPr="00E26551">
        <w:rPr>
          <w:rFonts w:eastAsia="Cambria" w:cs="Calibri"/>
          <w:color w:val="000000"/>
        </w:rPr>
        <w:t xml:space="preserve"> studies or long</w:t>
      </w:r>
      <w:r w:rsidR="00FD7BDA">
        <w:rPr>
          <w:rFonts w:eastAsia="Cambria" w:cs="Calibri"/>
          <w:color w:val="000000"/>
        </w:rPr>
        <w:t>-</w:t>
      </w:r>
      <w:r w:rsidRPr="00E26551">
        <w:rPr>
          <w:rFonts w:eastAsia="Cambria" w:cs="Calibri"/>
          <w:color w:val="000000"/>
        </w:rPr>
        <w:t>term</w:t>
      </w:r>
      <w:r>
        <w:rPr>
          <w:rFonts w:eastAsia="Cambria" w:cs="Calibri"/>
          <w:color w:val="000000"/>
        </w:rPr>
        <w:t xml:space="preserve"> toxicity</w:t>
      </w:r>
      <w:r w:rsidR="00FF22F9">
        <w:rPr>
          <w:rFonts w:eastAsia="Cambria" w:cs="Calibri"/>
          <w:color w:val="000000"/>
        </w:rPr>
        <w:t>/</w:t>
      </w:r>
      <w:r w:rsidRPr="00E26551">
        <w:rPr>
          <w:rFonts w:eastAsia="Cambria" w:cs="Calibri"/>
          <w:color w:val="000000"/>
        </w:rPr>
        <w:t>carcinogenicity studies</w:t>
      </w:r>
      <w:r>
        <w:rPr>
          <w:rFonts w:eastAsia="Cambria" w:cs="Calibri"/>
          <w:color w:val="000000"/>
        </w:rPr>
        <w:t xml:space="preserve"> were provided</w:t>
      </w:r>
      <w:r w:rsidR="00FF22F9">
        <w:rPr>
          <w:rFonts w:eastAsia="Cambria" w:cs="Calibri"/>
          <w:color w:val="000000"/>
        </w:rPr>
        <w:t xml:space="preserve">, consistent </w:t>
      </w:r>
      <w:r w:rsidR="002A5862">
        <w:rPr>
          <w:rFonts w:eastAsia="Cambria" w:cs="Calibri"/>
          <w:color w:val="000000"/>
        </w:rPr>
        <w:t>with its intended use in non-food producing animals.</w:t>
      </w:r>
    </w:p>
    <w:p w14:paraId="35363A63" w14:textId="6C68D243" w:rsidR="00BF56B4" w:rsidRDefault="00BF56B4" w:rsidP="00BF56B4">
      <w:pPr>
        <w:spacing w:before="120" w:after="180" w:line="240" w:lineRule="atLeast"/>
        <w:rPr>
          <w:rFonts w:eastAsia="Cambria" w:cs="Calibri"/>
          <w:color w:val="000000"/>
        </w:rPr>
      </w:pPr>
      <w:proofErr w:type="gramStart"/>
      <w:r w:rsidRPr="0042719F">
        <w:rPr>
          <w:rFonts w:eastAsia="Cambria" w:cs="Calibri"/>
          <w:color w:val="000000"/>
        </w:rPr>
        <w:t>With regard to</w:t>
      </w:r>
      <w:proofErr w:type="gramEnd"/>
      <w:r w:rsidRPr="0042719F">
        <w:rPr>
          <w:rFonts w:eastAsia="Cambria" w:cs="Calibri"/>
          <w:color w:val="000000"/>
        </w:rPr>
        <w:t xml:space="preserve"> subsection </w:t>
      </w:r>
      <w:proofErr w:type="spellStart"/>
      <w:r w:rsidRPr="0042719F">
        <w:rPr>
          <w:rFonts w:eastAsia="Cambria" w:cs="Calibri"/>
          <w:color w:val="000000"/>
        </w:rPr>
        <w:t>52E</w:t>
      </w:r>
      <w:proofErr w:type="spellEnd"/>
      <w:r w:rsidRPr="0042719F">
        <w:rPr>
          <w:rFonts w:eastAsia="Cambria" w:cs="Calibri"/>
          <w:color w:val="000000"/>
        </w:rPr>
        <w:t>(1)(</w:t>
      </w:r>
      <w:r>
        <w:rPr>
          <w:rFonts w:eastAsia="Cambria" w:cs="Calibri"/>
          <w:color w:val="000000"/>
        </w:rPr>
        <w:t>e</w:t>
      </w:r>
      <w:r w:rsidRPr="0042719F">
        <w:rPr>
          <w:rFonts w:eastAsia="Cambria" w:cs="Calibri"/>
          <w:color w:val="000000"/>
        </w:rPr>
        <w:t>) of the Act, the</w:t>
      </w:r>
      <w:r>
        <w:rPr>
          <w:rFonts w:eastAsia="Cambria" w:cs="Calibri"/>
          <w:color w:val="000000"/>
        </w:rPr>
        <w:t>re is</w:t>
      </w:r>
      <w:r w:rsidRPr="0042719F">
        <w:rPr>
          <w:rFonts w:eastAsia="Cambria" w:cs="Calibri"/>
          <w:color w:val="000000"/>
        </w:rPr>
        <w:t xml:space="preserve"> </w:t>
      </w:r>
      <w:r w:rsidRPr="00DC387A">
        <w:rPr>
          <w:rFonts w:eastAsia="Cambria" w:cs="Calibri"/>
          <w:color w:val="000000"/>
        </w:rPr>
        <w:t xml:space="preserve">no known misuse or abuse potential of the active constituent, </w:t>
      </w:r>
      <w:proofErr w:type="spellStart"/>
      <w:r w:rsidRPr="00DC387A">
        <w:rPr>
          <w:rFonts w:eastAsia="Cambria" w:cs="Calibri"/>
          <w:color w:val="000000"/>
        </w:rPr>
        <w:t>enflicoxib</w:t>
      </w:r>
      <w:proofErr w:type="spellEnd"/>
      <w:r w:rsidRPr="00DC387A">
        <w:rPr>
          <w:rFonts w:eastAsia="Cambria" w:cs="Calibri"/>
          <w:color w:val="000000"/>
        </w:rPr>
        <w:t>.</w:t>
      </w:r>
    </w:p>
    <w:p w14:paraId="7C6AB596" w14:textId="4BE3B490" w:rsidR="00BF56B4" w:rsidRDefault="00BF56B4" w:rsidP="00BF56B4">
      <w:pPr>
        <w:spacing w:before="120" w:after="180" w:line="240" w:lineRule="atLeast"/>
      </w:pPr>
      <w:proofErr w:type="spellStart"/>
      <w:r>
        <w:rPr>
          <w:rFonts w:eastAsia="Cambria" w:cs="Calibri"/>
          <w:color w:val="000000"/>
        </w:rPr>
        <w:t>E</w:t>
      </w:r>
      <w:r w:rsidRPr="0042719F">
        <w:rPr>
          <w:rFonts w:eastAsia="Cambria" w:cs="Calibri"/>
          <w:color w:val="000000"/>
        </w:rPr>
        <w:t>nflicoxib</w:t>
      </w:r>
      <w:proofErr w:type="spellEnd"/>
      <w:r w:rsidRPr="0042719F">
        <w:rPr>
          <w:rFonts w:eastAsia="Cambria" w:cs="Calibri"/>
          <w:color w:val="000000"/>
        </w:rPr>
        <w:t xml:space="preserve"> is formulated as </w:t>
      </w:r>
      <w:r>
        <w:rPr>
          <w:rFonts w:eastAsia="Cambria" w:cs="Calibri"/>
          <w:color w:val="000000"/>
        </w:rPr>
        <w:t xml:space="preserve">non-divisible, </w:t>
      </w:r>
      <w:r w:rsidRPr="0042719F">
        <w:rPr>
          <w:rFonts w:eastAsia="Cambria" w:cs="Calibri"/>
          <w:color w:val="000000"/>
        </w:rPr>
        <w:t>film</w:t>
      </w:r>
      <w:r w:rsidRPr="0042719F">
        <w:rPr>
          <w:rFonts w:eastAsia="Cambria" w:cs="Calibri"/>
          <w:color w:val="000000"/>
        </w:rPr>
        <w:noBreakHyphen/>
        <w:t xml:space="preserve">coated tablets in </w:t>
      </w:r>
      <w:r w:rsidRPr="00D96BD0">
        <w:rPr>
          <w:rFonts w:eastAsia="Cambria" w:cs="Calibri"/>
          <w:color w:val="000000"/>
        </w:rPr>
        <w:t>child</w:t>
      </w:r>
      <w:r w:rsidRPr="00D96BD0">
        <w:rPr>
          <w:rFonts w:eastAsia="Cambria" w:cs="Calibri"/>
          <w:color w:val="000000"/>
        </w:rPr>
        <w:noBreakHyphen/>
        <w:t xml:space="preserve">resistant blister packaging </w:t>
      </w:r>
      <w:r>
        <w:rPr>
          <w:rFonts w:eastAsia="Cambria" w:cs="Calibri"/>
          <w:color w:val="000000"/>
        </w:rPr>
        <w:t xml:space="preserve">which will limit accidental exposure. The </w:t>
      </w:r>
      <w:r w:rsidRPr="009966E1">
        <w:t>Australian Pesticides and Veterinary Medicines Authority</w:t>
      </w:r>
      <w:r>
        <w:t>’s (</w:t>
      </w:r>
      <w:proofErr w:type="spellStart"/>
      <w:r>
        <w:t>APVMA</w:t>
      </w:r>
      <w:proofErr w:type="spellEnd"/>
      <w:r>
        <w:t xml:space="preserve">) Human Health Risk Assessment considered that accidental exposure to 100 mg </w:t>
      </w:r>
      <w:proofErr w:type="spellStart"/>
      <w:r w:rsidRPr="007B1124">
        <w:rPr>
          <w:rFonts w:eastAsia="Cambria" w:cs="Calibri"/>
          <w:color w:val="000000"/>
        </w:rPr>
        <w:t>enflicoxib</w:t>
      </w:r>
      <w:proofErr w:type="spellEnd"/>
      <w:r>
        <w:t xml:space="preserve"> (highest does table) in children equates to half of the dose of celecoxib – a COX-2 inhibitor approved for use in children and adults. </w:t>
      </w:r>
      <w:r>
        <w:rPr>
          <w:rFonts w:eastAsia="Cambria" w:cs="Calibri"/>
          <w:color w:val="000000"/>
        </w:rPr>
        <w:t>Schedule 4 classification will require a signal heading ‘</w:t>
      </w:r>
      <w:r w:rsidRPr="00A13B60">
        <w:rPr>
          <w:rFonts w:eastAsia="Cambria" w:cs="Calibri"/>
          <w:color w:val="000000"/>
        </w:rPr>
        <w:t>PRESCRIPTION ANIMAL REMEDY</w:t>
      </w:r>
      <w:r>
        <w:rPr>
          <w:rFonts w:eastAsia="Cambria" w:cs="Calibri"/>
          <w:color w:val="000000"/>
        </w:rPr>
        <w:t>’ and cautionary statement ‘</w:t>
      </w:r>
      <w:r w:rsidRPr="00F9309B">
        <w:rPr>
          <w:rFonts w:eastAsia="Cambria" w:cs="Calibri"/>
          <w:color w:val="000000"/>
        </w:rPr>
        <w:t>KEEP OUT OF REACH OF CHILDREN</w:t>
      </w:r>
      <w:r>
        <w:rPr>
          <w:rFonts w:eastAsia="Cambria" w:cs="Calibri"/>
          <w:color w:val="000000"/>
        </w:rPr>
        <w:t>’.</w:t>
      </w:r>
      <w:r w:rsidR="002A5862">
        <w:rPr>
          <w:rFonts w:eastAsia="Cambria" w:cs="Calibri"/>
          <w:color w:val="000000"/>
        </w:rPr>
        <w:t xml:space="preserve"> I concur with t</w:t>
      </w:r>
      <w:r w:rsidR="002A5862">
        <w:t>h</w:t>
      </w:r>
      <w:r>
        <w:t xml:space="preserve">e </w:t>
      </w:r>
      <w:proofErr w:type="spellStart"/>
      <w:r>
        <w:t>APVMA</w:t>
      </w:r>
      <w:proofErr w:type="spellEnd"/>
      <w:r>
        <w:t xml:space="preserve"> risk assessment</w:t>
      </w:r>
      <w:r w:rsidR="002A5862">
        <w:t>’s</w:t>
      </w:r>
      <w:r>
        <w:t xml:space="preserve"> conclu</w:t>
      </w:r>
      <w:r w:rsidR="002A5862">
        <w:t>sion</w:t>
      </w:r>
      <w:r>
        <w:t xml:space="preserve"> the </w:t>
      </w:r>
      <w:r w:rsidRPr="007B1124">
        <w:rPr>
          <w:rFonts w:eastAsia="Cambria" w:cs="Calibri"/>
          <w:color w:val="000000"/>
        </w:rPr>
        <w:t xml:space="preserve">human exposure is expected to be </w:t>
      </w:r>
      <w:proofErr w:type="gramStart"/>
      <w:r w:rsidRPr="007B1124">
        <w:rPr>
          <w:rFonts w:eastAsia="Cambria" w:cs="Calibri"/>
          <w:color w:val="000000"/>
        </w:rPr>
        <w:t>limited</w:t>
      </w:r>
      <w:proofErr w:type="gramEnd"/>
      <w:r w:rsidRPr="007B1124">
        <w:rPr>
          <w:rFonts w:eastAsia="Cambria" w:cs="Calibri"/>
          <w:color w:val="000000"/>
        </w:rPr>
        <w:t xml:space="preserve"> and </w:t>
      </w:r>
      <w:r>
        <w:rPr>
          <w:rFonts w:eastAsia="Cambria" w:cs="Calibri"/>
          <w:color w:val="000000"/>
        </w:rPr>
        <w:lastRenderedPageBreak/>
        <w:t>ac</w:t>
      </w:r>
      <w:r w:rsidRPr="007B1124">
        <w:rPr>
          <w:rFonts w:eastAsia="Cambria" w:cs="Calibri"/>
          <w:color w:val="000000"/>
        </w:rPr>
        <w:t>cidental</w:t>
      </w:r>
      <w:r>
        <w:rPr>
          <w:rFonts w:eastAsia="Cambria" w:cs="Calibri"/>
          <w:color w:val="000000"/>
        </w:rPr>
        <w:t xml:space="preserve"> and </w:t>
      </w:r>
      <w:r>
        <w:t>human health risks are acceptable when used in accordance with the directions for use and adhering to the safety directions.</w:t>
      </w:r>
    </w:p>
    <w:p w14:paraId="24C54297" w14:textId="0A05CE22" w:rsidR="00BF56B4" w:rsidRPr="0024431F" w:rsidRDefault="00BF56B4" w:rsidP="00BF56B4">
      <w:pPr>
        <w:spacing w:before="120" w:after="180" w:line="240" w:lineRule="atLeast"/>
        <w:rPr>
          <w:rFonts w:eastAsia="Cambria" w:cs="Calibri"/>
          <w:color w:val="000000"/>
        </w:rPr>
      </w:pPr>
      <w:r>
        <w:rPr>
          <w:rFonts w:eastAsia="Cambria" w:cs="Calibri"/>
          <w:color w:val="000000"/>
        </w:rPr>
        <w:t>Overall, b</w:t>
      </w:r>
      <w:r w:rsidRPr="0024431F">
        <w:rPr>
          <w:rFonts w:eastAsia="Cambria" w:cs="Calibri"/>
          <w:color w:val="000000"/>
        </w:rPr>
        <w:t>ased on the</w:t>
      </w:r>
      <w:r>
        <w:rPr>
          <w:rFonts w:eastAsia="Cambria" w:cs="Calibri"/>
          <w:color w:val="000000"/>
        </w:rPr>
        <w:t xml:space="preserve"> above</w:t>
      </w:r>
      <w:r w:rsidRPr="0024431F">
        <w:rPr>
          <w:rFonts w:eastAsia="Cambria" w:cs="Calibri"/>
          <w:color w:val="000000"/>
        </w:rPr>
        <w:t xml:space="preserve"> considerations, I </w:t>
      </w:r>
      <w:r>
        <w:rPr>
          <w:rFonts w:eastAsia="Cambria" w:cs="Calibri"/>
          <w:color w:val="000000"/>
        </w:rPr>
        <w:t xml:space="preserve">am of the view that </w:t>
      </w:r>
      <w:r w:rsidRPr="0018755A">
        <w:rPr>
          <w:rFonts w:eastAsia="Cambria" w:cs="Calibri"/>
          <w:color w:val="000000"/>
        </w:rPr>
        <w:t xml:space="preserve">the therapeutic benefits of </w:t>
      </w:r>
      <w:proofErr w:type="spellStart"/>
      <w:r w:rsidRPr="0018755A">
        <w:rPr>
          <w:rFonts w:eastAsia="Cambria" w:cs="Calibri"/>
          <w:color w:val="000000"/>
        </w:rPr>
        <w:t>enflicoxib</w:t>
      </w:r>
      <w:proofErr w:type="spellEnd"/>
      <w:r w:rsidRPr="0018755A">
        <w:rPr>
          <w:rFonts w:eastAsia="Cambria" w:cs="Calibri"/>
          <w:color w:val="000000"/>
        </w:rPr>
        <w:t xml:space="preserve"> outweigh its risks</w:t>
      </w:r>
      <w:r>
        <w:rPr>
          <w:rFonts w:eastAsia="Cambria" w:cs="Calibri"/>
          <w:color w:val="000000"/>
        </w:rPr>
        <w:t xml:space="preserve">. Therefore, I </w:t>
      </w:r>
      <w:r w:rsidRPr="0024431F">
        <w:rPr>
          <w:rFonts w:eastAsia="Cambria" w:cs="Calibri"/>
          <w:color w:val="000000"/>
        </w:rPr>
        <w:t xml:space="preserve">have decided to amend the current Poisons Standard in relation to </w:t>
      </w:r>
      <w:proofErr w:type="spellStart"/>
      <w:r w:rsidRPr="0024431F">
        <w:rPr>
          <w:rFonts w:eastAsia="Cambria" w:cs="Calibri"/>
          <w:color w:val="000000"/>
        </w:rPr>
        <w:t>enflicoxib</w:t>
      </w:r>
      <w:proofErr w:type="spellEnd"/>
      <w:r w:rsidRPr="0024431F">
        <w:rPr>
          <w:rFonts w:eastAsia="Cambria" w:cs="Calibri"/>
          <w:color w:val="000000"/>
        </w:rPr>
        <w:t xml:space="preserve"> in the manner set out above.</w:t>
      </w:r>
      <w:r w:rsidR="004E342E">
        <w:rPr>
          <w:rFonts w:eastAsia="Cambria" w:cs="Calibri"/>
          <w:color w:val="000000"/>
        </w:rPr>
        <w:t xml:space="preserve"> </w:t>
      </w:r>
      <w:r w:rsidR="004E342E" w:rsidRPr="00084FB0">
        <w:rPr>
          <w:szCs w:val="20"/>
        </w:rPr>
        <w:t>The proposed amendment was not referred to an expert advisory committee</w:t>
      </w:r>
      <w:r w:rsidR="004E342E">
        <w:rPr>
          <w:szCs w:val="20"/>
        </w:rPr>
        <w:t>.</w:t>
      </w:r>
    </w:p>
    <w:p w14:paraId="3E986183" w14:textId="77777777" w:rsidR="00BF56B4" w:rsidRPr="000F1DF4" w:rsidRDefault="00BF56B4" w:rsidP="00BF56B4">
      <w:pPr>
        <w:keepNext/>
        <w:keepLines/>
        <w:spacing w:before="360" w:line="240" w:lineRule="atLeast"/>
        <w:outlineLvl w:val="3"/>
        <w:rPr>
          <w:rFonts w:eastAsia="Cambria"/>
          <w:bCs/>
          <w:color w:val="001871"/>
          <w:sz w:val="28"/>
          <w:szCs w:val="26"/>
        </w:rPr>
      </w:pPr>
      <w:r w:rsidRPr="000F1DF4">
        <w:rPr>
          <w:rFonts w:eastAsia="Cambria"/>
          <w:bCs/>
          <w:color w:val="001871"/>
          <w:sz w:val="28"/>
          <w:szCs w:val="26"/>
        </w:rPr>
        <w:t>Implementation date</w:t>
      </w:r>
    </w:p>
    <w:p w14:paraId="76E1C371" w14:textId="77777777" w:rsidR="00BF56B4" w:rsidRPr="0018755A" w:rsidRDefault="00BF56B4" w:rsidP="00BF56B4">
      <w:r>
        <w:t>1 June 2026</w:t>
      </w:r>
    </w:p>
    <w:p w14:paraId="4A296E4A" w14:textId="7EE40A42" w:rsidR="00591F79" w:rsidRPr="00E94749" w:rsidRDefault="00591F79" w:rsidP="0063493E">
      <w:pPr>
        <w:pStyle w:val="Heading3"/>
      </w:pPr>
      <w:bookmarkStart w:id="35" w:name="_Toc230002896"/>
      <w:r w:rsidRPr="00E94749">
        <w:t xml:space="preserve">Final decision in relation to </w:t>
      </w:r>
      <w:proofErr w:type="spellStart"/>
      <w:r w:rsidR="00CC2EE7" w:rsidRPr="00E94749">
        <w:t>spidoxamat</w:t>
      </w:r>
      <w:bookmarkEnd w:id="35"/>
      <w:proofErr w:type="spellEnd"/>
    </w:p>
    <w:p w14:paraId="3278E6CC" w14:textId="77777777" w:rsidR="00591F79" w:rsidRPr="00505AF6" w:rsidRDefault="00591F79"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 xml:space="preserve">Final Decision </w:t>
      </w:r>
    </w:p>
    <w:p w14:paraId="633AF8BF" w14:textId="6C16F154" w:rsidR="00591F79" w:rsidRPr="000F601F" w:rsidRDefault="00591F79" w:rsidP="00591F79">
      <w:pPr>
        <w:rPr>
          <w:rFonts w:cs="Arial"/>
          <w:szCs w:val="20"/>
        </w:rPr>
      </w:pPr>
      <w:r w:rsidRPr="000F601F">
        <w:rPr>
          <w:rFonts w:cs="Arial"/>
          <w:szCs w:val="20"/>
        </w:rPr>
        <w:t xml:space="preserve">Pursuant to regulation </w:t>
      </w:r>
      <w:proofErr w:type="spellStart"/>
      <w:r w:rsidRPr="000F601F">
        <w:rPr>
          <w:rFonts w:cs="Arial"/>
          <w:szCs w:val="20"/>
        </w:rPr>
        <w:t>42ZCZU</w:t>
      </w:r>
      <w:proofErr w:type="spellEnd"/>
      <w:r w:rsidRPr="000F601F" w:rsidDel="005F3EA0">
        <w:rPr>
          <w:rFonts w:cs="Arial"/>
          <w:szCs w:val="20"/>
        </w:rPr>
        <w:t xml:space="preserve"> </w:t>
      </w:r>
      <w:r w:rsidRPr="000F601F">
        <w:rPr>
          <w:rFonts w:cs="Arial"/>
          <w:szCs w:val="20"/>
        </w:rPr>
        <w:t xml:space="preserve">of the Regulations, a Delegate of the Secretary has made a final decision to amend the current Poisons Standard in relation to </w:t>
      </w:r>
      <w:proofErr w:type="spellStart"/>
      <w:r w:rsidR="00CC2EE7" w:rsidRPr="00CC2EE7">
        <w:rPr>
          <w:rFonts w:cs="Arial"/>
          <w:szCs w:val="20"/>
        </w:rPr>
        <w:t>spidoxamat</w:t>
      </w:r>
      <w:proofErr w:type="spellEnd"/>
      <w:r w:rsidRPr="000F601F">
        <w:rPr>
          <w:rFonts w:cs="Arial"/>
          <w:szCs w:val="20"/>
        </w:rPr>
        <w:t xml:space="preserve"> as follows.</w:t>
      </w:r>
      <w:r w:rsidR="00DF4DFA">
        <w:rPr>
          <w:rStyle w:val="FootnoteReference"/>
          <w:rFonts w:cs="Arial"/>
          <w:szCs w:val="20"/>
        </w:rPr>
        <w:footnoteReference w:id="9"/>
      </w:r>
    </w:p>
    <w:p w14:paraId="6865B304" w14:textId="2B023119" w:rsidR="00591F79" w:rsidRPr="000F601F" w:rsidRDefault="00591F79" w:rsidP="00591F79">
      <w:pPr>
        <w:ind w:left="426"/>
        <w:rPr>
          <w:rFonts w:cs="Arial"/>
          <w:b/>
          <w:color w:val="auto"/>
          <w:szCs w:val="20"/>
        </w:rPr>
      </w:pPr>
      <w:r w:rsidRPr="000F601F">
        <w:rPr>
          <w:rFonts w:cs="Arial"/>
          <w:b/>
          <w:color w:val="auto"/>
          <w:szCs w:val="20"/>
        </w:rPr>
        <w:t xml:space="preserve">Schedule </w:t>
      </w:r>
      <w:r w:rsidR="007A3FC8">
        <w:rPr>
          <w:rFonts w:cs="Arial"/>
          <w:b/>
          <w:color w:val="auto"/>
          <w:szCs w:val="20"/>
        </w:rPr>
        <w:t>5</w:t>
      </w:r>
      <w:r w:rsidRPr="000F601F">
        <w:rPr>
          <w:rFonts w:cs="Arial"/>
          <w:b/>
          <w:color w:val="auto"/>
          <w:szCs w:val="20"/>
        </w:rPr>
        <w:t xml:space="preserve"> – New Entry</w:t>
      </w:r>
    </w:p>
    <w:p w14:paraId="2091956B" w14:textId="4B219430" w:rsidR="00591F79" w:rsidRPr="000F601F" w:rsidRDefault="00CC2EE7" w:rsidP="00591F79">
      <w:pPr>
        <w:ind w:firstLine="709"/>
        <w:rPr>
          <w:rFonts w:cs="Arial"/>
          <w:strike/>
          <w:color w:val="FF0000"/>
          <w:szCs w:val="20"/>
          <w:u w:val="single"/>
        </w:rPr>
      </w:pPr>
      <w:proofErr w:type="spellStart"/>
      <w:r w:rsidRPr="00CC2EE7">
        <w:rPr>
          <w:rFonts w:cs="Arial"/>
          <w:color w:val="00B050"/>
          <w:szCs w:val="20"/>
          <w:u w:val="single"/>
        </w:rPr>
        <w:t>SPIDOXAMAT</w:t>
      </w:r>
      <w:proofErr w:type="spellEnd"/>
    </w:p>
    <w:p w14:paraId="0C1DF21B" w14:textId="77777777" w:rsidR="00591F79" w:rsidRPr="000F601F" w:rsidRDefault="00591F79" w:rsidP="00591F79">
      <w:pPr>
        <w:ind w:left="426"/>
        <w:rPr>
          <w:rFonts w:cs="Arial"/>
          <w:b/>
          <w:color w:val="auto"/>
          <w:szCs w:val="20"/>
        </w:rPr>
      </w:pPr>
      <w:r w:rsidRPr="000F601F">
        <w:rPr>
          <w:rFonts w:cs="Arial"/>
          <w:b/>
          <w:color w:val="auto"/>
          <w:szCs w:val="20"/>
        </w:rPr>
        <w:t>Index – New Entry</w:t>
      </w:r>
    </w:p>
    <w:p w14:paraId="2365617C" w14:textId="2181BB5F" w:rsidR="00CC2EE7" w:rsidRPr="00CC2EE7" w:rsidRDefault="00CC2EE7" w:rsidP="00CC2EE7">
      <w:pPr>
        <w:ind w:firstLine="709"/>
        <w:rPr>
          <w:rFonts w:cs="Arial"/>
          <w:b/>
          <w:bCs/>
          <w:strike/>
          <w:color w:val="FF0000"/>
          <w:szCs w:val="20"/>
          <w:u w:val="single"/>
        </w:rPr>
      </w:pPr>
      <w:proofErr w:type="spellStart"/>
      <w:r w:rsidRPr="00CC2EE7">
        <w:rPr>
          <w:rFonts w:cs="Arial"/>
          <w:b/>
          <w:bCs/>
          <w:color w:val="00B050"/>
          <w:szCs w:val="20"/>
          <w:u w:val="single"/>
        </w:rPr>
        <w:t>SPIDOXAMAT</w:t>
      </w:r>
      <w:proofErr w:type="spellEnd"/>
    </w:p>
    <w:p w14:paraId="1A49A078" w14:textId="4BE93C1F" w:rsidR="00591F79" w:rsidRDefault="00591F79" w:rsidP="00591F79">
      <w:pPr>
        <w:ind w:firstLine="709"/>
        <w:rPr>
          <w:rFonts w:cs="Arial"/>
          <w:color w:val="00B050"/>
          <w:szCs w:val="20"/>
          <w:u w:val="single"/>
        </w:rPr>
      </w:pPr>
      <w:r w:rsidRPr="000F601F">
        <w:rPr>
          <w:rFonts w:cs="Arial"/>
          <w:color w:val="00B050"/>
          <w:szCs w:val="20"/>
          <w:u w:val="single"/>
        </w:rPr>
        <w:t xml:space="preserve">Schedule </w:t>
      </w:r>
      <w:r w:rsidR="007A3FC8">
        <w:rPr>
          <w:rFonts w:cs="Arial"/>
          <w:color w:val="00B050"/>
          <w:szCs w:val="20"/>
          <w:u w:val="single"/>
        </w:rPr>
        <w:t>5</w:t>
      </w:r>
    </w:p>
    <w:p w14:paraId="159DDEA8" w14:textId="11EFFCC8" w:rsidR="00591F79" w:rsidRPr="00505AF6" w:rsidRDefault="00591F79" w:rsidP="00505AF6">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Materials considered</w:t>
      </w:r>
    </w:p>
    <w:p w14:paraId="64739C4F" w14:textId="77777777" w:rsidR="00591F79" w:rsidRPr="000F601F" w:rsidRDefault="00591F79" w:rsidP="00591F79">
      <w:pPr>
        <w:rPr>
          <w:rFonts w:cs="Arial"/>
          <w:szCs w:val="20"/>
        </w:rPr>
      </w:pPr>
      <w:r w:rsidRPr="000F601F">
        <w:rPr>
          <w:rFonts w:cs="Arial"/>
          <w:szCs w:val="20"/>
        </w:rPr>
        <w:t>In making this final decision, the Delegate considered the following material:</w:t>
      </w:r>
    </w:p>
    <w:p w14:paraId="42407544" w14:textId="4B5A7BF6" w:rsidR="00591F79" w:rsidRPr="00882919" w:rsidRDefault="00D856B8" w:rsidP="00B93EE9">
      <w:pPr>
        <w:pStyle w:val="ListBullet"/>
        <w:numPr>
          <w:ilvl w:val="0"/>
          <w:numId w:val="22"/>
        </w:numPr>
      </w:pPr>
      <w:r w:rsidRPr="00882919">
        <w:t>t</w:t>
      </w:r>
      <w:r w:rsidR="00591F79" w:rsidRPr="00882919">
        <w:t xml:space="preserve">he application to amend the current Poisons Standard with respect to </w:t>
      </w:r>
      <w:proofErr w:type="spellStart"/>
      <w:r w:rsidR="00944672" w:rsidRPr="00882919">
        <w:t>spidoxamat</w:t>
      </w:r>
      <w:proofErr w:type="spellEnd"/>
      <w:r w:rsidR="00591F79" w:rsidRPr="00882919">
        <w:t xml:space="preserve"> (the </w:t>
      </w:r>
      <w:r w:rsidR="00591F79" w:rsidRPr="00882919">
        <w:rPr>
          <w:b/>
          <w:bCs/>
        </w:rPr>
        <w:t>Application</w:t>
      </w:r>
      <w:r w:rsidR="00591F79" w:rsidRPr="00882919">
        <w:t>)</w:t>
      </w:r>
    </w:p>
    <w:p w14:paraId="3DDF8121" w14:textId="1858DA3D" w:rsidR="00591F79" w:rsidRPr="00882919" w:rsidRDefault="00D856B8" w:rsidP="00B93EE9">
      <w:pPr>
        <w:pStyle w:val="ListBullet"/>
        <w:numPr>
          <w:ilvl w:val="0"/>
          <w:numId w:val="22"/>
        </w:numPr>
        <w:rPr>
          <w:strike/>
        </w:rPr>
      </w:pPr>
      <w:r w:rsidRPr="00882919">
        <w:t>s</w:t>
      </w:r>
      <w:r w:rsidR="00591F79" w:rsidRPr="00882919">
        <w:t xml:space="preserve">ubsection </w:t>
      </w:r>
      <w:proofErr w:type="spellStart"/>
      <w:r w:rsidR="00591F79" w:rsidRPr="00882919">
        <w:t>52E</w:t>
      </w:r>
      <w:proofErr w:type="spellEnd"/>
      <w:r w:rsidR="00591F79" w:rsidRPr="00882919">
        <w:t>(1)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w:t>
      </w:r>
      <w:r w:rsidR="001D724D" w:rsidRPr="00882919">
        <w:t>.</w:t>
      </w:r>
    </w:p>
    <w:p w14:paraId="67D83D35" w14:textId="10DB140A" w:rsidR="00591F79" w:rsidRPr="00882919" w:rsidRDefault="00D856B8" w:rsidP="00B93EE9">
      <w:pPr>
        <w:pStyle w:val="ListBullet"/>
        <w:numPr>
          <w:ilvl w:val="0"/>
          <w:numId w:val="22"/>
        </w:numPr>
      </w:pPr>
      <w:r w:rsidRPr="00882919">
        <w:t>p</w:t>
      </w:r>
      <w:r w:rsidR="00591F79" w:rsidRPr="00882919">
        <w:t xml:space="preserve">ursuant to paragraph </w:t>
      </w:r>
      <w:proofErr w:type="spellStart"/>
      <w:r w:rsidR="00591F79" w:rsidRPr="00882919">
        <w:t>52E</w:t>
      </w:r>
      <w:proofErr w:type="spellEnd"/>
      <w:r w:rsidR="00591F79" w:rsidRPr="00882919">
        <w:t>(2)(a) of the Act, the SPF, and</w:t>
      </w:r>
    </w:p>
    <w:p w14:paraId="6DB10121" w14:textId="71F6AECE" w:rsidR="00591F79" w:rsidRPr="00882919" w:rsidRDefault="00D856B8" w:rsidP="00B93EE9">
      <w:pPr>
        <w:pStyle w:val="ListBullet"/>
        <w:numPr>
          <w:ilvl w:val="0"/>
          <w:numId w:val="22"/>
        </w:numPr>
      </w:pPr>
      <w:r w:rsidRPr="00882919">
        <w:t>t</w:t>
      </w:r>
      <w:r w:rsidR="00591F79" w:rsidRPr="00882919">
        <w:t>he Handbook.</w:t>
      </w:r>
    </w:p>
    <w:p w14:paraId="3A8537E3" w14:textId="77777777" w:rsidR="00591F79" w:rsidRPr="00505AF6" w:rsidRDefault="00591F79" w:rsidP="00505AF6">
      <w:pPr>
        <w:keepNext/>
        <w:keepLines/>
        <w:spacing w:before="360" w:line="240" w:lineRule="atLeast"/>
        <w:outlineLvl w:val="3"/>
        <w:rPr>
          <w:rFonts w:eastAsia="Cambria"/>
          <w:bCs/>
          <w:color w:val="001871"/>
          <w:sz w:val="28"/>
          <w:szCs w:val="26"/>
        </w:rPr>
      </w:pPr>
      <w:bookmarkStart w:id="36" w:name="_Hlk209713327"/>
      <w:r w:rsidRPr="00505AF6">
        <w:rPr>
          <w:rFonts w:eastAsia="Cambria"/>
          <w:bCs/>
          <w:color w:val="001871"/>
          <w:sz w:val="28"/>
          <w:szCs w:val="26"/>
        </w:rPr>
        <w:t>Reasons for the final decision (including findings on material questions of fact)</w:t>
      </w:r>
    </w:p>
    <w:p w14:paraId="699FEE03" w14:textId="2D0C5F50"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The Application is to amend the current Poisons Standard to create a new entry for </w:t>
      </w:r>
      <w:proofErr w:type="spellStart"/>
      <w:r w:rsidRPr="00DF4DFA">
        <w:rPr>
          <w:rFonts w:eastAsia="Cambria" w:cs="Calibri"/>
          <w:color w:val="000000"/>
        </w:rPr>
        <w:t>spidoxamat</w:t>
      </w:r>
      <w:proofErr w:type="spellEnd"/>
      <w:r w:rsidRPr="00DF4DFA">
        <w:rPr>
          <w:rFonts w:eastAsia="Cambria" w:cs="Calibri"/>
          <w:color w:val="000000"/>
        </w:rPr>
        <w:t xml:space="preserve"> as a Caution (Schedule 5)</w:t>
      </w:r>
      <w:r w:rsidR="00FD7BDA">
        <w:rPr>
          <w:rFonts w:eastAsia="Cambria" w:cs="Calibri"/>
          <w:color w:val="000000"/>
        </w:rPr>
        <w:t xml:space="preserve"> substance</w:t>
      </w:r>
      <w:r w:rsidRPr="00DF4DFA">
        <w:rPr>
          <w:rFonts w:eastAsia="Cambria" w:cs="Calibri"/>
          <w:color w:val="000000"/>
        </w:rPr>
        <w:t xml:space="preserve">. </w:t>
      </w:r>
      <w:proofErr w:type="spellStart"/>
      <w:r w:rsidRPr="00DF4DFA">
        <w:rPr>
          <w:rFonts w:eastAsia="Cambria" w:cs="Calibri"/>
          <w:color w:val="000000"/>
        </w:rPr>
        <w:t>Spidoxamat</w:t>
      </w:r>
      <w:proofErr w:type="spellEnd"/>
      <w:r w:rsidRPr="00DF4DFA">
        <w:rPr>
          <w:rFonts w:eastAsia="Cambria" w:cs="Calibri"/>
          <w:color w:val="000000"/>
        </w:rPr>
        <w:t xml:space="preserve"> is one of active constituents for a new insecticide and is not listed in the current Poisons Standard.</w:t>
      </w:r>
    </w:p>
    <w:p w14:paraId="377AD7AF" w14:textId="77777777"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In determining that this matter will be a delegate-only decision, I have </w:t>
      </w:r>
      <w:proofErr w:type="gramStart"/>
      <w:r w:rsidRPr="00DF4DFA">
        <w:rPr>
          <w:rFonts w:eastAsia="Cambria" w:cs="Calibri"/>
          <w:color w:val="000000"/>
        </w:rPr>
        <w:t>taken into account</w:t>
      </w:r>
      <w:proofErr w:type="gramEnd"/>
      <w:r w:rsidRPr="00DF4DFA">
        <w:rPr>
          <w:rFonts w:eastAsia="Cambria" w:cs="Calibri"/>
          <w:color w:val="000000"/>
        </w:rPr>
        <w:t xml:space="preserve"> the information provided in the Application and the matters outlined under s </w:t>
      </w:r>
      <w:proofErr w:type="spellStart"/>
      <w:r w:rsidRPr="00DF4DFA">
        <w:rPr>
          <w:rFonts w:eastAsia="Cambria" w:cs="Calibri"/>
          <w:color w:val="000000"/>
        </w:rPr>
        <w:t>52E</w:t>
      </w:r>
      <w:proofErr w:type="spellEnd"/>
      <w:r w:rsidRPr="00DF4DFA">
        <w:rPr>
          <w:rFonts w:eastAsia="Cambria" w:cs="Calibri"/>
          <w:color w:val="000000"/>
        </w:rPr>
        <w:t xml:space="preserve"> of the Act and the SPF. My reasons for making the final decision follow.</w:t>
      </w:r>
    </w:p>
    <w:p w14:paraId="7EB1324E" w14:textId="77777777" w:rsidR="00DF4DFA" w:rsidRPr="00DF4DFA" w:rsidRDefault="00DF4DFA" w:rsidP="00DF4DFA">
      <w:pPr>
        <w:spacing w:before="120" w:after="180" w:line="240" w:lineRule="atLeast"/>
        <w:rPr>
          <w:rFonts w:eastAsia="Cambria" w:cs="Calibri"/>
          <w:color w:val="000000"/>
        </w:rPr>
      </w:pPr>
      <w:proofErr w:type="spellStart"/>
      <w:r w:rsidRPr="00DF4DFA">
        <w:rPr>
          <w:rFonts w:eastAsia="Cambria" w:cs="Calibri"/>
          <w:color w:val="000000"/>
        </w:rPr>
        <w:lastRenderedPageBreak/>
        <w:t>Spidoxamat</w:t>
      </w:r>
      <w:proofErr w:type="spellEnd"/>
      <w:r w:rsidRPr="00DF4DFA">
        <w:rPr>
          <w:rFonts w:eastAsia="Cambria" w:cs="Calibri"/>
          <w:color w:val="000000"/>
        </w:rPr>
        <w:t xml:space="preserve"> is a </w:t>
      </w:r>
      <w:proofErr w:type="spellStart"/>
      <w:r w:rsidRPr="00DF4DFA">
        <w:rPr>
          <w:rFonts w:eastAsia="Cambria" w:cs="Calibri"/>
          <w:color w:val="000000"/>
        </w:rPr>
        <w:t>tetramic</w:t>
      </w:r>
      <w:proofErr w:type="spellEnd"/>
      <w:r w:rsidRPr="00DF4DFA">
        <w:rPr>
          <w:rFonts w:eastAsia="Cambria" w:cs="Calibri"/>
          <w:color w:val="000000"/>
        </w:rPr>
        <w:t xml:space="preserve"> acid analogue belonging to the broader chemical class of insecticides known as ‘</w:t>
      </w:r>
      <w:proofErr w:type="spellStart"/>
      <w:r w:rsidRPr="00DF4DFA">
        <w:rPr>
          <w:rFonts w:eastAsia="Cambria" w:cs="Calibri"/>
          <w:color w:val="000000"/>
        </w:rPr>
        <w:t>ketoenols</w:t>
      </w:r>
      <w:proofErr w:type="spellEnd"/>
      <w:r w:rsidRPr="00DF4DFA">
        <w:rPr>
          <w:rFonts w:eastAsia="Cambria" w:cs="Calibri"/>
          <w:color w:val="000000"/>
        </w:rPr>
        <w:t xml:space="preserve">’. Other systemic insecticides of this chemical class, such as </w:t>
      </w:r>
      <w:proofErr w:type="spellStart"/>
      <w:r w:rsidRPr="00DF4DFA">
        <w:rPr>
          <w:rFonts w:eastAsia="Cambria" w:cs="Calibri"/>
          <w:color w:val="000000"/>
        </w:rPr>
        <w:t>spirotetramat</w:t>
      </w:r>
      <w:proofErr w:type="spellEnd"/>
      <w:r w:rsidRPr="00DF4DFA">
        <w:rPr>
          <w:rFonts w:eastAsia="Cambria" w:cs="Calibri"/>
          <w:color w:val="000000"/>
        </w:rPr>
        <w:t xml:space="preserve"> and </w:t>
      </w:r>
      <w:proofErr w:type="spellStart"/>
      <w:r w:rsidRPr="00DF4DFA">
        <w:rPr>
          <w:rFonts w:eastAsia="Cambria" w:cs="Calibri"/>
          <w:color w:val="000000"/>
        </w:rPr>
        <w:t>spiropidion</w:t>
      </w:r>
      <w:proofErr w:type="spellEnd"/>
      <w:r w:rsidRPr="00DF4DFA">
        <w:rPr>
          <w:rFonts w:eastAsia="Cambria" w:cs="Calibri"/>
          <w:color w:val="000000"/>
        </w:rPr>
        <w:t xml:space="preserve"> have previously been approved by the Australian Pesticides and Veterinary Medicines Authority (</w:t>
      </w:r>
      <w:proofErr w:type="spellStart"/>
      <w:r w:rsidRPr="00DF4DFA">
        <w:rPr>
          <w:rFonts w:eastAsia="Cambria" w:cs="Calibri"/>
          <w:color w:val="000000"/>
        </w:rPr>
        <w:t>APVMA</w:t>
      </w:r>
      <w:proofErr w:type="spellEnd"/>
      <w:r w:rsidRPr="00DF4DFA">
        <w:rPr>
          <w:rFonts w:eastAsia="Cambria" w:cs="Calibri"/>
          <w:color w:val="000000"/>
        </w:rPr>
        <w:t xml:space="preserve">). </w:t>
      </w:r>
      <w:proofErr w:type="spellStart"/>
      <w:r w:rsidRPr="00DF4DFA">
        <w:rPr>
          <w:rFonts w:eastAsia="Cambria" w:cs="Calibri"/>
          <w:color w:val="000000"/>
        </w:rPr>
        <w:t>Spidoxamat</w:t>
      </w:r>
      <w:proofErr w:type="spellEnd"/>
      <w:r w:rsidRPr="00DF4DFA">
        <w:rPr>
          <w:rFonts w:eastAsia="Cambria" w:cs="Calibri"/>
          <w:color w:val="000000"/>
        </w:rPr>
        <w:t xml:space="preserve">, </w:t>
      </w:r>
      <w:proofErr w:type="spellStart"/>
      <w:r w:rsidRPr="00DF4DFA">
        <w:rPr>
          <w:rFonts w:eastAsia="Cambria" w:cs="Calibri"/>
          <w:color w:val="000000"/>
        </w:rPr>
        <w:t>spirotetramat</w:t>
      </w:r>
      <w:proofErr w:type="spellEnd"/>
      <w:r w:rsidRPr="00DF4DFA">
        <w:rPr>
          <w:rFonts w:eastAsia="Cambria" w:cs="Calibri"/>
          <w:color w:val="000000"/>
        </w:rPr>
        <w:t xml:space="preserve"> and </w:t>
      </w:r>
      <w:proofErr w:type="spellStart"/>
      <w:r w:rsidRPr="00DF4DFA">
        <w:rPr>
          <w:rFonts w:eastAsia="Cambria" w:cs="Calibri"/>
          <w:color w:val="000000"/>
        </w:rPr>
        <w:t>spiropidion</w:t>
      </w:r>
      <w:proofErr w:type="spellEnd"/>
      <w:r w:rsidRPr="00DF4DFA">
        <w:rPr>
          <w:rFonts w:eastAsia="Cambria" w:cs="Calibri"/>
          <w:color w:val="000000"/>
        </w:rPr>
        <w:t xml:space="preserve"> all target insect growth and development by inhibiting acetyl coenzyme A carboxylase involved in the first step of lipid biosynthesis subsequently leading to death.</w:t>
      </w:r>
    </w:p>
    <w:p w14:paraId="6EE3E374" w14:textId="5E04BA9C"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In relation to s </w:t>
      </w:r>
      <w:proofErr w:type="spellStart"/>
      <w:r w:rsidRPr="00DF4DFA">
        <w:rPr>
          <w:rFonts w:eastAsia="Cambria" w:cs="Calibri"/>
          <w:color w:val="000000"/>
        </w:rPr>
        <w:t>52E</w:t>
      </w:r>
      <w:proofErr w:type="spellEnd"/>
      <w:r w:rsidRPr="00DF4DFA">
        <w:rPr>
          <w:rFonts w:eastAsia="Cambria" w:cs="Calibri"/>
          <w:color w:val="000000"/>
        </w:rPr>
        <w:t xml:space="preserve">(1)(a), (b) and (d) of the Act, I note that the formulated product containing </w:t>
      </w:r>
      <w:proofErr w:type="spellStart"/>
      <w:r w:rsidRPr="00DF4DFA">
        <w:rPr>
          <w:rFonts w:eastAsia="Cambria" w:cs="Calibri"/>
          <w:color w:val="000000"/>
        </w:rPr>
        <w:t>spidoxamat</w:t>
      </w:r>
      <w:proofErr w:type="spellEnd"/>
      <w:r w:rsidRPr="00DF4DFA">
        <w:rPr>
          <w:rFonts w:eastAsia="Cambria" w:cs="Calibri"/>
          <w:color w:val="000000"/>
        </w:rPr>
        <w:t xml:space="preserve"> is intended for the control of a range of insect pests in cotton. The product is a water-dispersible granule formulation containing </w:t>
      </w:r>
      <w:proofErr w:type="spellStart"/>
      <w:r w:rsidR="00D02894">
        <w:rPr>
          <w:rFonts w:eastAsia="Cambria" w:cs="Calibri"/>
          <w:color w:val="000000"/>
        </w:rPr>
        <w:t>a</w:t>
      </w:r>
      <w:r w:rsidRPr="00DF4DFA">
        <w:rPr>
          <w:rFonts w:eastAsia="Cambria" w:cs="Calibri"/>
          <w:color w:val="000000"/>
        </w:rPr>
        <w:t>concentration</w:t>
      </w:r>
      <w:proofErr w:type="spellEnd"/>
      <w:r w:rsidRPr="00DF4DFA">
        <w:rPr>
          <w:rFonts w:eastAsia="Cambria" w:cs="Calibri"/>
          <w:color w:val="000000"/>
        </w:rPr>
        <w:t xml:space="preserve"> of 24 g/kg </w:t>
      </w:r>
      <w:proofErr w:type="spellStart"/>
      <w:r w:rsidRPr="00DF4DFA">
        <w:rPr>
          <w:rFonts w:eastAsia="Cambria" w:cs="Calibri"/>
          <w:color w:val="000000"/>
        </w:rPr>
        <w:t>spidoxamat</w:t>
      </w:r>
      <w:proofErr w:type="spellEnd"/>
      <w:r w:rsidRPr="00DF4DFA">
        <w:rPr>
          <w:rFonts w:eastAsia="Cambria" w:cs="Calibri"/>
          <w:color w:val="000000"/>
        </w:rPr>
        <w:t xml:space="preserve"> available in packs of 700 g to 100 kg. The product will be applied mechanically by professional users using ground boom or aerial application methods at a rate of 700 g to 1 kg/ha with a maximum of two applications per season at an interval of 10–14 days. The applicant estimated that approximately 125,000 kg of the active constituent will be manufactured or imported during the first </w:t>
      </w:r>
      <w:r w:rsidR="00FD7BDA">
        <w:rPr>
          <w:rFonts w:eastAsia="Cambria" w:cs="Calibri"/>
          <w:color w:val="000000"/>
        </w:rPr>
        <w:t>2</w:t>
      </w:r>
      <w:r w:rsidRPr="00DF4DFA">
        <w:rPr>
          <w:rFonts w:eastAsia="Cambria" w:cs="Calibri"/>
          <w:color w:val="000000"/>
        </w:rPr>
        <w:t xml:space="preserve"> years following registration. The product is not expected to replace any existing products currently available on the market.</w:t>
      </w:r>
    </w:p>
    <w:p w14:paraId="3799C291" w14:textId="595B3F0A"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In relation to s </w:t>
      </w:r>
      <w:proofErr w:type="spellStart"/>
      <w:r w:rsidRPr="00DF4DFA">
        <w:rPr>
          <w:rFonts w:eastAsia="Cambria" w:cs="Calibri"/>
          <w:color w:val="000000"/>
        </w:rPr>
        <w:t>52E</w:t>
      </w:r>
      <w:proofErr w:type="spellEnd"/>
      <w:r w:rsidRPr="00DF4DFA">
        <w:rPr>
          <w:rFonts w:eastAsia="Cambria" w:cs="Calibri"/>
          <w:color w:val="000000"/>
        </w:rPr>
        <w:t xml:space="preserve">(1)(c) of the Act, </w:t>
      </w:r>
      <w:proofErr w:type="spellStart"/>
      <w:r w:rsidRPr="00DF4DFA">
        <w:rPr>
          <w:rFonts w:eastAsia="Cambria" w:cs="Calibri"/>
          <w:color w:val="000000"/>
        </w:rPr>
        <w:t>spidoxamat</w:t>
      </w:r>
      <w:proofErr w:type="spellEnd"/>
      <w:r w:rsidRPr="00DF4DFA">
        <w:rPr>
          <w:rFonts w:eastAsia="Cambria" w:cs="Calibri"/>
          <w:color w:val="000000"/>
        </w:rPr>
        <w:t>, has low acute toxicity by the oral (</w:t>
      </w:r>
      <w:proofErr w:type="spellStart"/>
      <w:r w:rsidRPr="00DF4DFA">
        <w:rPr>
          <w:rFonts w:eastAsia="Cambria" w:cs="Calibri"/>
          <w:color w:val="000000"/>
        </w:rPr>
        <w:t>LD</w:t>
      </w:r>
      <w:r w:rsidRPr="00B93EE9">
        <w:rPr>
          <w:rFonts w:eastAsia="Cambria" w:cs="Calibri"/>
          <w:color w:val="000000"/>
          <w:vertAlign w:val="subscript"/>
        </w:rPr>
        <w:t>50</w:t>
      </w:r>
      <w:proofErr w:type="spellEnd"/>
      <w:r w:rsidR="00FD7BDA">
        <w:rPr>
          <w:rFonts w:eastAsia="Cambria" w:cs="Calibri"/>
          <w:color w:val="000000"/>
          <w:vertAlign w:val="subscript"/>
        </w:rPr>
        <w:t xml:space="preserve"> </w:t>
      </w:r>
      <w:r w:rsidRPr="00DF4DFA">
        <w:rPr>
          <w:rFonts w:eastAsia="Cambria" w:cs="Calibri"/>
          <w:color w:val="000000"/>
        </w:rPr>
        <w:t>&gt;2</w:t>
      </w:r>
      <w:r w:rsidR="00FD7BDA">
        <w:rPr>
          <w:rFonts w:eastAsia="Cambria" w:cs="Calibri"/>
          <w:color w:val="000000"/>
        </w:rPr>
        <w:t>,</w:t>
      </w:r>
      <w:r w:rsidRPr="00DF4DFA">
        <w:rPr>
          <w:rFonts w:eastAsia="Cambria" w:cs="Calibri"/>
          <w:color w:val="000000"/>
        </w:rPr>
        <w:t xml:space="preserve">000 mg/kg </w:t>
      </w:r>
      <w:proofErr w:type="spellStart"/>
      <w:r w:rsidRPr="00DF4DFA">
        <w:rPr>
          <w:rFonts w:eastAsia="Cambria" w:cs="Calibri"/>
          <w:color w:val="000000"/>
        </w:rPr>
        <w:t>bw</w:t>
      </w:r>
      <w:proofErr w:type="spellEnd"/>
      <w:r w:rsidRPr="00DF4DFA">
        <w:rPr>
          <w:rFonts w:eastAsia="Cambria" w:cs="Calibri"/>
          <w:color w:val="000000"/>
        </w:rPr>
        <w:t xml:space="preserve"> with no deaths), dermal (</w:t>
      </w:r>
      <w:proofErr w:type="spellStart"/>
      <w:r w:rsidRPr="00DF4DFA">
        <w:rPr>
          <w:rFonts w:eastAsia="Cambria" w:cs="Calibri"/>
          <w:color w:val="000000"/>
        </w:rPr>
        <w:t>LD</w:t>
      </w:r>
      <w:r w:rsidRPr="00B93EE9">
        <w:rPr>
          <w:rFonts w:eastAsia="Cambria" w:cs="Calibri"/>
          <w:color w:val="000000"/>
          <w:vertAlign w:val="subscript"/>
        </w:rPr>
        <w:t>50</w:t>
      </w:r>
      <w:proofErr w:type="spellEnd"/>
      <w:r w:rsidRPr="00DF4DFA">
        <w:rPr>
          <w:rFonts w:eastAsia="Cambria" w:cs="Calibri"/>
          <w:color w:val="000000"/>
        </w:rPr>
        <w:t xml:space="preserve"> &gt;2</w:t>
      </w:r>
      <w:r w:rsidR="00FD7BDA">
        <w:rPr>
          <w:rFonts w:eastAsia="Cambria" w:cs="Calibri"/>
          <w:color w:val="000000"/>
        </w:rPr>
        <w:t>,</w:t>
      </w:r>
      <w:r w:rsidRPr="00DF4DFA">
        <w:rPr>
          <w:rFonts w:eastAsia="Cambria" w:cs="Calibri"/>
          <w:color w:val="000000"/>
        </w:rPr>
        <w:t xml:space="preserve">000 mg/kg </w:t>
      </w:r>
      <w:proofErr w:type="spellStart"/>
      <w:r w:rsidRPr="00DF4DFA">
        <w:rPr>
          <w:rFonts w:eastAsia="Cambria" w:cs="Calibri"/>
          <w:color w:val="000000"/>
        </w:rPr>
        <w:t>bw</w:t>
      </w:r>
      <w:proofErr w:type="spellEnd"/>
      <w:r w:rsidRPr="00DF4DFA">
        <w:rPr>
          <w:rFonts w:eastAsia="Cambria" w:cs="Calibri"/>
          <w:color w:val="000000"/>
        </w:rPr>
        <w:t xml:space="preserve"> with no deaths) and inhalation (</w:t>
      </w:r>
      <w:proofErr w:type="spellStart"/>
      <w:r w:rsidRPr="00DF4DFA">
        <w:rPr>
          <w:rFonts w:eastAsia="Cambria" w:cs="Calibri"/>
          <w:color w:val="000000"/>
        </w:rPr>
        <w:t>LC</w:t>
      </w:r>
      <w:r w:rsidRPr="00B93EE9">
        <w:rPr>
          <w:rFonts w:eastAsia="Cambria" w:cs="Calibri"/>
          <w:color w:val="000000"/>
          <w:vertAlign w:val="subscript"/>
        </w:rPr>
        <w:t>50</w:t>
      </w:r>
      <w:proofErr w:type="spellEnd"/>
      <w:r w:rsidR="00FD7BDA">
        <w:rPr>
          <w:rFonts w:eastAsia="Cambria" w:cs="Calibri"/>
          <w:color w:val="000000"/>
          <w:vertAlign w:val="subscript"/>
        </w:rPr>
        <w:t xml:space="preserve"> </w:t>
      </w:r>
      <w:r w:rsidRPr="00DF4DFA">
        <w:rPr>
          <w:rFonts w:eastAsia="Cambria" w:cs="Calibri"/>
          <w:color w:val="000000"/>
        </w:rPr>
        <w:t>&gt;2</w:t>
      </w:r>
      <w:r w:rsidR="00FD7BDA">
        <w:rPr>
          <w:rFonts w:eastAsia="Cambria" w:cs="Calibri"/>
          <w:color w:val="000000"/>
        </w:rPr>
        <w:t>,</w:t>
      </w:r>
      <w:r w:rsidRPr="00DF4DFA">
        <w:rPr>
          <w:rFonts w:eastAsia="Cambria" w:cs="Calibri"/>
          <w:color w:val="000000"/>
        </w:rPr>
        <w:t>150 mg/</w:t>
      </w:r>
      <w:proofErr w:type="spellStart"/>
      <w:r w:rsidRPr="00DF4DFA">
        <w:rPr>
          <w:rFonts w:eastAsia="Cambria" w:cs="Calibri"/>
          <w:color w:val="000000"/>
        </w:rPr>
        <w:t>m</w:t>
      </w:r>
      <w:r w:rsidRPr="00FD7BDA">
        <w:rPr>
          <w:rFonts w:eastAsia="Cambria" w:cs="Calibri"/>
          <w:color w:val="000000"/>
          <w:vertAlign w:val="superscript"/>
        </w:rPr>
        <w:t>3</w:t>
      </w:r>
      <w:proofErr w:type="spellEnd"/>
      <w:r w:rsidRPr="00DF4DFA">
        <w:rPr>
          <w:rFonts w:eastAsia="Cambria" w:cs="Calibri"/>
          <w:color w:val="000000"/>
        </w:rPr>
        <w:t xml:space="preserve">; 4 h with nose-only exposure and no deaths) routes in the rat. </w:t>
      </w:r>
      <w:proofErr w:type="spellStart"/>
      <w:r w:rsidRPr="00DF4DFA">
        <w:rPr>
          <w:rFonts w:eastAsia="Cambria" w:cs="Calibri"/>
          <w:color w:val="000000"/>
        </w:rPr>
        <w:t>Spidoxamat</w:t>
      </w:r>
      <w:proofErr w:type="spellEnd"/>
      <w:r w:rsidRPr="00DF4DFA">
        <w:rPr>
          <w:rFonts w:eastAsia="Cambria" w:cs="Calibri"/>
          <w:color w:val="000000"/>
        </w:rPr>
        <w:t xml:space="preserve"> is a slight eye irritant (rabbit) but is not a skin irritant (rabbit) or a skin sensitiser (mouse local lymph node assay). The toxicological findings are aligned with scheduling factor 1 for </w:t>
      </w:r>
      <w:r w:rsidR="00FD7BDA">
        <w:rPr>
          <w:rFonts w:eastAsia="Cambria" w:cs="Calibri"/>
          <w:color w:val="000000"/>
        </w:rPr>
        <w:t xml:space="preserve">classification in </w:t>
      </w:r>
      <w:r w:rsidRPr="00DF4DFA">
        <w:rPr>
          <w:rFonts w:eastAsia="Cambria" w:cs="Calibri"/>
          <w:color w:val="000000"/>
        </w:rPr>
        <w:t>Schedul</w:t>
      </w:r>
      <w:r w:rsidR="00FD7BDA">
        <w:rPr>
          <w:rFonts w:eastAsia="Cambria" w:cs="Calibri"/>
          <w:color w:val="000000"/>
        </w:rPr>
        <w:t>e</w:t>
      </w:r>
      <w:r w:rsidRPr="00DF4DFA">
        <w:rPr>
          <w:rFonts w:eastAsia="Cambria" w:cs="Calibri"/>
          <w:color w:val="000000"/>
        </w:rPr>
        <w:t xml:space="preserve"> 5.</w:t>
      </w:r>
    </w:p>
    <w:p w14:paraId="20C9FE08" w14:textId="40419671" w:rsidR="00DF4DFA" w:rsidRPr="00DF4DFA" w:rsidRDefault="00DF4DFA" w:rsidP="00DF4DFA">
      <w:pPr>
        <w:spacing w:before="120" w:after="180" w:line="240" w:lineRule="atLeast"/>
        <w:rPr>
          <w:rFonts w:eastAsia="Cambria" w:cs="Calibri"/>
          <w:color w:val="000000"/>
        </w:rPr>
      </w:pPr>
      <w:proofErr w:type="spellStart"/>
      <w:r w:rsidRPr="00DF4DFA">
        <w:rPr>
          <w:rFonts w:eastAsia="Cambria" w:cs="Calibri"/>
          <w:color w:val="000000"/>
        </w:rPr>
        <w:t>Spidoxamat</w:t>
      </w:r>
      <w:proofErr w:type="spellEnd"/>
      <w:r w:rsidRPr="00DF4DFA">
        <w:rPr>
          <w:rFonts w:eastAsia="Cambria" w:cs="Calibri"/>
          <w:color w:val="000000"/>
        </w:rPr>
        <w:t xml:space="preserve"> did not demonstrate neurotoxic, </w:t>
      </w:r>
      <w:proofErr w:type="spellStart"/>
      <w:r w:rsidRPr="00DF4DFA">
        <w:rPr>
          <w:rFonts w:eastAsia="Cambria" w:cs="Calibri"/>
          <w:color w:val="000000"/>
        </w:rPr>
        <w:t>immunotoxic</w:t>
      </w:r>
      <w:proofErr w:type="spellEnd"/>
      <w:r w:rsidRPr="00DF4DFA">
        <w:rPr>
          <w:rFonts w:eastAsia="Cambria" w:cs="Calibri"/>
          <w:color w:val="000000"/>
        </w:rPr>
        <w:t>, developmental, or reproductive toxicity potential in the repeat dose toxicity studies</w:t>
      </w:r>
      <w:r w:rsidR="00584FAE">
        <w:rPr>
          <w:rFonts w:eastAsia="Cambria" w:cs="Calibri"/>
          <w:color w:val="000000"/>
        </w:rPr>
        <w:t xml:space="preserve"> in animals</w:t>
      </w:r>
      <w:r w:rsidRPr="00DF4DFA">
        <w:rPr>
          <w:rFonts w:eastAsia="Cambria" w:cs="Calibri"/>
          <w:color w:val="000000"/>
        </w:rPr>
        <w:t xml:space="preserve">. It was examined for its genotoxic potential in an adequate range of </w:t>
      </w:r>
      <w:r w:rsidRPr="00DF4DFA">
        <w:rPr>
          <w:rFonts w:eastAsia="Cambria" w:cs="Calibri"/>
          <w:i/>
          <w:iCs/>
          <w:color w:val="000000"/>
        </w:rPr>
        <w:t>in vitro</w:t>
      </w:r>
      <w:r w:rsidRPr="00DF4DFA">
        <w:rPr>
          <w:rFonts w:eastAsia="Cambria" w:cs="Calibri"/>
          <w:color w:val="000000"/>
        </w:rPr>
        <w:t xml:space="preserve"> and </w:t>
      </w:r>
      <w:r w:rsidRPr="00B93EE9">
        <w:rPr>
          <w:rFonts w:eastAsia="Cambria" w:cs="Calibri"/>
          <w:i/>
          <w:iCs/>
          <w:color w:val="000000"/>
        </w:rPr>
        <w:t>in vivo</w:t>
      </w:r>
      <w:r w:rsidRPr="00DF4DFA">
        <w:rPr>
          <w:rFonts w:eastAsia="Cambria" w:cs="Calibri"/>
          <w:color w:val="000000"/>
        </w:rPr>
        <w:t xml:space="preserve"> tests and was found to be negative in all tests. Metabolites and impurities of </w:t>
      </w:r>
      <w:proofErr w:type="spellStart"/>
      <w:r w:rsidRPr="00DF4DFA">
        <w:rPr>
          <w:rFonts w:eastAsia="Cambria" w:cs="Calibri"/>
          <w:color w:val="000000"/>
        </w:rPr>
        <w:t>spidoxamat</w:t>
      </w:r>
      <w:proofErr w:type="spellEnd"/>
      <w:r w:rsidRPr="00DF4DFA">
        <w:rPr>
          <w:rFonts w:eastAsia="Cambria" w:cs="Calibri"/>
          <w:color w:val="000000"/>
        </w:rPr>
        <w:t xml:space="preserve"> were tested for genotoxicity in in vitro and all were negative. These findings are consistent with a Schedule 5 classification (scheduling factor 2).</w:t>
      </w:r>
    </w:p>
    <w:p w14:paraId="00234C15" w14:textId="1CF8DECF"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Repeat-dose studies with </w:t>
      </w:r>
      <w:proofErr w:type="spellStart"/>
      <w:r w:rsidRPr="00DF4DFA">
        <w:rPr>
          <w:rFonts w:eastAsia="Cambria" w:cs="Calibri"/>
          <w:color w:val="000000"/>
        </w:rPr>
        <w:t>spidoxamat</w:t>
      </w:r>
      <w:proofErr w:type="spellEnd"/>
      <w:r w:rsidRPr="00DF4DFA">
        <w:rPr>
          <w:rFonts w:eastAsia="Cambria" w:cs="Calibri"/>
          <w:color w:val="000000"/>
        </w:rPr>
        <w:t xml:space="preserve"> caused urinary calculi formation in mice, rats and dogs that was linked to its poor solubility at low urinary </w:t>
      </w:r>
      <w:proofErr w:type="spellStart"/>
      <w:r w:rsidRPr="00DF4DFA">
        <w:rPr>
          <w:rFonts w:eastAsia="Cambria" w:cs="Calibri"/>
          <w:color w:val="000000"/>
        </w:rPr>
        <w:t>pH.</w:t>
      </w:r>
      <w:proofErr w:type="spellEnd"/>
      <w:r w:rsidRPr="00DF4DFA">
        <w:rPr>
          <w:rFonts w:eastAsia="Cambria" w:cs="Calibri"/>
          <w:color w:val="000000"/>
        </w:rPr>
        <w:t xml:space="preserve"> In the combined chronic toxicity and carcinogenicity studies, </w:t>
      </w:r>
      <w:proofErr w:type="spellStart"/>
      <w:r w:rsidRPr="00DF4DFA">
        <w:rPr>
          <w:rFonts w:eastAsia="Cambria" w:cs="Calibri"/>
          <w:color w:val="000000"/>
        </w:rPr>
        <w:t>spidoxamat</w:t>
      </w:r>
      <w:proofErr w:type="spellEnd"/>
      <w:r w:rsidRPr="00DF4DFA">
        <w:rPr>
          <w:rFonts w:eastAsia="Cambria" w:cs="Calibri"/>
          <w:color w:val="000000"/>
        </w:rPr>
        <w:t xml:space="preserve"> showed evidence of urothelial carcinomas of the kidney in rats and urinary bladder in mice. Noting that the formation of urinary calculi and associated toxicity leading to urothelial carcinomas has a threshold and non-genotoxic mode of action, the Australian Pesticides and Veterinary Medicines Authority (</w:t>
      </w:r>
      <w:proofErr w:type="spellStart"/>
      <w:r w:rsidRPr="00DF4DFA">
        <w:rPr>
          <w:rFonts w:eastAsia="Cambria" w:cs="Calibri"/>
          <w:color w:val="000000"/>
        </w:rPr>
        <w:t>APVMA</w:t>
      </w:r>
      <w:proofErr w:type="spellEnd"/>
      <w:r w:rsidRPr="00DF4DFA">
        <w:rPr>
          <w:rFonts w:eastAsia="Cambria" w:cs="Calibri"/>
          <w:color w:val="000000"/>
        </w:rPr>
        <w:t xml:space="preserve">) assessment of </w:t>
      </w:r>
      <w:proofErr w:type="spellStart"/>
      <w:r w:rsidRPr="00DF4DFA">
        <w:rPr>
          <w:rFonts w:eastAsia="Cambria" w:cs="Calibri"/>
          <w:color w:val="000000"/>
        </w:rPr>
        <w:t>spidoxamat</w:t>
      </w:r>
      <w:proofErr w:type="spellEnd"/>
      <w:r w:rsidRPr="00DF4DFA">
        <w:rPr>
          <w:rFonts w:eastAsia="Cambria" w:cs="Calibri"/>
          <w:color w:val="000000"/>
        </w:rPr>
        <w:t xml:space="preserve"> concluded that </w:t>
      </w:r>
      <w:proofErr w:type="spellStart"/>
      <w:r w:rsidRPr="00DF4DFA">
        <w:rPr>
          <w:rFonts w:eastAsia="Cambria" w:cs="Calibri"/>
          <w:color w:val="000000"/>
        </w:rPr>
        <w:t>spidoxamat</w:t>
      </w:r>
      <w:proofErr w:type="spellEnd"/>
      <w:r w:rsidRPr="00DF4DFA">
        <w:rPr>
          <w:rFonts w:eastAsia="Cambria" w:cs="Calibri"/>
          <w:color w:val="000000"/>
        </w:rPr>
        <w:t xml:space="preserve"> is unlikely to pose a carcinogenic risk to humans based on the established mode of action and lack of genotoxicity. </w:t>
      </w:r>
      <w:proofErr w:type="spellStart"/>
      <w:r w:rsidRPr="00DF4DFA">
        <w:rPr>
          <w:rFonts w:eastAsia="Cambria" w:cs="Calibri"/>
          <w:color w:val="000000"/>
        </w:rPr>
        <w:t>APVMA</w:t>
      </w:r>
      <w:proofErr w:type="spellEnd"/>
      <w:r w:rsidRPr="00DF4DFA">
        <w:rPr>
          <w:rFonts w:eastAsia="Cambria" w:cs="Calibri"/>
          <w:color w:val="000000"/>
        </w:rPr>
        <w:t xml:space="preserve"> proposed an acceptable daily intake (ADI) of 0.09 mg/kg </w:t>
      </w:r>
      <w:proofErr w:type="spellStart"/>
      <w:r w:rsidRPr="00DF4DFA">
        <w:rPr>
          <w:rFonts w:eastAsia="Cambria" w:cs="Calibri"/>
          <w:color w:val="000000"/>
        </w:rPr>
        <w:t>bw</w:t>
      </w:r>
      <w:proofErr w:type="spellEnd"/>
      <w:r w:rsidRPr="00DF4DFA">
        <w:rPr>
          <w:rFonts w:eastAsia="Cambria" w:cs="Calibri"/>
          <w:color w:val="000000"/>
        </w:rPr>
        <w:t>/d</w:t>
      </w:r>
      <w:r w:rsidR="00FD7BDA">
        <w:rPr>
          <w:rFonts w:eastAsia="Cambria" w:cs="Calibri"/>
          <w:color w:val="000000"/>
        </w:rPr>
        <w:t>ay</w:t>
      </w:r>
      <w:r w:rsidRPr="00DF4DFA">
        <w:rPr>
          <w:rFonts w:eastAsia="Cambria" w:cs="Calibri"/>
          <w:color w:val="000000"/>
        </w:rPr>
        <w:t xml:space="preserve"> for </w:t>
      </w:r>
      <w:proofErr w:type="spellStart"/>
      <w:r w:rsidRPr="00DF4DFA">
        <w:rPr>
          <w:rFonts w:eastAsia="Cambria" w:cs="Calibri"/>
          <w:color w:val="000000"/>
        </w:rPr>
        <w:t>spidoxamat</w:t>
      </w:r>
      <w:proofErr w:type="spellEnd"/>
      <w:r w:rsidRPr="00DF4DFA">
        <w:rPr>
          <w:rFonts w:eastAsia="Cambria" w:cs="Calibri"/>
          <w:color w:val="000000"/>
        </w:rPr>
        <w:t>, based on a no observed adverse effect level (</w:t>
      </w:r>
      <w:proofErr w:type="spellStart"/>
      <w:r w:rsidRPr="00DF4DFA">
        <w:rPr>
          <w:rFonts w:eastAsia="Cambria" w:cs="Calibri"/>
          <w:color w:val="000000"/>
        </w:rPr>
        <w:t>NOAEL</w:t>
      </w:r>
      <w:proofErr w:type="spellEnd"/>
      <w:r w:rsidRPr="00DF4DFA">
        <w:rPr>
          <w:rFonts w:eastAsia="Cambria" w:cs="Calibri"/>
          <w:color w:val="000000"/>
        </w:rPr>
        <w:t xml:space="preserve">) of 9.1 mg/kg </w:t>
      </w:r>
      <w:proofErr w:type="spellStart"/>
      <w:r w:rsidRPr="00DF4DFA">
        <w:rPr>
          <w:rFonts w:eastAsia="Cambria" w:cs="Calibri"/>
          <w:color w:val="000000"/>
        </w:rPr>
        <w:t>bw</w:t>
      </w:r>
      <w:proofErr w:type="spellEnd"/>
      <w:r w:rsidRPr="00DF4DFA">
        <w:rPr>
          <w:rFonts w:eastAsia="Cambria" w:cs="Calibri"/>
          <w:color w:val="000000"/>
        </w:rPr>
        <w:t>/d</w:t>
      </w:r>
      <w:r w:rsidR="00FD7BDA">
        <w:rPr>
          <w:rFonts w:eastAsia="Cambria" w:cs="Calibri"/>
          <w:color w:val="000000"/>
        </w:rPr>
        <w:t>ay</w:t>
      </w:r>
      <w:r w:rsidRPr="00DF4DFA">
        <w:rPr>
          <w:rFonts w:eastAsia="Cambria" w:cs="Calibri"/>
          <w:color w:val="000000"/>
        </w:rPr>
        <w:t xml:space="preserve"> in a sub-chronic (90-day) dietary toxicity study in dogs and an uncertainty factor of 100. An acute reference dose (</w:t>
      </w:r>
      <w:proofErr w:type="spellStart"/>
      <w:r w:rsidRPr="00DF4DFA">
        <w:rPr>
          <w:rFonts w:eastAsia="Cambria" w:cs="Calibri"/>
          <w:color w:val="000000"/>
        </w:rPr>
        <w:t>ARfD</w:t>
      </w:r>
      <w:proofErr w:type="spellEnd"/>
      <w:r w:rsidRPr="00DF4DFA">
        <w:rPr>
          <w:rFonts w:eastAsia="Cambria" w:cs="Calibri"/>
          <w:color w:val="000000"/>
        </w:rPr>
        <w:t xml:space="preserve">) was not determined based on its low acute oral toxicity and the lack of evidence for neurotoxicity or developmental toxicity attributable to a single exposure. The ADI is considered adequately protective of the effects of </w:t>
      </w:r>
      <w:proofErr w:type="spellStart"/>
      <w:r w:rsidRPr="00DF4DFA">
        <w:rPr>
          <w:rFonts w:eastAsia="Cambria" w:cs="Calibri"/>
          <w:color w:val="000000"/>
        </w:rPr>
        <w:t>spidoxamat</w:t>
      </w:r>
      <w:proofErr w:type="spellEnd"/>
      <w:r w:rsidRPr="00DF4DFA">
        <w:rPr>
          <w:rFonts w:eastAsia="Cambria" w:cs="Calibri"/>
          <w:color w:val="000000"/>
        </w:rPr>
        <w:t xml:space="preserve"> on the kidney and urinary tract.</w:t>
      </w:r>
    </w:p>
    <w:p w14:paraId="652A6691" w14:textId="34E7FC50"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 xml:space="preserve">Overall, in consideration of the toxicological profile and likely human exposure associated with the use of </w:t>
      </w:r>
      <w:proofErr w:type="spellStart"/>
      <w:r w:rsidRPr="00DF4DFA">
        <w:rPr>
          <w:rFonts w:eastAsia="Cambria" w:cs="Calibri"/>
          <w:color w:val="000000"/>
        </w:rPr>
        <w:t>spidoxamat</w:t>
      </w:r>
      <w:proofErr w:type="spellEnd"/>
      <w:r w:rsidRPr="00DF4DFA">
        <w:rPr>
          <w:rFonts w:eastAsia="Cambria" w:cs="Calibri"/>
          <w:color w:val="000000"/>
        </w:rPr>
        <w:t xml:space="preserve">, the </w:t>
      </w:r>
      <w:proofErr w:type="spellStart"/>
      <w:r w:rsidRPr="00DF4DFA">
        <w:rPr>
          <w:rFonts w:eastAsia="Cambria" w:cs="Calibri"/>
          <w:color w:val="000000"/>
        </w:rPr>
        <w:t>APVMA’s</w:t>
      </w:r>
      <w:proofErr w:type="spellEnd"/>
      <w:r w:rsidRPr="00DF4DFA">
        <w:rPr>
          <w:rFonts w:eastAsia="Cambria" w:cs="Calibri"/>
          <w:color w:val="000000"/>
        </w:rPr>
        <w:t xml:space="preserve"> Human Health Risk Assessment (</w:t>
      </w:r>
      <w:proofErr w:type="spellStart"/>
      <w:r w:rsidRPr="00DF4DFA">
        <w:rPr>
          <w:rFonts w:eastAsia="Cambria" w:cs="Calibri"/>
          <w:color w:val="000000"/>
        </w:rPr>
        <w:t>HHRA</w:t>
      </w:r>
      <w:proofErr w:type="spellEnd"/>
      <w:r w:rsidRPr="00DF4DFA">
        <w:rPr>
          <w:rFonts w:eastAsia="Cambria" w:cs="Calibri"/>
          <w:color w:val="000000"/>
        </w:rPr>
        <w:t xml:space="preserve">) concluded the human health risk posed by </w:t>
      </w:r>
      <w:proofErr w:type="spellStart"/>
      <w:r w:rsidRPr="00DF4DFA">
        <w:rPr>
          <w:rFonts w:eastAsia="Cambria" w:cs="Calibri"/>
          <w:color w:val="000000"/>
        </w:rPr>
        <w:t>spidoxamat</w:t>
      </w:r>
      <w:proofErr w:type="spellEnd"/>
      <w:r w:rsidRPr="00DF4DFA">
        <w:rPr>
          <w:rFonts w:eastAsia="Cambria" w:cs="Calibri"/>
          <w:color w:val="000000"/>
        </w:rPr>
        <w:t xml:space="preserve"> to be acceptable. I concur with the </w:t>
      </w:r>
      <w:proofErr w:type="spellStart"/>
      <w:r w:rsidRPr="00DF4DFA">
        <w:rPr>
          <w:rFonts w:eastAsia="Cambria" w:cs="Calibri"/>
          <w:color w:val="000000"/>
        </w:rPr>
        <w:t>APVMA’s</w:t>
      </w:r>
      <w:proofErr w:type="spellEnd"/>
      <w:r w:rsidRPr="00DF4DFA">
        <w:rPr>
          <w:rFonts w:eastAsia="Cambria" w:cs="Calibri"/>
          <w:color w:val="000000"/>
        </w:rPr>
        <w:t xml:space="preserve"> toxicology assessments and </w:t>
      </w:r>
      <w:proofErr w:type="spellStart"/>
      <w:r w:rsidRPr="00DF4DFA">
        <w:rPr>
          <w:rFonts w:eastAsia="Cambria" w:cs="Calibri"/>
          <w:color w:val="000000"/>
        </w:rPr>
        <w:t>HHRA</w:t>
      </w:r>
      <w:proofErr w:type="spellEnd"/>
      <w:r w:rsidRPr="00DF4DFA">
        <w:rPr>
          <w:rFonts w:eastAsia="Cambria" w:cs="Calibri"/>
          <w:color w:val="000000"/>
        </w:rPr>
        <w:t xml:space="preserve"> findings.</w:t>
      </w:r>
    </w:p>
    <w:p w14:paraId="4712BCF6" w14:textId="77777777" w:rsidR="00DF4DFA" w:rsidRPr="00DF4DFA" w:rsidRDefault="00DF4DFA" w:rsidP="00DF4DFA">
      <w:pPr>
        <w:spacing w:before="120" w:after="180" w:line="240" w:lineRule="atLeast"/>
        <w:rPr>
          <w:rFonts w:eastAsia="Cambria" w:cs="Calibri"/>
          <w:color w:val="000000"/>
        </w:rPr>
      </w:pPr>
      <w:r w:rsidRPr="00DF4DFA">
        <w:rPr>
          <w:rFonts w:eastAsia="Cambria" w:cs="Calibri"/>
          <w:color w:val="000000"/>
        </w:rPr>
        <w:t>Based on the above considerations and the information provided in the application, I have decided to amend the current Poisons Standard in the manner laid out above. The proposed amendment was not referred to an expert advisory committee.</w:t>
      </w:r>
    </w:p>
    <w:p w14:paraId="0FDA0C4E" w14:textId="71683DAB" w:rsidR="00591F79" w:rsidRPr="00505AF6" w:rsidRDefault="00591F79" w:rsidP="00DF4DFA">
      <w:pPr>
        <w:keepNext/>
        <w:keepLines/>
        <w:spacing w:before="360" w:line="240" w:lineRule="atLeast"/>
        <w:outlineLvl w:val="3"/>
        <w:rPr>
          <w:rFonts w:eastAsia="Cambria"/>
          <w:bCs/>
          <w:color w:val="001871"/>
          <w:sz w:val="28"/>
          <w:szCs w:val="26"/>
        </w:rPr>
      </w:pPr>
      <w:r w:rsidRPr="00505AF6">
        <w:rPr>
          <w:rFonts w:eastAsia="Cambria"/>
          <w:bCs/>
          <w:color w:val="001871"/>
          <w:sz w:val="28"/>
          <w:szCs w:val="26"/>
        </w:rPr>
        <w:t>Implementation date</w:t>
      </w:r>
    </w:p>
    <w:p w14:paraId="72FF9A52" w14:textId="343216A2" w:rsidR="00C268A1" w:rsidRDefault="00591F79" w:rsidP="00DF4DFA">
      <w:pPr>
        <w:spacing w:before="120" w:after="180" w:line="240" w:lineRule="atLeast"/>
        <w:sectPr w:rsidR="00C268A1" w:rsidSect="00882919">
          <w:headerReference w:type="default" r:id="rId17"/>
          <w:footerReference w:type="default" r:id="rId18"/>
          <w:pgSz w:w="11906" w:h="16838" w:code="9"/>
          <w:pgMar w:top="1134" w:right="1418" w:bottom="1361" w:left="1418" w:header="573" w:footer="567" w:gutter="0"/>
          <w:cols w:space="708"/>
          <w:docGrid w:linePitch="360"/>
        </w:sectPr>
      </w:pPr>
      <w:r w:rsidRPr="00B37A4B">
        <w:t xml:space="preserve">1 </w:t>
      </w:r>
      <w:r w:rsidR="00C52227" w:rsidRPr="00B37A4B">
        <w:t>June</w:t>
      </w:r>
      <w:r w:rsidRPr="00B37A4B">
        <w:t xml:space="preserve"> 202</w:t>
      </w:r>
      <w:r w:rsidR="00C52227" w:rsidRPr="00B37A4B">
        <w:t>6</w:t>
      </w:r>
      <w:bookmarkEnd w:id="36"/>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19"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20" w:history="1">
              <w:r w:rsidRPr="00C4721A">
                <w:rPr>
                  <w:rStyle w:val="Hyperlink"/>
                  <w:b/>
                </w:rPr>
                <w:t>https://www.tga.gov.au</w:t>
              </w:r>
            </w:hyperlink>
          </w:p>
        </w:tc>
      </w:tr>
    </w:tbl>
    <w:p w14:paraId="221B1587" w14:textId="77777777" w:rsidR="00242E59" w:rsidRDefault="00242E59" w:rsidP="00967490"/>
    <w:sectPr w:rsidR="00242E59" w:rsidSect="00AE7C6A">
      <w:headerReference w:type="first" r:id="rId21"/>
      <w:footerReference w:type="first" r:id="rId2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C46C" w14:textId="77777777" w:rsidR="00BC3737" w:rsidRDefault="00BC3737" w:rsidP="00967490">
      <w:r>
        <w:separator/>
      </w:r>
    </w:p>
    <w:p w14:paraId="36C86370" w14:textId="77777777" w:rsidR="00BC3737" w:rsidRDefault="00BC3737" w:rsidP="00967490"/>
    <w:p w14:paraId="409B916F" w14:textId="77777777" w:rsidR="00BC3737" w:rsidRDefault="00BC3737" w:rsidP="00967490"/>
  </w:endnote>
  <w:endnote w:type="continuationSeparator" w:id="0">
    <w:p w14:paraId="195D16AE" w14:textId="77777777" w:rsidR="00BC3737" w:rsidRDefault="00BC3737" w:rsidP="00967490">
      <w:r>
        <w:continuationSeparator/>
      </w:r>
    </w:p>
    <w:p w14:paraId="233BDD57" w14:textId="77777777" w:rsidR="00BC3737" w:rsidRDefault="00BC3737" w:rsidP="00967490"/>
    <w:p w14:paraId="4AA71B10" w14:textId="77777777" w:rsidR="00BC3737" w:rsidRDefault="00BC3737"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50AD" w14:textId="4FDC9E0D" w:rsidR="0016506E" w:rsidRDefault="0016506E">
    <w:pPr>
      <w:pStyle w:val="Footer"/>
    </w:pPr>
    <w:r>
      <w:rPr>
        <w:noProof/>
      </w:rPr>
      <mc:AlternateContent>
        <mc:Choice Requires="wps">
          <w:drawing>
            <wp:anchor distT="0" distB="0" distL="0" distR="0" simplePos="0" relativeHeight="251666432" behindDoc="0" locked="0" layoutInCell="1" allowOverlap="1" wp14:anchorId="5DA83E79" wp14:editId="35369157">
              <wp:simplePos x="635" y="635"/>
              <wp:positionH relativeFrom="page">
                <wp:align>center</wp:align>
              </wp:positionH>
              <wp:positionV relativeFrom="page">
                <wp:align>bottom</wp:align>
              </wp:positionV>
              <wp:extent cx="551815" cy="391160"/>
              <wp:effectExtent l="0" t="0" r="635" b="0"/>
              <wp:wrapNone/>
              <wp:docPr id="9809203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0C88A8" w14:textId="7AE349ED"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83E79"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B0C88A8" w14:textId="7AE349ED"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085BF6C6" w:rsidR="00F02AEC" w:rsidRDefault="0016506E" w:rsidP="00967490">
          <w:pPr>
            <w:pStyle w:val="Footer"/>
          </w:pPr>
          <w:r>
            <w:rPr>
              <w:noProof/>
            </w:rPr>
            <mc:AlternateContent>
              <mc:Choice Requires="wps">
                <w:drawing>
                  <wp:anchor distT="0" distB="0" distL="0" distR="0" simplePos="0" relativeHeight="251667456" behindDoc="0" locked="0" layoutInCell="1" allowOverlap="1" wp14:anchorId="4B16C92B" wp14:editId="16FE4876">
                    <wp:simplePos x="635" y="635"/>
                    <wp:positionH relativeFrom="page">
                      <wp:align>center</wp:align>
                    </wp:positionH>
                    <wp:positionV relativeFrom="page">
                      <wp:align>bottom</wp:align>
                    </wp:positionV>
                    <wp:extent cx="551815" cy="391160"/>
                    <wp:effectExtent l="0" t="0" r="635" b="0"/>
                    <wp:wrapNone/>
                    <wp:docPr id="20380713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1D5E78" w14:textId="45BDDD89"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6C92B" id="_x0000_t202" coordsize="21600,21600" o:spt="202" path="m,l,21600r21600,l21600,xe">
                    <v:stroke joinstyle="miter"/>
                    <v:path gradientshapeok="t" o:connecttype="rect"/>
                  </v:shapetype>
                  <v:shape id="Text Box 8" o:spid="_x0000_s1029"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141D5E78" w14:textId="45BDDD89"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v:textbox>
                    <w10:wrap anchorx="page" anchory="page"/>
                  </v:shape>
                </w:pict>
              </mc:Fallback>
            </mc:AlternateContent>
          </w: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79664D5C" w:rsidR="00F02AEC" w:rsidRDefault="00F02AEC" w:rsidP="00967490">
    <w:pPr>
      <w:pStyle w:val="Footer"/>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5045A074" w:rsidR="00F02AEC" w:rsidRPr="00882919" w:rsidRDefault="00505AF6" w:rsidP="00DE78C9">
          <w:pPr>
            <w:ind w:left="-110"/>
            <w:rPr>
              <w:rFonts w:asciiTheme="minorHAnsi" w:hAnsiTheme="minorHAnsi" w:cstheme="minorHAnsi"/>
              <w:sz w:val="16"/>
              <w:szCs w:val="16"/>
            </w:rPr>
          </w:pPr>
          <w:r w:rsidRPr="00882919">
            <w:rPr>
              <w:sz w:val="16"/>
              <w:szCs w:val="16"/>
            </w:rPr>
            <w:t>Notice of final decisions to amend (or not amend) the current Poisons Standard</w:t>
          </w:r>
          <w:r w:rsidR="00882919">
            <w:rPr>
              <w:sz w:val="16"/>
              <w:szCs w:val="16"/>
            </w:rPr>
            <w:t xml:space="preserve"> – June 2026</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882919">
    <w:pPr>
      <w:rPr>
        <w:rFonts w:cs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54D6C3FD" w:rsidR="00242E59" w:rsidRPr="008E3C43" w:rsidRDefault="00242E59"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54F1" w14:textId="77777777" w:rsidR="00BC3737" w:rsidRDefault="00BC3737" w:rsidP="00967490">
      <w:r>
        <w:separator/>
      </w:r>
    </w:p>
  </w:footnote>
  <w:footnote w:type="continuationSeparator" w:id="0">
    <w:p w14:paraId="5581F732" w14:textId="77777777" w:rsidR="00BC3737" w:rsidRDefault="00BC3737" w:rsidP="00967490">
      <w:r>
        <w:continuationSeparator/>
      </w:r>
    </w:p>
    <w:p w14:paraId="75F51F97" w14:textId="77777777" w:rsidR="00BC3737" w:rsidRDefault="00BC3737" w:rsidP="00967490"/>
    <w:p w14:paraId="57C9C94F" w14:textId="77777777" w:rsidR="00BC3737" w:rsidRDefault="00BC3737"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w:t>
      </w:r>
      <w:proofErr w:type="spellStart"/>
      <w:r w:rsidRPr="006119D9">
        <w:rPr>
          <w:rFonts w:asciiTheme="minorHAnsi" w:hAnsiTheme="minorHAnsi" w:cstheme="minorHAnsi"/>
          <w:sz w:val="18"/>
          <w:szCs w:val="18"/>
        </w:rPr>
        <w:t>52D</w:t>
      </w:r>
      <w:proofErr w:type="spellEnd"/>
      <w:r w:rsidRPr="006119D9">
        <w:rPr>
          <w:rFonts w:asciiTheme="minorHAnsi" w:hAnsiTheme="minorHAnsi" w:cstheme="minorHAnsi"/>
          <w:sz w:val="18"/>
          <w:szCs w:val="18"/>
        </w:rPr>
        <w:t xml:space="preserve">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w:t>
      </w:r>
      <w:proofErr w:type="spellStart"/>
      <w:r w:rsidRPr="006119D9">
        <w:rPr>
          <w:rFonts w:asciiTheme="minorHAnsi" w:hAnsiTheme="minorHAnsi" w:cstheme="minorHAnsi"/>
          <w:sz w:val="18"/>
          <w:szCs w:val="18"/>
        </w:rPr>
        <w:t>Cth</w:t>
      </w:r>
      <w:proofErr w:type="spellEnd"/>
      <w:r w:rsidRPr="006119D9">
        <w:rPr>
          <w:rFonts w:asciiTheme="minorHAnsi" w:hAnsiTheme="minorHAnsi" w:cstheme="minorHAnsi"/>
          <w:sz w:val="18"/>
          <w:szCs w:val="18"/>
        </w:rPr>
        <w:t xml:space="preserve">). </w:t>
      </w:r>
    </w:p>
  </w:footnote>
  <w:footnote w:id="2">
    <w:p w14:paraId="50100676" w14:textId="5F1CCCDA" w:rsidR="00BD23F0" w:rsidRPr="00BD23F0" w:rsidRDefault="00BD23F0" w:rsidP="00BD23F0">
      <w:pPr>
        <w:pStyle w:val="FootnoteText"/>
        <w:rPr>
          <w:rFonts w:asciiTheme="minorHAnsi" w:hAnsiTheme="minorHAnsi" w:cstheme="minorHAnsi"/>
          <w:sz w:val="14"/>
          <w:szCs w:val="14"/>
        </w:rPr>
      </w:pPr>
      <w:r w:rsidRPr="00D45C7D">
        <w:rPr>
          <w:rStyle w:val="FootnoteReference"/>
          <w:rFonts w:cs="Arial"/>
          <w:sz w:val="18"/>
          <w:szCs w:val="18"/>
        </w:rPr>
        <w:footnoteRef/>
      </w:r>
      <w:r w:rsidR="00DF4DFA">
        <w:rPr>
          <w:rFonts w:asciiTheme="minorHAnsi" w:hAnsiTheme="minorHAnsi" w:cstheme="minorHAnsi"/>
          <w:sz w:val="18"/>
          <w:szCs w:val="18"/>
        </w:rPr>
        <w:t xml:space="preserve"> </w:t>
      </w:r>
      <w:r w:rsidRPr="00BD23F0">
        <w:rPr>
          <w:rFonts w:cs="Arial"/>
          <w:sz w:val="16"/>
          <w:szCs w:val="12"/>
        </w:rPr>
        <w:t>Proposed additions are shown in green underlined font, proposed deletions are shown in red strikethrough font, and text without this formatting represents the current text in the Poisons Standard</w:t>
      </w:r>
      <w:r w:rsidR="00DF4DFA">
        <w:rPr>
          <w:rFonts w:cs="Arial"/>
          <w:sz w:val="16"/>
          <w:szCs w:val="12"/>
        </w:rPr>
        <w:t>.</w:t>
      </w:r>
    </w:p>
  </w:footnote>
  <w:footnote w:id="3">
    <w:p w14:paraId="11D4B1EA" w14:textId="53503FD6" w:rsidR="00BD23F0" w:rsidRDefault="00BD23F0" w:rsidP="00BD23F0">
      <w:pPr>
        <w:pStyle w:val="FootnoteText"/>
      </w:pPr>
      <w:r>
        <w:rPr>
          <w:rStyle w:val="FootnoteReference"/>
        </w:rPr>
        <w:footnoteRef/>
      </w:r>
      <w:r>
        <w:t xml:space="preserve"> </w:t>
      </w:r>
      <w:r w:rsidRPr="00BD23F0">
        <w:rPr>
          <w:sz w:val="16"/>
          <w:szCs w:val="18"/>
        </w:rPr>
        <w:t xml:space="preserve">Business Queensland (2025). Root-knot nematode. Available at: </w:t>
      </w:r>
      <w:hyperlink r:id="rId1" w:history="1">
        <w:r w:rsidR="00DF4DFA">
          <w:rPr>
            <w:rStyle w:val="Hyperlink"/>
            <w:sz w:val="16"/>
            <w:szCs w:val="18"/>
          </w:rPr>
          <w:t>www.business.qld.gov.au/industries/farms-fishing-forestry/agriculture/biosecurity/plants/insects/horticultural/root-knot-nematode</w:t>
        </w:r>
      </w:hyperlink>
      <w:r w:rsidRPr="00BD23F0">
        <w:rPr>
          <w:sz w:val="16"/>
          <w:szCs w:val="18"/>
        </w:rPr>
        <w:t xml:space="preserve"> [date accessed: 24/04/2026]</w:t>
      </w:r>
    </w:p>
  </w:footnote>
  <w:footnote w:id="4">
    <w:p w14:paraId="27BA17B4" w14:textId="25954F7B" w:rsidR="00BD23F0" w:rsidRDefault="00BD23F0" w:rsidP="00BD23F0">
      <w:pPr>
        <w:pStyle w:val="FootnoteText"/>
      </w:pPr>
      <w:r>
        <w:rPr>
          <w:rStyle w:val="FootnoteReference"/>
        </w:rPr>
        <w:footnoteRef/>
      </w:r>
      <w:r>
        <w:t xml:space="preserve"> </w:t>
      </w:r>
      <w:r w:rsidRPr="00BD23F0">
        <w:rPr>
          <w:sz w:val="16"/>
          <w:szCs w:val="18"/>
        </w:rPr>
        <w:t>EFSA Panel on Biological Hazards (</w:t>
      </w:r>
      <w:proofErr w:type="spellStart"/>
      <w:r w:rsidRPr="00BD23F0">
        <w:rPr>
          <w:sz w:val="16"/>
          <w:szCs w:val="18"/>
        </w:rPr>
        <w:t>BIOHAZ</w:t>
      </w:r>
      <w:proofErr w:type="spellEnd"/>
      <w:r w:rsidRPr="00BD23F0">
        <w:rPr>
          <w:sz w:val="16"/>
          <w:szCs w:val="18"/>
        </w:rPr>
        <w:t xml:space="preserve">) et al. (2023). Update of the list of qualified presumption of safety (QPS) recommended microorganisms intentionally added to food or feed as notified to EFSA. In: EFSA Journal [Internet]. Available at: </w:t>
      </w:r>
      <w:hyperlink r:id="rId2" w:history="1">
        <w:r w:rsidR="00DF4DFA">
          <w:rPr>
            <w:rStyle w:val="Hyperlink"/>
            <w:sz w:val="16"/>
            <w:szCs w:val="18"/>
          </w:rPr>
          <w:t>www.doi.org/10.2903/j.efsa.2023.7747</w:t>
        </w:r>
      </w:hyperlink>
      <w:r w:rsidRPr="00BD23F0">
        <w:rPr>
          <w:sz w:val="16"/>
          <w:szCs w:val="18"/>
        </w:rPr>
        <w:t>.</w:t>
      </w:r>
    </w:p>
  </w:footnote>
  <w:footnote w:id="5">
    <w:p w14:paraId="5CCD5AE4" w14:textId="77777777" w:rsidR="00584B5E" w:rsidRPr="006961DB" w:rsidRDefault="00584B5E" w:rsidP="00584B5E">
      <w:pPr>
        <w:pStyle w:val="FootnoteText"/>
        <w:rPr>
          <w:sz w:val="16"/>
          <w:szCs w:val="18"/>
        </w:rPr>
      </w:pPr>
      <w:r>
        <w:rPr>
          <w:rStyle w:val="FootnoteReference"/>
        </w:rPr>
        <w:footnoteRef/>
      </w:r>
      <w:r>
        <w:t xml:space="preserve"> </w:t>
      </w:r>
      <w:r w:rsidRPr="006961DB">
        <w:rPr>
          <w:rFonts w:cs="Arial"/>
          <w:color w:val="000000" w:themeColor="text1"/>
          <w:sz w:val="16"/>
          <w:szCs w:val="12"/>
        </w:rPr>
        <w:t>Proposed additions are shown in green underlined font, proposed deletions are shown in red strikethrough font, and text without this formatting represents the current text in the Poisons Standard.</w:t>
      </w:r>
    </w:p>
  </w:footnote>
  <w:footnote w:id="6">
    <w:p w14:paraId="4D24B9E3" w14:textId="77777777" w:rsidR="00584B5E" w:rsidRDefault="00584B5E" w:rsidP="00584B5E">
      <w:pPr>
        <w:pStyle w:val="FootnoteText"/>
      </w:pPr>
      <w:r w:rsidRPr="00F0314C">
        <w:rPr>
          <w:rStyle w:val="FootnoteReference"/>
          <w:szCs w:val="16"/>
        </w:rPr>
        <w:footnoteRef/>
      </w:r>
      <w:r w:rsidRPr="00F0314C">
        <w:rPr>
          <w:szCs w:val="16"/>
        </w:rPr>
        <w:t xml:space="preserve"> </w:t>
      </w:r>
      <w:hyperlink r:id="rId3" w:history="1">
        <w:r w:rsidRPr="006961DB">
          <w:rPr>
            <w:rStyle w:val="Hyperlink"/>
            <w:sz w:val="16"/>
            <w:szCs w:val="12"/>
          </w:rPr>
          <w:t>https://apps.who.int/food-additives-contaminants-jecfa-database/Home/Chemical/2319</w:t>
        </w:r>
      </w:hyperlink>
    </w:p>
  </w:footnote>
  <w:footnote w:id="7">
    <w:p w14:paraId="14FC2A3C" w14:textId="77777777" w:rsidR="00584B5E" w:rsidRPr="006961DB" w:rsidRDefault="00584B5E" w:rsidP="00584B5E">
      <w:pPr>
        <w:pStyle w:val="FootnoteText"/>
        <w:rPr>
          <w:sz w:val="16"/>
          <w:szCs w:val="12"/>
        </w:rPr>
      </w:pPr>
      <w:r w:rsidRPr="00F0314C">
        <w:rPr>
          <w:rStyle w:val="FootnoteReference"/>
          <w:szCs w:val="16"/>
        </w:rPr>
        <w:footnoteRef/>
      </w:r>
      <w:r w:rsidRPr="00F0314C">
        <w:rPr>
          <w:szCs w:val="16"/>
        </w:rPr>
        <w:t xml:space="preserve"> </w:t>
      </w:r>
      <w:r w:rsidRPr="006961DB">
        <w:rPr>
          <w:sz w:val="16"/>
          <w:szCs w:val="12"/>
        </w:rPr>
        <w:t xml:space="preserve">European Food Safety Authority (EFSA), </w:t>
      </w:r>
      <w:proofErr w:type="spellStart"/>
      <w:r w:rsidRPr="006961DB">
        <w:rPr>
          <w:sz w:val="16"/>
          <w:szCs w:val="12"/>
        </w:rPr>
        <w:t>Anastassiadou</w:t>
      </w:r>
      <w:proofErr w:type="spellEnd"/>
      <w:r w:rsidRPr="006961DB">
        <w:rPr>
          <w:sz w:val="16"/>
          <w:szCs w:val="12"/>
        </w:rPr>
        <w:t xml:space="preserve">, M., Arena, M., Auteri, D., </w:t>
      </w:r>
      <w:proofErr w:type="spellStart"/>
      <w:r w:rsidRPr="006961DB">
        <w:rPr>
          <w:sz w:val="16"/>
          <w:szCs w:val="12"/>
        </w:rPr>
        <w:t>Barmaz</w:t>
      </w:r>
      <w:proofErr w:type="spellEnd"/>
      <w:r w:rsidRPr="006961DB">
        <w:rPr>
          <w:sz w:val="16"/>
          <w:szCs w:val="12"/>
        </w:rPr>
        <w:t xml:space="preserve">, S., Brancato, A., Bura, L., Carrasco Cabrera, L., </w:t>
      </w:r>
      <w:proofErr w:type="spellStart"/>
      <w:r w:rsidRPr="006961DB">
        <w:rPr>
          <w:sz w:val="16"/>
          <w:szCs w:val="12"/>
        </w:rPr>
        <w:t>Chaideftou</w:t>
      </w:r>
      <w:proofErr w:type="spellEnd"/>
      <w:r w:rsidRPr="006961DB">
        <w:rPr>
          <w:sz w:val="16"/>
          <w:szCs w:val="12"/>
        </w:rPr>
        <w:t xml:space="preserve">, E., </w:t>
      </w:r>
      <w:proofErr w:type="spellStart"/>
      <w:r w:rsidRPr="006961DB">
        <w:rPr>
          <w:sz w:val="16"/>
          <w:szCs w:val="12"/>
        </w:rPr>
        <w:t>Chiusolo</w:t>
      </w:r>
      <w:proofErr w:type="spellEnd"/>
      <w:r w:rsidRPr="006961DB">
        <w:rPr>
          <w:sz w:val="16"/>
          <w:szCs w:val="12"/>
        </w:rPr>
        <w:t xml:space="preserve">, A., Court Marques, D., </w:t>
      </w:r>
      <w:proofErr w:type="spellStart"/>
      <w:r w:rsidRPr="006961DB">
        <w:rPr>
          <w:sz w:val="16"/>
          <w:szCs w:val="12"/>
        </w:rPr>
        <w:t>Crivellente</w:t>
      </w:r>
      <w:proofErr w:type="spellEnd"/>
      <w:r w:rsidRPr="006961DB">
        <w:rPr>
          <w:sz w:val="16"/>
          <w:szCs w:val="12"/>
        </w:rPr>
        <w:t xml:space="preserve">, F., De Lentdecker, C., Egsmose, M., Fait, G., Ferreira, L., Greco, L., Ippolito, A., </w:t>
      </w:r>
      <w:proofErr w:type="spellStart"/>
      <w:r w:rsidRPr="006961DB">
        <w:rPr>
          <w:sz w:val="16"/>
          <w:szCs w:val="12"/>
        </w:rPr>
        <w:t>Istace</w:t>
      </w:r>
      <w:proofErr w:type="spellEnd"/>
      <w:r w:rsidRPr="006961DB">
        <w:rPr>
          <w:sz w:val="16"/>
          <w:szCs w:val="12"/>
        </w:rPr>
        <w:t xml:space="preserve">, F., Jarrah, S., … Villamar-Bouza, L. (2019). Peer review of the pesticide risk assessment of the active substance dimethyl disulfide. EFSA journal. European Food Safety Authority, 17(11), </w:t>
      </w:r>
      <w:proofErr w:type="spellStart"/>
      <w:r w:rsidRPr="006961DB">
        <w:rPr>
          <w:sz w:val="16"/>
          <w:szCs w:val="12"/>
        </w:rPr>
        <w:t>e05905</w:t>
      </w:r>
      <w:proofErr w:type="spellEnd"/>
      <w:r w:rsidRPr="006961DB">
        <w:rPr>
          <w:sz w:val="16"/>
          <w:szCs w:val="12"/>
        </w:rPr>
        <w:t xml:space="preserve">. </w:t>
      </w:r>
      <w:hyperlink r:id="rId4" w:history="1">
        <w:r w:rsidRPr="006961DB">
          <w:rPr>
            <w:rStyle w:val="Hyperlink"/>
            <w:sz w:val="16"/>
            <w:szCs w:val="12"/>
          </w:rPr>
          <w:t>https://doi.org/10.2903/j.efsa.2019.5905</w:t>
        </w:r>
      </w:hyperlink>
    </w:p>
  </w:footnote>
  <w:footnote w:id="8">
    <w:p w14:paraId="102AB36E" w14:textId="77777777" w:rsidR="00BF56B4" w:rsidRPr="00D741A9" w:rsidRDefault="00BF56B4" w:rsidP="00BF56B4">
      <w:pPr>
        <w:pStyle w:val="FootnoteText"/>
        <w:rPr>
          <w:rFonts w:cs="Arial"/>
          <w:sz w:val="16"/>
          <w:szCs w:val="16"/>
        </w:rPr>
      </w:pPr>
      <w:r w:rsidRPr="00D741A9">
        <w:rPr>
          <w:rStyle w:val="FootnoteReference"/>
          <w:rFonts w:cs="Arial"/>
          <w:sz w:val="16"/>
          <w:szCs w:val="16"/>
        </w:rPr>
        <w:footnoteRef/>
      </w:r>
      <w:r w:rsidRPr="00D741A9">
        <w:rPr>
          <w:rFonts w:cs="Arial"/>
          <w:sz w:val="16"/>
          <w:szCs w:val="16"/>
        </w:rPr>
        <w:t xml:space="preserve"> Proposed additions are shown in green underlined font, proposed deletions are shown in red strikethrough font, and text without this formatting represents the current text in the Poisons Standard</w:t>
      </w:r>
    </w:p>
  </w:footnote>
  <w:footnote w:id="9">
    <w:p w14:paraId="473526F1" w14:textId="6D388F5C" w:rsidR="00DF4DFA" w:rsidRDefault="00DF4DFA">
      <w:pPr>
        <w:pStyle w:val="FootnoteText"/>
      </w:pPr>
      <w:r>
        <w:rPr>
          <w:rStyle w:val="FootnoteReference"/>
        </w:rPr>
        <w:footnoteRef/>
      </w:r>
      <w:r>
        <w:t xml:space="preserve"> </w:t>
      </w:r>
      <w:r w:rsidRPr="00BD23F0">
        <w:rPr>
          <w:rFonts w:cs="Arial"/>
          <w:sz w:val="16"/>
          <w:szCs w:val="12"/>
        </w:rPr>
        <w:t>Proposed additions are shown in green underlined font, proposed deletions are shown in red strikethrough font, and text without this formatting represents the current text in the Poisons Standard</w:t>
      </w:r>
      <w:r>
        <w:rPr>
          <w:rFonts w:cs="Arial"/>
          <w:sz w:val="16"/>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6604" w14:textId="39A1C647" w:rsidR="0016506E" w:rsidRDefault="0016506E">
    <w:pPr>
      <w:pStyle w:val="Header"/>
    </w:pPr>
    <w:r>
      <w:rPr>
        <w:noProof/>
      </w:rPr>
      <mc:AlternateContent>
        <mc:Choice Requires="wps">
          <w:drawing>
            <wp:anchor distT="0" distB="0" distL="0" distR="0" simplePos="0" relativeHeight="251661312" behindDoc="0" locked="0" layoutInCell="1" allowOverlap="1" wp14:anchorId="0E406711" wp14:editId="4AFA86B9">
              <wp:simplePos x="635" y="635"/>
              <wp:positionH relativeFrom="page">
                <wp:align>center</wp:align>
              </wp:positionH>
              <wp:positionV relativeFrom="page">
                <wp:align>top</wp:align>
              </wp:positionV>
              <wp:extent cx="551815" cy="391160"/>
              <wp:effectExtent l="0" t="0" r="635" b="8890"/>
              <wp:wrapNone/>
              <wp:docPr id="17480832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DCC964" w14:textId="0F270A73"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0671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6DCC964" w14:textId="0F270A73"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FB7E" w14:textId="4A2B72F5" w:rsidR="0016506E" w:rsidRDefault="0016506E">
    <w:pPr>
      <w:pStyle w:val="Header"/>
    </w:pPr>
    <w:r>
      <w:rPr>
        <w:noProof/>
      </w:rPr>
      <mc:AlternateContent>
        <mc:Choice Requires="wps">
          <w:drawing>
            <wp:anchor distT="0" distB="0" distL="0" distR="0" simplePos="0" relativeHeight="251662336" behindDoc="0" locked="0" layoutInCell="1" allowOverlap="1" wp14:anchorId="7FE5F585" wp14:editId="78D7AEB3">
              <wp:simplePos x="635" y="635"/>
              <wp:positionH relativeFrom="page">
                <wp:align>center</wp:align>
              </wp:positionH>
              <wp:positionV relativeFrom="page">
                <wp:align>top</wp:align>
              </wp:positionV>
              <wp:extent cx="551815" cy="391160"/>
              <wp:effectExtent l="0" t="0" r="635" b="8890"/>
              <wp:wrapNone/>
              <wp:docPr id="5120422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84834A" w14:textId="31ADAFBC"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5F58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784834A" w14:textId="31ADAFBC" w:rsidR="0016506E" w:rsidRPr="0016506E" w:rsidRDefault="0016506E" w:rsidP="0016506E">
                    <w:pPr>
                      <w:spacing w:after="0"/>
                      <w:rPr>
                        <w:rFonts w:ascii="Calibri" w:eastAsia="Calibri" w:hAnsi="Calibri" w:cs="Calibri"/>
                        <w:noProof/>
                        <w:color w:val="FF0000"/>
                        <w:sz w:val="24"/>
                        <w:szCs w:val="24"/>
                      </w:rPr>
                    </w:pPr>
                    <w:r w:rsidRPr="0016506E">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77777777" w:rsidR="00F02AEC" w:rsidRPr="002B29B2" w:rsidRDefault="00F02AEC" w:rsidP="00967490">
          <w:pPr>
            <w:rPr>
              <w:noProof/>
            </w:rPr>
          </w:pPr>
        </w:p>
      </w:tc>
    </w:tr>
  </w:tbl>
  <w:p w14:paraId="4C8EBEB5" w14:textId="64B401AE" w:rsidR="00F02AEC" w:rsidRDefault="00473A1B" w:rsidP="00967490">
    <w:pPr>
      <w:rPr>
        <w:noProof/>
      </w:rPr>
    </w:pPr>
    <w:r>
      <w:rPr>
        <w:noProof/>
      </w:rPr>
      <w:drawing>
        <wp:inline distT="0" distB="0" distL="0" distR="0" wp14:anchorId="065BB63D" wp14:editId="076AEB73">
          <wp:extent cx="1990725" cy="879475"/>
          <wp:effectExtent l="0" t="0" r="9525" b="0"/>
          <wp:docPr id="102258004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91342" name="Picture 1" descr="A black background with a black squar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879475"/>
                  </a:xfrm>
                  <a:prstGeom prst="rect">
                    <a:avLst/>
                  </a:prstGeom>
                  <a:noFill/>
                  <a:ln>
                    <a:noFill/>
                  </a:ln>
                </pic:spPr>
              </pic:pic>
            </a:graphicData>
          </a:graphic>
        </wp:inline>
      </w:drawing>
    </w:r>
    <w:r w:rsidR="00F02AEC" w:rsidRPr="002B29B2">
      <w:rPr>
        <w:noProof/>
        <w:lang w:eastAsia="en-AU"/>
      </w:rPr>
      <w:drawing>
        <wp:anchor distT="0" distB="0" distL="114300" distR="114300" simplePos="0" relativeHeight="251657216" behindDoc="0" locked="0" layoutInCell="0" allowOverlap="1" wp14:anchorId="468A6D8D" wp14:editId="01C7ADBA">
          <wp:simplePos x="0" y="0"/>
          <wp:positionH relativeFrom="page">
            <wp:align>left</wp:align>
          </wp:positionH>
          <wp:positionV relativeFrom="page">
            <wp:posOffset>3239495</wp:posOffset>
          </wp:positionV>
          <wp:extent cx="7663815" cy="4323091"/>
          <wp:effectExtent l="0" t="0" r="0" b="1270"/>
          <wp:wrapNone/>
          <wp:docPr id="1309734200" name="Picture 130973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7891C2EF"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A6F40">
    <w:pPr>
      <w:rPr>
        <w:rFonts w:cstheme="minorHAns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4E29B56C" w:rsidR="00242E59" w:rsidRPr="00FE501F" w:rsidRDefault="00242E59"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CA7C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91DF9"/>
    <w:multiLevelType w:val="hybridMultilevel"/>
    <w:tmpl w:val="20F0E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D3EBE"/>
    <w:multiLevelType w:val="hybridMultilevel"/>
    <w:tmpl w:val="98E29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40BFE"/>
    <w:multiLevelType w:val="hybridMultilevel"/>
    <w:tmpl w:val="A02C28BE"/>
    <w:lvl w:ilvl="0" w:tplc="5B4E1DCC">
      <w:start w:val="1"/>
      <w:numFmt w:val="bullet"/>
      <w:lvlText w:val=""/>
      <w:lvlJc w:val="left"/>
      <w:pPr>
        <w:ind w:left="720" w:hanging="360"/>
      </w:pPr>
      <w:rPr>
        <w:rFonts w:ascii="Symbol" w:hAnsi="Symbol"/>
      </w:rPr>
    </w:lvl>
    <w:lvl w:ilvl="1" w:tplc="8A684112">
      <w:start w:val="1"/>
      <w:numFmt w:val="bullet"/>
      <w:lvlText w:val=""/>
      <w:lvlJc w:val="left"/>
      <w:pPr>
        <w:ind w:left="720" w:hanging="360"/>
      </w:pPr>
      <w:rPr>
        <w:rFonts w:ascii="Symbol" w:hAnsi="Symbol"/>
      </w:rPr>
    </w:lvl>
    <w:lvl w:ilvl="2" w:tplc="B40826DA">
      <w:start w:val="1"/>
      <w:numFmt w:val="bullet"/>
      <w:lvlText w:val=""/>
      <w:lvlJc w:val="left"/>
      <w:pPr>
        <w:ind w:left="720" w:hanging="360"/>
      </w:pPr>
      <w:rPr>
        <w:rFonts w:ascii="Symbol" w:hAnsi="Symbol"/>
      </w:rPr>
    </w:lvl>
    <w:lvl w:ilvl="3" w:tplc="C2FA71A4">
      <w:start w:val="1"/>
      <w:numFmt w:val="bullet"/>
      <w:lvlText w:val=""/>
      <w:lvlJc w:val="left"/>
      <w:pPr>
        <w:ind w:left="720" w:hanging="360"/>
      </w:pPr>
      <w:rPr>
        <w:rFonts w:ascii="Symbol" w:hAnsi="Symbol"/>
      </w:rPr>
    </w:lvl>
    <w:lvl w:ilvl="4" w:tplc="FEEEAFBC">
      <w:start w:val="1"/>
      <w:numFmt w:val="bullet"/>
      <w:lvlText w:val=""/>
      <w:lvlJc w:val="left"/>
      <w:pPr>
        <w:ind w:left="720" w:hanging="360"/>
      </w:pPr>
      <w:rPr>
        <w:rFonts w:ascii="Symbol" w:hAnsi="Symbol"/>
      </w:rPr>
    </w:lvl>
    <w:lvl w:ilvl="5" w:tplc="5AFCD600">
      <w:start w:val="1"/>
      <w:numFmt w:val="bullet"/>
      <w:lvlText w:val=""/>
      <w:lvlJc w:val="left"/>
      <w:pPr>
        <w:ind w:left="720" w:hanging="360"/>
      </w:pPr>
      <w:rPr>
        <w:rFonts w:ascii="Symbol" w:hAnsi="Symbol"/>
      </w:rPr>
    </w:lvl>
    <w:lvl w:ilvl="6" w:tplc="574A3F20">
      <w:start w:val="1"/>
      <w:numFmt w:val="bullet"/>
      <w:lvlText w:val=""/>
      <w:lvlJc w:val="left"/>
      <w:pPr>
        <w:ind w:left="720" w:hanging="360"/>
      </w:pPr>
      <w:rPr>
        <w:rFonts w:ascii="Symbol" w:hAnsi="Symbol"/>
      </w:rPr>
    </w:lvl>
    <w:lvl w:ilvl="7" w:tplc="2B06D0BC">
      <w:start w:val="1"/>
      <w:numFmt w:val="bullet"/>
      <w:lvlText w:val=""/>
      <w:lvlJc w:val="left"/>
      <w:pPr>
        <w:ind w:left="720" w:hanging="360"/>
      </w:pPr>
      <w:rPr>
        <w:rFonts w:ascii="Symbol" w:hAnsi="Symbol"/>
      </w:rPr>
    </w:lvl>
    <w:lvl w:ilvl="8" w:tplc="523E7A76">
      <w:start w:val="1"/>
      <w:numFmt w:val="bullet"/>
      <w:lvlText w:val=""/>
      <w:lvlJc w:val="left"/>
      <w:pPr>
        <w:ind w:left="720" w:hanging="360"/>
      </w:pPr>
      <w:rPr>
        <w:rFonts w:ascii="Symbol" w:hAnsi="Symbol"/>
      </w:rPr>
    </w:lvl>
  </w:abstractNum>
  <w:abstractNum w:abstractNumId="5" w15:restartNumberingAfterBreak="0">
    <w:nsid w:val="085849AC"/>
    <w:multiLevelType w:val="hybridMultilevel"/>
    <w:tmpl w:val="16702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45C54EE"/>
    <w:multiLevelType w:val="hybridMultilevel"/>
    <w:tmpl w:val="049C3182"/>
    <w:lvl w:ilvl="0" w:tplc="D44A996C">
      <w:start w:val="1"/>
      <w:numFmt w:val="bullet"/>
      <w:lvlText w:val=""/>
      <w:lvlJc w:val="left"/>
      <w:pPr>
        <w:ind w:left="720" w:hanging="360"/>
      </w:pPr>
      <w:rPr>
        <w:rFonts w:ascii="Symbol" w:hAnsi="Symbol"/>
      </w:rPr>
    </w:lvl>
    <w:lvl w:ilvl="1" w:tplc="5FBAE790">
      <w:start w:val="1"/>
      <w:numFmt w:val="bullet"/>
      <w:lvlText w:val=""/>
      <w:lvlJc w:val="left"/>
      <w:pPr>
        <w:ind w:left="720" w:hanging="360"/>
      </w:pPr>
      <w:rPr>
        <w:rFonts w:ascii="Symbol" w:hAnsi="Symbol"/>
      </w:rPr>
    </w:lvl>
    <w:lvl w:ilvl="2" w:tplc="0B68ED9A">
      <w:start w:val="1"/>
      <w:numFmt w:val="bullet"/>
      <w:lvlText w:val=""/>
      <w:lvlJc w:val="left"/>
      <w:pPr>
        <w:ind w:left="720" w:hanging="360"/>
      </w:pPr>
      <w:rPr>
        <w:rFonts w:ascii="Symbol" w:hAnsi="Symbol"/>
      </w:rPr>
    </w:lvl>
    <w:lvl w:ilvl="3" w:tplc="ED406748">
      <w:start w:val="1"/>
      <w:numFmt w:val="bullet"/>
      <w:lvlText w:val=""/>
      <w:lvlJc w:val="left"/>
      <w:pPr>
        <w:ind w:left="720" w:hanging="360"/>
      </w:pPr>
      <w:rPr>
        <w:rFonts w:ascii="Symbol" w:hAnsi="Symbol"/>
      </w:rPr>
    </w:lvl>
    <w:lvl w:ilvl="4" w:tplc="B6820E34">
      <w:start w:val="1"/>
      <w:numFmt w:val="bullet"/>
      <w:lvlText w:val=""/>
      <w:lvlJc w:val="left"/>
      <w:pPr>
        <w:ind w:left="720" w:hanging="360"/>
      </w:pPr>
      <w:rPr>
        <w:rFonts w:ascii="Symbol" w:hAnsi="Symbol"/>
      </w:rPr>
    </w:lvl>
    <w:lvl w:ilvl="5" w:tplc="5CEA1B06">
      <w:start w:val="1"/>
      <w:numFmt w:val="bullet"/>
      <w:lvlText w:val=""/>
      <w:lvlJc w:val="left"/>
      <w:pPr>
        <w:ind w:left="720" w:hanging="360"/>
      </w:pPr>
      <w:rPr>
        <w:rFonts w:ascii="Symbol" w:hAnsi="Symbol"/>
      </w:rPr>
    </w:lvl>
    <w:lvl w:ilvl="6" w:tplc="2DCE966A">
      <w:start w:val="1"/>
      <w:numFmt w:val="bullet"/>
      <w:lvlText w:val=""/>
      <w:lvlJc w:val="left"/>
      <w:pPr>
        <w:ind w:left="720" w:hanging="360"/>
      </w:pPr>
      <w:rPr>
        <w:rFonts w:ascii="Symbol" w:hAnsi="Symbol"/>
      </w:rPr>
    </w:lvl>
    <w:lvl w:ilvl="7" w:tplc="D7FA3238">
      <w:start w:val="1"/>
      <w:numFmt w:val="bullet"/>
      <w:lvlText w:val=""/>
      <w:lvlJc w:val="left"/>
      <w:pPr>
        <w:ind w:left="720" w:hanging="360"/>
      </w:pPr>
      <w:rPr>
        <w:rFonts w:ascii="Symbol" w:hAnsi="Symbol"/>
      </w:rPr>
    </w:lvl>
    <w:lvl w:ilvl="8" w:tplc="F014BAD2">
      <w:start w:val="1"/>
      <w:numFmt w:val="bullet"/>
      <w:lvlText w:val=""/>
      <w:lvlJc w:val="left"/>
      <w:pPr>
        <w:ind w:left="720" w:hanging="360"/>
      </w:pPr>
      <w:rPr>
        <w:rFonts w:ascii="Symbol" w:hAnsi="Symbol"/>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1C3C8170"/>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C1A58D9"/>
    <w:multiLevelType w:val="hybridMultilevel"/>
    <w:tmpl w:val="8634EFA0"/>
    <w:lvl w:ilvl="0" w:tplc="4FB077B8">
      <w:start w:val="1"/>
      <w:numFmt w:val="bullet"/>
      <w:lvlText w:val=""/>
      <w:lvlJc w:val="left"/>
      <w:pPr>
        <w:ind w:left="720" w:hanging="360"/>
      </w:pPr>
      <w:rPr>
        <w:rFonts w:ascii="Symbol" w:hAnsi="Symbol"/>
      </w:rPr>
    </w:lvl>
    <w:lvl w:ilvl="1" w:tplc="63984BB6">
      <w:start w:val="1"/>
      <w:numFmt w:val="bullet"/>
      <w:lvlText w:val=""/>
      <w:lvlJc w:val="left"/>
      <w:pPr>
        <w:ind w:left="720" w:hanging="360"/>
      </w:pPr>
      <w:rPr>
        <w:rFonts w:ascii="Symbol" w:hAnsi="Symbol"/>
      </w:rPr>
    </w:lvl>
    <w:lvl w:ilvl="2" w:tplc="DAC42106">
      <w:start w:val="1"/>
      <w:numFmt w:val="bullet"/>
      <w:lvlText w:val=""/>
      <w:lvlJc w:val="left"/>
      <w:pPr>
        <w:ind w:left="720" w:hanging="360"/>
      </w:pPr>
      <w:rPr>
        <w:rFonts w:ascii="Symbol" w:hAnsi="Symbol"/>
      </w:rPr>
    </w:lvl>
    <w:lvl w:ilvl="3" w:tplc="5E5C5D72">
      <w:start w:val="1"/>
      <w:numFmt w:val="bullet"/>
      <w:lvlText w:val=""/>
      <w:lvlJc w:val="left"/>
      <w:pPr>
        <w:ind w:left="720" w:hanging="360"/>
      </w:pPr>
      <w:rPr>
        <w:rFonts w:ascii="Symbol" w:hAnsi="Symbol"/>
      </w:rPr>
    </w:lvl>
    <w:lvl w:ilvl="4" w:tplc="42DEC30C">
      <w:start w:val="1"/>
      <w:numFmt w:val="bullet"/>
      <w:lvlText w:val=""/>
      <w:lvlJc w:val="left"/>
      <w:pPr>
        <w:ind w:left="720" w:hanging="360"/>
      </w:pPr>
      <w:rPr>
        <w:rFonts w:ascii="Symbol" w:hAnsi="Symbol"/>
      </w:rPr>
    </w:lvl>
    <w:lvl w:ilvl="5" w:tplc="14A2D2B8">
      <w:start w:val="1"/>
      <w:numFmt w:val="bullet"/>
      <w:lvlText w:val=""/>
      <w:lvlJc w:val="left"/>
      <w:pPr>
        <w:ind w:left="720" w:hanging="360"/>
      </w:pPr>
      <w:rPr>
        <w:rFonts w:ascii="Symbol" w:hAnsi="Symbol"/>
      </w:rPr>
    </w:lvl>
    <w:lvl w:ilvl="6" w:tplc="87E83A94">
      <w:start w:val="1"/>
      <w:numFmt w:val="bullet"/>
      <w:lvlText w:val=""/>
      <w:lvlJc w:val="left"/>
      <w:pPr>
        <w:ind w:left="720" w:hanging="360"/>
      </w:pPr>
      <w:rPr>
        <w:rFonts w:ascii="Symbol" w:hAnsi="Symbol"/>
      </w:rPr>
    </w:lvl>
    <w:lvl w:ilvl="7" w:tplc="8C228558">
      <w:start w:val="1"/>
      <w:numFmt w:val="bullet"/>
      <w:lvlText w:val=""/>
      <w:lvlJc w:val="left"/>
      <w:pPr>
        <w:ind w:left="720" w:hanging="360"/>
      </w:pPr>
      <w:rPr>
        <w:rFonts w:ascii="Symbol" w:hAnsi="Symbol"/>
      </w:rPr>
    </w:lvl>
    <w:lvl w:ilvl="8" w:tplc="025E44BC">
      <w:start w:val="1"/>
      <w:numFmt w:val="bullet"/>
      <w:lvlText w:val=""/>
      <w:lvlJc w:val="left"/>
      <w:pPr>
        <w:ind w:left="720" w:hanging="360"/>
      </w:pPr>
      <w:rPr>
        <w:rFonts w:ascii="Symbol" w:hAnsi="Symbol"/>
      </w:rPr>
    </w:lvl>
  </w:abstractNum>
  <w:abstractNum w:abstractNumId="11"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3DB9267E"/>
    <w:multiLevelType w:val="hybridMultilevel"/>
    <w:tmpl w:val="F73203D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DB683F"/>
    <w:multiLevelType w:val="hybridMultilevel"/>
    <w:tmpl w:val="6E0E7AEC"/>
    <w:lvl w:ilvl="0" w:tplc="3500BEE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84AD9"/>
    <w:multiLevelType w:val="hybridMultilevel"/>
    <w:tmpl w:val="20E8C1C4"/>
    <w:lvl w:ilvl="0" w:tplc="1B2E2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B937B0"/>
    <w:multiLevelType w:val="hybridMultilevel"/>
    <w:tmpl w:val="453C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166C3A"/>
    <w:multiLevelType w:val="hybridMultilevel"/>
    <w:tmpl w:val="8AD23424"/>
    <w:lvl w:ilvl="0" w:tplc="D5B40FB4">
      <w:start w:val="1"/>
      <w:numFmt w:val="bullet"/>
      <w:lvlText w:val=""/>
      <w:lvlJc w:val="left"/>
      <w:pPr>
        <w:ind w:left="720" w:hanging="360"/>
      </w:pPr>
      <w:rPr>
        <w:rFonts w:ascii="Symbol" w:hAnsi="Symbol"/>
      </w:rPr>
    </w:lvl>
    <w:lvl w:ilvl="1" w:tplc="C728FEB6">
      <w:start w:val="1"/>
      <w:numFmt w:val="bullet"/>
      <w:lvlText w:val=""/>
      <w:lvlJc w:val="left"/>
      <w:pPr>
        <w:ind w:left="720" w:hanging="360"/>
      </w:pPr>
      <w:rPr>
        <w:rFonts w:ascii="Symbol" w:hAnsi="Symbol"/>
      </w:rPr>
    </w:lvl>
    <w:lvl w:ilvl="2" w:tplc="2E3E5E5C">
      <w:start w:val="1"/>
      <w:numFmt w:val="bullet"/>
      <w:lvlText w:val=""/>
      <w:lvlJc w:val="left"/>
      <w:pPr>
        <w:ind w:left="720" w:hanging="360"/>
      </w:pPr>
      <w:rPr>
        <w:rFonts w:ascii="Symbol" w:hAnsi="Symbol"/>
      </w:rPr>
    </w:lvl>
    <w:lvl w:ilvl="3" w:tplc="6930C096">
      <w:start w:val="1"/>
      <w:numFmt w:val="bullet"/>
      <w:lvlText w:val=""/>
      <w:lvlJc w:val="left"/>
      <w:pPr>
        <w:ind w:left="720" w:hanging="360"/>
      </w:pPr>
      <w:rPr>
        <w:rFonts w:ascii="Symbol" w:hAnsi="Symbol"/>
      </w:rPr>
    </w:lvl>
    <w:lvl w:ilvl="4" w:tplc="CE4CF022">
      <w:start w:val="1"/>
      <w:numFmt w:val="bullet"/>
      <w:lvlText w:val=""/>
      <w:lvlJc w:val="left"/>
      <w:pPr>
        <w:ind w:left="720" w:hanging="360"/>
      </w:pPr>
      <w:rPr>
        <w:rFonts w:ascii="Symbol" w:hAnsi="Symbol"/>
      </w:rPr>
    </w:lvl>
    <w:lvl w:ilvl="5" w:tplc="F25EB08C">
      <w:start w:val="1"/>
      <w:numFmt w:val="bullet"/>
      <w:lvlText w:val=""/>
      <w:lvlJc w:val="left"/>
      <w:pPr>
        <w:ind w:left="720" w:hanging="360"/>
      </w:pPr>
      <w:rPr>
        <w:rFonts w:ascii="Symbol" w:hAnsi="Symbol"/>
      </w:rPr>
    </w:lvl>
    <w:lvl w:ilvl="6" w:tplc="8BF4B6F0">
      <w:start w:val="1"/>
      <w:numFmt w:val="bullet"/>
      <w:lvlText w:val=""/>
      <w:lvlJc w:val="left"/>
      <w:pPr>
        <w:ind w:left="720" w:hanging="360"/>
      </w:pPr>
      <w:rPr>
        <w:rFonts w:ascii="Symbol" w:hAnsi="Symbol"/>
      </w:rPr>
    </w:lvl>
    <w:lvl w:ilvl="7" w:tplc="9CA60C2A">
      <w:start w:val="1"/>
      <w:numFmt w:val="bullet"/>
      <w:lvlText w:val=""/>
      <w:lvlJc w:val="left"/>
      <w:pPr>
        <w:ind w:left="720" w:hanging="360"/>
      </w:pPr>
      <w:rPr>
        <w:rFonts w:ascii="Symbol" w:hAnsi="Symbol"/>
      </w:rPr>
    </w:lvl>
    <w:lvl w:ilvl="8" w:tplc="122C65BE">
      <w:start w:val="1"/>
      <w:numFmt w:val="bullet"/>
      <w:lvlText w:val=""/>
      <w:lvlJc w:val="left"/>
      <w:pPr>
        <w:ind w:left="720" w:hanging="360"/>
      </w:pPr>
      <w:rPr>
        <w:rFonts w:ascii="Symbol" w:hAnsi="Symbol"/>
      </w:rPr>
    </w:lvl>
  </w:abstractNum>
  <w:abstractNum w:abstractNumId="20" w15:restartNumberingAfterBreak="0">
    <w:nsid w:val="62E375E0"/>
    <w:multiLevelType w:val="hybridMultilevel"/>
    <w:tmpl w:val="BB3A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D54B2A"/>
    <w:multiLevelType w:val="hybridMultilevel"/>
    <w:tmpl w:val="8D8C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544E4B"/>
    <w:multiLevelType w:val="hybridMultilevel"/>
    <w:tmpl w:val="B6CC221A"/>
    <w:lvl w:ilvl="0" w:tplc="960AA8DC">
      <w:start w:val="1"/>
      <w:numFmt w:val="bullet"/>
      <w:lvlText w:val=""/>
      <w:lvlJc w:val="left"/>
      <w:pPr>
        <w:ind w:left="720" w:hanging="360"/>
      </w:pPr>
      <w:rPr>
        <w:rFonts w:ascii="Symbol" w:hAnsi="Symbol"/>
      </w:rPr>
    </w:lvl>
    <w:lvl w:ilvl="1" w:tplc="746E1FE0">
      <w:start w:val="1"/>
      <w:numFmt w:val="bullet"/>
      <w:lvlText w:val=""/>
      <w:lvlJc w:val="left"/>
      <w:pPr>
        <w:ind w:left="720" w:hanging="360"/>
      </w:pPr>
      <w:rPr>
        <w:rFonts w:ascii="Symbol" w:hAnsi="Symbol"/>
      </w:rPr>
    </w:lvl>
    <w:lvl w:ilvl="2" w:tplc="4050B24C">
      <w:start w:val="1"/>
      <w:numFmt w:val="bullet"/>
      <w:lvlText w:val=""/>
      <w:lvlJc w:val="left"/>
      <w:pPr>
        <w:ind w:left="720" w:hanging="360"/>
      </w:pPr>
      <w:rPr>
        <w:rFonts w:ascii="Symbol" w:hAnsi="Symbol"/>
      </w:rPr>
    </w:lvl>
    <w:lvl w:ilvl="3" w:tplc="98C67E3A">
      <w:start w:val="1"/>
      <w:numFmt w:val="bullet"/>
      <w:lvlText w:val=""/>
      <w:lvlJc w:val="left"/>
      <w:pPr>
        <w:ind w:left="720" w:hanging="360"/>
      </w:pPr>
      <w:rPr>
        <w:rFonts w:ascii="Symbol" w:hAnsi="Symbol"/>
      </w:rPr>
    </w:lvl>
    <w:lvl w:ilvl="4" w:tplc="0AE8D518">
      <w:start w:val="1"/>
      <w:numFmt w:val="bullet"/>
      <w:lvlText w:val=""/>
      <w:lvlJc w:val="left"/>
      <w:pPr>
        <w:ind w:left="720" w:hanging="360"/>
      </w:pPr>
      <w:rPr>
        <w:rFonts w:ascii="Symbol" w:hAnsi="Symbol"/>
      </w:rPr>
    </w:lvl>
    <w:lvl w:ilvl="5" w:tplc="83D8596C">
      <w:start w:val="1"/>
      <w:numFmt w:val="bullet"/>
      <w:lvlText w:val=""/>
      <w:lvlJc w:val="left"/>
      <w:pPr>
        <w:ind w:left="720" w:hanging="360"/>
      </w:pPr>
      <w:rPr>
        <w:rFonts w:ascii="Symbol" w:hAnsi="Symbol"/>
      </w:rPr>
    </w:lvl>
    <w:lvl w:ilvl="6" w:tplc="E0D281E4">
      <w:start w:val="1"/>
      <w:numFmt w:val="bullet"/>
      <w:lvlText w:val=""/>
      <w:lvlJc w:val="left"/>
      <w:pPr>
        <w:ind w:left="720" w:hanging="360"/>
      </w:pPr>
      <w:rPr>
        <w:rFonts w:ascii="Symbol" w:hAnsi="Symbol"/>
      </w:rPr>
    </w:lvl>
    <w:lvl w:ilvl="7" w:tplc="652E17C4">
      <w:start w:val="1"/>
      <w:numFmt w:val="bullet"/>
      <w:lvlText w:val=""/>
      <w:lvlJc w:val="left"/>
      <w:pPr>
        <w:ind w:left="720" w:hanging="360"/>
      </w:pPr>
      <w:rPr>
        <w:rFonts w:ascii="Symbol" w:hAnsi="Symbol"/>
      </w:rPr>
    </w:lvl>
    <w:lvl w:ilvl="8" w:tplc="3D4E52E2">
      <w:start w:val="1"/>
      <w:numFmt w:val="bullet"/>
      <w:lvlText w:val=""/>
      <w:lvlJc w:val="left"/>
      <w:pPr>
        <w:ind w:left="720" w:hanging="360"/>
      </w:pPr>
      <w:rPr>
        <w:rFonts w:ascii="Symbol" w:hAnsi="Symbol"/>
      </w:rPr>
    </w:lvl>
  </w:abstractNum>
  <w:abstractNum w:abstractNumId="23" w15:restartNumberingAfterBreak="0">
    <w:nsid w:val="79C12510"/>
    <w:multiLevelType w:val="hybridMultilevel"/>
    <w:tmpl w:val="C2BE80A8"/>
    <w:lvl w:ilvl="0" w:tplc="50DC7E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68058B"/>
    <w:multiLevelType w:val="hybridMultilevel"/>
    <w:tmpl w:val="F5E60184"/>
    <w:lvl w:ilvl="0" w:tplc="626669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9"/>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6"/>
  </w:num>
  <w:num w:numId="3" w16cid:durableId="1248614696">
    <w:abstractNumId w:val="8"/>
  </w:num>
  <w:num w:numId="4" w16cid:durableId="297951965">
    <w:abstractNumId w:val="18"/>
  </w:num>
  <w:num w:numId="5" w16cid:durableId="1535191726">
    <w:abstractNumId w:val="12"/>
  </w:num>
  <w:num w:numId="6" w16cid:durableId="224069918">
    <w:abstractNumId w:val="17"/>
  </w:num>
  <w:num w:numId="7" w16cid:durableId="1150249122">
    <w:abstractNumId w:val="11"/>
  </w:num>
  <w:num w:numId="8" w16cid:durableId="233053789">
    <w:abstractNumId w:val="1"/>
  </w:num>
  <w:num w:numId="9" w16cid:durableId="1393187700">
    <w:abstractNumId w:val="0"/>
  </w:num>
  <w:num w:numId="10" w16cid:durableId="91820601">
    <w:abstractNumId w:val="9"/>
  </w:num>
  <w:num w:numId="11" w16cid:durableId="1223715709">
    <w:abstractNumId w:val="23"/>
  </w:num>
  <w:num w:numId="12" w16cid:durableId="562372799">
    <w:abstractNumId w:val="24"/>
  </w:num>
  <w:num w:numId="13" w16cid:durableId="702563213">
    <w:abstractNumId w:val="14"/>
  </w:num>
  <w:num w:numId="14" w16cid:durableId="88622727">
    <w:abstractNumId w:val="23"/>
  </w:num>
  <w:num w:numId="15" w16cid:durableId="318728529">
    <w:abstractNumId w:val="22"/>
  </w:num>
  <w:num w:numId="16" w16cid:durableId="1991519614">
    <w:abstractNumId w:val="23"/>
  </w:num>
  <w:num w:numId="17" w16cid:durableId="1167020832">
    <w:abstractNumId w:val="23"/>
  </w:num>
  <w:num w:numId="18" w16cid:durableId="1551501186">
    <w:abstractNumId w:val="23"/>
  </w:num>
  <w:num w:numId="19" w16cid:durableId="399252477">
    <w:abstractNumId w:val="23"/>
  </w:num>
  <w:num w:numId="20" w16cid:durableId="790630046">
    <w:abstractNumId w:val="23"/>
  </w:num>
  <w:num w:numId="21" w16cid:durableId="1249382619">
    <w:abstractNumId w:val="23"/>
  </w:num>
  <w:num w:numId="22" w16cid:durableId="2110349486">
    <w:abstractNumId w:val="16"/>
  </w:num>
  <w:num w:numId="23" w16cid:durableId="360713108">
    <w:abstractNumId w:val="21"/>
  </w:num>
  <w:num w:numId="24" w16cid:durableId="365060302">
    <w:abstractNumId w:val="5"/>
  </w:num>
  <w:num w:numId="25" w16cid:durableId="247009680">
    <w:abstractNumId w:val="2"/>
  </w:num>
  <w:num w:numId="26" w16cid:durableId="1764297483">
    <w:abstractNumId w:val="15"/>
  </w:num>
  <w:num w:numId="27" w16cid:durableId="1177813515">
    <w:abstractNumId w:val="19"/>
  </w:num>
  <w:num w:numId="28" w16cid:durableId="1264268017">
    <w:abstractNumId w:val="3"/>
  </w:num>
  <w:num w:numId="29" w16cid:durableId="1509712304">
    <w:abstractNumId w:val="7"/>
  </w:num>
  <w:num w:numId="30" w16cid:durableId="1362784205">
    <w:abstractNumId w:val="4"/>
  </w:num>
  <w:num w:numId="31" w16cid:durableId="390228659">
    <w:abstractNumId w:val="10"/>
  </w:num>
  <w:num w:numId="32" w16cid:durableId="893274779">
    <w:abstractNumId w:val="20"/>
  </w:num>
  <w:num w:numId="33" w16cid:durableId="599724130">
    <w:abstractNumId w:val="13"/>
  </w:num>
  <w:num w:numId="34" w16cid:durableId="728770057">
    <w:abstractNumId w:val="15"/>
  </w:num>
  <w:num w:numId="35" w16cid:durableId="777021416">
    <w:abstractNumId w:val="15"/>
  </w:num>
  <w:num w:numId="36" w16cid:durableId="1275940341">
    <w:abstractNumId w:val="15"/>
  </w:num>
  <w:num w:numId="37" w16cid:durableId="940720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3DEC"/>
    <w:rsid w:val="00004F06"/>
    <w:rsid w:val="000062B0"/>
    <w:rsid w:val="000070E0"/>
    <w:rsid w:val="00007A50"/>
    <w:rsid w:val="000122F4"/>
    <w:rsid w:val="00015936"/>
    <w:rsid w:val="00016607"/>
    <w:rsid w:val="00016E94"/>
    <w:rsid w:val="00023CB4"/>
    <w:rsid w:val="00024121"/>
    <w:rsid w:val="00026506"/>
    <w:rsid w:val="00035907"/>
    <w:rsid w:val="00037AB5"/>
    <w:rsid w:val="0004645C"/>
    <w:rsid w:val="00051BFF"/>
    <w:rsid w:val="00055483"/>
    <w:rsid w:val="00065534"/>
    <w:rsid w:val="000743A1"/>
    <w:rsid w:val="000763FE"/>
    <w:rsid w:val="00077629"/>
    <w:rsid w:val="00081F3C"/>
    <w:rsid w:val="000913F2"/>
    <w:rsid w:val="00094B81"/>
    <w:rsid w:val="00096090"/>
    <w:rsid w:val="000962C2"/>
    <w:rsid w:val="000A26B0"/>
    <w:rsid w:val="000A6B93"/>
    <w:rsid w:val="000A76A9"/>
    <w:rsid w:val="000A7E73"/>
    <w:rsid w:val="000B0A72"/>
    <w:rsid w:val="000B1685"/>
    <w:rsid w:val="000B29BD"/>
    <w:rsid w:val="000B76EF"/>
    <w:rsid w:val="000B7B68"/>
    <w:rsid w:val="000C1785"/>
    <w:rsid w:val="000C6940"/>
    <w:rsid w:val="000C79E3"/>
    <w:rsid w:val="000D4C1E"/>
    <w:rsid w:val="000D7942"/>
    <w:rsid w:val="000E18F5"/>
    <w:rsid w:val="000E5C6C"/>
    <w:rsid w:val="000F0C9E"/>
    <w:rsid w:val="000F39BC"/>
    <w:rsid w:val="000F53C0"/>
    <w:rsid w:val="000F58E7"/>
    <w:rsid w:val="000F601F"/>
    <w:rsid w:val="000F6FF6"/>
    <w:rsid w:val="001029E4"/>
    <w:rsid w:val="00105F9C"/>
    <w:rsid w:val="00106350"/>
    <w:rsid w:val="001238C5"/>
    <w:rsid w:val="0012473C"/>
    <w:rsid w:val="00125436"/>
    <w:rsid w:val="00125CB0"/>
    <w:rsid w:val="00125EA1"/>
    <w:rsid w:val="001271DB"/>
    <w:rsid w:val="00141457"/>
    <w:rsid w:val="0014243C"/>
    <w:rsid w:val="00143923"/>
    <w:rsid w:val="00145129"/>
    <w:rsid w:val="00150442"/>
    <w:rsid w:val="00155BCE"/>
    <w:rsid w:val="001578D1"/>
    <w:rsid w:val="00157EC3"/>
    <w:rsid w:val="0016145F"/>
    <w:rsid w:val="0016506E"/>
    <w:rsid w:val="00175CD8"/>
    <w:rsid w:val="00180435"/>
    <w:rsid w:val="001828C3"/>
    <w:rsid w:val="001844A5"/>
    <w:rsid w:val="00191961"/>
    <w:rsid w:val="00194159"/>
    <w:rsid w:val="00194313"/>
    <w:rsid w:val="00197D6E"/>
    <w:rsid w:val="001A6585"/>
    <w:rsid w:val="001B5BA3"/>
    <w:rsid w:val="001D724D"/>
    <w:rsid w:val="001E3734"/>
    <w:rsid w:val="001F3208"/>
    <w:rsid w:val="001F3D31"/>
    <w:rsid w:val="001F794A"/>
    <w:rsid w:val="00211580"/>
    <w:rsid w:val="002131C8"/>
    <w:rsid w:val="00215F57"/>
    <w:rsid w:val="0021626E"/>
    <w:rsid w:val="0022086D"/>
    <w:rsid w:val="00221EE4"/>
    <w:rsid w:val="00223244"/>
    <w:rsid w:val="00225C6A"/>
    <w:rsid w:val="002319F2"/>
    <w:rsid w:val="00233825"/>
    <w:rsid w:val="002363C9"/>
    <w:rsid w:val="00236F67"/>
    <w:rsid w:val="00242D22"/>
    <w:rsid w:val="00242E59"/>
    <w:rsid w:val="0024418F"/>
    <w:rsid w:val="00244B0C"/>
    <w:rsid w:val="002468D2"/>
    <w:rsid w:val="002477F9"/>
    <w:rsid w:val="00250BF6"/>
    <w:rsid w:val="00257F73"/>
    <w:rsid w:val="00261465"/>
    <w:rsid w:val="00266020"/>
    <w:rsid w:val="00266668"/>
    <w:rsid w:val="002676AB"/>
    <w:rsid w:val="0027078A"/>
    <w:rsid w:val="0027317E"/>
    <w:rsid w:val="00283958"/>
    <w:rsid w:val="002876DB"/>
    <w:rsid w:val="00287766"/>
    <w:rsid w:val="0029062A"/>
    <w:rsid w:val="002913A3"/>
    <w:rsid w:val="00292058"/>
    <w:rsid w:val="00294991"/>
    <w:rsid w:val="002A04F7"/>
    <w:rsid w:val="002A072A"/>
    <w:rsid w:val="002A3985"/>
    <w:rsid w:val="002A3F14"/>
    <w:rsid w:val="002A5862"/>
    <w:rsid w:val="002B0FD3"/>
    <w:rsid w:val="002C403C"/>
    <w:rsid w:val="002C44DD"/>
    <w:rsid w:val="002C64AD"/>
    <w:rsid w:val="002C67B6"/>
    <w:rsid w:val="002D0C32"/>
    <w:rsid w:val="002D2831"/>
    <w:rsid w:val="002D56B2"/>
    <w:rsid w:val="002D7724"/>
    <w:rsid w:val="002E066E"/>
    <w:rsid w:val="002E3088"/>
    <w:rsid w:val="002E4342"/>
    <w:rsid w:val="002F3AFB"/>
    <w:rsid w:val="002F6FBA"/>
    <w:rsid w:val="003008D8"/>
    <w:rsid w:val="00300CBB"/>
    <w:rsid w:val="003039EA"/>
    <w:rsid w:val="00310A56"/>
    <w:rsid w:val="00311EA0"/>
    <w:rsid w:val="0032132F"/>
    <w:rsid w:val="00321B93"/>
    <w:rsid w:val="00343E3B"/>
    <w:rsid w:val="0035444D"/>
    <w:rsid w:val="003634D3"/>
    <w:rsid w:val="003651C2"/>
    <w:rsid w:val="00365D19"/>
    <w:rsid w:val="00366BF5"/>
    <w:rsid w:val="0036721F"/>
    <w:rsid w:val="00367FBC"/>
    <w:rsid w:val="00373986"/>
    <w:rsid w:val="003754A8"/>
    <w:rsid w:val="00375B82"/>
    <w:rsid w:val="003764C6"/>
    <w:rsid w:val="00377E98"/>
    <w:rsid w:val="003815F5"/>
    <w:rsid w:val="003921ED"/>
    <w:rsid w:val="0039483A"/>
    <w:rsid w:val="00395DA0"/>
    <w:rsid w:val="00396CC6"/>
    <w:rsid w:val="003B256A"/>
    <w:rsid w:val="003B4ACA"/>
    <w:rsid w:val="003B6ABD"/>
    <w:rsid w:val="003B7D97"/>
    <w:rsid w:val="003C04B4"/>
    <w:rsid w:val="003C397D"/>
    <w:rsid w:val="003C693D"/>
    <w:rsid w:val="003D7380"/>
    <w:rsid w:val="003E12A2"/>
    <w:rsid w:val="003E1894"/>
    <w:rsid w:val="003E24F9"/>
    <w:rsid w:val="003E3862"/>
    <w:rsid w:val="003E5167"/>
    <w:rsid w:val="003F5E43"/>
    <w:rsid w:val="00406DC8"/>
    <w:rsid w:val="0041156A"/>
    <w:rsid w:val="00417B7B"/>
    <w:rsid w:val="004211B5"/>
    <w:rsid w:val="004244DD"/>
    <w:rsid w:val="00424518"/>
    <w:rsid w:val="004246B8"/>
    <w:rsid w:val="00425525"/>
    <w:rsid w:val="00426356"/>
    <w:rsid w:val="004273D7"/>
    <w:rsid w:val="00443560"/>
    <w:rsid w:val="0044534F"/>
    <w:rsid w:val="004511C4"/>
    <w:rsid w:val="00457050"/>
    <w:rsid w:val="0046129F"/>
    <w:rsid w:val="004705C9"/>
    <w:rsid w:val="0047203E"/>
    <w:rsid w:val="00472B35"/>
    <w:rsid w:val="00473A1B"/>
    <w:rsid w:val="00475DC9"/>
    <w:rsid w:val="004A25F4"/>
    <w:rsid w:val="004B3409"/>
    <w:rsid w:val="004C18D4"/>
    <w:rsid w:val="004C5AE3"/>
    <w:rsid w:val="004D060F"/>
    <w:rsid w:val="004D06D7"/>
    <w:rsid w:val="004D137F"/>
    <w:rsid w:val="004D16D8"/>
    <w:rsid w:val="004D61FA"/>
    <w:rsid w:val="004D73DA"/>
    <w:rsid w:val="004E07BD"/>
    <w:rsid w:val="004E342E"/>
    <w:rsid w:val="004E7D4D"/>
    <w:rsid w:val="004F1CA3"/>
    <w:rsid w:val="004F4FB9"/>
    <w:rsid w:val="004F7AFD"/>
    <w:rsid w:val="005038EE"/>
    <w:rsid w:val="00505AF6"/>
    <w:rsid w:val="00505DD4"/>
    <w:rsid w:val="005101AA"/>
    <w:rsid w:val="00522223"/>
    <w:rsid w:val="00525949"/>
    <w:rsid w:val="005267E0"/>
    <w:rsid w:val="00530652"/>
    <w:rsid w:val="00532B0B"/>
    <w:rsid w:val="00537AB7"/>
    <w:rsid w:val="00540E5B"/>
    <w:rsid w:val="00541270"/>
    <w:rsid w:val="00544C3B"/>
    <w:rsid w:val="00546A5C"/>
    <w:rsid w:val="0057032A"/>
    <w:rsid w:val="005714D4"/>
    <w:rsid w:val="00577EAB"/>
    <w:rsid w:val="005823C4"/>
    <w:rsid w:val="00584032"/>
    <w:rsid w:val="00584B5E"/>
    <w:rsid w:val="00584FAE"/>
    <w:rsid w:val="0058575E"/>
    <w:rsid w:val="0058577B"/>
    <w:rsid w:val="005903AE"/>
    <w:rsid w:val="00591A55"/>
    <w:rsid w:val="00591DDD"/>
    <w:rsid w:val="00591F79"/>
    <w:rsid w:val="005A03EA"/>
    <w:rsid w:val="005B22E1"/>
    <w:rsid w:val="005B2ED6"/>
    <w:rsid w:val="005B37B7"/>
    <w:rsid w:val="005B4E82"/>
    <w:rsid w:val="005C25B4"/>
    <w:rsid w:val="005C5CA5"/>
    <w:rsid w:val="005C65E7"/>
    <w:rsid w:val="005C75D0"/>
    <w:rsid w:val="005C761E"/>
    <w:rsid w:val="005D5262"/>
    <w:rsid w:val="005D6018"/>
    <w:rsid w:val="005E3015"/>
    <w:rsid w:val="005E3E9A"/>
    <w:rsid w:val="005E64C3"/>
    <w:rsid w:val="005F13B2"/>
    <w:rsid w:val="005F13C0"/>
    <w:rsid w:val="005F2074"/>
    <w:rsid w:val="005F691F"/>
    <w:rsid w:val="00601262"/>
    <w:rsid w:val="00601DE5"/>
    <w:rsid w:val="00610898"/>
    <w:rsid w:val="00610995"/>
    <w:rsid w:val="006119D9"/>
    <w:rsid w:val="00614AE1"/>
    <w:rsid w:val="00625AC1"/>
    <w:rsid w:val="0063493E"/>
    <w:rsid w:val="00636076"/>
    <w:rsid w:val="006366A1"/>
    <w:rsid w:val="006376E5"/>
    <w:rsid w:val="0064102A"/>
    <w:rsid w:val="0065184A"/>
    <w:rsid w:val="006630D4"/>
    <w:rsid w:val="006647C0"/>
    <w:rsid w:val="00670E1D"/>
    <w:rsid w:val="006721BA"/>
    <w:rsid w:val="006737BE"/>
    <w:rsid w:val="00681050"/>
    <w:rsid w:val="00684620"/>
    <w:rsid w:val="006961DB"/>
    <w:rsid w:val="006A1F0B"/>
    <w:rsid w:val="006A344E"/>
    <w:rsid w:val="006B5732"/>
    <w:rsid w:val="006C03F3"/>
    <w:rsid w:val="006C226A"/>
    <w:rsid w:val="006C32E1"/>
    <w:rsid w:val="006C7D6A"/>
    <w:rsid w:val="006D1F02"/>
    <w:rsid w:val="006E0C85"/>
    <w:rsid w:val="006E2ADD"/>
    <w:rsid w:val="006F1135"/>
    <w:rsid w:val="006F1558"/>
    <w:rsid w:val="006F6A86"/>
    <w:rsid w:val="007053C3"/>
    <w:rsid w:val="00706F0F"/>
    <w:rsid w:val="0071013B"/>
    <w:rsid w:val="00710941"/>
    <w:rsid w:val="00710AC4"/>
    <w:rsid w:val="0071112E"/>
    <w:rsid w:val="00713BCB"/>
    <w:rsid w:val="007246DD"/>
    <w:rsid w:val="00727EE6"/>
    <w:rsid w:val="00734BB7"/>
    <w:rsid w:val="00737F39"/>
    <w:rsid w:val="00740E93"/>
    <w:rsid w:val="0074386A"/>
    <w:rsid w:val="00744E73"/>
    <w:rsid w:val="00745ACF"/>
    <w:rsid w:val="00745D9B"/>
    <w:rsid w:val="00746779"/>
    <w:rsid w:val="00746990"/>
    <w:rsid w:val="0075008A"/>
    <w:rsid w:val="00753085"/>
    <w:rsid w:val="00754DC8"/>
    <w:rsid w:val="00757063"/>
    <w:rsid w:val="00757E6A"/>
    <w:rsid w:val="007653A3"/>
    <w:rsid w:val="00767C64"/>
    <w:rsid w:val="00781A07"/>
    <w:rsid w:val="00785AED"/>
    <w:rsid w:val="007866A6"/>
    <w:rsid w:val="00791CDD"/>
    <w:rsid w:val="007A264A"/>
    <w:rsid w:val="007A3FC8"/>
    <w:rsid w:val="007B0243"/>
    <w:rsid w:val="007B39FD"/>
    <w:rsid w:val="007B5573"/>
    <w:rsid w:val="007B59AD"/>
    <w:rsid w:val="007B5EB1"/>
    <w:rsid w:val="007B7A5B"/>
    <w:rsid w:val="007C0F48"/>
    <w:rsid w:val="007C1057"/>
    <w:rsid w:val="007C407C"/>
    <w:rsid w:val="007C6A0B"/>
    <w:rsid w:val="007D4370"/>
    <w:rsid w:val="007D48BA"/>
    <w:rsid w:val="007D5320"/>
    <w:rsid w:val="007E2810"/>
    <w:rsid w:val="007E2906"/>
    <w:rsid w:val="007F0A77"/>
    <w:rsid w:val="007F7FFE"/>
    <w:rsid w:val="00811B8E"/>
    <w:rsid w:val="008176B2"/>
    <w:rsid w:val="008220EA"/>
    <w:rsid w:val="0082451D"/>
    <w:rsid w:val="0082576D"/>
    <w:rsid w:val="008261D8"/>
    <w:rsid w:val="00831400"/>
    <w:rsid w:val="00831B56"/>
    <w:rsid w:val="008329DB"/>
    <w:rsid w:val="00835457"/>
    <w:rsid w:val="0084505E"/>
    <w:rsid w:val="0084750C"/>
    <w:rsid w:val="0085007C"/>
    <w:rsid w:val="00853915"/>
    <w:rsid w:val="00855FA3"/>
    <w:rsid w:val="008653F2"/>
    <w:rsid w:val="0086662B"/>
    <w:rsid w:val="0087369F"/>
    <w:rsid w:val="008736F5"/>
    <w:rsid w:val="00882919"/>
    <w:rsid w:val="0088466C"/>
    <w:rsid w:val="00884EA9"/>
    <w:rsid w:val="008912AC"/>
    <w:rsid w:val="00892B30"/>
    <w:rsid w:val="008A67D4"/>
    <w:rsid w:val="008B4BB5"/>
    <w:rsid w:val="008B7F5D"/>
    <w:rsid w:val="008C1AAC"/>
    <w:rsid w:val="008C3E77"/>
    <w:rsid w:val="008C7914"/>
    <w:rsid w:val="008D20CE"/>
    <w:rsid w:val="008E2816"/>
    <w:rsid w:val="008E719B"/>
    <w:rsid w:val="008E75A6"/>
    <w:rsid w:val="008F0506"/>
    <w:rsid w:val="008F2B75"/>
    <w:rsid w:val="008F3297"/>
    <w:rsid w:val="008F62CE"/>
    <w:rsid w:val="008F7E16"/>
    <w:rsid w:val="00901F13"/>
    <w:rsid w:val="00905D97"/>
    <w:rsid w:val="00910E0B"/>
    <w:rsid w:val="009178E2"/>
    <w:rsid w:val="0092227D"/>
    <w:rsid w:val="00925A76"/>
    <w:rsid w:val="00930D58"/>
    <w:rsid w:val="00935E17"/>
    <w:rsid w:val="00944672"/>
    <w:rsid w:val="00947724"/>
    <w:rsid w:val="00954981"/>
    <w:rsid w:val="009651A1"/>
    <w:rsid w:val="009663B0"/>
    <w:rsid w:val="00967490"/>
    <w:rsid w:val="00971A73"/>
    <w:rsid w:val="00973CBF"/>
    <w:rsid w:val="00974780"/>
    <w:rsid w:val="00975FE1"/>
    <w:rsid w:val="009802C8"/>
    <w:rsid w:val="009810D7"/>
    <w:rsid w:val="00982A4C"/>
    <w:rsid w:val="00983BCF"/>
    <w:rsid w:val="00983CEF"/>
    <w:rsid w:val="00987C58"/>
    <w:rsid w:val="00993A6B"/>
    <w:rsid w:val="009A0233"/>
    <w:rsid w:val="009A1568"/>
    <w:rsid w:val="009A1840"/>
    <w:rsid w:val="009A2317"/>
    <w:rsid w:val="009A2D80"/>
    <w:rsid w:val="009A4603"/>
    <w:rsid w:val="009A62A2"/>
    <w:rsid w:val="009B23A9"/>
    <w:rsid w:val="009B6E42"/>
    <w:rsid w:val="009C19DE"/>
    <w:rsid w:val="009C694D"/>
    <w:rsid w:val="009D1959"/>
    <w:rsid w:val="009D3A8B"/>
    <w:rsid w:val="009D5272"/>
    <w:rsid w:val="009E2723"/>
    <w:rsid w:val="009E7E17"/>
    <w:rsid w:val="009F40D6"/>
    <w:rsid w:val="009F7132"/>
    <w:rsid w:val="00A0201A"/>
    <w:rsid w:val="00A02086"/>
    <w:rsid w:val="00A053A3"/>
    <w:rsid w:val="00A16077"/>
    <w:rsid w:val="00A25F8A"/>
    <w:rsid w:val="00A32187"/>
    <w:rsid w:val="00A337B9"/>
    <w:rsid w:val="00A418B2"/>
    <w:rsid w:val="00A47D5B"/>
    <w:rsid w:val="00A52A67"/>
    <w:rsid w:val="00A54EE8"/>
    <w:rsid w:val="00A569A1"/>
    <w:rsid w:val="00A600A6"/>
    <w:rsid w:val="00A65021"/>
    <w:rsid w:val="00A721AF"/>
    <w:rsid w:val="00A7659F"/>
    <w:rsid w:val="00A769B6"/>
    <w:rsid w:val="00A82A8B"/>
    <w:rsid w:val="00A8418C"/>
    <w:rsid w:val="00A94A9B"/>
    <w:rsid w:val="00A96728"/>
    <w:rsid w:val="00A975F6"/>
    <w:rsid w:val="00AA122E"/>
    <w:rsid w:val="00AA12EC"/>
    <w:rsid w:val="00AA2575"/>
    <w:rsid w:val="00AA279A"/>
    <w:rsid w:val="00AB4F1A"/>
    <w:rsid w:val="00AB70A4"/>
    <w:rsid w:val="00AB7CBF"/>
    <w:rsid w:val="00AB7D85"/>
    <w:rsid w:val="00AC0766"/>
    <w:rsid w:val="00AC46A7"/>
    <w:rsid w:val="00AC6DFE"/>
    <w:rsid w:val="00AD28C8"/>
    <w:rsid w:val="00AD3FF6"/>
    <w:rsid w:val="00AD48A3"/>
    <w:rsid w:val="00AD6492"/>
    <w:rsid w:val="00AD7455"/>
    <w:rsid w:val="00AD7BD9"/>
    <w:rsid w:val="00AE14EA"/>
    <w:rsid w:val="00AE396C"/>
    <w:rsid w:val="00AE6551"/>
    <w:rsid w:val="00AE6EC3"/>
    <w:rsid w:val="00AF4FD0"/>
    <w:rsid w:val="00B00E8C"/>
    <w:rsid w:val="00B04BC3"/>
    <w:rsid w:val="00B055B2"/>
    <w:rsid w:val="00B05C1A"/>
    <w:rsid w:val="00B06AE2"/>
    <w:rsid w:val="00B167C2"/>
    <w:rsid w:val="00B2110D"/>
    <w:rsid w:val="00B24954"/>
    <w:rsid w:val="00B278AD"/>
    <w:rsid w:val="00B30FC4"/>
    <w:rsid w:val="00B3311A"/>
    <w:rsid w:val="00B37A4B"/>
    <w:rsid w:val="00B42895"/>
    <w:rsid w:val="00B42A88"/>
    <w:rsid w:val="00B44CA0"/>
    <w:rsid w:val="00B464EC"/>
    <w:rsid w:val="00B46BC0"/>
    <w:rsid w:val="00B53DC4"/>
    <w:rsid w:val="00B56498"/>
    <w:rsid w:val="00B6094E"/>
    <w:rsid w:val="00B615FD"/>
    <w:rsid w:val="00B65233"/>
    <w:rsid w:val="00B7741C"/>
    <w:rsid w:val="00B83B21"/>
    <w:rsid w:val="00B86638"/>
    <w:rsid w:val="00B86E26"/>
    <w:rsid w:val="00B933EA"/>
    <w:rsid w:val="00B93EE9"/>
    <w:rsid w:val="00BA0A5C"/>
    <w:rsid w:val="00BA0D46"/>
    <w:rsid w:val="00BA7E24"/>
    <w:rsid w:val="00BB0688"/>
    <w:rsid w:val="00BB0BFA"/>
    <w:rsid w:val="00BB32D5"/>
    <w:rsid w:val="00BB34CD"/>
    <w:rsid w:val="00BB3DB8"/>
    <w:rsid w:val="00BB42C8"/>
    <w:rsid w:val="00BB663B"/>
    <w:rsid w:val="00BC33B2"/>
    <w:rsid w:val="00BC3737"/>
    <w:rsid w:val="00BD18C4"/>
    <w:rsid w:val="00BD23F0"/>
    <w:rsid w:val="00BD276B"/>
    <w:rsid w:val="00BD6F50"/>
    <w:rsid w:val="00BE0386"/>
    <w:rsid w:val="00BE0DB2"/>
    <w:rsid w:val="00BF191C"/>
    <w:rsid w:val="00BF3040"/>
    <w:rsid w:val="00BF3193"/>
    <w:rsid w:val="00BF56B4"/>
    <w:rsid w:val="00C0429B"/>
    <w:rsid w:val="00C063B5"/>
    <w:rsid w:val="00C070F0"/>
    <w:rsid w:val="00C163FE"/>
    <w:rsid w:val="00C16B82"/>
    <w:rsid w:val="00C17426"/>
    <w:rsid w:val="00C176C5"/>
    <w:rsid w:val="00C17BC3"/>
    <w:rsid w:val="00C2052C"/>
    <w:rsid w:val="00C25C08"/>
    <w:rsid w:val="00C25F66"/>
    <w:rsid w:val="00C268A1"/>
    <w:rsid w:val="00C27C72"/>
    <w:rsid w:val="00C34DBB"/>
    <w:rsid w:val="00C40011"/>
    <w:rsid w:val="00C42C2B"/>
    <w:rsid w:val="00C433F4"/>
    <w:rsid w:val="00C52227"/>
    <w:rsid w:val="00C5735A"/>
    <w:rsid w:val="00C66639"/>
    <w:rsid w:val="00C7483C"/>
    <w:rsid w:val="00C750E8"/>
    <w:rsid w:val="00C77EB9"/>
    <w:rsid w:val="00C803E5"/>
    <w:rsid w:val="00C85ED2"/>
    <w:rsid w:val="00C92BF7"/>
    <w:rsid w:val="00C945A8"/>
    <w:rsid w:val="00CA2039"/>
    <w:rsid w:val="00CB0550"/>
    <w:rsid w:val="00CB2E71"/>
    <w:rsid w:val="00CB5B6A"/>
    <w:rsid w:val="00CC012B"/>
    <w:rsid w:val="00CC09E3"/>
    <w:rsid w:val="00CC2AEB"/>
    <w:rsid w:val="00CC2EE7"/>
    <w:rsid w:val="00CC42D3"/>
    <w:rsid w:val="00CD080E"/>
    <w:rsid w:val="00CD0B82"/>
    <w:rsid w:val="00CD5970"/>
    <w:rsid w:val="00CD6B3A"/>
    <w:rsid w:val="00CF00CC"/>
    <w:rsid w:val="00D02894"/>
    <w:rsid w:val="00D04C0B"/>
    <w:rsid w:val="00D0556F"/>
    <w:rsid w:val="00D078BE"/>
    <w:rsid w:val="00D1198E"/>
    <w:rsid w:val="00D13F8A"/>
    <w:rsid w:val="00D15E47"/>
    <w:rsid w:val="00D1602A"/>
    <w:rsid w:val="00D1612F"/>
    <w:rsid w:val="00D16E75"/>
    <w:rsid w:val="00D2202B"/>
    <w:rsid w:val="00D25246"/>
    <w:rsid w:val="00D25971"/>
    <w:rsid w:val="00D275C1"/>
    <w:rsid w:val="00D31750"/>
    <w:rsid w:val="00D366F4"/>
    <w:rsid w:val="00D409B0"/>
    <w:rsid w:val="00D40EA4"/>
    <w:rsid w:val="00D42FE8"/>
    <w:rsid w:val="00D434F7"/>
    <w:rsid w:val="00D55B60"/>
    <w:rsid w:val="00D5648C"/>
    <w:rsid w:val="00D57460"/>
    <w:rsid w:val="00D80C5A"/>
    <w:rsid w:val="00D81B6C"/>
    <w:rsid w:val="00D856B8"/>
    <w:rsid w:val="00D918D5"/>
    <w:rsid w:val="00D957A0"/>
    <w:rsid w:val="00DA00EF"/>
    <w:rsid w:val="00DA4725"/>
    <w:rsid w:val="00DA6F40"/>
    <w:rsid w:val="00DB5854"/>
    <w:rsid w:val="00DC0AC0"/>
    <w:rsid w:val="00DC17C3"/>
    <w:rsid w:val="00DC1AF5"/>
    <w:rsid w:val="00DC4672"/>
    <w:rsid w:val="00DC5C27"/>
    <w:rsid w:val="00DD1688"/>
    <w:rsid w:val="00DD3058"/>
    <w:rsid w:val="00DE2A6C"/>
    <w:rsid w:val="00DE3BCD"/>
    <w:rsid w:val="00DE4271"/>
    <w:rsid w:val="00DE7782"/>
    <w:rsid w:val="00DE78C9"/>
    <w:rsid w:val="00DF1442"/>
    <w:rsid w:val="00DF24F6"/>
    <w:rsid w:val="00DF4DFA"/>
    <w:rsid w:val="00E06605"/>
    <w:rsid w:val="00E07700"/>
    <w:rsid w:val="00E07C24"/>
    <w:rsid w:val="00E12F31"/>
    <w:rsid w:val="00E14618"/>
    <w:rsid w:val="00E20E2B"/>
    <w:rsid w:val="00E220BA"/>
    <w:rsid w:val="00E31186"/>
    <w:rsid w:val="00E37BD7"/>
    <w:rsid w:val="00E42057"/>
    <w:rsid w:val="00E42DBC"/>
    <w:rsid w:val="00E45122"/>
    <w:rsid w:val="00E45837"/>
    <w:rsid w:val="00E45D3F"/>
    <w:rsid w:val="00E50429"/>
    <w:rsid w:val="00E504F3"/>
    <w:rsid w:val="00E507E3"/>
    <w:rsid w:val="00E53D3F"/>
    <w:rsid w:val="00E55F46"/>
    <w:rsid w:val="00E63E9F"/>
    <w:rsid w:val="00E671CF"/>
    <w:rsid w:val="00E75A26"/>
    <w:rsid w:val="00E80D40"/>
    <w:rsid w:val="00E87B34"/>
    <w:rsid w:val="00E91126"/>
    <w:rsid w:val="00E91CB4"/>
    <w:rsid w:val="00E93592"/>
    <w:rsid w:val="00E940F0"/>
    <w:rsid w:val="00E94749"/>
    <w:rsid w:val="00E96D76"/>
    <w:rsid w:val="00EA18E6"/>
    <w:rsid w:val="00EA5999"/>
    <w:rsid w:val="00EA7C7D"/>
    <w:rsid w:val="00EB3ECD"/>
    <w:rsid w:val="00EC1E51"/>
    <w:rsid w:val="00EC4478"/>
    <w:rsid w:val="00ED0902"/>
    <w:rsid w:val="00ED12D2"/>
    <w:rsid w:val="00ED4505"/>
    <w:rsid w:val="00ED4E2A"/>
    <w:rsid w:val="00ED56E7"/>
    <w:rsid w:val="00EE13F5"/>
    <w:rsid w:val="00EE1680"/>
    <w:rsid w:val="00EE37C8"/>
    <w:rsid w:val="00EE411E"/>
    <w:rsid w:val="00EE6BA9"/>
    <w:rsid w:val="00F0278D"/>
    <w:rsid w:val="00F02AEC"/>
    <w:rsid w:val="00F070F5"/>
    <w:rsid w:val="00F11855"/>
    <w:rsid w:val="00F11B65"/>
    <w:rsid w:val="00F16EA4"/>
    <w:rsid w:val="00F21C10"/>
    <w:rsid w:val="00F238A1"/>
    <w:rsid w:val="00F252B2"/>
    <w:rsid w:val="00F26C46"/>
    <w:rsid w:val="00F27684"/>
    <w:rsid w:val="00F32B33"/>
    <w:rsid w:val="00F3385B"/>
    <w:rsid w:val="00F3614B"/>
    <w:rsid w:val="00F43F30"/>
    <w:rsid w:val="00F46024"/>
    <w:rsid w:val="00F47C6D"/>
    <w:rsid w:val="00F502BE"/>
    <w:rsid w:val="00F51319"/>
    <w:rsid w:val="00F52425"/>
    <w:rsid w:val="00F52B65"/>
    <w:rsid w:val="00F53024"/>
    <w:rsid w:val="00F55B0F"/>
    <w:rsid w:val="00F56185"/>
    <w:rsid w:val="00F63FCA"/>
    <w:rsid w:val="00F64D94"/>
    <w:rsid w:val="00F6713C"/>
    <w:rsid w:val="00F74C1B"/>
    <w:rsid w:val="00F77407"/>
    <w:rsid w:val="00F809B1"/>
    <w:rsid w:val="00F82521"/>
    <w:rsid w:val="00F828BE"/>
    <w:rsid w:val="00F829E1"/>
    <w:rsid w:val="00F87532"/>
    <w:rsid w:val="00F9248E"/>
    <w:rsid w:val="00F95AFD"/>
    <w:rsid w:val="00F96200"/>
    <w:rsid w:val="00F962A9"/>
    <w:rsid w:val="00FA1471"/>
    <w:rsid w:val="00FA15FE"/>
    <w:rsid w:val="00FA3326"/>
    <w:rsid w:val="00FA376E"/>
    <w:rsid w:val="00FA49C3"/>
    <w:rsid w:val="00FB0663"/>
    <w:rsid w:val="00FB3582"/>
    <w:rsid w:val="00FC1EB4"/>
    <w:rsid w:val="00FC3D53"/>
    <w:rsid w:val="00FC5B95"/>
    <w:rsid w:val="00FD105C"/>
    <w:rsid w:val="00FD7312"/>
    <w:rsid w:val="00FD7BDA"/>
    <w:rsid w:val="00FF008F"/>
    <w:rsid w:val="00FF22F9"/>
    <w:rsid w:val="00FF2DE2"/>
    <w:rsid w:val="00FF55A6"/>
    <w:rsid w:val="00FF7DC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E7"/>
    <w:rPr>
      <w:rFonts w:ascii="Arial" w:hAnsi="Arial"/>
      <w:color w:val="000000" w:themeColor="text1"/>
      <w:szCs w:val="22"/>
    </w:rPr>
  </w:style>
  <w:style w:type="paragraph" w:styleId="Heading1">
    <w:name w:val="heading 1"/>
    <w:basedOn w:val="Normal"/>
    <w:next w:val="Normal"/>
    <w:link w:val="Heading1Char"/>
    <w:uiPriority w:val="9"/>
    <w:qFormat/>
    <w:rsid w:val="008F6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99"/>
    <w:qFormat/>
    <w:rsid w:val="00B93EE9"/>
    <w:pPr>
      <w:spacing w:before="120" w:after="180" w:line="240" w:lineRule="atLeast"/>
    </w:pPr>
    <w:rPr>
      <w:rFonts w:eastAsia="Cambria" w:cstheme="minorHAnsi"/>
    </w:rPr>
  </w:style>
  <w:style w:type="paragraph" w:styleId="ListBullet2">
    <w:name w:val="List Bullet 2"/>
    <w:basedOn w:val="Normal"/>
    <w:autoRedefine/>
    <w:uiPriority w:val="2"/>
    <w:qFormat/>
    <w:rsid w:val="0016506E"/>
    <w:pPr>
      <w:numPr>
        <w:ilvl w:val="1"/>
        <w:numId w:val="1"/>
      </w:numPr>
      <w:spacing w:before="120" w:after="180" w:line="240" w:lineRule="atLeast"/>
      <w:ind w:left="850" w:hanging="425"/>
    </w:pPr>
    <w:rPr>
      <w:rFonts w:eastAsia="Cambria" w:cstheme="minorHAnsi"/>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767C64"/>
    <w:pPr>
      <w:spacing w:after="0" w:line="240" w:lineRule="auto"/>
    </w:pPr>
    <w:rPr>
      <w:rFonts w:cstheme="minorHAnsi"/>
      <w:b/>
      <w:bCs/>
      <w:sz w:val="18"/>
      <w:szCs w:val="18"/>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autoRedefine/>
    <w:uiPriority w:val="34"/>
    <w:qFormat/>
    <w:rsid w:val="00F77407"/>
    <w:pPr>
      <w:numPr>
        <w:numId w:val="13"/>
      </w:numPr>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character" w:customStyle="1" w:styleId="normaltextrun">
    <w:name w:val="normaltextrun"/>
    <w:basedOn w:val="DefaultParagraphFont"/>
    <w:rsid w:val="00AD48A3"/>
  </w:style>
  <w:style w:type="character" w:customStyle="1" w:styleId="findhit">
    <w:name w:val="findhit"/>
    <w:basedOn w:val="DefaultParagraphFont"/>
    <w:rsid w:val="00AD48A3"/>
  </w:style>
  <w:style w:type="table" w:customStyle="1" w:styleId="TableTGAblue1">
    <w:name w:val="Table TGA blue1"/>
    <w:basedOn w:val="TableNormal"/>
    <w:uiPriority w:val="99"/>
    <w:qFormat/>
    <w:rsid w:val="00E07700"/>
    <w:pPr>
      <w:spacing w:after="0" w:line="240" w:lineRule="auto"/>
    </w:pPr>
    <w:rPr>
      <w:rFonts w:ascii="Arial" w:eastAsia="Cambria" w:hAnsi="Arial" w:cs="Times New Roman"/>
      <w:color w:val="000000"/>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pf0">
    <w:name w:val="pf0"/>
    <w:basedOn w:val="Normal"/>
    <w:rsid w:val="00767C64"/>
    <w:pPr>
      <w:spacing w:before="100" w:beforeAutospacing="1" w:after="100" w:afterAutospacing="1" w:line="240" w:lineRule="auto"/>
    </w:pPr>
    <w:rPr>
      <w:rFonts w:ascii="Times New Roman" w:eastAsia="Times New Roman" w:hAnsi="Times New Roman" w:cs="Times New Roman"/>
      <w:color w:val="auto"/>
      <w:sz w:val="24"/>
      <w:szCs w:val="24"/>
      <w:lang w:eastAsia="zh-TW"/>
    </w:rPr>
  </w:style>
  <w:style w:type="character" w:customStyle="1" w:styleId="cf11">
    <w:name w:val="cf11"/>
    <w:basedOn w:val="DefaultParagraphFont"/>
    <w:rsid w:val="00767C64"/>
    <w:rPr>
      <w:rFonts w:ascii="Segoe UI" w:hAnsi="Segoe UI" w:cs="Segoe UI" w:hint="default"/>
      <w:b/>
      <w:bCs/>
      <w:sz w:val="18"/>
      <w:szCs w:val="18"/>
    </w:rPr>
  </w:style>
  <w:style w:type="character" w:customStyle="1" w:styleId="cf01">
    <w:name w:val="cf01"/>
    <w:basedOn w:val="DefaultParagraphFont"/>
    <w:rsid w:val="00767C64"/>
    <w:rPr>
      <w:rFonts w:ascii="Segoe UI" w:hAnsi="Segoe UI" w:cs="Segoe UI" w:hint="default"/>
      <w:sz w:val="18"/>
      <w:szCs w:val="18"/>
    </w:rPr>
  </w:style>
  <w:style w:type="paragraph" w:styleId="Revision">
    <w:name w:val="Revision"/>
    <w:hidden/>
    <w:uiPriority w:val="99"/>
    <w:semiHidden/>
    <w:rsid w:val="000070E0"/>
    <w:pPr>
      <w:spacing w:after="0" w:line="240" w:lineRule="auto"/>
    </w:pPr>
    <w:rPr>
      <w:color w:val="000000" w:themeColor="text1"/>
      <w:sz w:val="22"/>
      <w:szCs w:val="22"/>
    </w:rPr>
  </w:style>
  <w:style w:type="character" w:styleId="FollowedHyperlink">
    <w:name w:val="FollowedHyperlink"/>
    <w:basedOn w:val="DefaultParagraphFont"/>
    <w:uiPriority w:val="99"/>
    <w:semiHidden/>
    <w:unhideWhenUsed/>
    <w:rsid w:val="00155BCE"/>
    <w:rPr>
      <w:color w:val="954F72" w:themeColor="followedHyperlink"/>
      <w:u w:val="single"/>
    </w:rPr>
  </w:style>
  <w:style w:type="character" w:customStyle="1" w:styleId="Heading1Char">
    <w:name w:val="Heading 1 Char"/>
    <w:basedOn w:val="DefaultParagraphFont"/>
    <w:link w:val="Heading1"/>
    <w:uiPriority w:val="9"/>
    <w:rsid w:val="008F62CE"/>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6F1135"/>
    <w:pPr>
      <w:spacing w:after="0" w:line="240" w:lineRule="auto"/>
    </w:pPr>
    <w:rPr>
      <w:szCs w:val="20"/>
    </w:rPr>
  </w:style>
  <w:style w:type="character" w:customStyle="1" w:styleId="EndnoteTextChar">
    <w:name w:val="Endnote Text Char"/>
    <w:basedOn w:val="DefaultParagraphFont"/>
    <w:link w:val="EndnoteText"/>
    <w:uiPriority w:val="99"/>
    <w:semiHidden/>
    <w:rsid w:val="006F1135"/>
    <w:rPr>
      <w:rFonts w:ascii="Arial" w:hAnsi="Arial"/>
      <w:color w:val="000000" w:themeColor="text1"/>
    </w:rPr>
  </w:style>
  <w:style w:type="character" w:styleId="EndnoteReference">
    <w:name w:val="endnote reference"/>
    <w:basedOn w:val="DefaultParagraphFont"/>
    <w:uiPriority w:val="99"/>
    <w:semiHidden/>
    <w:unhideWhenUsed/>
    <w:rsid w:val="006F1135"/>
    <w:rPr>
      <w:vertAlign w:val="superscript"/>
    </w:rPr>
  </w:style>
  <w:style w:type="paragraph" w:customStyle="1" w:styleId="Default">
    <w:name w:val="Default"/>
    <w:rsid w:val="002D28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ext">
    <w:name w:val="Tabletext"/>
    <w:aliases w:val="tt"/>
    <w:basedOn w:val="Normal"/>
    <w:rsid w:val="00BD23F0"/>
    <w:pPr>
      <w:spacing w:before="60" w:after="0" w:line="240" w:lineRule="atLeast"/>
    </w:pPr>
    <w:rPr>
      <w:rFonts w:ascii="Times New Roman" w:eastAsia="Times New Roman" w:hAnsi="Times New Roman" w:cs="Times New Roman"/>
      <w:color w:val="auto"/>
      <w:szCs w:val="20"/>
      <w:lang w:eastAsia="en-AU"/>
    </w:rPr>
  </w:style>
  <w:style w:type="paragraph" w:customStyle="1" w:styleId="TableHeading">
    <w:name w:val="TableHeading"/>
    <w:aliases w:val="th"/>
    <w:basedOn w:val="Normal"/>
    <w:next w:val="Tabletext"/>
    <w:rsid w:val="00BD23F0"/>
    <w:pPr>
      <w:keepNext/>
      <w:spacing w:before="60" w:after="0" w:line="240" w:lineRule="atLeast"/>
    </w:pPr>
    <w:rPr>
      <w:rFonts w:ascii="Times New Roman" w:eastAsia="Times New Roman" w:hAnsi="Times New Roman" w:cs="Times New Roman"/>
      <w:b/>
      <w:color w:val="auto"/>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523">
      <w:bodyDiv w:val="1"/>
      <w:marLeft w:val="0"/>
      <w:marRight w:val="0"/>
      <w:marTop w:val="0"/>
      <w:marBottom w:val="0"/>
      <w:divBdr>
        <w:top w:val="none" w:sz="0" w:space="0" w:color="auto"/>
        <w:left w:val="none" w:sz="0" w:space="0" w:color="auto"/>
        <w:bottom w:val="none" w:sz="0" w:space="0" w:color="auto"/>
        <w:right w:val="none" w:sz="0" w:space="0" w:color="auto"/>
      </w:divBdr>
    </w:div>
    <w:div w:id="163976185">
      <w:bodyDiv w:val="1"/>
      <w:marLeft w:val="0"/>
      <w:marRight w:val="0"/>
      <w:marTop w:val="0"/>
      <w:marBottom w:val="0"/>
      <w:divBdr>
        <w:top w:val="none" w:sz="0" w:space="0" w:color="auto"/>
        <w:left w:val="none" w:sz="0" w:space="0" w:color="auto"/>
        <w:bottom w:val="none" w:sz="0" w:space="0" w:color="auto"/>
        <w:right w:val="none" w:sz="0" w:space="0" w:color="auto"/>
      </w:divBdr>
    </w:div>
    <w:div w:id="802767928">
      <w:bodyDiv w:val="1"/>
      <w:marLeft w:val="0"/>
      <w:marRight w:val="0"/>
      <w:marTop w:val="0"/>
      <w:marBottom w:val="0"/>
      <w:divBdr>
        <w:top w:val="none" w:sz="0" w:space="0" w:color="auto"/>
        <w:left w:val="none" w:sz="0" w:space="0" w:color="auto"/>
        <w:bottom w:val="none" w:sz="0" w:space="0" w:color="auto"/>
        <w:right w:val="none" w:sz="0" w:space="0" w:color="auto"/>
      </w:divBdr>
    </w:div>
    <w:div w:id="1193151184">
      <w:bodyDiv w:val="1"/>
      <w:marLeft w:val="0"/>
      <w:marRight w:val="0"/>
      <w:marTop w:val="0"/>
      <w:marBottom w:val="0"/>
      <w:divBdr>
        <w:top w:val="none" w:sz="0" w:space="0" w:color="auto"/>
        <w:left w:val="none" w:sz="0" w:space="0" w:color="auto"/>
        <w:bottom w:val="none" w:sz="0" w:space="0" w:color="auto"/>
        <w:right w:val="none" w:sz="0" w:space="0" w:color="auto"/>
      </w:divBdr>
    </w:div>
    <w:div w:id="18957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food-additives-contaminants-jecfa-database/Home/Chemical/2319" TargetMode="External"/><Relationship Id="rId2" Type="http://schemas.openxmlformats.org/officeDocument/2006/relationships/hyperlink" Target="https://doi.org/10.2903/j.efsa.2023.7747" TargetMode="External"/><Relationship Id="rId1" Type="http://schemas.openxmlformats.org/officeDocument/2006/relationships/hyperlink" Target="https://www.business.qld.gov.au/industries/farms-fishing-forestry/agriculture/biosecurity/plants/insects/horticultural/root-knot-nematode" TargetMode="External"/><Relationship Id="rId4" Type="http://schemas.openxmlformats.org/officeDocument/2006/relationships/hyperlink" Target="https://doi.org/10.2903/j.efsa.2019.590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the current Poisons Standard in relation to bacillus paralicheniformis, dimethyl disulfide, enflicoxib sodium, spidoxamat</dc:title>
  <dc:subject>Scheduling decisions</dc:subject>
  <dc:creator>Therapeutic Goods Administration</dc:creator>
  <cp:keywords/>
  <dc:description/>
  <dcterms:created xsi:type="dcterms:W3CDTF">2026-06-02T00:47:00Z</dcterms:created>
  <dcterms:modified xsi:type="dcterms:W3CDTF">2026-06-02T00:50:00Z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25ab1db7,6831a261,1e8524e2,28c71d8b,1e7d5fe9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4fe53a11,3a77a814,797a801b,325f8a82,4528e622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2025-08-29T04:25:51Z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29b64364-a0a9-4097-a45c-f5673eb68038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