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EC44" w14:textId="77777777" w:rsidR="00F4268C" w:rsidRPr="00DF64AB" w:rsidRDefault="00F4268C">
      <w:pPr>
        <w:rPr>
          <w:rFonts w:ascii="Arial" w:hAnsi="Arial" w:cs="Arial"/>
        </w:rPr>
      </w:pPr>
    </w:p>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DF64AB" w14:paraId="53BD1921" w14:textId="77777777" w:rsidTr="002B29B2">
        <w:tc>
          <w:tcPr>
            <w:tcW w:w="8720" w:type="dxa"/>
          </w:tcPr>
          <w:p w14:paraId="3ED6DBDA" w14:textId="3D3E275B" w:rsidR="00F02AEC" w:rsidRPr="00DF64AB" w:rsidRDefault="000B1A75" w:rsidP="002B29B2">
            <w:pPr>
              <w:pStyle w:val="Title"/>
              <w:rPr>
                <w:rFonts w:cs="Arial"/>
              </w:rPr>
            </w:pPr>
            <w:r w:rsidRPr="00DF64AB">
              <w:rPr>
                <w:rFonts w:cs="Arial"/>
              </w:rPr>
              <w:t xml:space="preserve">Cost Recovery Implementation </w:t>
            </w:r>
            <w:r w:rsidR="00E93A0F" w:rsidRPr="00DF64AB">
              <w:rPr>
                <w:rFonts w:cs="Arial"/>
              </w:rPr>
              <w:t>S</w:t>
            </w:r>
            <w:r w:rsidRPr="00DF64AB">
              <w:rPr>
                <w:rFonts w:cs="Arial"/>
              </w:rPr>
              <w:t>tatement</w:t>
            </w:r>
          </w:p>
        </w:tc>
      </w:tr>
      <w:tr w:rsidR="00F02AEC" w:rsidRPr="00DF64AB" w14:paraId="177F0D82" w14:textId="77777777" w:rsidTr="002B29B2">
        <w:trPr>
          <w:trHeight w:val="1916"/>
        </w:trPr>
        <w:tc>
          <w:tcPr>
            <w:tcW w:w="8720" w:type="dxa"/>
          </w:tcPr>
          <w:p w14:paraId="1879E626" w14:textId="5369CD29" w:rsidR="00F02AEC" w:rsidRPr="00DF64AB" w:rsidRDefault="00C27849" w:rsidP="002B29B2">
            <w:pPr>
              <w:pStyle w:val="Subtitle"/>
              <w:ind w:left="0"/>
              <w:rPr>
                <w:rFonts w:cs="Arial"/>
              </w:rPr>
            </w:pPr>
            <w:r w:rsidRPr="00DF64AB">
              <w:rPr>
                <w:rFonts w:cs="Arial"/>
              </w:rPr>
              <w:t>2026-2027</w:t>
            </w:r>
          </w:p>
        </w:tc>
      </w:tr>
      <w:tr w:rsidR="00F02AEC" w:rsidRPr="00DF64AB" w14:paraId="311A7E23" w14:textId="77777777" w:rsidTr="002B29B2">
        <w:tc>
          <w:tcPr>
            <w:tcW w:w="8720" w:type="dxa"/>
          </w:tcPr>
          <w:p w14:paraId="0035F591" w14:textId="0AAB9418" w:rsidR="00F02AEC" w:rsidRPr="00DF64AB" w:rsidRDefault="00F02AEC" w:rsidP="00F54CA9">
            <w:pPr>
              <w:pStyle w:val="Date"/>
              <w:rPr>
                <w:rFonts w:cs="Arial"/>
              </w:rPr>
            </w:pPr>
            <w:r w:rsidRPr="00DF64AB">
              <w:rPr>
                <w:rFonts w:cs="Arial"/>
              </w:rPr>
              <w:t xml:space="preserve">Version </w:t>
            </w:r>
            <w:r w:rsidR="00C27849" w:rsidRPr="00DF64AB">
              <w:rPr>
                <w:rFonts w:cs="Arial"/>
              </w:rPr>
              <w:t>1</w:t>
            </w:r>
            <w:r w:rsidRPr="00DF64AB">
              <w:rPr>
                <w:rFonts w:cs="Arial"/>
              </w:rPr>
              <w:t xml:space="preserve">.0, </w:t>
            </w:r>
            <w:r w:rsidR="00C27849" w:rsidRPr="00DF64AB">
              <w:rPr>
                <w:rFonts w:cs="Arial"/>
              </w:rPr>
              <w:t>July</w:t>
            </w:r>
            <w:r w:rsidR="00F07AF2" w:rsidRPr="00DF64AB">
              <w:rPr>
                <w:rFonts w:cs="Arial"/>
              </w:rPr>
              <w:t xml:space="preserve"> </w:t>
            </w:r>
            <w:r w:rsidR="001D49BD" w:rsidRPr="00DF64AB">
              <w:rPr>
                <w:rFonts w:cs="Arial"/>
              </w:rPr>
              <w:t>202</w:t>
            </w:r>
            <w:r w:rsidR="00C27849" w:rsidRPr="00DF64AB">
              <w:rPr>
                <w:rFonts w:cs="Arial"/>
              </w:rPr>
              <w:t>6</w:t>
            </w:r>
          </w:p>
        </w:tc>
      </w:tr>
    </w:tbl>
    <w:p w14:paraId="6065E2F9" w14:textId="77777777" w:rsidR="00F02AEC" w:rsidRPr="00DF64AB" w:rsidRDefault="00F02AEC" w:rsidP="00B24FF5">
      <w:pPr>
        <w:pStyle w:val="ListBullet"/>
        <w:numPr>
          <w:ilvl w:val="0"/>
          <w:numId w:val="0"/>
        </w:numPr>
        <w:rPr>
          <w:rFonts w:cs="Arial"/>
        </w:rPr>
        <w:sectPr w:rsidR="00F02AEC" w:rsidRPr="00DF64AB"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FC16604" w14:textId="77777777" w:rsidR="00F02AEC" w:rsidRPr="00DF64AB" w:rsidRDefault="00F02AEC" w:rsidP="00BA0DFC">
      <w:pPr>
        <w:pStyle w:val="LegalSubheading"/>
        <w:rPr>
          <w:rFonts w:cs="Arial"/>
        </w:rPr>
      </w:pPr>
      <w:r w:rsidRPr="00DF64AB">
        <w:rPr>
          <w:rFonts w:cs="Arial"/>
        </w:rPr>
        <w:lastRenderedPageBreak/>
        <w:t>Copyright</w:t>
      </w:r>
    </w:p>
    <w:p w14:paraId="79736F15" w14:textId="16A3FA7E" w:rsidR="00930D58" w:rsidRPr="00DF64AB" w:rsidRDefault="00F02AEC" w:rsidP="00FA49C3">
      <w:pPr>
        <w:pStyle w:val="LegalCopy"/>
        <w:rPr>
          <w:rFonts w:cs="Arial"/>
        </w:rPr>
      </w:pPr>
      <w:r w:rsidRPr="00DF64AB">
        <w:rPr>
          <w:rFonts w:cs="Arial"/>
        </w:rPr>
        <w:t>© Commonwealth of Australia 202</w:t>
      </w:r>
      <w:r w:rsidR="00C27849" w:rsidRPr="00DF64AB">
        <w:rPr>
          <w:rFonts w:cs="Arial"/>
        </w:rPr>
        <w:t>6</w:t>
      </w:r>
      <w:r w:rsidRPr="00DF64AB">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F64AB">
        <w:rPr>
          <w:rFonts w:cs="Arial"/>
          <w:i/>
        </w:rPr>
        <w:t>Copyright Act 1968</w:t>
      </w:r>
      <w:r w:rsidRPr="00DF64AB">
        <w:rPr>
          <w:rFonts w:cs="Arial"/>
        </w:rPr>
        <w:t xml:space="preserve"> or allowed by this copyright notice, all other rights are </w:t>
      </w:r>
      <w:r w:rsidR="008F28BB" w:rsidRPr="00DF64AB">
        <w:rPr>
          <w:rFonts w:cs="Arial"/>
        </w:rPr>
        <w:t>reserved,</w:t>
      </w:r>
      <w:r w:rsidRPr="00DF64AB">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DF64AB">
          <w:rPr>
            <w:rStyle w:val="Hyperlink"/>
            <w:rFonts w:cs="Arial"/>
          </w:rPr>
          <w:t>tga.copyright@tga.gov.au</w:t>
        </w:r>
      </w:hyperlink>
      <w:r w:rsidRPr="00DF64AB">
        <w:rPr>
          <w:rFonts w:cs="Arial"/>
        </w:rPr>
        <w:t>&gt;.</w:t>
      </w:r>
    </w:p>
    <w:p w14:paraId="5C796B58" w14:textId="77777777" w:rsidR="00175CD8" w:rsidRPr="00DF64AB" w:rsidRDefault="00175CD8" w:rsidP="00175CD8">
      <w:pPr>
        <w:rPr>
          <w:rFonts w:ascii="Arial" w:hAnsi="Arial" w:cs="Arial"/>
        </w:rPr>
      </w:pPr>
    </w:p>
    <w:sdt>
      <w:sdtPr>
        <w:rPr>
          <w:rFonts w:asciiTheme="minorHAnsi" w:eastAsiaTheme="minorHAnsi" w:hAnsiTheme="minorHAnsi" w:cs="Arial"/>
          <w:b w:val="0"/>
          <w:color w:val="auto"/>
          <w:sz w:val="22"/>
          <w:szCs w:val="22"/>
        </w:rPr>
        <w:id w:val="21514769"/>
        <w:docPartObj>
          <w:docPartGallery w:val="Table of Contents"/>
          <w:docPartUnique/>
        </w:docPartObj>
      </w:sdtPr>
      <w:sdtEndPr>
        <w:rPr>
          <w:sz w:val="20"/>
          <w:szCs w:val="20"/>
        </w:rPr>
      </w:sdtEndPr>
      <w:sdtContent>
        <w:p w14:paraId="3917EC68" w14:textId="693B01AF" w:rsidR="00F02AEC" w:rsidRPr="00DF64AB" w:rsidRDefault="00F02AEC" w:rsidP="00035110">
          <w:pPr>
            <w:pStyle w:val="NonTOCheading2"/>
            <w:rPr>
              <w:rFonts w:cs="Arial"/>
            </w:rPr>
          </w:pPr>
          <w:r w:rsidRPr="00DF64AB">
            <w:rPr>
              <w:rFonts w:cs="Arial"/>
            </w:rPr>
            <w:t>Contents</w:t>
          </w:r>
        </w:p>
        <w:p w14:paraId="0A5A7F28" w14:textId="2024DDDD" w:rsidR="00B751A1" w:rsidRDefault="00814E7F">
          <w:pPr>
            <w:pStyle w:val="TOC1"/>
            <w:rPr>
              <w:rFonts w:asciiTheme="minorHAnsi" w:eastAsiaTheme="minorEastAsia" w:hAnsiTheme="minorHAnsi" w:cstheme="minorBidi"/>
              <w:b w:val="0"/>
              <w:noProof/>
              <w:color w:val="auto"/>
              <w:kern w:val="2"/>
              <w:sz w:val="24"/>
              <w:szCs w:val="24"/>
              <w:lang w:eastAsia="en-AU"/>
              <w14:ligatures w14:val="standardContextual"/>
            </w:rPr>
          </w:pPr>
          <w:r w:rsidRPr="00DF64AB">
            <w:rPr>
              <w:rFonts w:cs="Arial"/>
              <w:b w:val="0"/>
              <w:color w:val="auto"/>
              <w:sz w:val="32"/>
            </w:rPr>
            <w:fldChar w:fldCharType="begin"/>
          </w:r>
          <w:r w:rsidRPr="00DF64AB">
            <w:rPr>
              <w:rFonts w:cs="Arial"/>
              <w:b w:val="0"/>
              <w:color w:val="auto"/>
              <w:sz w:val="32"/>
            </w:rPr>
            <w:instrText xml:space="preserve"> TOC \h \z \u \t "Heading 2,1,Heading 3,2,Heading 4,3" </w:instrText>
          </w:r>
          <w:r w:rsidRPr="00DF64AB">
            <w:rPr>
              <w:rFonts w:cs="Arial"/>
              <w:b w:val="0"/>
              <w:color w:val="auto"/>
              <w:sz w:val="32"/>
            </w:rPr>
            <w:fldChar w:fldCharType="separate"/>
          </w:r>
          <w:hyperlink w:anchor="_Toc233286912" w:history="1">
            <w:r w:rsidR="00B751A1" w:rsidRPr="00263663">
              <w:rPr>
                <w:rStyle w:val="Hyperlink"/>
                <w:rFonts w:cs="Arial"/>
                <w:noProof/>
              </w:rPr>
              <w:t>Introduction</w:t>
            </w:r>
            <w:r w:rsidR="00B751A1">
              <w:rPr>
                <w:noProof/>
                <w:webHidden/>
              </w:rPr>
              <w:tab/>
            </w:r>
            <w:r w:rsidR="00B751A1">
              <w:rPr>
                <w:noProof/>
                <w:webHidden/>
              </w:rPr>
              <w:fldChar w:fldCharType="begin"/>
            </w:r>
            <w:r w:rsidR="00B751A1">
              <w:rPr>
                <w:noProof/>
                <w:webHidden/>
              </w:rPr>
              <w:instrText xml:space="preserve"> PAGEREF _Toc233286912 \h </w:instrText>
            </w:r>
            <w:r w:rsidR="00B751A1">
              <w:rPr>
                <w:noProof/>
                <w:webHidden/>
              </w:rPr>
            </w:r>
            <w:r w:rsidR="00B751A1">
              <w:rPr>
                <w:noProof/>
                <w:webHidden/>
              </w:rPr>
              <w:fldChar w:fldCharType="separate"/>
            </w:r>
            <w:r w:rsidR="00B751A1">
              <w:rPr>
                <w:noProof/>
                <w:webHidden/>
              </w:rPr>
              <w:t>5</w:t>
            </w:r>
            <w:r w:rsidR="00B751A1">
              <w:rPr>
                <w:noProof/>
                <w:webHidden/>
              </w:rPr>
              <w:fldChar w:fldCharType="end"/>
            </w:r>
          </w:hyperlink>
        </w:p>
        <w:p w14:paraId="4CCCE3FE" w14:textId="1EE11D29"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13" w:history="1">
            <w:r w:rsidRPr="00263663">
              <w:rPr>
                <w:rStyle w:val="Hyperlink"/>
                <w:rFonts w:cs="Arial"/>
                <w:noProof/>
              </w:rPr>
              <w:t>Purpose of the Cost Recovery Implementation Statement</w:t>
            </w:r>
            <w:r>
              <w:rPr>
                <w:noProof/>
                <w:webHidden/>
              </w:rPr>
              <w:tab/>
            </w:r>
            <w:r>
              <w:rPr>
                <w:noProof/>
                <w:webHidden/>
              </w:rPr>
              <w:fldChar w:fldCharType="begin"/>
            </w:r>
            <w:r>
              <w:rPr>
                <w:noProof/>
                <w:webHidden/>
              </w:rPr>
              <w:instrText xml:space="preserve"> PAGEREF _Toc233286913 \h </w:instrText>
            </w:r>
            <w:r>
              <w:rPr>
                <w:noProof/>
                <w:webHidden/>
              </w:rPr>
            </w:r>
            <w:r>
              <w:rPr>
                <w:noProof/>
                <w:webHidden/>
              </w:rPr>
              <w:fldChar w:fldCharType="separate"/>
            </w:r>
            <w:r>
              <w:rPr>
                <w:noProof/>
                <w:webHidden/>
              </w:rPr>
              <w:t>5</w:t>
            </w:r>
            <w:r>
              <w:rPr>
                <w:noProof/>
                <w:webHidden/>
              </w:rPr>
              <w:fldChar w:fldCharType="end"/>
            </w:r>
          </w:hyperlink>
        </w:p>
        <w:p w14:paraId="6B536588" w14:textId="54318865"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14" w:history="1">
            <w:r w:rsidRPr="00263663">
              <w:rPr>
                <w:rStyle w:val="Hyperlink"/>
                <w:rFonts w:cs="Arial"/>
                <w:noProof/>
              </w:rPr>
              <w:t>Description of the activity</w:t>
            </w:r>
            <w:r>
              <w:rPr>
                <w:noProof/>
                <w:webHidden/>
              </w:rPr>
              <w:tab/>
            </w:r>
            <w:r>
              <w:rPr>
                <w:noProof/>
                <w:webHidden/>
              </w:rPr>
              <w:fldChar w:fldCharType="begin"/>
            </w:r>
            <w:r>
              <w:rPr>
                <w:noProof/>
                <w:webHidden/>
              </w:rPr>
              <w:instrText xml:space="preserve"> PAGEREF _Toc233286914 \h </w:instrText>
            </w:r>
            <w:r>
              <w:rPr>
                <w:noProof/>
                <w:webHidden/>
              </w:rPr>
            </w:r>
            <w:r>
              <w:rPr>
                <w:noProof/>
                <w:webHidden/>
              </w:rPr>
              <w:fldChar w:fldCharType="separate"/>
            </w:r>
            <w:r>
              <w:rPr>
                <w:noProof/>
                <w:webHidden/>
              </w:rPr>
              <w:t>5</w:t>
            </w:r>
            <w:r>
              <w:rPr>
                <w:noProof/>
                <w:webHidden/>
              </w:rPr>
              <w:fldChar w:fldCharType="end"/>
            </w:r>
          </w:hyperlink>
        </w:p>
        <w:p w14:paraId="796AFF93" w14:textId="4086A100"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15" w:history="1">
            <w:r w:rsidRPr="00263663">
              <w:rPr>
                <w:rStyle w:val="Hyperlink"/>
                <w:rFonts w:cs="Arial"/>
                <w:noProof/>
              </w:rPr>
              <w:t>Risk management approach to regulation</w:t>
            </w:r>
            <w:r>
              <w:rPr>
                <w:noProof/>
                <w:webHidden/>
              </w:rPr>
              <w:tab/>
            </w:r>
            <w:r>
              <w:rPr>
                <w:noProof/>
                <w:webHidden/>
              </w:rPr>
              <w:fldChar w:fldCharType="begin"/>
            </w:r>
            <w:r>
              <w:rPr>
                <w:noProof/>
                <w:webHidden/>
              </w:rPr>
              <w:instrText xml:space="preserve"> PAGEREF _Toc233286915 \h </w:instrText>
            </w:r>
            <w:r>
              <w:rPr>
                <w:noProof/>
                <w:webHidden/>
              </w:rPr>
            </w:r>
            <w:r>
              <w:rPr>
                <w:noProof/>
                <w:webHidden/>
              </w:rPr>
              <w:fldChar w:fldCharType="separate"/>
            </w:r>
            <w:r>
              <w:rPr>
                <w:noProof/>
                <w:webHidden/>
              </w:rPr>
              <w:t>5</w:t>
            </w:r>
            <w:r>
              <w:rPr>
                <w:noProof/>
                <w:webHidden/>
              </w:rPr>
              <w:fldChar w:fldCharType="end"/>
            </w:r>
          </w:hyperlink>
        </w:p>
        <w:p w14:paraId="18DB9D45" w14:textId="04462BCA"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16" w:history="1">
            <w:r w:rsidRPr="00263663">
              <w:rPr>
                <w:rStyle w:val="Hyperlink"/>
                <w:rFonts w:cs="Arial"/>
                <w:noProof/>
              </w:rPr>
              <w:t>Industry/regulatory groups</w:t>
            </w:r>
            <w:r>
              <w:rPr>
                <w:noProof/>
                <w:webHidden/>
              </w:rPr>
              <w:tab/>
            </w:r>
            <w:r>
              <w:rPr>
                <w:noProof/>
                <w:webHidden/>
              </w:rPr>
              <w:fldChar w:fldCharType="begin"/>
            </w:r>
            <w:r>
              <w:rPr>
                <w:noProof/>
                <w:webHidden/>
              </w:rPr>
              <w:instrText xml:space="preserve"> PAGEREF _Toc233286916 \h </w:instrText>
            </w:r>
            <w:r>
              <w:rPr>
                <w:noProof/>
                <w:webHidden/>
              </w:rPr>
            </w:r>
            <w:r>
              <w:rPr>
                <w:noProof/>
                <w:webHidden/>
              </w:rPr>
              <w:fldChar w:fldCharType="separate"/>
            </w:r>
            <w:r>
              <w:rPr>
                <w:noProof/>
                <w:webHidden/>
              </w:rPr>
              <w:t>6</w:t>
            </w:r>
            <w:r>
              <w:rPr>
                <w:noProof/>
                <w:webHidden/>
              </w:rPr>
              <w:fldChar w:fldCharType="end"/>
            </w:r>
          </w:hyperlink>
        </w:p>
        <w:p w14:paraId="3C2D2513" w14:textId="1A452F84"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17" w:history="1">
            <w:r w:rsidRPr="00263663">
              <w:rPr>
                <w:rStyle w:val="Hyperlink"/>
                <w:rFonts w:cs="Arial"/>
                <w:noProof/>
              </w:rPr>
              <w:t>Government policy approval and statutory authority to cost recover/ charge</w:t>
            </w:r>
            <w:r>
              <w:rPr>
                <w:noProof/>
                <w:webHidden/>
              </w:rPr>
              <w:tab/>
            </w:r>
            <w:r>
              <w:rPr>
                <w:noProof/>
                <w:webHidden/>
              </w:rPr>
              <w:fldChar w:fldCharType="begin"/>
            </w:r>
            <w:r>
              <w:rPr>
                <w:noProof/>
                <w:webHidden/>
              </w:rPr>
              <w:instrText xml:space="preserve"> PAGEREF _Toc233286917 \h </w:instrText>
            </w:r>
            <w:r>
              <w:rPr>
                <w:noProof/>
                <w:webHidden/>
              </w:rPr>
            </w:r>
            <w:r>
              <w:rPr>
                <w:noProof/>
                <w:webHidden/>
              </w:rPr>
              <w:fldChar w:fldCharType="separate"/>
            </w:r>
            <w:r>
              <w:rPr>
                <w:noProof/>
                <w:webHidden/>
              </w:rPr>
              <w:t>7</w:t>
            </w:r>
            <w:r>
              <w:rPr>
                <w:noProof/>
                <w:webHidden/>
              </w:rPr>
              <w:fldChar w:fldCharType="end"/>
            </w:r>
          </w:hyperlink>
        </w:p>
        <w:p w14:paraId="2AF42EE8" w14:textId="0FF123F4"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18" w:history="1">
            <w:r w:rsidRPr="00263663">
              <w:rPr>
                <w:rStyle w:val="Hyperlink"/>
                <w:rFonts w:cs="Arial"/>
                <w:noProof/>
              </w:rPr>
              <w:t>Cost recovery model</w:t>
            </w:r>
            <w:r>
              <w:rPr>
                <w:noProof/>
                <w:webHidden/>
              </w:rPr>
              <w:tab/>
            </w:r>
            <w:r>
              <w:rPr>
                <w:noProof/>
                <w:webHidden/>
              </w:rPr>
              <w:fldChar w:fldCharType="begin"/>
            </w:r>
            <w:r>
              <w:rPr>
                <w:noProof/>
                <w:webHidden/>
              </w:rPr>
              <w:instrText xml:space="preserve"> PAGEREF _Toc233286918 \h </w:instrText>
            </w:r>
            <w:r>
              <w:rPr>
                <w:noProof/>
                <w:webHidden/>
              </w:rPr>
            </w:r>
            <w:r>
              <w:rPr>
                <w:noProof/>
                <w:webHidden/>
              </w:rPr>
              <w:fldChar w:fldCharType="separate"/>
            </w:r>
            <w:r>
              <w:rPr>
                <w:noProof/>
                <w:webHidden/>
              </w:rPr>
              <w:t>7</w:t>
            </w:r>
            <w:r>
              <w:rPr>
                <w:noProof/>
                <w:webHidden/>
              </w:rPr>
              <w:fldChar w:fldCharType="end"/>
            </w:r>
          </w:hyperlink>
        </w:p>
        <w:p w14:paraId="74B84E6C" w14:textId="7257954B"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19" w:history="1">
            <w:r w:rsidRPr="00263663">
              <w:rPr>
                <w:rStyle w:val="Hyperlink"/>
                <w:rFonts w:cs="Arial"/>
                <w:noProof/>
              </w:rPr>
              <w:t>A: Pre-market regulatory activities for therapeutic goods</w:t>
            </w:r>
            <w:r>
              <w:rPr>
                <w:noProof/>
                <w:webHidden/>
              </w:rPr>
              <w:tab/>
            </w:r>
            <w:r>
              <w:rPr>
                <w:noProof/>
                <w:webHidden/>
              </w:rPr>
              <w:fldChar w:fldCharType="begin"/>
            </w:r>
            <w:r>
              <w:rPr>
                <w:noProof/>
                <w:webHidden/>
              </w:rPr>
              <w:instrText xml:space="preserve"> PAGEREF _Toc233286919 \h </w:instrText>
            </w:r>
            <w:r>
              <w:rPr>
                <w:noProof/>
                <w:webHidden/>
              </w:rPr>
            </w:r>
            <w:r>
              <w:rPr>
                <w:noProof/>
                <w:webHidden/>
              </w:rPr>
              <w:fldChar w:fldCharType="separate"/>
            </w:r>
            <w:r>
              <w:rPr>
                <w:noProof/>
                <w:webHidden/>
              </w:rPr>
              <w:t>7</w:t>
            </w:r>
            <w:r>
              <w:rPr>
                <w:noProof/>
                <w:webHidden/>
              </w:rPr>
              <w:fldChar w:fldCharType="end"/>
            </w:r>
          </w:hyperlink>
        </w:p>
        <w:p w14:paraId="5DA584C3" w14:textId="26F2F133"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0" w:history="1">
            <w:r w:rsidRPr="00263663">
              <w:rPr>
                <w:rStyle w:val="Hyperlink"/>
                <w:rFonts w:cs="Arial"/>
                <w:noProof/>
              </w:rPr>
              <w:t>1. Prescription medicines</w:t>
            </w:r>
            <w:r>
              <w:rPr>
                <w:noProof/>
                <w:webHidden/>
              </w:rPr>
              <w:tab/>
            </w:r>
            <w:r>
              <w:rPr>
                <w:noProof/>
                <w:webHidden/>
              </w:rPr>
              <w:fldChar w:fldCharType="begin"/>
            </w:r>
            <w:r>
              <w:rPr>
                <w:noProof/>
                <w:webHidden/>
              </w:rPr>
              <w:instrText xml:space="preserve"> PAGEREF _Toc233286920 \h </w:instrText>
            </w:r>
            <w:r>
              <w:rPr>
                <w:noProof/>
                <w:webHidden/>
              </w:rPr>
            </w:r>
            <w:r>
              <w:rPr>
                <w:noProof/>
                <w:webHidden/>
              </w:rPr>
              <w:fldChar w:fldCharType="separate"/>
            </w:r>
            <w:r>
              <w:rPr>
                <w:noProof/>
                <w:webHidden/>
              </w:rPr>
              <w:t>7</w:t>
            </w:r>
            <w:r>
              <w:rPr>
                <w:noProof/>
                <w:webHidden/>
              </w:rPr>
              <w:fldChar w:fldCharType="end"/>
            </w:r>
          </w:hyperlink>
        </w:p>
        <w:p w14:paraId="31E30CAD" w14:textId="3788F963"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1" w:history="1">
            <w:r w:rsidRPr="00263663">
              <w:rPr>
                <w:rStyle w:val="Hyperlink"/>
                <w:rFonts w:cs="Arial"/>
                <w:noProof/>
              </w:rPr>
              <w:t>2. Over the counter medicines</w:t>
            </w:r>
            <w:r>
              <w:rPr>
                <w:noProof/>
                <w:webHidden/>
              </w:rPr>
              <w:tab/>
            </w:r>
            <w:r>
              <w:rPr>
                <w:noProof/>
                <w:webHidden/>
              </w:rPr>
              <w:fldChar w:fldCharType="begin"/>
            </w:r>
            <w:r>
              <w:rPr>
                <w:noProof/>
                <w:webHidden/>
              </w:rPr>
              <w:instrText xml:space="preserve"> PAGEREF _Toc233286921 \h </w:instrText>
            </w:r>
            <w:r>
              <w:rPr>
                <w:noProof/>
                <w:webHidden/>
              </w:rPr>
            </w:r>
            <w:r>
              <w:rPr>
                <w:noProof/>
                <w:webHidden/>
              </w:rPr>
              <w:fldChar w:fldCharType="separate"/>
            </w:r>
            <w:r>
              <w:rPr>
                <w:noProof/>
                <w:webHidden/>
              </w:rPr>
              <w:t>9</w:t>
            </w:r>
            <w:r>
              <w:rPr>
                <w:noProof/>
                <w:webHidden/>
              </w:rPr>
              <w:fldChar w:fldCharType="end"/>
            </w:r>
          </w:hyperlink>
        </w:p>
        <w:p w14:paraId="6E6A0889" w14:textId="11866528"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2" w:history="1">
            <w:r w:rsidRPr="00263663">
              <w:rPr>
                <w:rStyle w:val="Hyperlink"/>
                <w:rFonts w:cs="Arial"/>
                <w:noProof/>
              </w:rPr>
              <w:t>3. Complementary medicines</w:t>
            </w:r>
            <w:r>
              <w:rPr>
                <w:noProof/>
                <w:webHidden/>
              </w:rPr>
              <w:tab/>
            </w:r>
            <w:r>
              <w:rPr>
                <w:noProof/>
                <w:webHidden/>
              </w:rPr>
              <w:fldChar w:fldCharType="begin"/>
            </w:r>
            <w:r>
              <w:rPr>
                <w:noProof/>
                <w:webHidden/>
              </w:rPr>
              <w:instrText xml:space="preserve"> PAGEREF _Toc233286922 \h </w:instrText>
            </w:r>
            <w:r>
              <w:rPr>
                <w:noProof/>
                <w:webHidden/>
              </w:rPr>
            </w:r>
            <w:r>
              <w:rPr>
                <w:noProof/>
                <w:webHidden/>
              </w:rPr>
              <w:fldChar w:fldCharType="separate"/>
            </w:r>
            <w:r>
              <w:rPr>
                <w:noProof/>
                <w:webHidden/>
              </w:rPr>
              <w:t>10</w:t>
            </w:r>
            <w:r>
              <w:rPr>
                <w:noProof/>
                <w:webHidden/>
              </w:rPr>
              <w:fldChar w:fldCharType="end"/>
            </w:r>
          </w:hyperlink>
        </w:p>
        <w:p w14:paraId="74D658BE" w14:textId="105F529D"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3" w:history="1">
            <w:r w:rsidRPr="00263663">
              <w:rPr>
                <w:rStyle w:val="Hyperlink"/>
                <w:rFonts w:cs="Arial"/>
                <w:noProof/>
              </w:rPr>
              <w:t>4. Medical devices</w:t>
            </w:r>
            <w:r>
              <w:rPr>
                <w:noProof/>
                <w:webHidden/>
              </w:rPr>
              <w:tab/>
            </w:r>
            <w:r>
              <w:rPr>
                <w:noProof/>
                <w:webHidden/>
              </w:rPr>
              <w:fldChar w:fldCharType="begin"/>
            </w:r>
            <w:r>
              <w:rPr>
                <w:noProof/>
                <w:webHidden/>
              </w:rPr>
              <w:instrText xml:space="preserve"> PAGEREF _Toc233286923 \h </w:instrText>
            </w:r>
            <w:r>
              <w:rPr>
                <w:noProof/>
                <w:webHidden/>
              </w:rPr>
            </w:r>
            <w:r>
              <w:rPr>
                <w:noProof/>
                <w:webHidden/>
              </w:rPr>
              <w:fldChar w:fldCharType="separate"/>
            </w:r>
            <w:r>
              <w:rPr>
                <w:noProof/>
                <w:webHidden/>
              </w:rPr>
              <w:t>10</w:t>
            </w:r>
            <w:r>
              <w:rPr>
                <w:noProof/>
                <w:webHidden/>
              </w:rPr>
              <w:fldChar w:fldCharType="end"/>
            </w:r>
          </w:hyperlink>
        </w:p>
        <w:p w14:paraId="5E175D4B" w14:textId="40D0E10E"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4" w:history="1">
            <w:r w:rsidRPr="00263663">
              <w:rPr>
                <w:rStyle w:val="Hyperlink"/>
                <w:rFonts w:cs="Arial"/>
                <w:noProof/>
              </w:rPr>
              <w:t>5. Other therapeutic goods listed in the ARTG</w:t>
            </w:r>
            <w:r>
              <w:rPr>
                <w:noProof/>
                <w:webHidden/>
              </w:rPr>
              <w:tab/>
            </w:r>
            <w:r>
              <w:rPr>
                <w:noProof/>
                <w:webHidden/>
              </w:rPr>
              <w:fldChar w:fldCharType="begin"/>
            </w:r>
            <w:r>
              <w:rPr>
                <w:noProof/>
                <w:webHidden/>
              </w:rPr>
              <w:instrText xml:space="preserve"> PAGEREF _Toc233286924 \h </w:instrText>
            </w:r>
            <w:r>
              <w:rPr>
                <w:noProof/>
                <w:webHidden/>
              </w:rPr>
            </w:r>
            <w:r>
              <w:rPr>
                <w:noProof/>
                <w:webHidden/>
              </w:rPr>
              <w:fldChar w:fldCharType="separate"/>
            </w:r>
            <w:r>
              <w:rPr>
                <w:noProof/>
                <w:webHidden/>
              </w:rPr>
              <w:t>12</w:t>
            </w:r>
            <w:r>
              <w:rPr>
                <w:noProof/>
                <w:webHidden/>
              </w:rPr>
              <w:fldChar w:fldCharType="end"/>
            </w:r>
          </w:hyperlink>
        </w:p>
        <w:p w14:paraId="4162F238" w14:textId="1FB0B3E5"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5" w:history="1">
            <w:r w:rsidRPr="00263663">
              <w:rPr>
                <w:rStyle w:val="Hyperlink"/>
                <w:rFonts w:cs="Arial"/>
                <w:noProof/>
              </w:rPr>
              <w:t>6. Biologicals</w:t>
            </w:r>
            <w:r>
              <w:rPr>
                <w:noProof/>
                <w:webHidden/>
              </w:rPr>
              <w:tab/>
            </w:r>
            <w:r>
              <w:rPr>
                <w:noProof/>
                <w:webHidden/>
              </w:rPr>
              <w:fldChar w:fldCharType="begin"/>
            </w:r>
            <w:r>
              <w:rPr>
                <w:noProof/>
                <w:webHidden/>
              </w:rPr>
              <w:instrText xml:space="preserve"> PAGEREF _Toc233286925 \h </w:instrText>
            </w:r>
            <w:r>
              <w:rPr>
                <w:noProof/>
                <w:webHidden/>
              </w:rPr>
            </w:r>
            <w:r>
              <w:rPr>
                <w:noProof/>
                <w:webHidden/>
              </w:rPr>
              <w:fldChar w:fldCharType="separate"/>
            </w:r>
            <w:r>
              <w:rPr>
                <w:noProof/>
                <w:webHidden/>
              </w:rPr>
              <w:t>12</w:t>
            </w:r>
            <w:r>
              <w:rPr>
                <w:noProof/>
                <w:webHidden/>
              </w:rPr>
              <w:fldChar w:fldCharType="end"/>
            </w:r>
          </w:hyperlink>
        </w:p>
        <w:p w14:paraId="0BF31E5F" w14:textId="5A03E1CA"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6" w:history="1">
            <w:r w:rsidRPr="00263663">
              <w:rPr>
                <w:rStyle w:val="Hyperlink"/>
                <w:rFonts w:cs="Arial"/>
                <w:noProof/>
              </w:rPr>
              <w:t>7. Blood and blood components</w:t>
            </w:r>
            <w:r>
              <w:rPr>
                <w:noProof/>
                <w:webHidden/>
              </w:rPr>
              <w:tab/>
            </w:r>
            <w:r>
              <w:rPr>
                <w:noProof/>
                <w:webHidden/>
              </w:rPr>
              <w:fldChar w:fldCharType="begin"/>
            </w:r>
            <w:r>
              <w:rPr>
                <w:noProof/>
                <w:webHidden/>
              </w:rPr>
              <w:instrText xml:space="preserve"> PAGEREF _Toc233286926 \h </w:instrText>
            </w:r>
            <w:r>
              <w:rPr>
                <w:noProof/>
                <w:webHidden/>
              </w:rPr>
            </w:r>
            <w:r>
              <w:rPr>
                <w:noProof/>
                <w:webHidden/>
              </w:rPr>
              <w:fldChar w:fldCharType="separate"/>
            </w:r>
            <w:r>
              <w:rPr>
                <w:noProof/>
                <w:webHidden/>
              </w:rPr>
              <w:t>13</w:t>
            </w:r>
            <w:r>
              <w:rPr>
                <w:noProof/>
                <w:webHidden/>
              </w:rPr>
              <w:fldChar w:fldCharType="end"/>
            </w:r>
          </w:hyperlink>
        </w:p>
        <w:p w14:paraId="08E0D5B1" w14:textId="4C8A6576"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7" w:history="1">
            <w:r w:rsidRPr="00263663">
              <w:rPr>
                <w:rStyle w:val="Hyperlink"/>
                <w:rFonts w:cs="Arial"/>
                <w:noProof/>
              </w:rPr>
              <w:t>8. Patient access to unapproved therapeutic goods</w:t>
            </w:r>
            <w:r>
              <w:rPr>
                <w:noProof/>
                <w:webHidden/>
              </w:rPr>
              <w:tab/>
            </w:r>
            <w:r>
              <w:rPr>
                <w:noProof/>
                <w:webHidden/>
              </w:rPr>
              <w:fldChar w:fldCharType="begin"/>
            </w:r>
            <w:r>
              <w:rPr>
                <w:noProof/>
                <w:webHidden/>
              </w:rPr>
              <w:instrText xml:space="preserve"> PAGEREF _Toc233286927 \h </w:instrText>
            </w:r>
            <w:r>
              <w:rPr>
                <w:noProof/>
                <w:webHidden/>
              </w:rPr>
            </w:r>
            <w:r>
              <w:rPr>
                <w:noProof/>
                <w:webHidden/>
              </w:rPr>
              <w:fldChar w:fldCharType="separate"/>
            </w:r>
            <w:r>
              <w:rPr>
                <w:noProof/>
                <w:webHidden/>
              </w:rPr>
              <w:t>13</w:t>
            </w:r>
            <w:r>
              <w:rPr>
                <w:noProof/>
                <w:webHidden/>
              </w:rPr>
              <w:fldChar w:fldCharType="end"/>
            </w:r>
          </w:hyperlink>
        </w:p>
        <w:p w14:paraId="34729D1A" w14:textId="1D92A776"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28" w:history="1">
            <w:r w:rsidRPr="00263663">
              <w:rPr>
                <w:rStyle w:val="Hyperlink"/>
                <w:rFonts w:cs="Arial"/>
                <w:noProof/>
              </w:rPr>
              <w:t>9. Orphan drug program</w:t>
            </w:r>
            <w:r>
              <w:rPr>
                <w:noProof/>
                <w:webHidden/>
              </w:rPr>
              <w:tab/>
            </w:r>
            <w:r>
              <w:rPr>
                <w:noProof/>
                <w:webHidden/>
              </w:rPr>
              <w:fldChar w:fldCharType="begin"/>
            </w:r>
            <w:r>
              <w:rPr>
                <w:noProof/>
                <w:webHidden/>
              </w:rPr>
              <w:instrText xml:space="preserve"> PAGEREF _Toc233286928 \h </w:instrText>
            </w:r>
            <w:r>
              <w:rPr>
                <w:noProof/>
                <w:webHidden/>
              </w:rPr>
            </w:r>
            <w:r>
              <w:rPr>
                <w:noProof/>
                <w:webHidden/>
              </w:rPr>
              <w:fldChar w:fldCharType="separate"/>
            </w:r>
            <w:r>
              <w:rPr>
                <w:noProof/>
                <w:webHidden/>
              </w:rPr>
              <w:t>14</w:t>
            </w:r>
            <w:r>
              <w:rPr>
                <w:noProof/>
                <w:webHidden/>
              </w:rPr>
              <w:fldChar w:fldCharType="end"/>
            </w:r>
          </w:hyperlink>
        </w:p>
        <w:p w14:paraId="2C01B1F5" w14:textId="13050242"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29" w:history="1">
            <w:r w:rsidRPr="00263663">
              <w:rPr>
                <w:rStyle w:val="Hyperlink"/>
                <w:rFonts w:cs="Arial"/>
                <w:noProof/>
              </w:rPr>
              <w:t>B: Compliance, monitoring and enforcement</w:t>
            </w:r>
            <w:r>
              <w:rPr>
                <w:noProof/>
                <w:webHidden/>
              </w:rPr>
              <w:tab/>
            </w:r>
            <w:r>
              <w:rPr>
                <w:noProof/>
                <w:webHidden/>
              </w:rPr>
              <w:fldChar w:fldCharType="begin"/>
            </w:r>
            <w:r>
              <w:rPr>
                <w:noProof/>
                <w:webHidden/>
              </w:rPr>
              <w:instrText xml:space="preserve"> PAGEREF _Toc233286929 \h </w:instrText>
            </w:r>
            <w:r>
              <w:rPr>
                <w:noProof/>
                <w:webHidden/>
              </w:rPr>
            </w:r>
            <w:r>
              <w:rPr>
                <w:noProof/>
                <w:webHidden/>
              </w:rPr>
              <w:fldChar w:fldCharType="separate"/>
            </w:r>
            <w:r>
              <w:rPr>
                <w:noProof/>
                <w:webHidden/>
              </w:rPr>
              <w:t>15</w:t>
            </w:r>
            <w:r>
              <w:rPr>
                <w:noProof/>
                <w:webHidden/>
              </w:rPr>
              <w:fldChar w:fldCharType="end"/>
            </w:r>
          </w:hyperlink>
        </w:p>
        <w:p w14:paraId="5814D0BB" w14:textId="6D05D6B9"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0" w:history="1">
            <w:r w:rsidRPr="00263663">
              <w:rPr>
                <w:rStyle w:val="Hyperlink"/>
                <w:rFonts w:cs="Arial"/>
                <w:noProof/>
              </w:rPr>
              <w:t>Risk-based compliance and monitoring</w:t>
            </w:r>
            <w:r>
              <w:rPr>
                <w:noProof/>
                <w:webHidden/>
              </w:rPr>
              <w:tab/>
            </w:r>
            <w:r>
              <w:rPr>
                <w:noProof/>
                <w:webHidden/>
              </w:rPr>
              <w:fldChar w:fldCharType="begin"/>
            </w:r>
            <w:r>
              <w:rPr>
                <w:noProof/>
                <w:webHidden/>
              </w:rPr>
              <w:instrText xml:space="preserve"> PAGEREF _Toc233286930 \h </w:instrText>
            </w:r>
            <w:r>
              <w:rPr>
                <w:noProof/>
                <w:webHidden/>
              </w:rPr>
            </w:r>
            <w:r>
              <w:rPr>
                <w:noProof/>
                <w:webHidden/>
              </w:rPr>
              <w:fldChar w:fldCharType="separate"/>
            </w:r>
            <w:r>
              <w:rPr>
                <w:noProof/>
                <w:webHidden/>
              </w:rPr>
              <w:t>15</w:t>
            </w:r>
            <w:r>
              <w:rPr>
                <w:noProof/>
                <w:webHidden/>
              </w:rPr>
              <w:fldChar w:fldCharType="end"/>
            </w:r>
          </w:hyperlink>
        </w:p>
        <w:p w14:paraId="31986FC6" w14:textId="14B1E2C2"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1" w:history="1">
            <w:r w:rsidRPr="00263663">
              <w:rPr>
                <w:rStyle w:val="Hyperlink"/>
                <w:rFonts w:cs="Arial"/>
                <w:noProof/>
              </w:rPr>
              <w:t>Approach to surveillance</w:t>
            </w:r>
            <w:r>
              <w:rPr>
                <w:noProof/>
                <w:webHidden/>
              </w:rPr>
              <w:tab/>
            </w:r>
            <w:r>
              <w:rPr>
                <w:noProof/>
                <w:webHidden/>
              </w:rPr>
              <w:fldChar w:fldCharType="begin"/>
            </w:r>
            <w:r>
              <w:rPr>
                <w:noProof/>
                <w:webHidden/>
              </w:rPr>
              <w:instrText xml:space="preserve"> PAGEREF _Toc233286931 \h </w:instrText>
            </w:r>
            <w:r>
              <w:rPr>
                <w:noProof/>
                <w:webHidden/>
              </w:rPr>
            </w:r>
            <w:r>
              <w:rPr>
                <w:noProof/>
                <w:webHidden/>
              </w:rPr>
              <w:fldChar w:fldCharType="separate"/>
            </w:r>
            <w:r>
              <w:rPr>
                <w:noProof/>
                <w:webHidden/>
              </w:rPr>
              <w:t>15</w:t>
            </w:r>
            <w:r>
              <w:rPr>
                <w:noProof/>
                <w:webHidden/>
              </w:rPr>
              <w:fldChar w:fldCharType="end"/>
            </w:r>
          </w:hyperlink>
        </w:p>
        <w:p w14:paraId="4004D09A" w14:textId="61E359FD"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2" w:history="1">
            <w:r w:rsidRPr="00263663">
              <w:rPr>
                <w:rStyle w:val="Hyperlink"/>
                <w:rFonts w:cs="Arial"/>
                <w:noProof/>
              </w:rPr>
              <w:t>Approach to compliance and enforcement</w:t>
            </w:r>
            <w:r>
              <w:rPr>
                <w:noProof/>
                <w:webHidden/>
              </w:rPr>
              <w:tab/>
            </w:r>
            <w:r>
              <w:rPr>
                <w:noProof/>
                <w:webHidden/>
              </w:rPr>
              <w:fldChar w:fldCharType="begin"/>
            </w:r>
            <w:r>
              <w:rPr>
                <w:noProof/>
                <w:webHidden/>
              </w:rPr>
              <w:instrText xml:space="preserve"> PAGEREF _Toc233286932 \h </w:instrText>
            </w:r>
            <w:r>
              <w:rPr>
                <w:noProof/>
                <w:webHidden/>
              </w:rPr>
            </w:r>
            <w:r>
              <w:rPr>
                <w:noProof/>
                <w:webHidden/>
              </w:rPr>
              <w:fldChar w:fldCharType="separate"/>
            </w:r>
            <w:r>
              <w:rPr>
                <w:noProof/>
                <w:webHidden/>
              </w:rPr>
              <w:t>15</w:t>
            </w:r>
            <w:r>
              <w:rPr>
                <w:noProof/>
                <w:webHidden/>
              </w:rPr>
              <w:fldChar w:fldCharType="end"/>
            </w:r>
          </w:hyperlink>
        </w:p>
        <w:p w14:paraId="13C37D56" w14:textId="20C52F4B"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3" w:history="1">
            <w:r w:rsidRPr="00263663">
              <w:rPr>
                <w:rStyle w:val="Hyperlink"/>
                <w:rFonts w:cs="Arial"/>
                <w:noProof/>
              </w:rPr>
              <w:t>Regulatory education for industry</w:t>
            </w:r>
            <w:r>
              <w:rPr>
                <w:noProof/>
                <w:webHidden/>
              </w:rPr>
              <w:tab/>
            </w:r>
            <w:r>
              <w:rPr>
                <w:noProof/>
                <w:webHidden/>
              </w:rPr>
              <w:fldChar w:fldCharType="begin"/>
            </w:r>
            <w:r>
              <w:rPr>
                <w:noProof/>
                <w:webHidden/>
              </w:rPr>
              <w:instrText xml:space="preserve"> PAGEREF _Toc233286933 \h </w:instrText>
            </w:r>
            <w:r>
              <w:rPr>
                <w:noProof/>
                <w:webHidden/>
              </w:rPr>
            </w:r>
            <w:r>
              <w:rPr>
                <w:noProof/>
                <w:webHidden/>
              </w:rPr>
              <w:fldChar w:fldCharType="separate"/>
            </w:r>
            <w:r>
              <w:rPr>
                <w:noProof/>
                <w:webHidden/>
              </w:rPr>
              <w:t>16</w:t>
            </w:r>
            <w:r>
              <w:rPr>
                <w:noProof/>
                <w:webHidden/>
              </w:rPr>
              <w:fldChar w:fldCharType="end"/>
            </w:r>
          </w:hyperlink>
        </w:p>
        <w:p w14:paraId="4DAC1A78" w14:textId="6510078D"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4" w:history="1">
            <w:r w:rsidRPr="00263663">
              <w:rPr>
                <w:rStyle w:val="Hyperlink"/>
                <w:rFonts w:cs="Arial"/>
                <w:noProof/>
              </w:rPr>
              <w:t>Prioritisation of compliance and enforcement matters</w:t>
            </w:r>
            <w:r>
              <w:rPr>
                <w:noProof/>
                <w:webHidden/>
              </w:rPr>
              <w:tab/>
            </w:r>
            <w:r>
              <w:rPr>
                <w:noProof/>
                <w:webHidden/>
              </w:rPr>
              <w:fldChar w:fldCharType="begin"/>
            </w:r>
            <w:r>
              <w:rPr>
                <w:noProof/>
                <w:webHidden/>
              </w:rPr>
              <w:instrText xml:space="preserve"> PAGEREF _Toc233286934 \h </w:instrText>
            </w:r>
            <w:r>
              <w:rPr>
                <w:noProof/>
                <w:webHidden/>
              </w:rPr>
            </w:r>
            <w:r>
              <w:rPr>
                <w:noProof/>
                <w:webHidden/>
              </w:rPr>
              <w:fldChar w:fldCharType="separate"/>
            </w:r>
            <w:r>
              <w:rPr>
                <w:noProof/>
                <w:webHidden/>
              </w:rPr>
              <w:t>16</w:t>
            </w:r>
            <w:r>
              <w:rPr>
                <w:noProof/>
                <w:webHidden/>
              </w:rPr>
              <w:fldChar w:fldCharType="end"/>
            </w:r>
          </w:hyperlink>
        </w:p>
        <w:p w14:paraId="5E803958" w14:textId="6C8621A9"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5" w:history="1">
            <w:r w:rsidRPr="00263663">
              <w:rPr>
                <w:rStyle w:val="Hyperlink"/>
                <w:rFonts w:cs="Arial"/>
                <w:noProof/>
              </w:rPr>
              <w:t>Other agencies</w:t>
            </w:r>
            <w:r>
              <w:rPr>
                <w:noProof/>
                <w:webHidden/>
              </w:rPr>
              <w:tab/>
            </w:r>
            <w:r>
              <w:rPr>
                <w:noProof/>
                <w:webHidden/>
              </w:rPr>
              <w:fldChar w:fldCharType="begin"/>
            </w:r>
            <w:r>
              <w:rPr>
                <w:noProof/>
                <w:webHidden/>
              </w:rPr>
              <w:instrText xml:space="preserve"> PAGEREF _Toc233286935 \h </w:instrText>
            </w:r>
            <w:r>
              <w:rPr>
                <w:noProof/>
                <w:webHidden/>
              </w:rPr>
            </w:r>
            <w:r>
              <w:rPr>
                <w:noProof/>
                <w:webHidden/>
              </w:rPr>
              <w:fldChar w:fldCharType="separate"/>
            </w:r>
            <w:r>
              <w:rPr>
                <w:noProof/>
                <w:webHidden/>
              </w:rPr>
              <w:t>17</w:t>
            </w:r>
            <w:r>
              <w:rPr>
                <w:noProof/>
                <w:webHidden/>
              </w:rPr>
              <w:fldChar w:fldCharType="end"/>
            </w:r>
          </w:hyperlink>
        </w:p>
        <w:p w14:paraId="7824D74E" w14:textId="7EA5223A"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6" w:history="1">
            <w:r w:rsidRPr="00263663">
              <w:rPr>
                <w:rStyle w:val="Hyperlink"/>
                <w:rFonts w:cs="Arial"/>
                <w:noProof/>
              </w:rPr>
              <w:t>Therapeutic Goods Advertising</w:t>
            </w:r>
            <w:r>
              <w:rPr>
                <w:noProof/>
                <w:webHidden/>
              </w:rPr>
              <w:tab/>
            </w:r>
            <w:r>
              <w:rPr>
                <w:noProof/>
                <w:webHidden/>
              </w:rPr>
              <w:fldChar w:fldCharType="begin"/>
            </w:r>
            <w:r>
              <w:rPr>
                <w:noProof/>
                <w:webHidden/>
              </w:rPr>
              <w:instrText xml:space="preserve"> PAGEREF _Toc233286936 \h </w:instrText>
            </w:r>
            <w:r>
              <w:rPr>
                <w:noProof/>
                <w:webHidden/>
              </w:rPr>
            </w:r>
            <w:r>
              <w:rPr>
                <w:noProof/>
                <w:webHidden/>
              </w:rPr>
              <w:fldChar w:fldCharType="separate"/>
            </w:r>
            <w:r>
              <w:rPr>
                <w:noProof/>
                <w:webHidden/>
              </w:rPr>
              <w:t>17</w:t>
            </w:r>
            <w:r>
              <w:rPr>
                <w:noProof/>
                <w:webHidden/>
              </w:rPr>
              <w:fldChar w:fldCharType="end"/>
            </w:r>
          </w:hyperlink>
        </w:p>
        <w:p w14:paraId="3864D295" w14:textId="5F87EAA0"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7" w:history="1">
            <w:r w:rsidRPr="00263663">
              <w:rPr>
                <w:rStyle w:val="Hyperlink"/>
                <w:rFonts w:cs="Arial"/>
                <w:noProof/>
              </w:rPr>
              <w:t>Advertising Education</w:t>
            </w:r>
            <w:r>
              <w:rPr>
                <w:noProof/>
                <w:webHidden/>
              </w:rPr>
              <w:tab/>
            </w:r>
            <w:r>
              <w:rPr>
                <w:noProof/>
                <w:webHidden/>
              </w:rPr>
              <w:fldChar w:fldCharType="begin"/>
            </w:r>
            <w:r>
              <w:rPr>
                <w:noProof/>
                <w:webHidden/>
              </w:rPr>
              <w:instrText xml:space="preserve"> PAGEREF _Toc233286937 \h </w:instrText>
            </w:r>
            <w:r>
              <w:rPr>
                <w:noProof/>
                <w:webHidden/>
              </w:rPr>
            </w:r>
            <w:r>
              <w:rPr>
                <w:noProof/>
                <w:webHidden/>
              </w:rPr>
              <w:fldChar w:fldCharType="separate"/>
            </w:r>
            <w:r>
              <w:rPr>
                <w:noProof/>
                <w:webHidden/>
              </w:rPr>
              <w:t>17</w:t>
            </w:r>
            <w:r>
              <w:rPr>
                <w:noProof/>
                <w:webHidden/>
              </w:rPr>
              <w:fldChar w:fldCharType="end"/>
            </w:r>
          </w:hyperlink>
        </w:p>
        <w:p w14:paraId="0EEF72BA" w14:textId="62FAA13F"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38" w:history="1">
            <w:r w:rsidRPr="00263663">
              <w:rPr>
                <w:rStyle w:val="Hyperlink"/>
                <w:rFonts w:cs="Arial"/>
                <w:noProof/>
              </w:rPr>
              <w:t>C: Regulation of manufacturers of therapeutic goods</w:t>
            </w:r>
            <w:r>
              <w:rPr>
                <w:noProof/>
                <w:webHidden/>
              </w:rPr>
              <w:tab/>
            </w:r>
            <w:r>
              <w:rPr>
                <w:noProof/>
                <w:webHidden/>
              </w:rPr>
              <w:fldChar w:fldCharType="begin"/>
            </w:r>
            <w:r>
              <w:rPr>
                <w:noProof/>
                <w:webHidden/>
              </w:rPr>
              <w:instrText xml:space="preserve"> PAGEREF _Toc233286938 \h </w:instrText>
            </w:r>
            <w:r>
              <w:rPr>
                <w:noProof/>
                <w:webHidden/>
              </w:rPr>
            </w:r>
            <w:r>
              <w:rPr>
                <w:noProof/>
                <w:webHidden/>
              </w:rPr>
              <w:fldChar w:fldCharType="separate"/>
            </w:r>
            <w:r>
              <w:rPr>
                <w:noProof/>
                <w:webHidden/>
              </w:rPr>
              <w:t>17</w:t>
            </w:r>
            <w:r>
              <w:rPr>
                <w:noProof/>
                <w:webHidden/>
              </w:rPr>
              <w:fldChar w:fldCharType="end"/>
            </w:r>
          </w:hyperlink>
        </w:p>
        <w:p w14:paraId="1310FFD2" w14:textId="24B704A2"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39" w:history="1">
            <w:r w:rsidRPr="00263663">
              <w:rPr>
                <w:rStyle w:val="Hyperlink"/>
                <w:rFonts w:cs="Arial"/>
                <w:noProof/>
              </w:rPr>
              <w:t>Good manufacturing practice</w:t>
            </w:r>
            <w:r>
              <w:rPr>
                <w:noProof/>
                <w:webHidden/>
              </w:rPr>
              <w:tab/>
            </w:r>
            <w:r>
              <w:rPr>
                <w:noProof/>
                <w:webHidden/>
              </w:rPr>
              <w:fldChar w:fldCharType="begin"/>
            </w:r>
            <w:r>
              <w:rPr>
                <w:noProof/>
                <w:webHidden/>
              </w:rPr>
              <w:instrText xml:space="preserve"> PAGEREF _Toc233286939 \h </w:instrText>
            </w:r>
            <w:r>
              <w:rPr>
                <w:noProof/>
                <w:webHidden/>
              </w:rPr>
            </w:r>
            <w:r>
              <w:rPr>
                <w:noProof/>
                <w:webHidden/>
              </w:rPr>
              <w:fldChar w:fldCharType="separate"/>
            </w:r>
            <w:r>
              <w:rPr>
                <w:noProof/>
                <w:webHidden/>
              </w:rPr>
              <w:t>17</w:t>
            </w:r>
            <w:r>
              <w:rPr>
                <w:noProof/>
                <w:webHidden/>
              </w:rPr>
              <w:fldChar w:fldCharType="end"/>
            </w:r>
          </w:hyperlink>
        </w:p>
        <w:p w14:paraId="0E32E240" w14:textId="66DF296C"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0" w:history="1">
            <w:r w:rsidRPr="00263663">
              <w:rPr>
                <w:rStyle w:val="Hyperlink"/>
                <w:rFonts w:cs="Arial"/>
                <w:noProof/>
              </w:rPr>
              <w:t>GMP related regulatory activities</w:t>
            </w:r>
            <w:r>
              <w:rPr>
                <w:noProof/>
                <w:webHidden/>
              </w:rPr>
              <w:tab/>
            </w:r>
            <w:r>
              <w:rPr>
                <w:noProof/>
                <w:webHidden/>
              </w:rPr>
              <w:fldChar w:fldCharType="begin"/>
            </w:r>
            <w:r>
              <w:rPr>
                <w:noProof/>
                <w:webHidden/>
              </w:rPr>
              <w:instrText xml:space="preserve"> PAGEREF _Toc233286940 \h </w:instrText>
            </w:r>
            <w:r>
              <w:rPr>
                <w:noProof/>
                <w:webHidden/>
              </w:rPr>
            </w:r>
            <w:r>
              <w:rPr>
                <w:noProof/>
                <w:webHidden/>
              </w:rPr>
              <w:fldChar w:fldCharType="separate"/>
            </w:r>
            <w:r>
              <w:rPr>
                <w:noProof/>
                <w:webHidden/>
              </w:rPr>
              <w:t>17</w:t>
            </w:r>
            <w:r>
              <w:rPr>
                <w:noProof/>
                <w:webHidden/>
              </w:rPr>
              <w:fldChar w:fldCharType="end"/>
            </w:r>
          </w:hyperlink>
        </w:p>
        <w:p w14:paraId="511E6540" w14:textId="6259D5F8"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41" w:history="1">
            <w:r w:rsidRPr="00263663">
              <w:rPr>
                <w:rStyle w:val="Hyperlink"/>
                <w:rFonts w:cs="Arial"/>
                <w:noProof/>
              </w:rPr>
              <w:t>D: Clinical trials</w:t>
            </w:r>
            <w:r>
              <w:rPr>
                <w:noProof/>
                <w:webHidden/>
              </w:rPr>
              <w:tab/>
            </w:r>
            <w:r>
              <w:rPr>
                <w:noProof/>
                <w:webHidden/>
              </w:rPr>
              <w:fldChar w:fldCharType="begin"/>
            </w:r>
            <w:r>
              <w:rPr>
                <w:noProof/>
                <w:webHidden/>
              </w:rPr>
              <w:instrText xml:space="preserve"> PAGEREF _Toc233286941 \h </w:instrText>
            </w:r>
            <w:r>
              <w:rPr>
                <w:noProof/>
                <w:webHidden/>
              </w:rPr>
            </w:r>
            <w:r>
              <w:rPr>
                <w:noProof/>
                <w:webHidden/>
              </w:rPr>
              <w:fldChar w:fldCharType="separate"/>
            </w:r>
            <w:r>
              <w:rPr>
                <w:noProof/>
                <w:webHidden/>
              </w:rPr>
              <w:t>18</w:t>
            </w:r>
            <w:r>
              <w:rPr>
                <w:noProof/>
                <w:webHidden/>
              </w:rPr>
              <w:fldChar w:fldCharType="end"/>
            </w:r>
          </w:hyperlink>
        </w:p>
        <w:p w14:paraId="161F2457" w14:textId="5F9F6A99"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42" w:history="1">
            <w:r w:rsidRPr="00263663">
              <w:rPr>
                <w:rStyle w:val="Hyperlink"/>
                <w:rFonts w:cs="Arial"/>
                <w:noProof/>
              </w:rPr>
              <w:t>Design of cost recovery charges</w:t>
            </w:r>
            <w:r>
              <w:rPr>
                <w:noProof/>
                <w:webHidden/>
              </w:rPr>
              <w:tab/>
            </w:r>
            <w:r>
              <w:rPr>
                <w:noProof/>
                <w:webHidden/>
              </w:rPr>
              <w:fldChar w:fldCharType="begin"/>
            </w:r>
            <w:r>
              <w:rPr>
                <w:noProof/>
                <w:webHidden/>
              </w:rPr>
              <w:instrText xml:space="preserve"> PAGEREF _Toc233286942 \h </w:instrText>
            </w:r>
            <w:r>
              <w:rPr>
                <w:noProof/>
                <w:webHidden/>
              </w:rPr>
            </w:r>
            <w:r>
              <w:rPr>
                <w:noProof/>
                <w:webHidden/>
              </w:rPr>
              <w:fldChar w:fldCharType="separate"/>
            </w:r>
            <w:r>
              <w:rPr>
                <w:noProof/>
                <w:webHidden/>
              </w:rPr>
              <w:t>19</w:t>
            </w:r>
            <w:r>
              <w:rPr>
                <w:noProof/>
                <w:webHidden/>
              </w:rPr>
              <w:fldChar w:fldCharType="end"/>
            </w:r>
          </w:hyperlink>
        </w:p>
        <w:p w14:paraId="43C1DA26" w14:textId="22ADBEED"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43" w:history="1">
            <w:r w:rsidRPr="00263663">
              <w:rPr>
                <w:rStyle w:val="Hyperlink"/>
                <w:rFonts w:cs="Arial"/>
                <w:noProof/>
              </w:rPr>
              <w:t>Costs of TGA activities</w:t>
            </w:r>
            <w:r>
              <w:rPr>
                <w:noProof/>
                <w:webHidden/>
              </w:rPr>
              <w:tab/>
            </w:r>
            <w:r>
              <w:rPr>
                <w:noProof/>
                <w:webHidden/>
              </w:rPr>
              <w:fldChar w:fldCharType="begin"/>
            </w:r>
            <w:r>
              <w:rPr>
                <w:noProof/>
                <w:webHidden/>
              </w:rPr>
              <w:instrText xml:space="preserve"> PAGEREF _Toc233286943 \h </w:instrText>
            </w:r>
            <w:r>
              <w:rPr>
                <w:noProof/>
                <w:webHidden/>
              </w:rPr>
            </w:r>
            <w:r>
              <w:rPr>
                <w:noProof/>
                <w:webHidden/>
              </w:rPr>
              <w:fldChar w:fldCharType="separate"/>
            </w:r>
            <w:r>
              <w:rPr>
                <w:noProof/>
                <w:webHidden/>
              </w:rPr>
              <w:t>19</w:t>
            </w:r>
            <w:r>
              <w:rPr>
                <w:noProof/>
                <w:webHidden/>
              </w:rPr>
              <w:fldChar w:fldCharType="end"/>
            </w:r>
          </w:hyperlink>
        </w:p>
        <w:p w14:paraId="7EDAB4A6" w14:textId="66950CA9"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4" w:history="1">
            <w:r w:rsidRPr="00263663">
              <w:rPr>
                <w:rStyle w:val="Hyperlink"/>
                <w:rFonts w:cs="Arial"/>
                <w:noProof/>
              </w:rPr>
              <w:t>Fees and charges</w:t>
            </w:r>
            <w:r>
              <w:rPr>
                <w:noProof/>
                <w:webHidden/>
              </w:rPr>
              <w:tab/>
            </w:r>
            <w:r>
              <w:rPr>
                <w:noProof/>
                <w:webHidden/>
              </w:rPr>
              <w:fldChar w:fldCharType="begin"/>
            </w:r>
            <w:r>
              <w:rPr>
                <w:noProof/>
                <w:webHidden/>
              </w:rPr>
              <w:instrText xml:space="preserve"> PAGEREF _Toc233286944 \h </w:instrText>
            </w:r>
            <w:r>
              <w:rPr>
                <w:noProof/>
                <w:webHidden/>
              </w:rPr>
            </w:r>
            <w:r>
              <w:rPr>
                <w:noProof/>
                <w:webHidden/>
              </w:rPr>
              <w:fldChar w:fldCharType="separate"/>
            </w:r>
            <w:r>
              <w:rPr>
                <w:noProof/>
                <w:webHidden/>
              </w:rPr>
              <w:t>20</w:t>
            </w:r>
            <w:r>
              <w:rPr>
                <w:noProof/>
                <w:webHidden/>
              </w:rPr>
              <w:fldChar w:fldCharType="end"/>
            </w:r>
          </w:hyperlink>
        </w:p>
        <w:p w14:paraId="27514422" w14:textId="2E0E373E"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45" w:history="1">
            <w:r w:rsidRPr="00263663">
              <w:rPr>
                <w:rStyle w:val="Hyperlink"/>
                <w:rFonts w:cs="Arial"/>
                <w:noProof/>
              </w:rPr>
              <w:t>2026-27 Fees and Charges</w:t>
            </w:r>
            <w:r>
              <w:rPr>
                <w:noProof/>
                <w:webHidden/>
              </w:rPr>
              <w:tab/>
            </w:r>
            <w:r>
              <w:rPr>
                <w:noProof/>
                <w:webHidden/>
              </w:rPr>
              <w:fldChar w:fldCharType="begin"/>
            </w:r>
            <w:r>
              <w:rPr>
                <w:noProof/>
                <w:webHidden/>
              </w:rPr>
              <w:instrText xml:space="preserve"> PAGEREF _Toc233286945 \h </w:instrText>
            </w:r>
            <w:r>
              <w:rPr>
                <w:noProof/>
                <w:webHidden/>
              </w:rPr>
            </w:r>
            <w:r>
              <w:rPr>
                <w:noProof/>
                <w:webHidden/>
              </w:rPr>
              <w:fldChar w:fldCharType="separate"/>
            </w:r>
            <w:r>
              <w:rPr>
                <w:noProof/>
                <w:webHidden/>
              </w:rPr>
              <w:t>20</w:t>
            </w:r>
            <w:r>
              <w:rPr>
                <w:noProof/>
                <w:webHidden/>
              </w:rPr>
              <w:fldChar w:fldCharType="end"/>
            </w:r>
          </w:hyperlink>
        </w:p>
        <w:p w14:paraId="73AFA1B1" w14:textId="6A989798"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6" w:history="1">
            <w:r w:rsidRPr="00263663">
              <w:rPr>
                <w:rStyle w:val="Hyperlink"/>
                <w:rFonts w:cs="Arial"/>
                <w:noProof/>
              </w:rPr>
              <w:t>2026-27 cost pressures</w:t>
            </w:r>
            <w:r>
              <w:rPr>
                <w:noProof/>
                <w:webHidden/>
              </w:rPr>
              <w:tab/>
            </w:r>
            <w:r>
              <w:rPr>
                <w:noProof/>
                <w:webHidden/>
              </w:rPr>
              <w:fldChar w:fldCharType="begin"/>
            </w:r>
            <w:r>
              <w:rPr>
                <w:noProof/>
                <w:webHidden/>
              </w:rPr>
              <w:instrText xml:space="preserve"> PAGEREF _Toc233286946 \h </w:instrText>
            </w:r>
            <w:r>
              <w:rPr>
                <w:noProof/>
                <w:webHidden/>
              </w:rPr>
            </w:r>
            <w:r>
              <w:rPr>
                <w:noProof/>
                <w:webHidden/>
              </w:rPr>
              <w:fldChar w:fldCharType="separate"/>
            </w:r>
            <w:r>
              <w:rPr>
                <w:noProof/>
                <w:webHidden/>
              </w:rPr>
              <w:t>20</w:t>
            </w:r>
            <w:r>
              <w:rPr>
                <w:noProof/>
                <w:webHidden/>
              </w:rPr>
              <w:fldChar w:fldCharType="end"/>
            </w:r>
          </w:hyperlink>
        </w:p>
        <w:p w14:paraId="33DAFF3C" w14:textId="484EE226"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7" w:history="1">
            <w:r w:rsidRPr="00263663">
              <w:rPr>
                <w:rStyle w:val="Hyperlink"/>
                <w:rFonts w:cs="Arial"/>
                <w:noProof/>
              </w:rPr>
              <w:t>Indexation factor</w:t>
            </w:r>
            <w:r>
              <w:rPr>
                <w:noProof/>
                <w:webHidden/>
              </w:rPr>
              <w:tab/>
            </w:r>
            <w:r>
              <w:rPr>
                <w:noProof/>
                <w:webHidden/>
              </w:rPr>
              <w:fldChar w:fldCharType="begin"/>
            </w:r>
            <w:r>
              <w:rPr>
                <w:noProof/>
                <w:webHidden/>
              </w:rPr>
              <w:instrText xml:space="preserve"> PAGEREF _Toc233286947 \h </w:instrText>
            </w:r>
            <w:r>
              <w:rPr>
                <w:noProof/>
                <w:webHidden/>
              </w:rPr>
            </w:r>
            <w:r>
              <w:rPr>
                <w:noProof/>
                <w:webHidden/>
              </w:rPr>
              <w:fldChar w:fldCharType="separate"/>
            </w:r>
            <w:r>
              <w:rPr>
                <w:noProof/>
                <w:webHidden/>
              </w:rPr>
              <w:t>21</w:t>
            </w:r>
            <w:r>
              <w:rPr>
                <w:noProof/>
                <w:webHidden/>
              </w:rPr>
              <w:fldChar w:fldCharType="end"/>
            </w:r>
          </w:hyperlink>
        </w:p>
        <w:p w14:paraId="737E650E" w14:textId="5258FC18"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8" w:history="1">
            <w:r w:rsidRPr="00263663">
              <w:rPr>
                <w:rStyle w:val="Hyperlink"/>
                <w:rFonts w:cs="Arial"/>
                <w:noProof/>
              </w:rPr>
              <w:t>Options for changes to fees and charges</w:t>
            </w:r>
            <w:r>
              <w:rPr>
                <w:noProof/>
                <w:webHidden/>
              </w:rPr>
              <w:tab/>
            </w:r>
            <w:r>
              <w:rPr>
                <w:noProof/>
                <w:webHidden/>
              </w:rPr>
              <w:fldChar w:fldCharType="begin"/>
            </w:r>
            <w:r>
              <w:rPr>
                <w:noProof/>
                <w:webHidden/>
              </w:rPr>
              <w:instrText xml:space="preserve"> PAGEREF _Toc233286948 \h </w:instrText>
            </w:r>
            <w:r>
              <w:rPr>
                <w:noProof/>
                <w:webHidden/>
              </w:rPr>
            </w:r>
            <w:r>
              <w:rPr>
                <w:noProof/>
                <w:webHidden/>
              </w:rPr>
              <w:fldChar w:fldCharType="separate"/>
            </w:r>
            <w:r>
              <w:rPr>
                <w:noProof/>
                <w:webHidden/>
              </w:rPr>
              <w:t>21</w:t>
            </w:r>
            <w:r>
              <w:rPr>
                <w:noProof/>
                <w:webHidden/>
              </w:rPr>
              <w:fldChar w:fldCharType="end"/>
            </w:r>
          </w:hyperlink>
        </w:p>
        <w:p w14:paraId="52F7B622" w14:textId="4227A0A2"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49" w:history="1">
            <w:r w:rsidRPr="00263663">
              <w:rPr>
                <w:rStyle w:val="Hyperlink"/>
                <w:rFonts w:cs="Arial"/>
                <w:noProof/>
              </w:rPr>
              <w:t>Government decision</w:t>
            </w:r>
            <w:r>
              <w:rPr>
                <w:noProof/>
                <w:webHidden/>
              </w:rPr>
              <w:tab/>
            </w:r>
            <w:r>
              <w:rPr>
                <w:noProof/>
                <w:webHidden/>
              </w:rPr>
              <w:fldChar w:fldCharType="begin"/>
            </w:r>
            <w:r>
              <w:rPr>
                <w:noProof/>
                <w:webHidden/>
              </w:rPr>
              <w:instrText xml:space="preserve"> PAGEREF _Toc233286949 \h </w:instrText>
            </w:r>
            <w:r>
              <w:rPr>
                <w:noProof/>
                <w:webHidden/>
              </w:rPr>
            </w:r>
            <w:r>
              <w:rPr>
                <w:noProof/>
                <w:webHidden/>
              </w:rPr>
              <w:fldChar w:fldCharType="separate"/>
            </w:r>
            <w:r>
              <w:rPr>
                <w:noProof/>
                <w:webHidden/>
              </w:rPr>
              <w:t>21</w:t>
            </w:r>
            <w:r>
              <w:rPr>
                <w:noProof/>
                <w:webHidden/>
              </w:rPr>
              <w:fldChar w:fldCharType="end"/>
            </w:r>
          </w:hyperlink>
        </w:p>
        <w:p w14:paraId="04130D7F" w14:textId="0E278663" w:rsidR="00B751A1" w:rsidRDefault="00B751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286950" w:history="1">
            <w:r w:rsidRPr="00263663">
              <w:rPr>
                <w:rStyle w:val="Hyperlink"/>
                <w:rFonts w:cs="Arial"/>
                <w:noProof/>
              </w:rPr>
              <w:t>Reduced fees for UDI-specific Consents to Supply applications</w:t>
            </w:r>
            <w:r>
              <w:rPr>
                <w:noProof/>
                <w:webHidden/>
              </w:rPr>
              <w:tab/>
            </w:r>
            <w:r>
              <w:rPr>
                <w:noProof/>
                <w:webHidden/>
              </w:rPr>
              <w:fldChar w:fldCharType="begin"/>
            </w:r>
            <w:r>
              <w:rPr>
                <w:noProof/>
                <w:webHidden/>
              </w:rPr>
              <w:instrText xml:space="preserve"> PAGEREF _Toc233286950 \h </w:instrText>
            </w:r>
            <w:r>
              <w:rPr>
                <w:noProof/>
                <w:webHidden/>
              </w:rPr>
            </w:r>
            <w:r>
              <w:rPr>
                <w:noProof/>
                <w:webHidden/>
              </w:rPr>
              <w:fldChar w:fldCharType="separate"/>
            </w:r>
            <w:r>
              <w:rPr>
                <w:noProof/>
                <w:webHidden/>
              </w:rPr>
              <w:t>22</w:t>
            </w:r>
            <w:r>
              <w:rPr>
                <w:noProof/>
                <w:webHidden/>
              </w:rPr>
              <w:fldChar w:fldCharType="end"/>
            </w:r>
          </w:hyperlink>
        </w:p>
        <w:p w14:paraId="69F97E20" w14:textId="519862A2"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51" w:history="1">
            <w:r w:rsidRPr="00263663">
              <w:rPr>
                <w:rStyle w:val="Hyperlink"/>
                <w:rFonts w:cs="Arial"/>
                <w:noProof/>
              </w:rPr>
              <w:t>Risk Assessment</w:t>
            </w:r>
            <w:r>
              <w:rPr>
                <w:noProof/>
                <w:webHidden/>
              </w:rPr>
              <w:tab/>
            </w:r>
            <w:r>
              <w:rPr>
                <w:noProof/>
                <w:webHidden/>
              </w:rPr>
              <w:fldChar w:fldCharType="begin"/>
            </w:r>
            <w:r>
              <w:rPr>
                <w:noProof/>
                <w:webHidden/>
              </w:rPr>
              <w:instrText xml:space="preserve"> PAGEREF _Toc233286951 \h </w:instrText>
            </w:r>
            <w:r>
              <w:rPr>
                <w:noProof/>
                <w:webHidden/>
              </w:rPr>
            </w:r>
            <w:r>
              <w:rPr>
                <w:noProof/>
                <w:webHidden/>
              </w:rPr>
              <w:fldChar w:fldCharType="separate"/>
            </w:r>
            <w:r>
              <w:rPr>
                <w:noProof/>
                <w:webHidden/>
              </w:rPr>
              <w:t>23</w:t>
            </w:r>
            <w:r>
              <w:rPr>
                <w:noProof/>
                <w:webHidden/>
              </w:rPr>
              <w:fldChar w:fldCharType="end"/>
            </w:r>
          </w:hyperlink>
        </w:p>
        <w:p w14:paraId="23688C49" w14:textId="2A3D6025"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52" w:history="1">
            <w:r w:rsidRPr="00263663">
              <w:rPr>
                <w:rStyle w:val="Hyperlink"/>
                <w:rFonts w:cs="Arial"/>
                <w:noProof/>
              </w:rPr>
              <w:t>Stakeholder consultation on setting of fees and charges</w:t>
            </w:r>
            <w:r>
              <w:rPr>
                <w:noProof/>
                <w:webHidden/>
              </w:rPr>
              <w:tab/>
            </w:r>
            <w:r>
              <w:rPr>
                <w:noProof/>
                <w:webHidden/>
              </w:rPr>
              <w:fldChar w:fldCharType="begin"/>
            </w:r>
            <w:r>
              <w:rPr>
                <w:noProof/>
                <w:webHidden/>
              </w:rPr>
              <w:instrText xml:space="preserve"> PAGEREF _Toc233286952 \h </w:instrText>
            </w:r>
            <w:r>
              <w:rPr>
                <w:noProof/>
                <w:webHidden/>
              </w:rPr>
            </w:r>
            <w:r>
              <w:rPr>
                <w:noProof/>
                <w:webHidden/>
              </w:rPr>
              <w:fldChar w:fldCharType="separate"/>
            </w:r>
            <w:r>
              <w:rPr>
                <w:noProof/>
                <w:webHidden/>
              </w:rPr>
              <w:t>24</w:t>
            </w:r>
            <w:r>
              <w:rPr>
                <w:noProof/>
                <w:webHidden/>
              </w:rPr>
              <w:fldChar w:fldCharType="end"/>
            </w:r>
          </w:hyperlink>
        </w:p>
        <w:p w14:paraId="7CDA8D41" w14:textId="44D1F878"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53" w:history="1">
            <w:r w:rsidRPr="00263663">
              <w:rPr>
                <w:rStyle w:val="Hyperlink"/>
                <w:rFonts w:cs="Arial"/>
                <w:noProof/>
              </w:rPr>
              <w:t>Stakeholder engagement strategy</w:t>
            </w:r>
            <w:r>
              <w:rPr>
                <w:noProof/>
                <w:webHidden/>
              </w:rPr>
              <w:tab/>
            </w:r>
            <w:r>
              <w:rPr>
                <w:noProof/>
                <w:webHidden/>
              </w:rPr>
              <w:fldChar w:fldCharType="begin"/>
            </w:r>
            <w:r>
              <w:rPr>
                <w:noProof/>
                <w:webHidden/>
              </w:rPr>
              <w:instrText xml:space="preserve"> PAGEREF _Toc233286953 \h </w:instrText>
            </w:r>
            <w:r>
              <w:rPr>
                <w:noProof/>
                <w:webHidden/>
              </w:rPr>
            </w:r>
            <w:r>
              <w:rPr>
                <w:noProof/>
                <w:webHidden/>
              </w:rPr>
              <w:fldChar w:fldCharType="separate"/>
            </w:r>
            <w:r>
              <w:rPr>
                <w:noProof/>
                <w:webHidden/>
              </w:rPr>
              <w:t>24</w:t>
            </w:r>
            <w:r>
              <w:rPr>
                <w:noProof/>
                <w:webHidden/>
              </w:rPr>
              <w:fldChar w:fldCharType="end"/>
            </w:r>
          </w:hyperlink>
        </w:p>
        <w:p w14:paraId="6769F46A" w14:textId="1BE8A3C3"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54" w:history="1">
            <w:r w:rsidRPr="00263663">
              <w:rPr>
                <w:rStyle w:val="Hyperlink"/>
                <w:rFonts w:cs="Arial"/>
                <w:noProof/>
              </w:rPr>
              <w:t>Consultation on the 2026-27 fees and charges</w:t>
            </w:r>
            <w:r>
              <w:rPr>
                <w:noProof/>
                <w:webHidden/>
              </w:rPr>
              <w:tab/>
            </w:r>
            <w:r>
              <w:rPr>
                <w:noProof/>
                <w:webHidden/>
              </w:rPr>
              <w:fldChar w:fldCharType="begin"/>
            </w:r>
            <w:r>
              <w:rPr>
                <w:noProof/>
                <w:webHidden/>
              </w:rPr>
              <w:instrText xml:space="preserve"> PAGEREF _Toc233286954 \h </w:instrText>
            </w:r>
            <w:r>
              <w:rPr>
                <w:noProof/>
                <w:webHidden/>
              </w:rPr>
            </w:r>
            <w:r>
              <w:rPr>
                <w:noProof/>
                <w:webHidden/>
              </w:rPr>
              <w:fldChar w:fldCharType="separate"/>
            </w:r>
            <w:r>
              <w:rPr>
                <w:noProof/>
                <w:webHidden/>
              </w:rPr>
              <w:t>25</w:t>
            </w:r>
            <w:r>
              <w:rPr>
                <w:noProof/>
                <w:webHidden/>
              </w:rPr>
              <w:fldChar w:fldCharType="end"/>
            </w:r>
          </w:hyperlink>
        </w:p>
        <w:p w14:paraId="66D285CF" w14:textId="78BF7314"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55" w:history="1">
            <w:r w:rsidRPr="00263663">
              <w:rPr>
                <w:rStyle w:val="Hyperlink"/>
                <w:rFonts w:cs="Arial"/>
                <w:noProof/>
              </w:rPr>
              <w:t>Financial and non-financial performance</w:t>
            </w:r>
            <w:r>
              <w:rPr>
                <w:noProof/>
                <w:webHidden/>
              </w:rPr>
              <w:tab/>
            </w:r>
            <w:r>
              <w:rPr>
                <w:noProof/>
                <w:webHidden/>
              </w:rPr>
              <w:fldChar w:fldCharType="begin"/>
            </w:r>
            <w:r>
              <w:rPr>
                <w:noProof/>
                <w:webHidden/>
              </w:rPr>
              <w:instrText xml:space="preserve"> PAGEREF _Toc233286955 \h </w:instrText>
            </w:r>
            <w:r>
              <w:rPr>
                <w:noProof/>
                <w:webHidden/>
              </w:rPr>
            </w:r>
            <w:r>
              <w:rPr>
                <w:noProof/>
                <w:webHidden/>
              </w:rPr>
              <w:fldChar w:fldCharType="separate"/>
            </w:r>
            <w:r>
              <w:rPr>
                <w:noProof/>
                <w:webHidden/>
              </w:rPr>
              <w:t>27</w:t>
            </w:r>
            <w:r>
              <w:rPr>
                <w:noProof/>
                <w:webHidden/>
              </w:rPr>
              <w:fldChar w:fldCharType="end"/>
            </w:r>
          </w:hyperlink>
        </w:p>
        <w:p w14:paraId="35644758" w14:textId="41CA494F"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56" w:history="1">
            <w:r w:rsidRPr="00263663">
              <w:rPr>
                <w:rStyle w:val="Hyperlink"/>
                <w:rFonts w:cs="Arial"/>
                <w:noProof/>
              </w:rPr>
              <w:t>a) Financial performance</w:t>
            </w:r>
            <w:r>
              <w:rPr>
                <w:noProof/>
                <w:webHidden/>
              </w:rPr>
              <w:tab/>
            </w:r>
            <w:r>
              <w:rPr>
                <w:noProof/>
                <w:webHidden/>
              </w:rPr>
              <w:fldChar w:fldCharType="begin"/>
            </w:r>
            <w:r>
              <w:rPr>
                <w:noProof/>
                <w:webHidden/>
              </w:rPr>
              <w:instrText xml:space="preserve"> PAGEREF _Toc233286956 \h </w:instrText>
            </w:r>
            <w:r>
              <w:rPr>
                <w:noProof/>
                <w:webHidden/>
              </w:rPr>
            </w:r>
            <w:r>
              <w:rPr>
                <w:noProof/>
                <w:webHidden/>
              </w:rPr>
              <w:fldChar w:fldCharType="separate"/>
            </w:r>
            <w:r>
              <w:rPr>
                <w:noProof/>
                <w:webHidden/>
              </w:rPr>
              <w:t>27</w:t>
            </w:r>
            <w:r>
              <w:rPr>
                <w:noProof/>
                <w:webHidden/>
              </w:rPr>
              <w:fldChar w:fldCharType="end"/>
            </w:r>
          </w:hyperlink>
        </w:p>
        <w:p w14:paraId="6311B915" w14:textId="12A16FF0" w:rsidR="00B751A1" w:rsidRDefault="00B751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286957" w:history="1">
            <w:r w:rsidRPr="00263663">
              <w:rPr>
                <w:rStyle w:val="Hyperlink"/>
                <w:rFonts w:cs="Arial"/>
                <w:noProof/>
              </w:rPr>
              <w:t>b) Non-financial performance</w:t>
            </w:r>
            <w:r>
              <w:rPr>
                <w:noProof/>
                <w:webHidden/>
              </w:rPr>
              <w:tab/>
            </w:r>
            <w:r>
              <w:rPr>
                <w:noProof/>
                <w:webHidden/>
              </w:rPr>
              <w:fldChar w:fldCharType="begin"/>
            </w:r>
            <w:r>
              <w:rPr>
                <w:noProof/>
                <w:webHidden/>
              </w:rPr>
              <w:instrText xml:space="preserve"> PAGEREF _Toc233286957 \h </w:instrText>
            </w:r>
            <w:r>
              <w:rPr>
                <w:noProof/>
                <w:webHidden/>
              </w:rPr>
            </w:r>
            <w:r>
              <w:rPr>
                <w:noProof/>
                <w:webHidden/>
              </w:rPr>
              <w:fldChar w:fldCharType="separate"/>
            </w:r>
            <w:r>
              <w:rPr>
                <w:noProof/>
                <w:webHidden/>
              </w:rPr>
              <w:t>29</w:t>
            </w:r>
            <w:r>
              <w:rPr>
                <w:noProof/>
                <w:webHidden/>
              </w:rPr>
              <w:fldChar w:fldCharType="end"/>
            </w:r>
          </w:hyperlink>
        </w:p>
        <w:p w14:paraId="39F64AB9" w14:textId="58F66F92"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58" w:history="1">
            <w:r w:rsidRPr="00263663">
              <w:rPr>
                <w:rStyle w:val="Hyperlink"/>
                <w:rFonts w:cs="Arial"/>
                <w:noProof/>
              </w:rPr>
              <w:t>Key forward events</w:t>
            </w:r>
            <w:r>
              <w:rPr>
                <w:noProof/>
                <w:webHidden/>
              </w:rPr>
              <w:tab/>
            </w:r>
            <w:r>
              <w:rPr>
                <w:noProof/>
                <w:webHidden/>
              </w:rPr>
              <w:fldChar w:fldCharType="begin"/>
            </w:r>
            <w:r>
              <w:rPr>
                <w:noProof/>
                <w:webHidden/>
              </w:rPr>
              <w:instrText xml:space="preserve"> PAGEREF _Toc233286958 \h </w:instrText>
            </w:r>
            <w:r>
              <w:rPr>
                <w:noProof/>
                <w:webHidden/>
              </w:rPr>
            </w:r>
            <w:r>
              <w:rPr>
                <w:noProof/>
                <w:webHidden/>
              </w:rPr>
              <w:fldChar w:fldCharType="separate"/>
            </w:r>
            <w:r>
              <w:rPr>
                <w:noProof/>
                <w:webHidden/>
              </w:rPr>
              <w:t>30</w:t>
            </w:r>
            <w:r>
              <w:rPr>
                <w:noProof/>
                <w:webHidden/>
              </w:rPr>
              <w:fldChar w:fldCharType="end"/>
            </w:r>
          </w:hyperlink>
        </w:p>
        <w:p w14:paraId="389D6ADB" w14:textId="3AFD49B6" w:rsidR="00B751A1" w:rsidRDefault="00B751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286959" w:history="1">
            <w:r w:rsidRPr="00263663">
              <w:rPr>
                <w:rStyle w:val="Hyperlink"/>
                <w:rFonts w:cs="Arial"/>
                <w:noProof/>
              </w:rPr>
              <w:t>CRIS approval and change register</w:t>
            </w:r>
            <w:r>
              <w:rPr>
                <w:noProof/>
                <w:webHidden/>
              </w:rPr>
              <w:tab/>
            </w:r>
            <w:r>
              <w:rPr>
                <w:noProof/>
                <w:webHidden/>
              </w:rPr>
              <w:fldChar w:fldCharType="begin"/>
            </w:r>
            <w:r>
              <w:rPr>
                <w:noProof/>
                <w:webHidden/>
              </w:rPr>
              <w:instrText xml:space="preserve"> PAGEREF _Toc233286959 \h </w:instrText>
            </w:r>
            <w:r>
              <w:rPr>
                <w:noProof/>
                <w:webHidden/>
              </w:rPr>
            </w:r>
            <w:r>
              <w:rPr>
                <w:noProof/>
                <w:webHidden/>
              </w:rPr>
              <w:fldChar w:fldCharType="separate"/>
            </w:r>
            <w:r>
              <w:rPr>
                <w:noProof/>
                <w:webHidden/>
              </w:rPr>
              <w:t>30</w:t>
            </w:r>
            <w:r>
              <w:rPr>
                <w:noProof/>
                <w:webHidden/>
              </w:rPr>
              <w:fldChar w:fldCharType="end"/>
            </w:r>
          </w:hyperlink>
        </w:p>
        <w:p w14:paraId="27BFFBE1" w14:textId="010F660E" w:rsidR="00F02AEC" w:rsidRPr="00DF64AB" w:rsidRDefault="00814E7F" w:rsidP="00F401EF">
          <w:pPr>
            <w:rPr>
              <w:rFonts w:ascii="Arial" w:hAnsi="Arial" w:cs="Arial"/>
            </w:rPr>
          </w:pPr>
          <w:r w:rsidRPr="00DF64AB">
            <w:rPr>
              <w:rFonts w:ascii="Arial" w:eastAsia="Cambria" w:hAnsi="Arial" w:cs="Arial"/>
              <w:b/>
              <w:sz w:val="32"/>
            </w:rPr>
            <w:fldChar w:fldCharType="end"/>
          </w:r>
        </w:p>
      </w:sdtContent>
    </w:sdt>
    <w:p w14:paraId="0B2EAAB4" w14:textId="161586F1" w:rsidR="00F02AEC" w:rsidRPr="00DF64AB" w:rsidRDefault="00F02AEC" w:rsidP="0055653F">
      <w:pPr>
        <w:rPr>
          <w:rFonts w:ascii="Arial" w:hAnsi="Arial" w:cs="Arial"/>
        </w:rPr>
      </w:pPr>
    </w:p>
    <w:p w14:paraId="20F9B9FA" w14:textId="77777777" w:rsidR="00203E33" w:rsidRPr="00DF64AB" w:rsidRDefault="00203E33" w:rsidP="00203E33">
      <w:pPr>
        <w:pStyle w:val="Heading2"/>
        <w:pageBreakBefore/>
        <w:rPr>
          <w:rFonts w:cs="Arial"/>
        </w:rPr>
      </w:pPr>
      <w:bookmarkStart w:id="0" w:name="_Toc169081965"/>
      <w:bookmarkStart w:id="1" w:name="_Toc233286912"/>
      <w:bookmarkStart w:id="2" w:name="_Toc323739590"/>
      <w:bookmarkStart w:id="3" w:name="_Toc356305217"/>
      <w:r w:rsidRPr="00DF64AB">
        <w:rPr>
          <w:rFonts w:cs="Arial"/>
        </w:rPr>
        <w:lastRenderedPageBreak/>
        <w:t>Introduction</w:t>
      </w:r>
      <w:bookmarkEnd w:id="0"/>
      <w:bookmarkEnd w:id="1"/>
    </w:p>
    <w:p w14:paraId="1AC6D38A" w14:textId="77777777" w:rsidR="00AD054F" w:rsidRPr="00DF64AB" w:rsidRDefault="00AD054F" w:rsidP="00AD054F">
      <w:pPr>
        <w:pStyle w:val="Heading3"/>
        <w:rPr>
          <w:rFonts w:cs="Arial"/>
        </w:rPr>
      </w:pPr>
      <w:bookmarkStart w:id="4" w:name="_Toc169081966"/>
      <w:bookmarkStart w:id="5" w:name="_Toc233286913"/>
      <w:bookmarkEnd w:id="2"/>
      <w:bookmarkEnd w:id="3"/>
      <w:r w:rsidRPr="00DF64AB">
        <w:rPr>
          <w:rFonts w:cs="Arial"/>
        </w:rPr>
        <w:t>Purpose of the Cost Recovery Implementation Statement</w:t>
      </w:r>
      <w:bookmarkEnd w:id="4"/>
      <w:bookmarkEnd w:id="5"/>
    </w:p>
    <w:p w14:paraId="68D7CA1B" w14:textId="47EAEFDD" w:rsidR="00714F59" w:rsidRPr="00DF64AB" w:rsidRDefault="00714F59" w:rsidP="00714F59">
      <w:pPr>
        <w:rPr>
          <w:rFonts w:ascii="Arial" w:hAnsi="Arial" w:cs="Arial"/>
        </w:rPr>
      </w:pPr>
      <w:r w:rsidRPr="00DF64AB">
        <w:rPr>
          <w:rFonts w:ascii="Arial" w:hAnsi="Arial" w:cs="Arial"/>
        </w:rPr>
        <w:t xml:space="preserve">This Cost Recovery Implementation Statement (CRIS) provides information on how the Therapeutic Goods Administration (TGA), within the </w:t>
      </w:r>
      <w:r w:rsidR="00C15619" w:rsidRPr="00DF64AB">
        <w:rPr>
          <w:rFonts w:ascii="Arial" w:hAnsi="Arial" w:cs="Arial"/>
        </w:rPr>
        <w:t>Department of Health, Disability and Ageing</w:t>
      </w:r>
      <w:r w:rsidRPr="00DF64AB">
        <w:rPr>
          <w:rStyle w:val="FootnoteReference"/>
          <w:rFonts w:ascii="Arial" w:hAnsi="Arial" w:cs="Arial"/>
        </w:rPr>
        <w:footnoteReference w:id="1"/>
      </w:r>
      <w:r w:rsidRPr="00DF64AB">
        <w:rPr>
          <w:rFonts w:ascii="Arial" w:hAnsi="Arial" w:cs="Arial"/>
        </w:rPr>
        <w:t xml:space="preserve"> (Department), implements</w:t>
      </w:r>
      <w:r w:rsidR="00863987" w:rsidRPr="00DF64AB">
        <w:rPr>
          <w:rFonts w:ascii="Arial" w:hAnsi="Arial" w:cs="Arial"/>
        </w:rPr>
        <w:t xml:space="preserve"> </w:t>
      </w:r>
      <w:r w:rsidRPr="00DF64AB">
        <w:rPr>
          <w:rFonts w:ascii="Arial" w:hAnsi="Arial" w:cs="Arial"/>
        </w:rPr>
        <w:t>cost recover</w:t>
      </w:r>
      <w:r w:rsidR="00863987" w:rsidRPr="00DF64AB">
        <w:rPr>
          <w:rFonts w:ascii="Arial" w:hAnsi="Arial" w:cs="Arial"/>
        </w:rPr>
        <w:t>y</w:t>
      </w:r>
      <w:r w:rsidRPr="00DF64AB">
        <w:rPr>
          <w:rFonts w:ascii="Arial" w:hAnsi="Arial" w:cs="Arial"/>
        </w:rPr>
        <w:t xml:space="preserve"> </w:t>
      </w:r>
      <w:r w:rsidR="001026DA" w:rsidRPr="00DF64AB">
        <w:rPr>
          <w:rFonts w:ascii="Arial" w:hAnsi="Arial" w:cs="Arial"/>
        </w:rPr>
        <w:t>arrangement</w:t>
      </w:r>
      <w:r w:rsidR="007730B9" w:rsidRPr="00DF64AB">
        <w:rPr>
          <w:rFonts w:ascii="Arial" w:hAnsi="Arial" w:cs="Arial"/>
        </w:rPr>
        <w:t>s</w:t>
      </w:r>
      <w:r w:rsidR="001026DA" w:rsidRPr="00DF64AB">
        <w:rPr>
          <w:rFonts w:ascii="Arial" w:hAnsi="Arial" w:cs="Arial"/>
        </w:rPr>
        <w:t xml:space="preserve"> for </w:t>
      </w:r>
      <w:r w:rsidR="007730B9" w:rsidRPr="00DF64AB">
        <w:rPr>
          <w:rFonts w:ascii="Arial" w:hAnsi="Arial" w:cs="Arial"/>
        </w:rPr>
        <w:t xml:space="preserve">its </w:t>
      </w:r>
      <w:r w:rsidRPr="00DF64AB">
        <w:rPr>
          <w:rFonts w:ascii="Arial" w:hAnsi="Arial" w:cs="Arial"/>
        </w:rPr>
        <w:t xml:space="preserve">regulatory </w:t>
      </w:r>
      <w:r w:rsidR="00A27DB4" w:rsidRPr="00DF64AB">
        <w:rPr>
          <w:rFonts w:ascii="Arial" w:hAnsi="Arial" w:cs="Arial"/>
        </w:rPr>
        <w:t>activities.</w:t>
      </w:r>
      <w:r w:rsidRPr="00DF64AB">
        <w:rPr>
          <w:rFonts w:ascii="Arial" w:hAnsi="Arial" w:cs="Arial"/>
        </w:rPr>
        <w:t xml:space="preserve"> </w:t>
      </w:r>
      <w:r w:rsidR="00284CE7" w:rsidRPr="00DF64AB">
        <w:rPr>
          <w:rFonts w:ascii="Arial" w:hAnsi="Arial" w:cs="Arial"/>
        </w:rPr>
        <w:t xml:space="preserve">The TGA’s regulatory responsibilities include </w:t>
      </w:r>
      <w:r w:rsidR="00057187">
        <w:rPr>
          <w:rFonts w:ascii="Arial" w:hAnsi="Arial" w:cs="Arial"/>
        </w:rPr>
        <w:t xml:space="preserve">activities related to </w:t>
      </w:r>
      <w:r w:rsidR="00284CE7" w:rsidRPr="00DF64AB">
        <w:rPr>
          <w:rFonts w:ascii="Arial" w:hAnsi="Arial" w:cs="Arial"/>
        </w:rPr>
        <w:t xml:space="preserve">registering and listing medicines, as well as including medical </w:t>
      </w:r>
      <w:r w:rsidR="00CF1123" w:rsidRPr="00DF64AB">
        <w:rPr>
          <w:rFonts w:ascii="Arial" w:hAnsi="Arial" w:cs="Arial"/>
        </w:rPr>
        <w:t xml:space="preserve">devices (including </w:t>
      </w:r>
      <w:r w:rsidR="00284CE7" w:rsidRPr="00DF64AB">
        <w:rPr>
          <w:rFonts w:ascii="Arial" w:hAnsi="Arial" w:cs="Arial"/>
        </w:rPr>
        <w:t>in vitro diagnostic (IVD) devices</w:t>
      </w:r>
      <w:r w:rsidR="00CF1123" w:rsidRPr="00DF64AB">
        <w:rPr>
          <w:rFonts w:ascii="Arial" w:hAnsi="Arial" w:cs="Arial"/>
        </w:rPr>
        <w:t xml:space="preserve">) </w:t>
      </w:r>
      <w:r w:rsidR="00284CE7" w:rsidRPr="00DF64AB">
        <w:rPr>
          <w:rFonts w:ascii="Arial" w:hAnsi="Arial" w:cs="Arial"/>
        </w:rPr>
        <w:t xml:space="preserve">and biologicals in the Australian Register of Therapeutic Goods (ARTG). It also </w:t>
      </w:r>
      <w:r w:rsidR="006500DC" w:rsidRPr="00DF64AB">
        <w:rPr>
          <w:rFonts w:ascii="Arial" w:hAnsi="Arial" w:cs="Arial"/>
        </w:rPr>
        <w:t>licence</w:t>
      </w:r>
      <w:r w:rsidR="00CF1123" w:rsidRPr="00DF64AB">
        <w:rPr>
          <w:rFonts w:ascii="Arial" w:hAnsi="Arial" w:cs="Arial"/>
        </w:rPr>
        <w:t>s</w:t>
      </w:r>
      <w:r w:rsidR="006500DC" w:rsidRPr="00DF64AB">
        <w:rPr>
          <w:rFonts w:ascii="Arial" w:hAnsi="Arial" w:cs="Arial"/>
        </w:rPr>
        <w:t xml:space="preserve"> domestic manufacture</w:t>
      </w:r>
      <w:r w:rsidR="002814BA" w:rsidRPr="00DF64AB">
        <w:rPr>
          <w:rFonts w:ascii="Arial" w:hAnsi="Arial" w:cs="Arial"/>
        </w:rPr>
        <w:t>r</w:t>
      </w:r>
      <w:r w:rsidR="006500DC" w:rsidRPr="00DF64AB">
        <w:rPr>
          <w:rFonts w:ascii="Arial" w:hAnsi="Arial" w:cs="Arial"/>
        </w:rPr>
        <w:t xml:space="preserve">s of therapeutic </w:t>
      </w:r>
      <w:r w:rsidR="00CF1123" w:rsidRPr="00DF64AB">
        <w:rPr>
          <w:rFonts w:ascii="Arial" w:hAnsi="Arial" w:cs="Arial"/>
        </w:rPr>
        <w:t>goods and</w:t>
      </w:r>
      <w:r w:rsidR="006500DC" w:rsidRPr="00DF64AB">
        <w:rPr>
          <w:rFonts w:ascii="Arial" w:hAnsi="Arial" w:cs="Arial"/>
        </w:rPr>
        <w:t xml:space="preserve"> </w:t>
      </w:r>
      <w:r w:rsidR="00284CE7" w:rsidRPr="00DF64AB">
        <w:rPr>
          <w:rFonts w:ascii="Arial" w:hAnsi="Arial" w:cs="Arial"/>
        </w:rPr>
        <w:t>oversees the ongoing monitoring and surveillance of these products to ensure their safety and efficacy.</w:t>
      </w:r>
    </w:p>
    <w:p w14:paraId="456C8176" w14:textId="77777777" w:rsidR="008A01AB" w:rsidRPr="00DF64AB" w:rsidRDefault="008A01AB" w:rsidP="008A01AB">
      <w:pPr>
        <w:pStyle w:val="Heading3"/>
        <w:rPr>
          <w:rFonts w:cs="Arial"/>
        </w:rPr>
      </w:pPr>
      <w:bookmarkStart w:id="6" w:name="_Toc169081967"/>
      <w:bookmarkStart w:id="7" w:name="_Toc233286914"/>
      <w:r w:rsidRPr="00DF64AB">
        <w:rPr>
          <w:rFonts w:cs="Arial"/>
        </w:rPr>
        <w:t>Description of the activity</w:t>
      </w:r>
      <w:bookmarkEnd w:id="6"/>
      <w:bookmarkEnd w:id="7"/>
    </w:p>
    <w:p w14:paraId="1D56B60D" w14:textId="7829656B" w:rsidR="003D7405" w:rsidRPr="00DF64AB" w:rsidRDefault="003D7405" w:rsidP="003D7405">
      <w:pPr>
        <w:rPr>
          <w:rFonts w:ascii="Arial" w:hAnsi="Arial" w:cs="Arial"/>
        </w:rPr>
      </w:pPr>
      <w:r w:rsidRPr="00DF64AB">
        <w:rPr>
          <w:rFonts w:ascii="Arial" w:hAnsi="Arial" w:cs="Arial"/>
        </w:rPr>
        <w:t xml:space="preserve">The TGA protects the health and safety of the community by regulating therapeutic goods for </w:t>
      </w:r>
      <w:r w:rsidR="002814BA" w:rsidRPr="00DF64AB">
        <w:rPr>
          <w:rFonts w:ascii="Arial" w:hAnsi="Arial" w:cs="Arial"/>
        </w:rPr>
        <w:t xml:space="preserve">quality, </w:t>
      </w:r>
      <w:r w:rsidRPr="00DF64AB">
        <w:rPr>
          <w:rFonts w:ascii="Arial" w:hAnsi="Arial" w:cs="Arial"/>
        </w:rPr>
        <w:t xml:space="preserve">safety, </w:t>
      </w:r>
      <w:r w:rsidR="002814BA" w:rsidRPr="00DF64AB">
        <w:rPr>
          <w:rFonts w:ascii="Arial" w:hAnsi="Arial" w:cs="Arial"/>
        </w:rPr>
        <w:t xml:space="preserve">and </w:t>
      </w:r>
      <w:r w:rsidRPr="00DF64AB">
        <w:rPr>
          <w:rFonts w:ascii="Arial" w:hAnsi="Arial" w:cs="Arial"/>
        </w:rPr>
        <w:t>efficacy. The TGA aims to deliver efficient, best practice regulatory outcomes through international collaboration and reform.</w:t>
      </w:r>
    </w:p>
    <w:p w14:paraId="2292CB18" w14:textId="0976ECD7" w:rsidR="003D7405" w:rsidRPr="00DF64AB" w:rsidRDefault="003D7405" w:rsidP="003D7405">
      <w:pPr>
        <w:rPr>
          <w:rFonts w:ascii="Arial" w:hAnsi="Arial" w:cs="Arial"/>
        </w:rPr>
      </w:pPr>
      <w:r w:rsidRPr="00DF64AB">
        <w:rPr>
          <w:rFonts w:ascii="Arial" w:hAnsi="Arial" w:cs="Arial"/>
        </w:rPr>
        <w:t>The TGA regulates therapeutic goods through:</w:t>
      </w:r>
    </w:p>
    <w:p w14:paraId="74861E4C" w14:textId="77777777" w:rsidR="003D7405" w:rsidRPr="00DF64AB" w:rsidRDefault="003D7405" w:rsidP="006D31C0">
      <w:pPr>
        <w:pStyle w:val="ListBullet"/>
        <w:spacing w:after="120"/>
        <w:ind w:left="709" w:hanging="425"/>
        <w:rPr>
          <w:rFonts w:eastAsiaTheme="minorHAnsi" w:cs="Arial"/>
          <w:color w:val="auto"/>
        </w:rPr>
      </w:pPr>
      <w:r w:rsidRPr="00DF64AB">
        <w:rPr>
          <w:rFonts w:eastAsiaTheme="minorHAnsi" w:cs="Arial"/>
          <w:color w:val="auto"/>
        </w:rPr>
        <w:t>pre-market assessment</w:t>
      </w:r>
    </w:p>
    <w:p w14:paraId="58454DDB" w14:textId="59C52D2B" w:rsidR="003D7405" w:rsidRPr="00DF64AB" w:rsidRDefault="003D7405" w:rsidP="006D31C0">
      <w:pPr>
        <w:pStyle w:val="ListBullet"/>
        <w:spacing w:after="120"/>
        <w:ind w:left="709" w:hanging="425"/>
        <w:rPr>
          <w:rFonts w:eastAsiaTheme="minorHAnsi" w:cs="Arial"/>
          <w:color w:val="auto"/>
        </w:rPr>
      </w:pPr>
      <w:r w:rsidRPr="00DF64AB">
        <w:rPr>
          <w:rFonts w:eastAsiaTheme="minorHAnsi" w:cs="Arial"/>
          <w:color w:val="auto"/>
        </w:rPr>
        <w:t>post-market monitoring and enforcement of standards</w:t>
      </w:r>
      <w:r w:rsidR="00733A7F">
        <w:rPr>
          <w:rFonts w:eastAsiaTheme="minorHAnsi" w:cs="Arial"/>
          <w:color w:val="auto"/>
        </w:rPr>
        <w:t>, and</w:t>
      </w:r>
    </w:p>
    <w:p w14:paraId="75C8BB53" w14:textId="4F3E24EE" w:rsidR="003D7405" w:rsidRPr="00DF64AB" w:rsidRDefault="003D7405" w:rsidP="006D31C0">
      <w:pPr>
        <w:pStyle w:val="ListBullet"/>
        <w:spacing w:after="120"/>
        <w:ind w:left="709" w:hanging="425"/>
        <w:rPr>
          <w:rFonts w:eastAsiaTheme="minorHAnsi" w:cs="Arial"/>
          <w:color w:val="auto"/>
        </w:rPr>
      </w:pPr>
      <w:r w:rsidRPr="00DF64AB">
        <w:rPr>
          <w:rFonts w:eastAsiaTheme="minorHAnsi" w:cs="Arial"/>
          <w:color w:val="auto"/>
        </w:rPr>
        <w:t>licensing of Australian manufacturers and verifying overseas manufacturers' compliance with the same standards as their Australian counterparts.</w:t>
      </w:r>
    </w:p>
    <w:p w14:paraId="30C74727" w14:textId="48D4F09E" w:rsidR="003D7405" w:rsidRPr="00DF64AB" w:rsidRDefault="003D7405" w:rsidP="003D7405">
      <w:pPr>
        <w:rPr>
          <w:rFonts w:ascii="Arial" w:hAnsi="Arial" w:cs="Arial"/>
        </w:rPr>
      </w:pPr>
      <w:r w:rsidRPr="00DF64AB">
        <w:rPr>
          <w:rFonts w:ascii="Arial" w:hAnsi="Arial" w:cs="Arial"/>
        </w:rPr>
        <w:t xml:space="preserve">Therapeutic goods are divided broadly into </w:t>
      </w:r>
      <w:r w:rsidR="00443F9E" w:rsidRPr="00DF64AB">
        <w:rPr>
          <w:rFonts w:ascii="Arial" w:hAnsi="Arial" w:cs="Arial"/>
        </w:rPr>
        <w:t xml:space="preserve">3 </w:t>
      </w:r>
      <w:r w:rsidRPr="00DF64AB">
        <w:rPr>
          <w:rFonts w:ascii="Arial" w:hAnsi="Arial" w:cs="Arial"/>
        </w:rPr>
        <w:t>classes</w:t>
      </w:r>
      <w:r w:rsidR="00733A7F">
        <w:rPr>
          <w:rFonts w:ascii="Arial" w:hAnsi="Arial" w:cs="Arial"/>
        </w:rPr>
        <w:t>-</w:t>
      </w:r>
      <w:r w:rsidRPr="00DF64AB">
        <w:rPr>
          <w:rFonts w:ascii="Arial" w:hAnsi="Arial" w:cs="Arial"/>
        </w:rPr>
        <w:t xml:space="preserve"> medicines, medical devices, and biologicals. Medicines must be entered as either 'registered' or 'listed' medicines in the ARTG. Medical devices and biologicals must be 'included' in the ARTG before they may be supplied in or exported from Australia, unless exempted.</w:t>
      </w:r>
    </w:p>
    <w:p w14:paraId="68018180" w14:textId="21CB883F" w:rsidR="003D7405" w:rsidRPr="00DF64AB" w:rsidRDefault="003D7405" w:rsidP="003D7405">
      <w:pPr>
        <w:rPr>
          <w:rFonts w:ascii="Arial" w:hAnsi="Arial" w:cs="Arial"/>
        </w:rPr>
      </w:pPr>
      <w:r w:rsidRPr="00DF64AB">
        <w:rPr>
          <w:rFonts w:ascii="Arial" w:hAnsi="Arial" w:cs="Arial"/>
        </w:rPr>
        <w:t xml:space="preserve">If a problem is discovered with a medicine, device, biological or manufacturer, the TGA </w:t>
      </w:r>
      <w:r w:rsidR="00430E8D" w:rsidRPr="00DF64AB">
        <w:rPr>
          <w:rFonts w:ascii="Arial" w:hAnsi="Arial" w:cs="Arial"/>
        </w:rPr>
        <w:t>can</w:t>
      </w:r>
      <w:r w:rsidRPr="00DF64AB">
        <w:rPr>
          <w:rFonts w:ascii="Arial" w:hAnsi="Arial" w:cs="Arial"/>
        </w:rPr>
        <w:t xml:space="preserve"> </w:t>
      </w:r>
      <w:r w:rsidR="00863987" w:rsidRPr="00DF64AB">
        <w:rPr>
          <w:rFonts w:ascii="Arial" w:hAnsi="Arial" w:cs="Arial"/>
        </w:rPr>
        <w:t>act</w:t>
      </w:r>
      <w:r w:rsidRPr="00DF64AB">
        <w:rPr>
          <w:rFonts w:ascii="Arial" w:hAnsi="Arial" w:cs="Arial"/>
        </w:rPr>
        <w:t xml:space="preserve">. Possible regulatory actions vary from continued </w:t>
      </w:r>
      <w:r w:rsidR="00733A7F">
        <w:rPr>
          <w:rFonts w:ascii="Arial" w:hAnsi="Arial" w:cs="Arial"/>
        </w:rPr>
        <w:t xml:space="preserve">or heightened </w:t>
      </w:r>
      <w:r w:rsidRPr="00DF64AB">
        <w:rPr>
          <w:rFonts w:ascii="Arial" w:hAnsi="Arial" w:cs="Arial"/>
        </w:rPr>
        <w:t>monitoring</w:t>
      </w:r>
      <w:r w:rsidR="00733A7F">
        <w:rPr>
          <w:rFonts w:ascii="Arial" w:hAnsi="Arial" w:cs="Arial"/>
        </w:rPr>
        <w:t>,</w:t>
      </w:r>
      <w:r w:rsidRPr="00DF64AB">
        <w:rPr>
          <w:rFonts w:ascii="Arial" w:hAnsi="Arial" w:cs="Arial"/>
        </w:rPr>
        <w:t xml:space="preserve"> to withdrawing the product from the market and revoking or cancelling a manufacturing licence. </w:t>
      </w:r>
    </w:p>
    <w:p w14:paraId="1CD1FFA4" w14:textId="0E4080E8" w:rsidR="003D7405" w:rsidRPr="00DF64AB" w:rsidRDefault="003F23AD" w:rsidP="003D7405">
      <w:pPr>
        <w:rPr>
          <w:rFonts w:ascii="Arial" w:hAnsi="Arial" w:cs="Arial"/>
        </w:rPr>
      </w:pPr>
      <w:r w:rsidRPr="00DF64AB">
        <w:rPr>
          <w:rFonts w:ascii="Arial" w:hAnsi="Arial" w:cs="Arial"/>
        </w:rPr>
        <w:t>Additionally</w:t>
      </w:r>
      <w:r w:rsidR="003D7405" w:rsidRPr="00DF64AB">
        <w:rPr>
          <w:rFonts w:ascii="Arial" w:hAnsi="Arial" w:cs="Arial"/>
        </w:rPr>
        <w:t xml:space="preserve">, the TGA undertakes </w:t>
      </w:r>
      <w:r w:rsidRPr="00DF64AB">
        <w:rPr>
          <w:rFonts w:ascii="Arial" w:hAnsi="Arial" w:cs="Arial"/>
        </w:rPr>
        <w:t xml:space="preserve">a range of </w:t>
      </w:r>
      <w:r w:rsidR="003D7405" w:rsidRPr="00DF64AB">
        <w:rPr>
          <w:rFonts w:ascii="Arial" w:hAnsi="Arial" w:cs="Arial"/>
        </w:rPr>
        <w:t xml:space="preserve">public health activities </w:t>
      </w:r>
      <w:r w:rsidRPr="00DF64AB">
        <w:rPr>
          <w:rFonts w:ascii="Arial" w:hAnsi="Arial" w:cs="Arial"/>
        </w:rPr>
        <w:t>which serve broader</w:t>
      </w:r>
      <w:r w:rsidR="003D7405" w:rsidRPr="00DF64AB">
        <w:rPr>
          <w:rFonts w:ascii="Arial" w:hAnsi="Arial" w:cs="Arial"/>
        </w:rPr>
        <w:t xml:space="preserve"> public good</w:t>
      </w:r>
      <w:r w:rsidRPr="00DF64AB">
        <w:rPr>
          <w:rFonts w:ascii="Arial" w:hAnsi="Arial" w:cs="Arial"/>
        </w:rPr>
        <w:t xml:space="preserve"> interests</w:t>
      </w:r>
      <w:r w:rsidR="003D7405" w:rsidRPr="00DF64AB">
        <w:rPr>
          <w:rFonts w:ascii="Arial" w:hAnsi="Arial" w:cs="Arial"/>
        </w:rPr>
        <w:t xml:space="preserve">. These activities are discussed in </w:t>
      </w:r>
      <w:r w:rsidR="00B953E0" w:rsidRPr="00DF64AB">
        <w:rPr>
          <w:rFonts w:ascii="Arial" w:hAnsi="Arial" w:cs="Arial"/>
        </w:rPr>
        <w:t>more detail below</w:t>
      </w:r>
      <w:r w:rsidR="003D7405" w:rsidRPr="00DF64AB">
        <w:rPr>
          <w:rFonts w:ascii="Arial" w:hAnsi="Arial" w:cs="Arial"/>
        </w:rPr>
        <w:t>.</w:t>
      </w:r>
    </w:p>
    <w:p w14:paraId="7544721C" w14:textId="77777777" w:rsidR="003A4ECB" w:rsidRPr="00DF64AB" w:rsidRDefault="003A4ECB" w:rsidP="003A4ECB">
      <w:pPr>
        <w:pStyle w:val="Heading3"/>
        <w:rPr>
          <w:rFonts w:cs="Arial"/>
        </w:rPr>
      </w:pPr>
      <w:bookmarkStart w:id="8" w:name="_Toc169081968"/>
      <w:bookmarkStart w:id="9" w:name="_Toc233286915"/>
      <w:r w:rsidRPr="00DF64AB">
        <w:rPr>
          <w:rFonts w:cs="Arial"/>
        </w:rPr>
        <w:t>Risk management approach to regulation</w:t>
      </w:r>
      <w:bookmarkEnd w:id="8"/>
      <w:bookmarkEnd w:id="9"/>
    </w:p>
    <w:p w14:paraId="2F082EAD" w14:textId="7727FA2B" w:rsidR="000D5F27" w:rsidRPr="00DF64AB" w:rsidRDefault="000D5F27" w:rsidP="000D5F27">
      <w:pPr>
        <w:rPr>
          <w:rFonts w:ascii="Arial" w:hAnsi="Arial" w:cs="Arial"/>
        </w:rPr>
      </w:pPr>
      <w:r w:rsidRPr="00DF64AB">
        <w:rPr>
          <w:rFonts w:ascii="Arial" w:hAnsi="Arial" w:cs="Arial"/>
        </w:rPr>
        <w:t xml:space="preserve">All therapeutic goods carry potential risks, </w:t>
      </w:r>
      <w:r w:rsidR="00620E99" w:rsidRPr="00DF64AB">
        <w:rPr>
          <w:rFonts w:ascii="Arial" w:hAnsi="Arial" w:cs="Arial"/>
        </w:rPr>
        <w:t>from</w:t>
      </w:r>
      <w:r w:rsidRPr="00DF64AB">
        <w:rPr>
          <w:rFonts w:ascii="Arial" w:hAnsi="Arial" w:cs="Arial"/>
        </w:rPr>
        <w:t xml:space="preserve"> minor </w:t>
      </w:r>
      <w:r w:rsidR="00CA671C" w:rsidRPr="00DF64AB">
        <w:rPr>
          <w:rFonts w:ascii="Arial" w:hAnsi="Arial" w:cs="Arial"/>
        </w:rPr>
        <w:t>to</w:t>
      </w:r>
      <w:r w:rsidRPr="00DF64AB">
        <w:rPr>
          <w:rFonts w:ascii="Arial" w:hAnsi="Arial" w:cs="Arial"/>
        </w:rPr>
        <w:t xml:space="preserve"> potentially serious. The TGA applies scientific and clinical expertise to its decision</w:t>
      </w:r>
      <w:r w:rsidR="00331658">
        <w:rPr>
          <w:rFonts w:ascii="Arial" w:hAnsi="Arial" w:cs="Arial"/>
        </w:rPr>
        <w:t xml:space="preserve"> </w:t>
      </w:r>
      <w:r w:rsidRPr="00DF64AB">
        <w:rPr>
          <w:rFonts w:ascii="Arial" w:hAnsi="Arial" w:cs="Arial"/>
        </w:rPr>
        <w:t xml:space="preserve">making to establish that the benefits of a product outweigh any </w:t>
      </w:r>
      <w:r w:rsidR="00733A7F">
        <w:rPr>
          <w:rFonts w:ascii="Arial" w:hAnsi="Arial" w:cs="Arial"/>
        </w:rPr>
        <w:t xml:space="preserve">known </w:t>
      </w:r>
      <w:r w:rsidRPr="00DF64AB">
        <w:rPr>
          <w:rFonts w:ascii="Arial" w:hAnsi="Arial" w:cs="Arial"/>
        </w:rPr>
        <w:t xml:space="preserve">risk. The level of regulatory control increases with the level of risk a medicine or medical device </w:t>
      </w:r>
      <w:r w:rsidR="00733A7F">
        <w:rPr>
          <w:rFonts w:ascii="Arial" w:hAnsi="Arial" w:cs="Arial"/>
        </w:rPr>
        <w:t>presents</w:t>
      </w:r>
      <w:r w:rsidRPr="00DF64AB">
        <w:rPr>
          <w:rFonts w:ascii="Arial" w:hAnsi="Arial" w:cs="Arial"/>
        </w:rPr>
        <w:t>. Th</w:t>
      </w:r>
      <w:r w:rsidR="00733A7F">
        <w:rPr>
          <w:rFonts w:ascii="Arial" w:hAnsi="Arial" w:cs="Arial"/>
        </w:rPr>
        <w:t>is</w:t>
      </w:r>
      <w:r w:rsidRPr="00DF64AB">
        <w:rPr>
          <w:rFonts w:ascii="Arial" w:hAnsi="Arial" w:cs="Arial"/>
        </w:rPr>
        <w:t xml:space="preserve"> risk-benefit approach assures consumers that the products they take are </w:t>
      </w:r>
      <w:r w:rsidR="00733A7F">
        <w:rPr>
          <w:rFonts w:ascii="Arial" w:hAnsi="Arial" w:cs="Arial"/>
        </w:rPr>
        <w:t>appropriate</w:t>
      </w:r>
      <w:r w:rsidR="00733A7F" w:rsidRPr="00DF64AB">
        <w:rPr>
          <w:rFonts w:ascii="Arial" w:hAnsi="Arial" w:cs="Arial"/>
        </w:rPr>
        <w:t xml:space="preserve"> </w:t>
      </w:r>
      <w:r w:rsidRPr="00DF64AB">
        <w:rPr>
          <w:rFonts w:ascii="Arial" w:hAnsi="Arial" w:cs="Arial"/>
        </w:rPr>
        <w:t>for their intended use, while still providing access to products that are essential to their health needs.</w:t>
      </w:r>
    </w:p>
    <w:p w14:paraId="6906E97A" w14:textId="77777777" w:rsidR="00152224" w:rsidRPr="00DF64AB" w:rsidRDefault="00152224" w:rsidP="00714F59">
      <w:pPr>
        <w:rPr>
          <w:rFonts w:ascii="Arial" w:hAnsi="Arial" w:cs="Arial"/>
        </w:rPr>
      </w:pPr>
    </w:p>
    <w:p w14:paraId="266D4EFF" w14:textId="77777777" w:rsidR="00D50932" w:rsidRPr="00DF64AB" w:rsidRDefault="00D50932" w:rsidP="00D50932">
      <w:pPr>
        <w:pStyle w:val="Heading3"/>
        <w:pageBreakBefore/>
        <w:rPr>
          <w:rFonts w:cs="Arial"/>
        </w:rPr>
      </w:pPr>
      <w:bookmarkStart w:id="10" w:name="_Toc169081969"/>
      <w:bookmarkStart w:id="11" w:name="_Toc233286916"/>
      <w:bookmarkStart w:id="12" w:name="_Toc323739591"/>
      <w:bookmarkStart w:id="13" w:name="_Toc356305218"/>
      <w:r w:rsidRPr="00DF64AB">
        <w:rPr>
          <w:rFonts w:cs="Arial"/>
        </w:rPr>
        <w:lastRenderedPageBreak/>
        <w:t>Industry/regulatory groups</w:t>
      </w:r>
      <w:bookmarkEnd w:id="10"/>
      <w:bookmarkEnd w:id="11"/>
    </w:p>
    <w:p w14:paraId="6713A7C0" w14:textId="77777777" w:rsidR="00661E6A" w:rsidRPr="00DF64AB" w:rsidRDefault="00661E6A" w:rsidP="00661E6A">
      <w:pPr>
        <w:spacing w:before="180" w:line="240" w:lineRule="auto"/>
        <w:rPr>
          <w:rFonts w:ascii="Arial" w:hAnsi="Arial" w:cs="Arial"/>
        </w:rPr>
      </w:pPr>
      <w:r w:rsidRPr="00DF64AB">
        <w:rPr>
          <w:rFonts w:ascii="Arial" w:hAnsi="Arial" w:cs="Arial"/>
        </w:rPr>
        <w:t>The TGA’s cost recovery arrangements cover the following industry sectors:</w:t>
      </w:r>
    </w:p>
    <w:p w14:paraId="78176410" w14:textId="77777777"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prescription medicines</w:t>
      </w:r>
    </w:p>
    <w:p w14:paraId="3466A88F" w14:textId="77777777"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over the counter medicines</w:t>
      </w:r>
    </w:p>
    <w:p w14:paraId="615D3B68" w14:textId="77777777"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complementary medicines</w:t>
      </w:r>
    </w:p>
    <w:p w14:paraId="50BCED3B" w14:textId="188A9D83"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medical devices, including IVD devices</w:t>
      </w:r>
    </w:p>
    <w:p w14:paraId="7AE5D236" w14:textId="3D6B5D72"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blood, blood components and biologicals</w:t>
      </w:r>
      <w:r w:rsidR="00733A7F">
        <w:rPr>
          <w:rFonts w:eastAsiaTheme="minorHAnsi" w:cs="Arial"/>
          <w:color w:val="auto"/>
        </w:rPr>
        <w:t>, and</w:t>
      </w:r>
    </w:p>
    <w:p w14:paraId="5DBE6364" w14:textId="42A04B54" w:rsidR="00661E6A" w:rsidRPr="00DF64AB" w:rsidRDefault="00661E6A" w:rsidP="00122F8D">
      <w:pPr>
        <w:pStyle w:val="ListBullet"/>
        <w:spacing w:after="120"/>
        <w:ind w:left="709" w:hanging="425"/>
        <w:rPr>
          <w:rFonts w:eastAsiaTheme="minorHAnsi" w:cs="Arial"/>
          <w:color w:val="auto"/>
        </w:rPr>
      </w:pPr>
      <w:r w:rsidRPr="00DF64AB">
        <w:rPr>
          <w:rFonts w:eastAsiaTheme="minorHAnsi" w:cs="Arial"/>
          <w:color w:val="auto"/>
        </w:rPr>
        <w:t xml:space="preserve">good manufacturing practice </w:t>
      </w:r>
      <w:r w:rsidRPr="00DF64AB">
        <w:rPr>
          <w:rFonts w:cs="Arial"/>
          <w:color w:val="auto"/>
        </w:rPr>
        <w:t>(GMP)</w:t>
      </w:r>
      <w:r w:rsidRPr="00DF64AB">
        <w:rPr>
          <w:rStyle w:val="FootnoteReference"/>
          <w:rFonts w:cs="Arial"/>
          <w:color w:val="auto"/>
        </w:rPr>
        <w:footnoteReference w:id="2"/>
      </w:r>
      <w:r w:rsidRPr="00DF64AB">
        <w:rPr>
          <w:rFonts w:cs="Arial"/>
          <w:color w:val="auto"/>
        </w:rPr>
        <w:t>.</w:t>
      </w:r>
    </w:p>
    <w:p w14:paraId="5E1F939A" w14:textId="67DE96AD" w:rsidR="00594997" w:rsidRPr="00DF64AB" w:rsidRDefault="00594997" w:rsidP="00594997">
      <w:pPr>
        <w:spacing w:before="180"/>
        <w:rPr>
          <w:rFonts w:ascii="Arial" w:hAnsi="Arial" w:cs="Arial"/>
        </w:rPr>
      </w:pPr>
      <w:bookmarkStart w:id="14" w:name="_Toc169081970"/>
      <w:r w:rsidRPr="00DF64AB">
        <w:rPr>
          <w:rFonts w:ascii="Arial" w:hAnsi="Arial" w:cs="Arial"/>
        </w:rPr>
        <w:t xml:space="preserve">The TGA provides several fee-free services for the public good, some of which do not directly relate to any product or industry group. The costs of undertaking these types of activities cannot be appropriately recovered from a particular sponsor or industry group. The costs of these services are met </w:t>
      </w:r>
      <w:r w:rsidR="00A27C4F">
        <w:rPr>
          <w:rFonts w:ascii="Arial" w:hAnsi="Arial" w:cs="Arial"/>
        </w:rPr>
        <w:t>through</w:t>
      </w:r>
      <w:r w:rsidR="00A27C4F" w:rsidRPr="00DF64AB">
        <w:rPr>
          <w:rFonts w:ascii="Arial" w:hAnsi="Arial" w:cs="Arial"/>
        </w:rPr>
        <w:t xml:space="preserve"> </w:t>
      </w:r>
      <w:r w:rsidR="00531DEF" w:rsidRPr="00DF64AB">
        <w:rPr>
          <w:rFonts w:ascii="Arial" w:hAnsi="Arial" w:cs="Arial"/>
        </w:rPr>
        <w:t xml:space="preserve">government </w:t>
      </w:r>
      <w:r w:rsidRPr="00DF64AB">
        <w:rPr>
          <w:rFonts w:ascii="Arial" w:hAnsi="Arial" w:cs="Arial"/>
        </w:rPr>
        <w:t xml:space="preserve">funding. While the TGA receives on-going funding for meeting the costs of certain public good activities, such as registration of </w:t>
      </w:r>
      <w:r w:rsidR="00B21128" w:rsidRPr="00DF64AB">
        <w:rPr>
          <w:rFonts w:ascii="Arial" w:hAnsi="Arial" w:cs="Arial"/>
        </w:rPr>
        <w:t>orphan</w:t>
      </w:r>
      <w:r w:rsidRPr="00DF64AB">
        <w:rPr>
          <w:rFonts w:ascii="Arial" w:hAnsi="Arial" w:cs="Arial"/>
        </w:rPr>
        <w:t xml:space="preserve"> </w:t>
      </w:r>
      <w:r w:rsidR="004A6568" w:rsidRPr="00DF64AB">
        <w:rPr>
          <w:rFonts w:ascii="Arial" w:hAnsi="Arial" w:cs="Arial"/>
        </w:rPr>
        <w:t>d</w:t>
      </w:r>
      <w:r w:rsidRPr="00DF64AB">
        <w:rPr>
          <w:rFonts w:ascii="Arial" w:hAnsi="Arial" w:cs="Arial"/>
        </w:rPr>
        <w:t>rugs and patient access to unapproved goods, on occasion</w:t>
      </w:r>
      <w:r w:rsidR="00863987" w:rsidRPr="00DF64AB">
        <w:rPr>
          <w:rFonts w:ascii="Arial" w:hAnsi="Arial" w:cs="Arial"/>
        </w:rPr>
        <w:t>s</w:t>
      </w:r>
      <w:r w:rsidRPr="00DF64AB">
        <w:rPr>
          <w:rFonts w:ascii="Arial" w:hAnsi="Arial" w:cs="Arial"/>
        </w:rPr>
        <w:t xml:space="preserve"> it also receives time</w:t>
      </w:r>
      <w:r w:rsidR="00163650" w:rsidRPr="00DF64AB">
        <w:rPr>
          <w:rFonts w:ascii="Arial" w:hAnsi="Arial" w:cs="Arial"/>
        </w:rPr>
        <w:t>-</w:t>
      </w:r>
      <w:r w:rsidRPr="00DF64AB">
        <w:rPr>
          <w:rFonts w:ascii="Arial" w:hAnsi="Arial" w:cs="Arial"/>
        </w:rPr>
        <w:t>limited funding for emerging issues, health emergenc</w:t>
      </w:r>
      <w:r w:rsidR="00A27C4F">
        <w:rPr>
          <w:rFonts w:ascii="Arial" w:hAnsi="Arial" w:cs="Arial"/>
        </w:rPr>
        <w:t>ies</w:t>
      </w:r>
      <w:r w:rsidR="007666BE" w:rsidRPr="00DF64AB">
        <w:rPr>
          <w:rFonts w:ascii="Arial" w:hAnsi="Arial" w:cs="Arial"/>
        </w:rPr>
        <w:t>,</w:t>
      </w:r>
      <w:r w:rsidRPr="00DF64AB">
        <w:rPr>
          <w:rFonts w:ascii="Arial" w:hAnsi="Arial" w:cs="Arial"/>
        </w:rPr>
        <w:t xml:space="preserve"> pandemic measures</w:t>
      </w:r>
      <w:r w:rsidR="007666BE" w:rsidRPr="00DF64AB">
        <w:rPr>
          <w:rFonts w:ascii="Arial" w:hAnsi="Arial" w:cs="Arial"/>
        </w:rPr>
        <w:t xml:space="preserve"> or other regulatory activities where cost recovery is not appropriate</w:t>
      </w:r>
      <w:r w:rsidRPr="00DF64AB">
        <w:rPr>
          <w:rFonts w:ascii="Arial" w:hAnsi="Arial" w:cs="Arial"/>
        </w:rPr>
        <w:t xml:space="preserve">. In </w:t>
      </w:r>
      <w:r w:rsidR="008A7EC6" w:rsidRPr="00DF64AB">
        <w:rPr>
          <w:rFonts w:ascii="Arial" w:hAnsi="Arial" w:cs="Arial"/>
        </w:rPr>
        <w:t>2026</w:t>
      </w:r>
      <w:r w:rsidRPr="00DF64AB">
        <w:rPr>
          <w:rFonts w:ascii="Arial" w:hAnsi="Arial" w:cs="Arial"/>
        </w:rPr>
        <w:t>-</w:t>
      </w:r>
      <w:r w:rsidR="008A7EC6" w:rsidRPr="00DF64AB">
        <w:rPr>
          <w:rFonts w:ascii="Arial" w:hAnsi="Arial" w:cs="Arial"/>
        </w:rPr>
        <w:t>27</w:t>
      </w:r>
      <w:r w:rsidRPr="00DF64AB">
        <w:rPr>
          <w:rFonts w:ascii="Arial" w:hAnsi="Arial" w:cs="Arial"/>
        </w:rPr>
        <w:t xml:space="preserve">, around </w:t>
      </w:r>
      <w:r w:rsidR="00243D52" w:rsidRPr="00DF64AB">
        <w:rPr>
          <w:rFonts w:ascii="Arial" w:hAnsi="Arial" w:cs="Arial"/>
        </w:rPr>
        <w:t>74</w:t>
      </w:r>
      <w:r w:rsidRPr="00DF64AB">
        <w:rPr>
          <w:rFonts w:ascii="Arial" w:hAnsi="Arial" w:cs="Arial"/>
        </w:rPr>
        <w:t>% of funding will be generated through fees and charges set under the cost recovery arrangements.</w:t>
      </w:r>
    </w:p>
    <w:p w14:paraId="4EE0CC41" w14:textId="612EFE3A" w:rsidR="00EA004D" w:rsidRPr="00DF64AB" w:rsidRDefault="00EA004D">
      <w:pPr>
        <w:rPr>
          <w:rFonts w:ascii="Arial" w:eastAsia="Times New Roman" w:hAnsi="Arial" w:cs="Arial"/>
          <w:b/>
          <w:bCs/>
          <w:color w:val="001871"/>
          <w:sz w:val="38"/>
          <w:szCs w:val="38"/>
        </w:rPr>
      </w:pPr>
      <w:r w:rsidRPr="00DF64AB">
        <w:rPr>
          <w:rFonts w:ascii="Arial" w:hAnsi="Arial" w:cs="Arial"/>
        </w:rPr>
        <w:br w:type="page"/>
      </w:r>
    </w:p>
    <w:p w14:paraId="4AAEBE71" w14:textId="2698CC42" w:rsidR="00D76328" w:rsidRPr="00DF64AB" w:rsidRDefault="00D76328" w:rsidP="001026DA">
      <w:pPr>
        <w:pStyle w:val="Heading2"/>
        <w:spacing w:line="240" w:lineRule="auto"/>
        <w:rPr>
          <w:rFonts w:cs="Arial"/>
        </w:rPr>
      </w:pPr>
      <w:bookmarkStart w:id="15" w:name="_Toc233286917"/>
      <w:r w:rsidRPr="00DF64AB">
        <w:rPr>
          <w:rFonts w:cs="Arial"/>
        </w:rPr>
        <w:lastRenderedPageBreak/>
        <w:t>Government policy approval and statutory authority to cost recover/ charge</w:t>
      </w:r>
      <w:bookmarkEnd w:id="14"/>
      <w:bookmarkEnd w:id="15"/>
    </w:p>
    <w:p w14:paraId="2A70BC56" w14:textId="5BB5201E" w:rsidR="00D03014" w:rsidRPr="00DF64AB" w:rsidRDefault="00994BD4" w:rsidP="00FE41AA">
      <w:pPr>
        <w:rPr>
          <w:rFonts w:ascii="Arial" w:hAnsi="Arial" w:cs="Arial"/>
        </w:rPr>
      </w:pPr>
      <w:r w:rsidRPr="00DF64AB">
        <w:rPr>
          <w:rFonts w:ascii="Arial" w:hAnsi="Arial" w:cs="Arial"/>
        </w:rPr>
        <w:t xml:space="preserve">In the </w:t>
      </w:r>
      <w:hyperlink r:id="rId15" w:history="1">
        <w:r w:rsidRPr="00DF64AB">
          <w:rPr>
            <w:rStyle w:val="Hyperlink"/>
            <w:rFonts w:cs="Arial"/>
          </w:rPr>
          <w:t>1997–98 Budget, Budget Paper No.2, and Part II: Revenue Measures</w:t>
        </w:r>
      </w:hyperlink>
      <w:r w:rsidRPr="00DF64AB">
        <w:rPr>
          <w:rFonts w:ascii="Arial" w:hAnsi="Arial" w:cs="Arial"/>
        </w:rPr>
        <w:t xml:space="preserve"> it was </w:t>
      </w:r>
      <w:r w:rsidR="00B5219A" w:rsidRPr="00DF64AB">
        <w:rPr>
          <w:rFonts w:ascii="Arial" w:hAnsi="Arial" w:cs="Arial"/>
        </w:rPr>
        <w:t xml:space="preserve">determined </w:t>
      </w:r>
      <w:r w:rsidRPr="00DF64AB">
        <w:rPr>
          <w:rFonts w:ascii="Arial" w:hAnsi="Arial" w:cs="Arial"/>
        </w:rPr>
        <w:t>that from 1998-99</w:t>
      </w:r>
      <w:r w:rsidR="002B3F29" w:rsidRPr="00DF64AB">
        <w:rPr>
          <w:rFonts w:ascii="Arial" w:hAnsi="Arial" w:cs="Arial"/>
        </w:rPr>
        <w:t xml:space="preserve"> </w:t>
      </w:r>
      <w:r w:rsidRPr="00DF64AB">
        <w:rPr>
          <w:rFonts w:ascii="Arial" w:hAnsi="Arial" w:cs="Arial"/>
        </w:rPr>
        <w:t xml:space="preserve">the TGA would fully recover all costs of its activities covered under the </w:t>
      </w:r>
      <w:hyperlink r:id="rId16" w:history="1">
        <w:r w:rsidR="00D03014" w:rsidRPr="00DF64AB">
          <w:rPr>
            <w:rStyle w:val="Hyperlink"/>
            <w:rFonts w:cs="Arial"/>
            <w:i/>
          </w:rPr>
          <w:t>Therapeutic Goods Act 1989</w:t>
        </w:r>
      </w:hyperlink>
      <w:r w:rsidRPr="00DF64AB">
        <w:rPr>
          <w:rFonts w:ascii="Arial" w:hAnsi="Arial" w:cs="Arial"/>
        </w:rPr>
        <w:t xml:space="preserve"> </w:t>
      </w:r>
      <w:r w:rsidR="00D03014" w:rsidRPr="00DF64AB">
        <w:rPr>
          <w:rFonts w:ascii="Arial" w:hAnsi="Arial" w:cs="Arial"/>
        </w:rPr>
        <w:t xml:space="preserve">(the </w:t>
      </w:r>
      <w:r w:rsidRPr="00DF64AB">
        <w:rPr>
          <w:rFonts w:ascii="Arial" w:hAnsi="Arial" w:cs="Arial"/>
        </w:rPr>
        <w:t>Act</w:t>
      </w:r>
      <w:r w:rsidR="00D03014" w:rsidRPr="00DF64AB">
        <w:rPr>
          <w:rFonts w:ascii="Arial" w:hAnsi="Arial" w:cs="Arial"/>
        </w:rPr>
        <w:t>)</w:t>
      </w:r>
      <w:r w:rsidRPr="00DF64AB">
        <w:rPr>
          <w:rFonts w:ascii="Arial" w:hAnsi="Arial" w:cs="Arial"/>
        </w:rPr>
        <w:t xml:space="preserve"> from industr</w:t>
      </w:r>
      <w:r w:rsidR="00D03014" w:rsidRPr="00DF64AB">
        <w:rPr>
          <w:rFonts w:ascii="Arial" w:hAnsi="Arial" w:cs="Arial"/>
        </w:rPr>
        <w:t xml:space="preserve">y. </w:t>
      </w:r>
    </w:p>
    <w:p w14:paraId="37A8D017" w14:textId="0509216F" w:rsidR="00051BAB" w:rsidRPr="00DF64AB" w:rsidRDefault="0023309A" w:rsidP="00FE41AA">
      <w:pPr>
        <w:rPr>
          <w:rFonts w:ascii="Arial" w:hAnsi="Arial" w:cs="Arial"/>
        </w:rPr>
      </w:pPr>
      <w:r w:rsidRPr="00DF64AB">
        <w:rPr>
          <w:rFonts w:ascii="Arial" w:hAnsi="Arial" w:cs="Arial"/>
        </w:rPr>
        <w:t>The Act</w:t>
      </w:r>
      <w:r w:rsidR="00051BAB" w:rsidRPr="00DF64AB">
        <w:rPr>
          <w:rFonts w:ascii="Arial" w:hAnsi="Arial" w:cs="Arial"/>
        </w:rPr>
        <w:t xml:space="preserve"> provides legal authority for the TGA to charge for its activities within the scope of the Act. The </w:t>
      </w:r>
      <w:hyperlink r:id="rId17" w:history="1">
        <w:r w:rsidR="00051BAB" w:rsidRPr="00DF64AB">
          <w:rPr>
            <w:rStyle w:val="Hyperlink"/>
            <w:rFonts w:cs="Arial"/>
            <w:i/>
          </w:rPr>
          <w:t>Therapeutic Goods (Charges) Act 1989</w:t>
        </w:r>
      </w:hyperlink>
      <w:r w:rsidR="00051BAB" w:rsidRPr="00DF64AB">
        <w:rPr>
          <w:rFonts w:ascii="Arial" w:hAnsi="Arial" w:cs="Arial"/>
        </w:rPr>
        <w:t xml:space="preserve"> (the Charges Act) provides a legal authority to levy annual charges (a type of tax) on sponsors and manufacturers of medicines, medical devices and biologicals. Applicable fees and charges are prescribed in the subordinate regulations made under these Acts.</w:t>
      </w:r>
    </w:p>
    <w:p w14:paraId="162D56E3" w14:textId="61475A30" w:rsidR="00994BD4" w:rsidRPr="00DF64AB" w:rsidRDefault="00994BD4" w:rsidP="00FE41AA">
      <w:pPr>
        <w:rPr>
          <w:rFonts w:ascii="Arial" w:hAnsi="Arial" w:cs="Arial"/>
        </w:rPr>
      </w:pPr>
      <w:r w:rsidRPr="00DF64AB">
        <w:rPr>
          <w:rFonts w:ascii="Arial" w:hAnsi="Arial" w:cs="Arial"/>
        </w:rPr>
        <w:t xml:space="preserve">In the </w:t>
      </w:r>
      <w:hyperlink r:id="rId18" w:history="1">
        <w:r w:rsidRPr="00DF64AB">
          <w:rPr>
            <w:rStyle w:val="Hyperlink"/>
            <w:rFonts w:cs="Arial"/>
          </w:rPr>
          <w:t>2019-20 Mid-year Economic &amp; Fiscal Outlook (MYEFO)</w:t>
        </w:r>
      </w:hyperlink>
      <w:r w:rsidRPr="00DF64AB">
        <w:rPr>
          <w:rFonts w:ascii="Arial" w:hAnsi="Arial" w:cs="Arial"/>
        </w:rPr>
        <w:t xml:space="preserve"> as part of an ongoing measure, Improving Access to Medicines, Item 7, the Government announced funding of $33 million over </w:t>
      </w:r>
      <w:r w:rsidR="00BE785F" w:rsidRPr="00DF64AB">
        <w:rPr>
          <w:rFonts w:ascii="Arial" w:hAnsi="Arial" w:cs="Arial"/>
        </w:rPr>
        <w:t xml:space="preserve">4 </w:t>
      </w:r>
      <w:r w:rsidRPr="00DF64AB">
        <w:rPr>
          <w:rFonts w:ascii="Arial" w:hAnsi="Arial" w:cs="Arial"/>
        </w:rPr>
        <w:t>years for the TGA, with $15 million per year ongoing from 2022-23. This funding goes towards meeting costs of the Orphan Drugs</w:t>
      </w:r>
      <w:r w:rsidR="004A6568" w:rsidRPr="00DF64AB">
        <w:rPr>
          <w:rFonts w:ascii="Arial" w:hAnsi="Arial" w:cs="Arial"/>
        </w:rPr>
        <w:t xml:space="preserve"> program</w:t>
      </w:r>
      <w:r w:rsidR="00AA50C2">
        <w:rPr>
          <w:rFonts w:ascii="Arial" w:hAnsi="Arial" w:cs="Arial"/>
        </w:rPr>
        <w:t>, mandatory reporting of shortages of critical medicines</w:t>
      </w:r>
      <w:r w:rsidRPr="00DF64AB">
        <w:rPr>
          <w:rFonts w:ascii="Arial" w:hAnsi="Arial" w:cs="Arial"/>
        </w:rPr>
        <w:t>,</w:t>
      </w:r>
      <w:r w:rsidR="004A6568" w:rsidRPr="00DF64AB">
        <w:rPr>
          <w:rFonts w:ascii="Arial" w:hAnsi="Arial" w:cs="Arial"/>
        </w:rPr>
        <w:t xml:space="preserve"> </w:t>
      </w:r>
      <w:r w:rsidR="00A27C4F">
        <w:rPr>
          <w:rFonts w:ascii="Arial" w:hAnsi="Arial" w:cs="Arial"/>
        </w:rPr>
        <w:t>and</w:t>
      </w:r>
      <w:r w:rsidR="004A6568" w:rsidRPr="00DF64AB">
        <w:rPr>
          <w:rFonts w:ascii="Arial" w:hAnsi="Arial" w:cs="Arial"/>
        </w:rPr>
        <w:t xml:space="preserve"> the </w:t>
      </w:r>
      <w:r w:rsidRPr="00DF64AB">
        <w:rPr>
          <w:rFonts w:ascii="Arial" w:hAnsi="Arial" w:cs="Arial"/>
        </w:rPr>
        <w:t xml:space="preserve">Special Access Scheme and Authorised Prescribers </w:t>
      </w:r>
      <w:r w:rsidR="00AF78A4">
        <w:rPr>
          <w:rFonts w:ascii="Arial" w:hAnsi="Arial" w:cs="Arial"/>
        </w:rPr>
        <w:t>Scheme</w:t>
      </w:r>
      <w:r w:rsidRPr="00DF64AB">
        <w:rPr>
          <w:rFonts w:ascii="Arial" w:hAnsi="Arial" w:cs="Arial"/>
        </w:rPr>
        <w:t>, without needing to cost recover these programs.</w:t>
      </w:r>
    </w:p>
    <w:p w14:paraId="646AF411" w14:textId="5D3B184A" w:rsidR="00994BD4" w:rsidRPr="00DF64AB" w:rsidRDefault="00994BD4" w:rsidP="00FE41AA">
      <w:pPr>
        <w:rPr>
          <w:rFonts w:ascii="Arial" w:hAnsi="Arial" w:cs="Arial"/>
        </w:rPr>
      </w:pPr>
      <w:r w:rsidRPr="00DF64AB">
        <w:rPr>
          <w:rFonts w:ascii="Arial" w:hAnsi="Arial" w:cs="Arial"/>
        </w:rPr>
        <w:t xml:space="preserve">In the </w:t>
      </w:r>
      <w:hyperlink r:id="rId19" w:history="1">
        <w:r w:rsidRPr="00DF64AB">
          <w:rPr>
            <w:rStyle w:val="Hyperlink"/>
            <w:rFonts w:cs="Arial"/>
          </w:rPr>
          <w:t>2023-24 Budget</w:t>
        </w:r>
      </w:hyperlink>
      <w:r w:rsidRPr="00DF64AB">
        <w:rPr>
          <w:rFonts w:ascii="Arial" w:hAnsi="Arial" w:cs="Arial"/>
        </w:rPr>
        <w:t xml:space="preserve"> the Government provided $61 million over </w:t>
      </w:r>
      <w:r w:rsidR="001650B6" w:rsidRPr="00DF64AB">
        <w:rPr>
          <w:rFonts w:ascii="Arial" w:hAnsi="Arial" w:cs="Arial"/>
        </w:rPr>
        <w:t xml:space="preserve">4 </w:t>
      </w:r>
      <w:r w:rsidRPr="00DF64AB">
        <w:rPr>
          <w:rFonts w:ascii="Arial" w:hAnsi="Arial" w:cs="Arial"/>
        </w:rPr>
        <w:t>years</w:t>
      </w:r>
      <w:r w:rsidR="00A7447F" w:rsidRPr="00DF64AB">
        <w:rPr>
          <w:rFonts w:ascii="Arial" w:hAnsi="Arial" w:cs="Arial"/>
        </w:rPr>
        <w:t xml:space="preserve"> (see table below) </w:t>
      </w:r>
      <w:r w:rsidRPr="00DF64AB">
        <w:rPr>
          <w:rFonts w:ascii="Arial" w:hAnsi="Arial" w:cs="Arial"/>
        </w:rPr>
        <w:t xml:space="preserve">for meeting costs of the TGA’s public good activities where cost recovery </w:t>
      </w:r>
      <w:r w:rsidR="004A6568" w:rsidRPr="00DF64AB">
        <w:rPr>
          <w:rFonts w:ascii="Arial" w:hAnsi="Arial" w:cs="Arial"/>
        </w:rPr>
        <w:t>was not considered</w:t>
      </w:r>
      <w:r w:rsidRPr="00DF64AB">
        <w:rPr>
          <w:rFonts w:ascii="Arial" w:hAnsi="Arial" w:cs="Arial"/>
        </w:rPr>
        <w:t xml:space="preserve"> appropriate, such as:</w:t>
      </w:r>
    </w:p>
    <w:p w14:paraId="3ADC7BA2" w14:textId="53386EC2" w:rsidR="004E3394" w:rsidRPr="00DF64AB" w:rsidRDefault="007D18E0" w:rsidP="006D31C0">
      <w:pPr>
        <w:pStyle w:val="ListBullet"/>
        <w:spacing w:after="120"/>
        <w:ind w:left="709" w:hanging="425"/>
        <w:rPr>
          <w:rFonts w:eastAsiaTheme="minorHAnsi" w:cs="Arial"/>
          <w:color w:val="auto"/>
        </w:rPr>
      </w:pPr>
      <w:r w:rsidRPr="00DF64AB">
        <w:rPr>
          <w:rFonts w:eastAsiaTheme="minorHAnsi" w:cs="Arial"/>
          <w:color w:val="auto"/>
        </w:rPr>
        <w:t>c</w:t>
      </w:r>
      <w:r w:rsidR="004E3394" w:rsidRPr="00DF64AB">
        <w:rPr>
          <w:rFonts w:eastAsiaTheme="minorHAnsi" w:cs="Arial"/>
          <w:color w:val="auto"/>
        </w:rPr>
        <w:t>ompliance and enforcement for products and companies outside the regulatory system</w:t>
      </w:r>
    </w:p>
    <w:p w14:paraId="377FC1C1" w14:textId="36FDF02E" w:rsidR="004E3394" w:rsidRPr="00DF64AB" w:rsidRDefault="007D18E0" w:rsidP="006D31C0">
      <w:pPr>
        <w:pStyle w:val="ListBullet"/>
        <w:spacing w:after="120"/>
        <w:ind w:left="709" w:hanging="425"/>
        <w:rPr>
          <w:rFonts w:eastAsiaTheme="minorHAnsi" w:cs="Arial"/>
          <w:color w:val="auto"/>
        </w:rPr>
      </w:pPr>
      <w:r w:rsidRPr="00DF64AB">
        <w:rPr>
          <w:rFonts w:eastAsiaTheme="minorHAnsi" w:cs="Arial"/>
          <w:color w:val="auto"/>
        </w:rPr>
        <w:t>m</w:t>
      </w:r>
      <w:r w:rsidR="004E3394" w:rsidRPr="00DF64AB">
        <w:rPr>
          <w:rFonts w:eastAsiaTheme="minorHAnsi" w:cs="Arial"/>
          <w:color w:val="auto"/>
        </w:rPr>
        <w:t>anaging medicine and medical device shortages</w:t>
      </w:r>
    </w:p>
    <w:p w14:paraId="3B38E307" w14:textId="7394B371" w:rsidR="004E3394" w:rsidRPr="00DF64AB" w:rsidRDefault="007D18E0" w:rsidP="006D31C0">
      <w:pPr>
        <w:pStyle w:val="ListBullet"/>
        <w:spacing w:after="120"/>
        <w:ind w:left="709" w:hanging="425"/>
        <w:rPr>
          <w:rFonts w:eastAsiaTheme="minorHAnsi" w:cs="Arial"/>
          <w:color w:val="auto"/>
        </w:rPr>
      </w:pPr>
      <w:r w:rsidRPr="00DF64AB">
        <w:rPr>
          <w:rFonts w:eastAsiaTheme="minorHAnsi" w:cs="Arial"/>
          <w:color w:val="auto"/>
        </w:rPr>
        <w:t>p</w:t>
      </w:r>
      <w:r w:rsidR="004E3394" w:rsidRPr="00DF64AB">
        <w:rPr>
          <w:rFonts w:eastAsiaTheme="minorHAnsi" w:cs="Arial"/>
          <w:color w:val="auto"/>
        </w:rPr>
        <w:t>roviding information to consumers and healthcare professionals</w:t>
      </w:r>
      <w:r w:rsidR="00A27C4F">
        <w:rPr>
          <w:rFonts w:eastAsiaTheme="minorHAnsi" w:cs="Arial"/>
          <w:color w:val="auto"/>
        </w:rPr>
        <w:t>, and</w:t>
      </w:r>
    </w:p>
    <w:p w14:paraId="106A5C30" w14:textId="1392913F" w:rsidR="004E3394" w:rsidRPr="00DF64AB" w:rsidRDefault="007D18E0" w:rsidP="006D31C0">
      <w:pPr>
        <w:pStyle w:val="ListBullet"/>
        <w:spacing w:after="120"/>
        <w:ind w:left="709" w:hanging="425"/>
        <w:rPr>
          <w:rFonts w:eastAsiaTheme="minorHAnsi" w:cs="Arial"/>
          <w:color w:val="auto"/>
        </w:rPr>
      </w:pPr>
      <w:r w:rsidRPr="00DF64AB">
        <w:rPr>
          <w:rFonts w:eastAsiaTheme="minorHAnsi" w:cs="Arial"/>
          <w:color w:val="auto"/>
        </w:rPr>
        <w:t>c</w:t>
      </w:r>
      <w:r w:rsidR="004E3394" w:rsidRPr="00DF64AB">
        <w:rPr>
          <w:rFonts w:eastAsiaTheme="minorHAnsi" w:cs="Arial"/>
          <w:color w:val="auto"/>
        </w:rPr>
        <w:t xml:space="preserve">ontinued assistance to small and medium enterprises in the sector, particularly those developing emerging technologies. </w:t>
      </w:r>
    </w:p>
    <w:tbl>
      <w:tblPr>
        <w:tblStyle w:val="TableTGAblue2023"/>
        <w:tblW w:w="0" w:type="auto"/>
        <w:jc w:val="center"/>
        <w:tblLook w:val="04A0" w:firstRow="1" w:lastRow="0" w:firstColumn="1" w:lastColumn="0" w:noHBand="0" w:noVBand="1"/>
      </w:tblPr>
      <w:tblGrid>
        <w:gridCol w:w="2547"/>
        <w:gridCol w:w="1247"/>
        <w:gridCol w:w="1247"/>
        <w:gridCol w:w="1248"/>
        <w:gridCol w:w="1247"/>
        <w:gridCol w:w="1248"/>
      </w:tblGrid>
      <w:tr w:rsidR="00752AE3" w:rsidRPr="00DF64AB" w14:paraId="6D8AB750" w14:textId="77777777" w:rsidTr="00E77EA2">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547" w:type="dxa"/>
          </w:tcPr>
          <w:p w14:paraId="24907598" w14:textId="7BB9BD12" w:rsidR="00752AE3" w:rsidRPr="00DF64AB" w:rsidRDefault="00752AE3" w:rsidP="00306F22">
            <w:pPr>
              <w:rPr>
                <w:rFonts w:cs="Arial"/>
                <w:sz w:val="20"/>
                <w:szCs w:val="20"/>
              </w:rPr>
            </w:pPr>
          </w:p>
        </w:tc>
        <w:tc>
          <w:tcPr>
            <w:tcW w:w="1247" w:type="dxa"/>
          </w:tcPr>
          <w:p w14:paraId="33BCC767" w14:textId="77777777"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2023-24</w:t>
            </w:r>
          </w:p>
          <w:p w14:paraId="54FC0F1A" w14:textId="6C3A9C0C"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247" w:type="dxa"/>
            <w:vAlign w:val="center"/>
          </w:tcPr>
          <w:p w14:paraId="3D774716" w14:textId="77777777"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2024-25</w:t>
            </w:r>
          </w:p>
          <w:p w14:paraId="4744E080" w14:textId="23EEE8AB"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248" w:type="dxa"/>
            <w:vAlign w:val="center"/>
          </w:tcPr>
          <w:p w14:paraId="1F609B26" w14:textId="77777777"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2025-26</w:t>
            </w:r>
          </w:p>
          <w:p w14:paraId="1A179A52" w14:textId="582CCF07"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247" w:type="dxa"/>
            <w:vAlign w:val="center"/>
          </w:tcPr>
          <w:p w14:paraId="43F0EC5F" w14:textId="77777777"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2026-27</w:t>
            </w:r>
          </w:p>
          <w:p w14:paraId="429FF484" w14:textId="0CA8D966"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248" w:type="dxa"/>
          </w:tcPr>
          <w:p w14:paraId="44A8CC36" w14:textId="7D0978E6"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Total</w:t>
            </w:r>
          </w:p>
          <w:p w14:paraId="64DC2BD7" w14:textId="1AAF0943" w:rsidR="00752AE3" w:rsidRPr="00DF64AB" w:rsidRDefault="00752AE3" w:rsidP="00E77EA2">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r>
      <w:tr w:rsidR="00752AE3" w:rsidRPr="00DF64AB" w14:paraId="2BDCE5EA" w14:textId="77777777" w:rsidTr="00E77EA2">
        <w:trPr>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AB25D05" w14:textId="47F73261" w:rsidR="00752AE3" w:rsidRPr="00DF64AB" w:rsidRDefault="00A27DB4" w:rsidP="00853BD7">
            <w:pPr>
              <w:ind w:left="0"/>
              <w:rPr>
                <w:rFonts w:cs="Arial"/>
                <w:sz w:val="20"/>
                <w:szCs w:val="20"/>
              </w:rPr>
            </w:pPr>
            <w:r w:rsidRPr="00DF64AB">
              <w:rPr>
                <w:rFonts w:cs="Arial"/>
                <w:sz w:val="20"/>
                <w:szCs w:val="20"/>
              </w:rPr>
              <w:t>Department of Health, Disability and Ageing</w:t>
            </w:r>
          </w:p>
        </w:tc>
        <w:tc>
          <w:tcPr>
            <w:tcW w:w="1247" w:type="dxa"/>
          </w:tcPr>
          <w:p w14:paraId="27A77BD5" w14:textId="0D0F1BB2"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14.979</w:t>
            </w:r>
          </w:p>
        </w:tc>
        <w:tc>
          <w:tcPr>
            <w:tcW w:w="1247" w:type="dxa"/>
          </w:tcPr>
          <w:p w14:paraId="47BB2D27" w14:textId="17A644CC"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15.214</w:t>
            </w:r>
          </w:p>
        </w:tc>
        <w:tc>
          <w:tcPr>
            <w:tcW w:w="1248" w:type="dxa"/>
          </w:tcPr>
          <w:p w14:paraId="3A5B5D09" w14:textId="60AA0460"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15.332</w:t>
            </w:r>
          </w:p>
        </w:tc>
        <w:tc>
          <w:tcPr>
            <w:tcW w:w="1247" w:type="dxa"/>
          </w:tcPr>
          <w:p w14:paraId="35D30CE1" w14:textId="7576AE8A"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15.467</w:t>
            </w:r>
          </w:p>
        </w:tc>
        <w:tc>
          <w:tcPr>
            <w:tcW w:w="1248" w:type="dxa"/>
          </w:tcPr>
          <w:p w14:paraId="5F466D53" w14:textId="77A490CE"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60.992</w:t>
            </w:r>
          </w:p>
        </w:tc>
      </w:tr>
      <w:tr w:rsidR="00752AE3" w:rsidRPr="00DF64AB" w14:paraId="44B0EE65" w14:textId="77777777" w:rsidTr="00E77EA2">
        <w:trPr>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A75A97" w14:textId="5265EEE2" w:rsidR="00752AE3" w:rsidRPr="00DF64AB" w:rsidRDefault="00752AE3" w:rsidP="00853BD7">
            <w:pPr>
              <w:ind w:left="0"/>
              <w:rPr>
                <w:rFonts w:cs="Arial"/>
                <w:sz w:val="20"/>
                <w:szCs w:val="20"/>
              </w:rPr>
            </w:pPr>
            <w:r w:rsidRPr="00DF64AB">
              <w:rPr>
                <w:rFonts w:cs="Arial"/>
                <w:b/>
                <w:bCs/>
                <w:sz w:val="20"/>
                <w:szCs w:val="20"/>
              </w:rPr>
              <w:t>Total</w:t>
            </w:r>
          </w:p>
        </w:tc>
        <w:tc>
          <w:tcPr>
            <w:tcW w:w="1247" w:type="dxa"/>
          </w:tcPr>
          <w:p w14:paraId="184B4DAA" w14:textId="1E0B68CE"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b/>
                <w:bCs/>
                <w:sz w:val="20"/>
                <w:szCs w:val="20"/>
              </w:rPr>
              <w:t>14.979</w:t>
            </w:r>
          </w:p>
        </w:tc>
        <w:tc>
          <w:tcPr>
            <w:tcW w:w="1247" w:type="dxa"/>
          </w:tcPr>
          <w:p w14:paraId="126DBF24" w14:textId="36C0712A"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b/>
                <w:bCs/>
                <w:sz w:val="20"/>
                <w:szCs w:val="20"/>
              </w:rPr>
              <w:t>15.214</w:t>
            </w:r>
          </w:p>
        </w:tc>
        <w:tc>
          <w:tcPr>
            <w:tcW w:w="1248" w:type="dxa"/>
          </w:tcPr>
          <w:p w14:paraId="542166E9" w14:textId="0FC2394B"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b/>
                <w:bCs/>
                <w:sz w:val="20"/>
                <w:szCs w:val="20"/>
              </w:rPr>
              <w:t>15.332</w:t>
            </w:r>
          </w:p>
        </w:tc>
        <w:tc>
          <w:tcPr>
            <w:tcW w:w="1247" w:type="dxa"/>
          </w:tcPr>
          <w:p w14:paraId="23C26956" w14:textId="291CAE57"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b/>
                <w:bCs/>
                <w:sz w:val="20"/>
                <w:szCs w:val="20"/>
              </w:rPr>
              <w:t>15.467</w:t>
            </w:r>
          </w:p>
        </w:tc>
        <w:tc>
          <w:tcPr>
            <w:tcW w:w="1248" w:type="dxa"/>
          </w:tcPr>
          <w:p w14:paraId="1BEF4183" w14:textId="3DEC48A1" w:rsidR="00752AE3" w:rsidRPr="00DF64AB" w:rsidRDefault="00752AE3" w:rsidP="00E77EA2">
            <w:pPr>
              <w:ind w:left="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b/>
                <w:bCs/>
                <w:sz w:val="20"/>
                <w:szCs w:val="20"/>
              </w:rPr>
              <w:t>60.992</w:t>
            </w:r>
          </w:p>
        </w:tc>
      </w:tr>
    </w:tbl>
    <w:p w14:paraId="532ADA10" w14:textId="77777777" w:rsidR="00812DDD" w:rsidRPr="00DF64AB" w:rsidRDefault="00812DDD" w:rsidP="00812DDD">
      <w:pPr>
        <w:rPr>
          <w:rFonts w:ascii="Arial" w:hAnsi="Arial" w:cs="Arial"/>
        </w:rPr>
      </w:pPr>
      <w:bookmarkStart w:id="16" w:name="_Toc169081971"/>
    </w:p>
    <w:p w14:paraId="6BA84E87" w14:textId="61F01C2E" w:rsidR="00962C3F" w:rsidRPr="00DF64AB" w:rsidRDefault="008A17A4" w:rsidP="008A17A4">
      <w:pPr>
        <w:rPr>
          <w:rFonts w:ascii="Arial" w:hAnsi="Arial" w:cs="Arial"/>
          <w:highlight w:val="yellow"/>
        </w:rPr>
      </w:pPr>
      <w:bookmarkStart w:id="17" w:name="_Hlk198625480"/>
      <w:r w:rsidRPr="00DF64AB">
        <w:rPr>
          <w:rFonts w:ascii="Arial" w:hAnsi="Arial" w:cs="Arial"/>
        </w:rPr>
        <w:t xml:space="preserve">Since the 2023-24 MYEFO, the Government has progressively provided funding to the </w:t>
      </w:r>
      <w:r w:rsidR="00A27DB4" w:rsidRPr="00DF64AB">
        <w:rPr>
          <w:rFonts w:ascii="Arial" w:hAnsi="Arial" w:cs="Arial"/>
        </w:rPr>
        <w:t>D</w:t>
      </w:r>
      <w:r w:rsidRPr="00DF64AB">
        <w:rPr>
          <w:rFonts w:ascii="Arial" w:hAnsi="Arial" w:cs="Arial"/>
        </w:rPr>
        <w:t xml:space="preserve">epartment </w:t>
      </w:r>
      <w:r w:rsidR="00962C3F" w:rsidRPr="00DF64AB">
        <w:rPr>
          <w:rFonts w:ascii="Arial" w:hAnsi="Arial" w:cs="Arial"/>
        </w:rPr>
        <w:t xml:space="preserve">for </w:t>
      </w:r>
      <w:r w:rsidRPr="00DF64AB">
        <w:rPr>
          <w:rFonts w:ascii="Arial" w:hAnsi="Arial" w:cs="Arial"/>
        </w:rPr>
        <w:t>v</w:t>
      </w:r>
      <w:r w:rsidR="00962C3F" w:rsidRPr="00DF64AB">
        <w:rPr>
          <w:rFonts w:ascii="Arial" w:hAnsi="Arial" w:cs="Arial"/>
        </w:rPr>
        <w:t xml:space="preserve">aping </w:t>
      </w:r>
      <w:r w:rsidRPr="00DF64AB">
        <w:rPr>
          <w:rFonts w:ascii="Arial" w:hAnsi="Arial" w:cs="Arial"/>
        </w:rPr>
        <w:t>r</w:t>
      </w:r>
      <w:r w:rsidR="00962C3F" w:rsidRPr="00DF64AB">
        <w:rPr>
          <w:rFonts w:ascii="Arial" w:hAnsi="Arial" w:cs="Arial"/>
        </w:rPr>
        <w:t xml:space="preserve">egulation </w:t>
      </w:r>
      <w:r w:rsidRPr="00DF64AB">
        <w:rPr>
          <w:rFonts w:ascii="Arial" w:hAnsi="Arial" w:cs="Arial"/>
        </w:rPr>
        <w:t>r</w:t>
      </w:r>
      <w:r w:rsidR="00962C3F" w:rsidRPr="00DF64AB">
        <w:rPr>
          <w:rFonts w:ascii="Arial" w:hAnsi="Arial" w:cs="Arial"/>
        </w:rPr>
        <w:t>eform</w:t>
      </w:r>
      <w:r w:rsidR="004B45D5" w:rsidRPr="00DF64AB">
        <w:rPr>
          <w:rFonts w:ascii="Arial" w:hAnsi="Arial" w:cs="Arial"/>
        </w:rPr>
        <w:t xml:space="preserve"> work</w:t>
      </w:r>
      <w:r w:rsidRPr="00DF64AB">
        <w:rPr>
          <w:rFonts w:ascii="Arial" w:hAnsi="Arial" w:cs="Arial"/>
        </w:rPr>
        <w:t>, a portion of which has been provided to the TGA</w:t>
      </w:r>
      <w:r w:rsidR="00B95528" w:rsidRPr="00DF64AB">
        <w:rPr>
          <w:rFonts w:ascii="Arial" w:hAnsi="Arial" w:cs="Arial"/>
        </w:rPr>
        <w:t>.</w:t>
      </w:r>
    </w:p>
    <w:p w14:paraId="353FA0BF" w14:textId="47719A47" w:rsidR="00190EE9" w:rsidRPr="00DF64AB" w:rsidRDefault="00321576" w:rsidP="00190EE9">
      <w:pPr>
        <w:pStyle w:val="Heading2"/>
        <w:rPr>
          <w:rFonts w:cs="Arial"/>
        </w:rPr>
      </w:pPr>
      <w:bookmarkStart w:id="18" w:name="_Toc233286918"/>
      <w:bookmarkEnd w:id="17"/>
      <w:r w:rsidRPr="00DF64AB">
        <w:rPr>
          <w:rFonts w:cs="Arial"/>
        </w:rPr>
        <w:t>C</w:t>
      </w:r>
      <w:r w:rsidR="00190EE9" w:rsidRPr="00DF64AB">
        <w:rPr>
          <w:rFonts w:cs="Arial"/>
        </w:rPr>
        <w:t>ost recovery model</w:t>
      </w:r>
      <w:bookmarkEnd w:id="16"/>
      <w:bookmarkEnd w:id="18"/>
    </w:p>
    <w:p w14:paraId="22A31AB1" w14:textId="77777777" w:rsidR="00114E16" w:rsidRPr="00DF64AB" w:rsidRDefault="00114E16" w:rsidP="00114E16">
      <w:pPr>
        <w:pStyle w:val="Heading3"/>
        <w:spacing w:before="240"/>
        <w:rPr>
          <w:rFonts w:cs="Arial"/>
        </w:rPr>
      </w:pPr>
      <w:bookmarkStart w:id="19" w:name="_Toc169081972"/>
      <w:bookmarkStart w:id="20" w:name="_Toc233286919"/>
      <w:r w:rsidRPr="00DF64AB">
        <w:rPr>
          <w:rFonts w:cs="Arial"/>
        </w:rPr>
        <w:t>A: Pre-market regulatory activities for therapeutic goods</w:t>
      </w:r>
      <w:bookmarkEnd w:id="19"/>
      <w:bookmarkEnd w:id="20"/>
    </w:p>
    <w:p w14:paraId="42E3F6C8" w14:textId="77777777" w:rsidR="00D9356C" w:rsidRPr="00DF64AB" w:rsidRDefault="00D9356C" w:rsidP="00D9356C">
      <w:pPr>
        <w:pStyle w:val="Heading4"/>
        <w:spacing w:before="240"/>
        <w:rPr>
          <w:rFonts w:cs="Arial"/>
        </w:rPr>
      </w:pPr>
      <w:bookmarkStart w:id="21" w:name="_Toc233286920"/>
      <w:r w:rsidRPr="00DF64AB">
        <w:rPr>
          <w:rFonts w:cs="Arial"/>
        </w:rPr>
        <w:t>1. Prescription medicines</w:t>
      </w:r>
      <w:bookmarkEnd w:id="21"/>
    </w:p>
    <w:p w14:paraId="4EFCCADD" w14:textId="24C021AF" w:rsidR="00FA034E" w:rsidRPr="00DF64AB" w:rsidRDefault="00FA034E" w:rsidP="00FE41AA">
      <w:pPr>
        <w:rPr>
          <w:rFonts w:ascii="Arial" w:hAnsi="Arial" w:cs="Arial"/>
        </w:rPr>
      </w:pPr>
      <w:r w:rsidRPr="00DF64AB">
        <w:rPr>
          <w:rFonts w:ascii="Arial" w:hAnsi="Arial" w:cs="Arial"/>
        </w:rPr>
        <w:t xml:space="preserve">Medicines are grouped into schedules according to the appropriate level of regulatory control over their availability to consumers. Higher risk medicines, such as prescription medicines, must be registered in the ARTG before they </w:t>
      </w:r>
      <w:r w:rsidR="00AF78A4">
        <w:rPr>
          <w:rFonts w:ascii="Arial" w:hAnsi="Arial" w:cs="Arial"/>
        </w:rPr>
        <w:t xml:space="preserve">can be </w:t>
      </w:r>
      <w:r w:rsidRPr="00DF64AB">
        <w:rPr>
          <w:rFonts w:ascii="Arial" w:hAnsi="Arial" w:cs="Arial"/>
        </w:rPr>
        <w:t>made available for supply in Australia.</w:t>
      </w:r>
      <w:r w:rsidR="00A27C4F">
        <w:rPr>
          <w:rFonts w:ascii="Arial" w:hAnsi="Arial" w:cs="Arial"/>
        </w:rPr>
        <w:t xml:space="preserve"> C</w:t>
      </w:r>
      <w:r w:rsidRPr="00DF64AB">
        <w:rPr>
          <w:rFonts w:ascii="Arial" w:hAnsi="Arial" w:cs="Arial"/>
        </w:rPr>
        <w:t xml:space="preserve">ertain prescription medicines can be </w:t>
      </w:r>
      <w:r w:rsidR="00A27C4F" w:rsidRPr="00DF64AB">
        <w:rPr>
          <w:rFonts w:ascii="Arial" w:hAnsi="Arial" w:cs="Arial"/>
        </w:rPr>
        <w:t xml:space="preserve">provisionally </w:t>
      </w:r>
      <w:r w:rsidRPr="00DF64AB">
        <w:rPr>
          <w:rFonts w:ascii="Arial" w:hAnsi="Arial" w:cs="Arial"/>
        </w:rPr>
        <w:t xml:space="preserve">registered for </w:t>
      </w:r>
      <w:proofErr w:type="gramStart"/>
      <w:r w:rsidRPr="00DF64AB">
        <w:rPr>
          <w:rFonts w:ascii="Arial" w:hAnsi="Arial" w:cs="Arial"/>
        </w:rPr>
        <w:t>a period of time</w:t>
      </w:r>
      <w:proofErr w:type="gramEnd"/>
      <w:r w:rsidRPr="00DF64AB">
        <w:rPr>
          <w:rFonts w:ascii="Arial" w:hAnsi="Arial" w:cs="Arial"/>
        </w:rPr>
        <w:t xml:space="preserve">. The requirements for a provisional registration of prescription medicines are set out in the Act. Prescription medicines are available from a pharmacist, supplied with </w:t>
      </w:r>
      <w:r w:rsidR="001C3072" w:rsidRPr="001C3072">
        <w:rPr>
          <w:rFonts w:ascii="Arial" w:hAnsi="Arial" w:cs="Arial"/>
        </w:rPr>
        <w:t>a prescription from a</w:t>
      </w:r>
      <w:r w:rsidR="00A27C4F">
        <w:rPr>
          <w:rFonts w:ascii="Arial" w:hAnsi="Arial" w:cs="Arial"/>
        </w:rPr>
        <w:t>n appropriate</w:t>
      </w:r>
      <w:r w:rsidR="001C3072" w:rsidRPr="001C3072">
        <w:rPr>
          <w:rFonts w:ascii="Arial" w:hAnsi="Arial" w:cs="Arial"/>
        </w:rPr>
        <w:t xml:space="preserve"> registered health practitioner.</w:t>
      </w:r>
      <w:r w:rsidRPr="00DF64AB">
        <w:rPr>
          <w:rFonts w:ascii="Arial" w:hAnsi="Arial" w:cs="Arial"/>
        </w:rPr>
        <w:t xml:space="preserve"> Otherwise, only authorised health care professionals can supply prescription medicines, such as in a hospital setting</w:t>
      </w:r>
      <w:r w:rsidR="001C3072">
        <w:rPr>
          <w:rFonts w:ascii="Arial" w:hAnsi="Arial" w:cs="Arial"/>
        </w:rPr>
        <w:t>, aged care setting and some community health centres</w:t>
      </w:r>
      <w:r w:rsidRPr="00DF64AB">
        <w:rPr>
          <w:rFonts w:ascii="Arial" w:hAnsi="Arial" w:cs="Arial"/>
        </w:rPr>
        <w:t>. Examples include vaccines, blood pressure tablets, diabetes medications, antibiotics and strong painkillers.</w:t>
      </w:r>
    </w:p>
    <w:p w14:paraId="52FF53AE" w14:textId="38FFAA15" w:rsidR="00FA034E" w:rsidRPr="00DF64AB" w:rsidRDefault="00FA034E" w:rsidP="00FE41AA">
      <w:pPr>
        <w:rPr>
          <w:rFonts w:ascii="Arial" w:hAnsi="Arial" w:cs="Arial"/>
        </w:rPr>
      </w:pPr>
      <w:r w:rsidRPr="00DF64AB">
        <w:rPr>
          <w:rFonts w:ascii="Arial" w:hAnsi="Arial" w:cs="Arial"/>
        </w:rPr>
        <w:lastRenderedPageBreak/>
        <w:t xml:space="preserve">There are some legal exemptions to the requirement for a prescription medicine to be registered in the ARTG before they are supplied in Australia. These </w:t>
      </w:r>
      <w:r w:rsidR="00C87D33">
        <w:rPr>
          <w:rFonts w:ascii="Arial" w:hAnsi="Arial" w:cs="Arial"/>
        </w:rPr>
        <w:t>include</w:t>
      </w:r>
      <w:r w:rsidR="00A27C4F">
        <w:rPr>
          <w:rFonts w:ascii="Arial" w:hAnsi="Arial" w:cs="Arial"/>
        </w:rPr>
        <w:t xml:space="preserve"> the</w:t>
      </w:r>
      <w:r w:rsidRPr="00DF64AB">
        <w:rPr>
          <w:rFonts w:ascii="Arial" w:hAnsi="Arial" w:cs="Arial"/>
        </w:rPr>
        <w:t>:</w:t>
      </w:r>
    </w:p>
    <w:p w14:paraId="439015B0" w14:textId="77777777" w:rsidR="00D9356C" w:rsidRPr="00DF64AB" w:rsidRDefault="00D9356C" w:rsidP="006D31C0">
      <w:pPr>
        <w:pStyle w:val="ListBullet"/>
        <w:spacing w:after="120"/>
        <w:ind w:left="709" w:hanging="425"/>
        <w:rPr>
          <w:rFonts w:eastAsiaTheme="minorHAnsi" w:cs="Arial"/>
          <w:color w:val="auto"/>
        </w:rPr>
      </w:pPr>
      <w:r w:rsidRPr="00DF64AB">
        <w:rPr>
          <w:rFonts w:eastAsiaTheme="minorHAnsi" w:cs="Arial"/>
          <w:color w:val="auto"/>
        </w:rPr>
        <w:t>Special Access Scheme (SAS)</w:t>
      </w:r>
    </w:p>
    <w:p w14:paraId="099CE1F9" w14:textId="60A60493" w:rsidR="00D9356C" w:rsidRPr="00DF64AB" w:rsidRDefault="00D9356C" w:rsidP="006D31C0">
      <w:pPr>
        <w:pStyle w:val="ListBullet"/>
        <w:spacing w:after="120"/>
        <w:ind w:left="709" w:hanging="425"/>
        <w:rPr>
          <w:rFonts w:eastAsiaTheme="minorHAnsi" w:cs="Arial"/>
          <w:color w:val="auto"/>
        </w:rPr>
      </w:pPr>
      <w:r w:rsidRPr="00DF64AB">
        <w:rPr>
          <w:rFonts w:eastAsiaTheme="minorHAnsi" w:cs="Arial"/>
          <w:color w:val="auto"/>
        </w:rPr>
        <w:t>Authorised Prescriber Scheme (AP)</w:t>
      </w:r>
      <w:r w:rsidR="00A27C4F">
        <w:rPr>
          <w:rFonts w:eastAsiaTheme="minorHAnsi" w:cs="Arial"/>
          <w:color w:val="auto"/>
        </w:rPr>
        <w:t>, and</w:t>
      </w:r>
    </w:p>
    <w:p w14:paraId="61527CC9" w14:textId="77777777" w:rsidR="0076618A" w:rsidRDefault="00D9356C" w:rsidP="0076618A">
      <w:pPr>
        <w:pStyle w:val="ListBullet"/>
        <w:spacing w:after="120"/>
        <w:ind w:left="709" w:hanging="425"/>
        <w:rPr>
          <w:rFonts w:eastAsiaTheme="minorHAnsi" w:cs="Arial"/>
          <w:color w:val="auto"/>
        </w:rPr>
      </w:pPr>
      <w:r w:rsidRPr="00DF64AB">
        <w:rPr>
          <w:rFonts w:eastAsiaTheme="minorHAnsi" w:cs="Arial"/>
          <w:color w:val="auto"/>
        </w:rPr>
        <w:t>Clinical Trial Notification (CTN) and Clinical Trial Approval (CTA) Schemes</w:t>
      </w:r>
    </w:p>
    <w:p w14:paraId="2B009F3C" w14:textId="637295F9" w:rsidR="0076618A" w:rsidRPr="0076618A" w:rsidRDefault="0076618A" w:rsidP="0076618A">
      <w:pPr>
        <w:pStyle w:val="ListBullet"/>
        <w:numPr>
          <w:ilvl w:val="0"/>
          <w:numId w:val="0"/>
        </w:numPr>
        <w:spacing w:after="120"/>
        <w:rPr>
          <w:rFonts w:eastAsiaTheme="minorHAnsi" w:cs="Arial"/>
          <w:color w:val="auto"/>
        </w:rPr>
      </w:pPr>
      <w:r w:rsidRPr="0076618A">
        <w:rPr>
          <w:rFonts w:eastAsiaTheme="minorHAnsi" w:cs="Arial"/>
          <w:color w:val="auto"/>
        </w:rPr>
        <w:t>Prescription medicines supplied in Australia must be manufactured in accordance with Good Manufacturing Practice (</w:t>
      </w:r>
      <w:hyperlink r:id="rId20" w:history="1">
        <w:r w:rsidRPr="00DF64AB">
          <w:rPr>
            <w:rStyle w:val="Hyperlink"/>
            <w:rFonts w:cs="Arial"/>
          </w:rPr>
          <w:t>GMP</w:t>
        </w:r>
      </w:hyperlink>
      <w:r w:rsidRPr="0076618A">
        <w:rPr>
          <w:rFonts w:eastAsiaTheme="minorHAnsi" w:cs="Arial"/>
          <w:color w:val="auto"/>
        </w:rPr>
        <w:t>) to ensure the quality, safety and efficacy of the product.</w:t>
      </w:r>
    </w:p>
    <w:p w14:paraId="5E81D5B2" w14:textId="77777777" w:rsidR="00B70BF2" w:rsidRPr="00DF64AB" w:rsidRDefault="00B70BF2" w:rsidP="00B70BF2">
      <w:pPr>
        <w:pStyle w:val="Heading5"/>
        <w:rPr>
          <w:rFonts w:cs="Arial"/>
        </w:rPr>
      </w:pPr>
      <w:r w:rsidRPr="00DF64AB">
        <w:rPr>
          <w:rFonts w:cs="Arial"/>
        </w:rPr>
        <w:t>Regulatory framework</w:t>
      </w:r>
    </w:p>
    <w:p w14:paraId="0FCED7CF" w14:textId="77777777" w:rsidR="006555F3" w:rsidRPr="00DF64AB" w:rsidRDefault="006555F3" w:rsidP="006555F3">
      <w:pPr>
        <w:rPr>
          <w:rFonts w:ascii="Arial" w:hAnsi="Arial" w:cs="Arial"/>
        </w:rPr>
      </w:pPr>
      <w:bookmarkStart w:id="22" w:name="_Hlk135811873"/>
      <w:bookmarkStart w:id="23" w:name="_Hlk135811709"/>
      <w:r w:rsidRPr="00DF64AB">
        <w:rPr>
          <w:rFonts w:ascii="Arial" w:hAnsi="Arial" w:cs="Arial"/>
        </w:rPr>
        <w:t>TGA scientific and technical website content is maintained according to the Australian Government website standards, and in line with legislative requirements for regulatory decision making.</w:t>
      </w:r>
    </w:p>
    <w:bookmarkEnd w:id="22"/>
    <w:p w14:paraId="0D39CFA2" w14:textId="79D8FD3A" w:rsidR="006555F3" w:rsidRPr="00DF64AB" w:rsidRDefault="006555F3" w:rsidP="006555F3">
      <w:pPr>
        <w:rPr>
          <w:rFonts w:ascii="Arial" w:hAnsi="Arial" w:cs="Arial"/>
        </w:rPr>
      </w:pPr>
      <w:r w:rsidRPr="00DF64AB">
        <w:rPr>
          <w:rFonts w:ascii="Arial" w:hAnsi="Arial" w:cs="Arial"/>
        </w:rPr>
        <w:t>International regulators, or regulator groups such as the International Conference on Harmonisation of Technical Requirements for Registration of Pharmaceuticals for Human Use, publish guidelines that may be adopted by the TGA.</w:t>
      </w:r>
    </w:p>
    <w:bookmarkEnd w:id="23"/>
    <w:p w14:paraId="01F3BE49" w14:textId="77777777" w:rsidR="00E038D3" w:rsidRPr="00DF64AB" w:rsidRDefault="00E038D3" w:rsidP="00E038D3">
      <w:pPr>
        <w:pStyle w:val="Heading5"/>
        <w:rPr>
          <w:rFonts w:cs="Arial"/>
        </w:rPr>
      </w:pPr>
      <w:r w:rsidRPr="00DF64AB">
        <w:rPr>
          <w:rFonts w:cs="Arial"/>
        </w:rPr>
        <w:t>Registration in the ARTG</w:t>
      </w:r>
    </w:p>
    <w:p w14:paraId="1FF967AA" w14:textId="4D0CCE3D" w:rsidR="00FC6466" w:rsidRPr="00DF64AB" w:rsidRDefault="00FC6466" w:rsidP="00FC6466">
      <w:pPr>
        <w:rPr>
          <w:rFonts w:ascii="Arial" w:hAnsi="Arial" w:cs="Arial"/>
        </w:rPr>
      </w:pPr>
      <w:r w:rsidRPr="00DF64AB">
        <w:rPr>
          <w:rFonts w:ascii="Arial" w:hAnsi="Arial" w:cs="Arial"/>
        </w:rPr>
        <w:t xml:space="preserve">Before being placed in the ARTG, prescription medicines are assessed for quality, safety and efficacy. Most prescription medicines are registered through the standard registration pathway. As part of the implementation of </w:t>
      </w:r>
      <w:r w:rsidR="007655FA" w:rsidRPr="00DF64AB">
        <w:rPr>
          <w:rFonts w:ascii="Arial" w:hAnsi="Arial" w:cs="Arial"/>
        </w:rPr>
        <w:t>several</w:t>
      </w:r>
      <w:r w:rsidRPr="00DF64AB">
        <w:rPr>
          <w:rFonts w:ascii="Arial" w:hAnsi="Arial" w:cs="Arial"/>
        </w:rPr>
        <w:t xml:space="preserve"> regulatory reforms in 2017-18 the TGA implemented “provisional” and “priority” pathways for registration of certain prescription medicines, provided they meet the legislative criteria.</w:t>
      </w:r>
    </w:p>
    <w:p w14:paraId="331D07C0" w14:textId="77777777" w:rsidR="00E038D3" w:rsidRPr="00DF64AB" w:rsidRDefault="00E038D3" w:rsidP="00E038D3">
      <w:pPr>
        <w:pStyle w:val="Heading5"/>
        <w:rPr>
          <w:rFonts w:cs="Arial"/>
        </w:rPr>
      </w:pPr>
      <w:r w:rsidRPr="00DF64AB">
        <w:rPr>
          <w:rFonts w:cs="Arial"/>
        </w:rPr>
        <w:t>Applications</w:t>
      </w:r>
    </w:p>
    <w:p w14:paraId="6874A30A" w14:textId="7F50E980" w:rsidR="008245D1" w:rsidRPr="00DF64AB" w:rsidRDefault="008245D1" w:rsidP="008245D1">
      <w:pPr>
        <w:keepLines/>
        <w:rPr>
          <w:rFonts w:ascii="Arial" w:hAnsi="Arial" w:cs="Arial"/>
        </w:rPr>
      </w:pPr>
      <w:r w:rsidRPr="00DF64AB">
        <w:rPr>
          <w:rFonts w:ascii="Arial" w:hAnsi="Arial" w:cs="Arial"/>
        </w:rPr>
        <w:t>All applications for registration of prescription medicines must be preceded by a pre-submission planning form (PPF). The TGA assesses all PPFs to ensure that application dossiers for registration in the ARTG contain all the appropriate and required information. The information provided in the PPF allows resources to be effectively assigned to the evaluation process. If the PPF is insufficient for planning purposes or indicates that mandatory requirements have not been met, the TGA may deem the PPF to be ‘not effective’ and the application will not proceed to the dossier submission stage. The PPF</w:t>
      </w:r>
      <w:r w:rsidR="00A27C4F">
        <w:rPr>
          <w:rFonts w:ascii="Arial" w:hAnsi="Arial" w:cs="Arial"/>
        </w:rPr>
        <w:t xml:space="preserve"> submission process</w:t>
      </w:r>
      <w:r w:rsidRPr="00DF64AB">
        <w:rPr>
          <w:rFonts w:ascii="Arial" w:hAnsi="Arial" w:cs="Arial"/>
        </w:rPr>
        <w:t xml:space="preserve"> improves the quality of applications and helps in meeting legislative timeframes.</w:t>
      </w:r>
    </w:p>
    <w:p w14:paraId="26C0A721" w14:textId="77777777" w:rsidR="00CC6925" w:rsidRPr="00DF64AB" w:rsidRDefault="00CC6925" w:rsidP="00CC6925">
      <w:pPr>
        <w:pStyle w:val="Heading5"/>
        <w:rPr>
          <w:rFonts w:cs="Arial"/>
        </w:rPr>
      </w:pPr>
      <w:r w:rsidRPr="00DF64AB">
        <w:rPr>
          <w:rFonts w:cs="Arial"/>
        </w:rPr>
        <w:t>Data evaluation</w:t>
      </w:r>
    </w:p>
    <w:p w14:paraId="47D85A21" w14:textId="6493CEBB" w:rsidR="00CC6925" w:rsidRPr="00DF64AB" w:rsidRDefault="00CC6925" w:rsidP="00CC6925">
      <w:pPr>
        <w:rPr>
          <w:rFonts w:ascii="Arial" w:hAnsi="Arial" w:cs="Arial"/>
        </w:rPr>
      </w:pPr>
      <w:r w:rsidRPr="00DF64AB">
        <w:rPr>
          <w:rFonts w:ascii="Arial" w:hAnsi="Arial" w:cs="Arial"/>
        </w:rPr>
        <w:t xml:space="preserve">The data submitted with an application is divided into </w:t>
      </w:r>
      <w:r w:rsidR="00C96BAE" w:rsidRPr="00DF64AB">
        <w:rPr>
          <w:rFonts w:ascii="Arial" w:hAnsi="Arial" w:cs="Arial"/>
        </w:rPr>
        <w:t xml:space="preserve">3 </w:t>
      </w:r>
      <w:r w:rsidRPr="00DF64AB">
        <w:rPr>
          <w:rFonts w:ascii="Arial" w:hAnsi="Arial" w:cs="Arial"/>
        </w:rPr>
        <w:t>types:</w:t>
      </w:r>
    </w:p>
    <w:p w14:paraId="52068638" w14:textId="6594D4DD"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quality data evaluated by chemists, biochemists, microbiologists and other TGA officers</w:t>
      </w:r>
      <w:r w:rsidR="00E4224A">
        <w:rPr>
          <w:rFonts w:eastAsiaTheme="minorHAnsi" w:cs="Arial"/>
          <w:color w:val="auto"/>
        </w:rPr>
        <w:t>,</w:t>
      </w:r>
      <w:r w:rsidRPr="00DF64AB">
        <w:rPr>
          <w:rFonts w:eastAsiaTheme="minorHAnsi" w:cs="Arial"/>
          <w:color w:val="auto"/>
        </w:rPr>
        <w:t xml:space="preserve"> </w:t>
      </w:r>
      <w:r w:rsidR="00E4224A">
        <w:rPr>
          <w:rFonts w:eastAsiaTheme="minorHAnsi" w:cs="Arial"/>
          <w:color w:val="auto"/>
        </w:rPr>
        <w:t xml:space="preserve">which </w:t>
      </w:r>
      <w:r w:rsidRPr="00DF64AB">
        <w:rPr>
          <w:rFonts w:eastAsiaTheme="minorHAnsi" w:cs="Arial"/>
          <w:color w:val="auto"/>
        </w:rPr>
        <w:t>includes:</w:t>
      </w:r>
    </w:p>
    <w:p w14:paraId="1B8B0142" w14:textId="77777777" w:rsidR="006D31C0" w:rsidRPr="00DF64AB" w:rsidRDefault="00CC6925" w:rsidP="006D31C0">
      <w:pPr>
        <w:pStyle w:val="ListBullet2"/>
        <w:numPr>
          <w:ilvl w:val="0"/>
          <w:numId w:val="13"/>
        </w:numPr>
        <w:rPr>
          <w:rFonts w:cs="Arial"/>
          <w:color w:val="auto"/>
        </w:rPr>
      </w:pPr>
      <w:r w:rsidRPr="00DF64AB">
        <w:rPr>
          <w:rFonts w:cs="Arial"/>
          <w:color w:val="auto"/>
        </w:rPr>
        <w:t>composition of the drug substance and the drug product</w:t>
      </w:r>
    </w:p>
    <w:p w14:paraId="0808750F" w14:textId="77777777" w:rsidR="006D31C0" w:rsidRPr="00DF64AB" w:rsidRDefault="00CC6925" w:rsidP="006D31C0">
      <w:pPr>
        <w:pStyle w:val="ListBullet2"/>
        <w:numPr>
          <w:ilvl w:val="0"/>
          <w:numId w:val="13"/>
        </w:numPr>
        <w:rPr>
          <w:rFonts w:cs="Arial"/>
          <w:color w:val="auto"/>
        </w:rPr>
      </w:pPr>
      <w:r w:rsidRPr="00DF64AB">
        <w:rPr>
          <w:rFonts w:cs="Arial"/>
          <w:color w:val="auto"/>
        </w:rPr>
        <w:t>batch consistency</w:t>
      </w:r>
    </w:p>
    <w:p w14:paraId="1F94B474" w14:textId="77777777" w:rsidR="006D31C0" w:rsidRPr="00DF64AB" w:rsidRDefault="00CC6925" w:rsidP="006D31C0">
      <w:pPr>
        <w:pStyle w:val="ListBullet2"/>
        <w:numPr>
          <w:ilvl w:val="0"/>
          <w:numId w:val="13"/>
        </w:numPr>
        <w:rPr>
          <w:rFonts w:cs="Arial"/>
          <w:color w:val="auto"/>
        </w:rPr>
      </w:pPr>
      <w:r w:rsidRPr="00DF64AB">
        <w:rPr>
          <w:rFonts w:cs="Arial"/>
          <w:color w:val="auto"/>
        </w:rPr>
        <w:t>stability data</w:t>
      </w:r>
    </w:p>
    <w:p w14:paraId="7E3A631E" w14:textId="77777777" w:rsidR="006D31C0" w:rsidRPr="00DF64AB" w:rsidRDefault="00CC6925" w:rsidP="006D31C0">
      <w:pPr>
        <w:pStyle w:val="ListBullet2"/>
        <w:numPr>
          <w:ilvl w:val="0"/>
          <w:numId w:val="13"/>
        </w:numPr>
        <w:rPr>
          <w:rFonts w:cs="Arial"/>
          <w:color w:val="auto"/>
        </w:rPr>
      </w:pPr>
      <w:r w:rsidRPr="00DF64AB">
        <w:rPr>
          <w:rFonts w:cs="Arial"/>
          <w:color w:val="auto"/>
        </w:rPr>
        <w:t>sterility data (if applicable)</w:t>
      </w:r>
    </w:p>
    <w:p w14:paraId="0EB46AAE" w14:textId="77777777" w:rsidR="006D31C0" w:rsidRPr="00DF64AB" w:rsidRDefault="00CC6925" w:rsidP="006D31C0">
      <w:pPr>
        <w:pStyle w:val="ListBullet2"/>
        <w:numPr>
          <w:ilvl w:val="0"/>
          <w:numId w:val="13"/>
        </w:numPr>
        <w:rPr>
          <w:rFonts w:cs="Arial"/>
          <w:color w:val="auto"/>
        </w:rPr>
      </w:pPr>
      <w:r w:rsidRPr="00DF64AB">
        <w:rPr>
          <w:rFonts w:cs="Arial"/>
          <w:color w:val="auto"/>
        </w:rPr>
        <w:t>impurity content</w:t>
      </w:r>
    </w:p>
    <w:p w14:paraId="31B75234" w14:textId="77777777" w:rsidR="006D31C0" w:rsidRPr="00DF64AB" w:rsidRDefault="00CC6925" w:rsidP="006D31C0">
      <w:pPr>
        <w:pStyle w:val="ListBullet2"/>
        <w:numPr>
          <w:ilvl w:val="0"/>
          <w:numId w:val="13"/>
        </w:numPr>
        <w:rPr>
          <w:rFonts w:cs="Arial"/>
          <w:color w:val="auto"/>
        </w:rPr>
      </w:pPr>
      <w:r w:rsidRPr="00DF64AB">
        <w:rPr>
          <w:rFonts w:cs="Arial"/>
          <w:color w:val="auto"/>
        </w:rPr>
        <w:t>non-clinical data evaluated by toxicologists</w:t>
      </w:r>
    </w:p>
    <w:p w14:paraId="4A28932F" w14:textId="18FCB4F8" w:rsidR="00CC6925" w:rsidRPr="00DF64AB" w:rsidRDefault="00CC6925" w:rsidP="006D31C0">
      <w:pPr>
        <w:pStyle w:val="ListBullet2"/>
        <w:numPr>
          <w:ilvl w:val="0"/>
          <w:numId w:val="13"/>
        </w:numPr>
        <w:rPr>
          <w:rFonts w:cs="Arial"/>
          <w:color w:val="auto"/>
        </w:rPr>
      </w:pPr>
      <w:r w:rsidRPr="00DF64AB">
        <w:rPr>
          <w:rFonts w:cs="Arial"/>
          <w:color w:val="auto"/>
        </w:rPr>
        <w:t>pharmacology data</w:t>
      </w:r>
    </w:p>
    <w:p w14:paraId="11A3501D" w14:textId="77777777"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t</w:t>
      </w:r>
      <w:r w:rsidRPr="00DF64AB" w:rsidDel="00BA2B7D">
        <w:rPr>
          <w:rFonts w:eastAsiaTheme="minorHAnsi" w:cs="Arial"/>
          <w:color w:val="auto"/>
        </w:rPr>
        <w:t>oxicology data</w:t>
      </w:r>
    </w:p>
    <w:p w14:paraId="41451A70" w14:textId="77777777" w:rsidR="00CC6925" w:rsidRPr="00DF64AB" w:rsidDel="00BA2B7D" w:rsidRDefault="00CC6925" w:rsidP="006D31C0">
      <w:pPr>
        <w:pStyle w:val="ListBullet"/>
        <w:spacing w:after="120"/>
        <w:ind w:left="709" w:hanging="425"/>
        <w:rPr>
          <w:rFonts w:eastAsiaTheme="minorHAnsi" w:cs="Arial"/>
          <w:color w:val="auto"/>
        </w:rPr>
      </w:pPr>
      <w:r w:rsidRPr="00DF64AB">
        <w:rPr>
          <w:rFonts w:eastAsiaTheme="minorHAnsi" w:cs="Arial"/>
          <w:color w:val="auto"/>
        </w:rPr>
        <w:t>c</w:t>
      </w:r>
      <w:r w:rsidRPr="00DF64AB" w:rsidDel="00BA2B7D">
        <w:rPr>
          <w:rFonts w:eastAsiaTheme="minorHAnsi" w:cs="Arial"/>
          <w:color w:val="auto"/>
        </w:rPr>
        <w:t>linical data evaluated by a medical doctor (mostly results of clinical trials)</w:t>
      </w:r>
    </w:p>
    <w:p w14:paraId="1314137B" w14:textId="77777777" w:rsidR="00CC6925" w:rsidRPr="00DF64AB" w:rsidRDefault="00CC6925" w:rsidP="00CC6925">
      <w:pPr>
        <w:pStyle w:val="Heading5"/>
        <w:rPr>
          <w:rFonts w:cs="Arial"/>
        </w:rPr>
      </w:pPr>
      <w:r w:rsidRPr="00DF64AB">
        <w:rPr>
          <w:rFonts w:cs="Arial"/>
        </w:rPr>
        <w:lastRenderedPageBreak/>
        <w:t>Decision making</w:t>
      </w:r>
    </w:p>
    <w:p w14:paraId="043C1288" w14:textId="5E1AD08E" w:rsidR="00CC6925" w:rsidRPr="00DF64AB" w:rsidRDefault="00CC6925" w:rsidP="00CC6925">
      <w:pPr>
        <w:rPr>
          <w:rFonts w:ascii="Arial" w:hAnsi="Arial" w:cs="Arial"/>
        </w:rPr>
      </w:pPr>
      <w:r w:rsidRPr="00DF64AB">
        <w:rPr>
          <w:rFonts w:ascii="Arial" w:hAnsi="Arial" w:cs="Arial"/>
        </w:rPr>
        <w:t xml:space="preserve">Before </w:t>
      </w:r>
      <w:proofErr w:type="gramStart"/>
      <w:r w:rsidRPr="00DF64AB">
        <w:rPr>
          <w:rFonts w:ascii="Arial" w:hAnsi="Arial" w:cs="Arial"/>
        </w:rPr>
        <w:t>making a decision</w:t>
      </w:r>
      <w:proofErr w:type="gramEnd"/>
      <w:r w:rsidRPr="00DF64AB">
        <w:rPr>
          <w:rFonts w:ascii="Arial" w:hAnsi="Arial" w:cs="Arial"/>
        </w:rPr>
        <w:t xml:space="preserve"> around the suitability of a prescription medicine for registration in the ARTG, the delegate may </w:t>
      </w:r>
      <w:r w:rsidR="00B45D2D">
        <w:rPr>
          <w:rFonts w:ascii="Arial" w:hAnsi="Arial" w:cs="Arial"/>
        </w:rPr>
        <w:t>consider</w:t>
      </w:r>
      <w:r w:rsidRPr="00DF64AB">
        <w:rPr>
          <w:rFonts w:ascii="Arial" w:hAnsi="Arial" w:cs="Arial"/>
        </w:rPr>
        <w:t xml:space="preserve"> independent expert advice provided by the </w:t>
      </w:r>
      <w:hyperlink r:id="rId21" w:history="1">
        <w:r w:rsidRPr="00DF64AB">
          <w:rPr>
            <w:rStyle w:val="Hyperlink"/>
            <w:rFonts w:cs="Arial"/>
          </w:rPr>
          <w:t>Advisory Committee on Medicines</w:t>
        </w:r>
      </w:hyperlink>
      <w:r w:rsidRPr="00DF64AB">
        <w:rPr>
          <w:rFonts w:ascii="Arial" w:hAnsi="Arial" w:cs="Arial"/>
        </w:rPr>
        <w:t>.</w:t>
      </w:r>
    </w:p>
    <w:p w14:paraId="77784D9D" w14:textId="77777777" w:rsidR="00117EE8" w:rsidRPr="00DF64AB" w:rsidRDefault="00117EE8" w:rsidP="00117EE8">
      <w:pPr>
        <w:rPr>
          <w:rFonts w:ascii="Arial" w:hAnsi="Arial" w:cs="Arial"/>
        </w:rPr>
      </w:pPr>
      <w:r w:rsidRPr="00DF64AB">
        <w:rPr>
          <w:rFonts w:ascii="Arial" w:hAnsi="Arial" w:cs="Arial"/>
        </w:rPr>
        <w:t>Regulatory decisions in relation to new chemical entities or fixed dose combination products are published through the Australian Public Assessment Report.</w:t>
      </w:r>
    </w:p>
    <w:p w14:paraId="76B3B765" w14:textId="1414A39A" w:rsidR="00CC6925" w:rsidRPr="00DF64AB" w:rsidRDefault="00117EE8" w:rsidP="00CC6925">
      <w:pPr>
        <w:rPr>
          <w:rFonts w:ascii="Arial" w:hAnsi="Arial" w:cs="Arial"/>
        </w:rPr>
      </w:pPr>
      <w:r w:rsidRPr="00DF64AB">
        <w:rPr>
          <w:rFonts w:ascii="Arial" w:hAnsi="Arial" w:cs="Arial"/>
        </w:rPr>
        <w:t>Any person whose interests are affected by the decision may seek a reconsideration of the decision under section 60 of the Act.</w:t>
      </w:r>
    </w:p>
    <w:p w14:paraId="678F9ABF" w14:textId="77777777" w:rsidR="00CC6925" w:rsidRPr="00DF64AB" w:rsidRDefault="00CC6925" w:rsidP="00CC6925">
      <w:pPr>
        <w:pStyle w:val="Heading5"/>
        <w:rPr>
          <w:rFonts w:cs="Arial"/>
        </w:rPr>
      </w:pPr>
      <w:r w:rsidRPr="00DF64AB">
        <w:rPr>
          <w:rFonts w:cs="Arial"/>
        </w:rPr>
        <w:t>Applications to change details of registration</w:t>
      </w:r>
    </w:p>
    <w:p w14:paraId="0688B907" w14:textId="59C03BC9" w:rsidR="00273199" w:rsidRPr="00DF64AB" w:rsidRDefault="00273199" w:rsidP="00FE41AA">
      <w:pPr>
        <w:rPr>
          <w:rFonts w:ascii="Arial" w:hAnsi="Arial" w:cs="Arial"/>
        </w:rPr>
      </w:pPr>
      <w:r w:rsidRPr="00DF64AB">
        <w:rPr>
          <w:rFonts w:ascii="Arial" w:hAnsi="Arial" w:cs="Arial"/>
        </w:rPr>
        <w:t xml:space="preserve">Once a product has been registered, the sponsor can make further applications to change the details of registration. </w:t>
      </w:r>
      <w:r w:rsidR="00341E6B">
        <w:rPr>
          <w:rFonts w:ascii="Arial" w:hAnsi="Arial" w:cs="Arial"/>
        </w:rPr>
        <w:t>E</w:t>
      </w:r>
      <w:r w:rsidRPr="00DF64AB">
        <w:rPr>
          <w:rFonts w:ascii="Arial" w:hAnsi="Arial" w:cs="Arial"/>
        </w:rPr>
        <w:t>xamples of the types of change</w:t>
      </w:r>
      <w:r w:rsidR="00341E6B">
        <w:rPr>
          <w:rFonts w:ascii="Arial" w:hAnsi="Arial" w:cs="Arial"/>
        </w:rPr>
        <w:t>s</w:t>
      </w:r>
      <w:r w:rsidRPr="00DF64AB">
        <w:rPr>
          <w:rFonts w:ascii="Arial" w:hAnsi="Arial" w:cs="Arial"/>
        </w:rPr>
        <w:t xml:space="preserve"> that might be applied for include:</w:t>
      </w:r>
    </w:p>
    <w:p w14:paraId="5C7A1723" w14:textId="77777777"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a change in manufacturer</w:t>
      </w:r>
    </w:p>
    <w:p w14:paraId="52D67A72" w14:textId="77777777"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an increase in shelf-life</w:t>
      </w:r>
    </w:p>
    <w:p w14:paraId="0924545D" w14:textId="43765D0C"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a change in patient population (e.g. allowing children to use the medicine)</w:t>
      </w:r>
    </w:p>
    <w:p w14:paraId="51C52B4E" w14:textId="77777777" w:rsidR="00CC6925" w:rsidRPr="00DF64AB" w:rsidRDefault="00CC6925" w:rsidP="006D31C0">
      <w:pPr>
        <w:pStyle w:val="ListBullet"/>
        <w:spacing w:after="120"/>
        <w:ind w:left="709" w:hanging="425"/>
        <w:rPr>
          <w:rFonts w:eastAsiaTheme="minorHAnsi" w:cs="Arial"/>
          <w:color w:val="auto"/>
        </w:rPr>
      </w:pPr>
      <w:r w:rsidRPr="00DF64AB">
        <w:rPr>
          <w:rFonts w:eastAsiaTheme="minorHAnsi" w:cs="Arial"/>
          <w:color w:val="auto"/>
        </w:rPr>
        <w:t>a change to the intended use (usually adding an extra medical condition that can be treated).</w:t>
      </w:r>
    </w:p>
    <w:p w14:paraId="5B622C98" w14:textId="2A237259" w:rsidR="00932026" w:rsidRPr="00DF64AB" w:rsidRDefault="00932026" w:rsidP="00932026">
      <w:pPr>
        <w:rPr>
          <w:rFonts w:ascii="Arial" w:hAnsi="Arial" w:cs="Arial"/>
        </w:rPr>
      </w:pPr>
      <w:r w:rsidRPr="00DF64AB">
        <w:rPr>
          <w:rFonts w:ascii="Arial" w:hAnsi="Arial" w:cs="Arial"/>
        </w:rPr>
        <w:t>Changes may or may not require evaluation of data by the TGA</w:t>
      </w:r>
      <w:r w:rsidR="00B45D2D">
        <w:rPr>
          <w:rFonts w:ascii="Arial" w:hAnsi="Arial" w:cs="Arial"/>
        </w:rPr>
        <w:t>,</w:t>
      </w:r>
      <w:r w:rsidRPr="00DF64AB">
        <w:rPr>
          <w:rFonts w:ascii="Arial" w:hAnsi="Arial" w:cs="Arial"/>
        </w:rPr>
        <w:t xml:space="preserve"> and the prescribed fees apply accordingly. Certain low risk changes to the details of registration can be made through the notification system implemented in 2017-18.</w:t>
      </w:r>
    </w:p>
    <w:p w14:paraId="1A60FCC5" w14:textId="77777777" w:rsidR="00F77CC8" w:rsidRPr="00DF64AB" w:rsidRDefault="00F77CC8" w:rsidP="00F77CC8">
      <w:pPr>
        <w:pStyle w:val="Heading5"/>
        <w:rPr>
          <w:rFonts w:cs="Arial"/>
        </w:rPr>
      </w:pPr>
      <w:r w:rsidRPr="00DF64AB">
        <w:rPr>
          <w:rFonts w:cs="Arial"/>
        </w:rPr>
        <w:t>Export</w:t>
      </w:r>
    </w:p>
    <w:p w14:paraId="46403999" w14:textId="73353F7D" w:rsidR="007F0619" w:rsidRPr="00DF64AB" w:rsidRDefault="00B45D2D" w:rsidP="007F0619">
      <w:pPr>
        <w:rPr>
          <w:rFonts w:ascii="Arial" w:hAnsi="Arial" w:cs="Arial"/>
        </w:rPr>
      </w:pPr>
      <w:r>
        <w:rPr>
          <w:rFonts w:ascii="Arial" w:hAnsi="Arial" w:cs="Arial"/>
        </w:rPr>
        <w:t>While m</w:t>
      </w:r>
      <w:r w:rsidR="007F0619" w:rsidRPr="00DF64AB">
        <w:rPr>
          <w:rFonts w:ascii="Arial" w:hAnsi="Arial" w:cs="Arial"/>
        </w:rPr>
        <w:t xml:space="preserve">edicines for export from Australia must be of a similar quality and safety standard as those supplied domestically, they are not required to comply with the labelling standards or advertising requirements </w:t>
      </w:r>
      <w:r w:rsidR="00E03C89" w:rsidRPr="00DF64AB">
        <w:rPr>
          <w:rFonts w:ascii="Arial" w:hAnsi="Arial" w:cs="Arial"/>
        </w:rPr>
        <w:t>of</w:t>
      </w:r>
      <w:r w:rsidR="007F0619" w:rsidRPr="00DF64AB">
        <w:rPr>
          <w:rFonts w:ascii="Arial" w:hAnsi="Arial" w:cs="Arial"/>
        </w:rPr>
        <w:t xml:space="preserve"> Australia. Export</w:t>
      </w:r>
      <w:r>
        <w:rPr>
          <w:rFonts w:ascii="Arial" w:hAnsi="Arial" w:cs="Arial"/>
        </w:rPr>
        <w:t>-</w:t>
      </w:r>
      <w:r w:rsidR="007F0619" w:rsidRPr="00DF64AB">
        <w:rPr>
          <w:rFonts w:ascii="Arial" w:hAnsi="Arial" w:cs="Arial"/>
        </w:rPr>
        <w:t>only medicines are required to be listed (not registered) in the ARTG before export.</w:t>
      </w:r>
    </w:p>
    <w:p w14:paraId="59A136E8" w14:textId="77777777" w:rsidR="00755234" w:rsidRPr="00DF64AB" w:rsidRDefault="00755234" w:rsidP="00755234">
      <w:pPr>
        <w:pStyle w:val="Heading4"/>
        <w:rPr>
          <w:rFonts w:cs="Arial"/>
        </w:rPr>
      </w:pPr>
      <w:bookmarkStart w:id="24" w:name="_Toc233286921"/>
      <w:r w:rsidRPr="00DF64AB">
        <w:rPr>
          <w:rFonts w:cs="Arial"/>
        </w:rPr>
        <w:t>2. Over the counter medicines</w:t>
      </w:r>
      <w:bookmarkEnd w:id="24"/>
    </w:p>
    <w:p w14:paraId="1C004150" w14:textId="5CD18B5B" w:rsidR="00EE0A84" w:rsidRPr="00DF64AB" w:rsidRDefault="00EE0A84" w:rsidP="00EE0A84">
      <w:pPr>
        <w:rPr>
          <w:rFonts w:ascii="Arial" w:hAnsi="Arial" w:cs="Arial"/>
        </w:rPr>
      </w:pPr>
      <w:r w:rsidRPr="00DF64AB">
        <w:rPr>
          <w:rFonts w:ascii="Arial" w:hAnsi="Arial" w:cs="Arial"/>
        </w:rPr>
        <w:t xml:space="preserve">Over the counter (OTC) medicines are defined in the Therapeutic Goods Regulations 1990 (the Regulations). OTC medicines can be supplied as pharmacy medicines, pharmacist-only medicines and general sales medicines. Registered OTC medicines </w:t>
      </w:r>
      <w:r w:rsidR="00341E6B" w:rsidRPr="00DF64AB">
        <w:rPr>
          <w:rFonts w:ascii="Arial" w:hAnsi="Arial" w:cs="Arial"/>
        </w:rPr>
        <w:t>are</w:t>
      </w:r>
      <w:r w:rsidRPr="00DF64AB">
        <w:rPr>
          <w:rFonts w:ascii="Arial" w:hAnsi="Arial" w:cs="Arial"/>
        </w:rPr>
        <w:t xml:space="preserve"> lower risk than prescription </w:t>
      </w:r>
      <w:proofErr w:type="gramStart"/>
      <w:r w:rsidRPr="00DF64AB">
        <w:rPr>
          <w:rFonts w:ascii="Arial" w:hAnsi="Arial" w:cs="Arial"/>
        </w:rPr>
        <w:t>medicines,</w:t>
      </w:r>
      <w:r w:rsidR="00B45D2D">
        <w:rPr>
          <w:rFonts w:ascii="Arial" w:hAnsi="Arial" w:cs="Arial"/>
        </w:rPr>
        <w:t xml:space="preserve"> </w:t>
      </w:r>
      <w:r w:rsidRPr="00DF64AB">
        <w:rPr>
          <w:rFonts w:ascii="Arial" w:hAnsi="Arial" w:cs="Arial"/>
        </w:rPr>
        <w:t>but</w:t>
      </w:r>
      <w:proofErr w:type="gramEnd"/>
      <w:r w:rsidRPr="00DF64AB">
        <w:rPr>
          <w:rFonts w:ascii="Arial" w:hAnsi="Arial" w:cs="Arial"/>
        </w:rPr>
        <w:t xml:space="preserve"> </w:t>
      </w:r>
      <w:r w:rsidR="00341E6B">
        <w:rPr>
          <w:rFonts w:ascii="Arial" w:hAnsi="Arial" w:cs="Arial"/>
        </w:rPr>
        <w:t>still</w:t>
      </w:r>
      <w:r w:rsidR="00341E6B" w:rsidRPr="00DF64AB">
        <w:rPr>
          <w:rFonts w:ascii="Arial" w:hAnsi="Arial" w:cs="Arial"/>
        </w:rPr>
        <w:t xml:space="preserve"> </w:t>
      </w:r>
      <w:r w:rsidRPr="00DF64AB">
        <w:rPr>
          <w:rFonts w:ascii="Arial" w:hAnsi="Arial" w:cs="Arial"/>
        </w:rPr>
        <w:t>require an appropriate level of scrutiny.</w:t>
      </w:r>
    </w:p>
    <w:p w14:paraId="50D65568" w14:textId="0E788430" w:rsidR="00EE0A84" w:rsidRPr="00DF64AB" w:rsidRDefault="00EE0A84" w:rsidP="00EE0A84">
      <w:pPr>
        <w:rPr>
          <w:rFonts w:ascii="Arial" w:hAnsi="Arial" w:cs="Arial"/>
        </w:rPr>
      </w:pPr>
      <w:r w:rsidRPr="00DF64AB">
        <w:rPr>
          <w:rFonts w:ascii="Arial" w:hAnsi="Arial" w:cs="Arial"/>
        </w:rPr>
        <w:t xml:space="preserve">OTC medicines can be purchased for self-treatment from pharmacies, with selected products also available in supermarkets, health food stores and other retailers. Examples include cough and cold remedies, anti-fungal treatments, sunscreens, </w:t>
      </w:r>
      <w:r w:rsidR="00B45D2D">
        <w:rPr>
          <w:rFonts w:ascii="Arial" w:hAnsi="Arial" w:cs="Arial"/>
        </w:rPr>
        <w:t xml:space="preserve">and </w:t>
      </w:r>
      <w:r w:rsidRPr="00DF64AB">
        <w:rPr>
          <w:rFonts w:ascii="Arial" w:hAnsi="Arial" w:cs="Arial"/>
        </w:rPr>
        <w:t>non-prescription analgesics such as aspirin and paracetamol.</w:t>
      </w:r>
    </w:p>
    <w:p w14:paraId="49974B3A" w14:textId="77777777" w:rsidR="00EE0A84" w:rsidRPr="00DF64AB" w:rsidRDefault="00EE0A84" w:rsidP="00EE0A84">
      <w:pPr>
        <w:rPr>
          <w:rFonts w:ascii="Arial" w:hAnsi="Arial" w:cs="Arial"/>
        </w:rPr>
      </w:pPr>
      <w:r w:rsidRPr="00DF64AB">
        <w:rPr>
          <w:rFonts w:ascii="Arial" w:hAnsi="Arial" w:cs="Arial"/>
        </w:rPr>
        <w:t>OTC medicines can be registered or listed in the ARTG depending on the level of risk associated with making the product available and accessible to consumers.</w:t>
      </w:r>
    </w:p>
    <w:p w14:paraId="187825B6" w14:textId="77777777" w:rsidR="007175BD" w:rsidRPr="00DF64AB" w:rsidRDefault="007175BD" w:rsidP="007175BD">
      <w:pPr>
        <w:pStyle w:val="Heading5"/>
        <w:rPr>
          <w:rFonts w:cs="Arial"/>
        </w:rPr>
      </w:pPr>
      <w:r w:rsidRPr="00DF64AB">
        <w:rPr>
          <w:rFonts w:cs="Arial"/>
        </w:rPr>
        <w:t>Registering an OTC medicine in the ARTG</w:t>
      </w:r>
    </w:p>
    <w:p w14:paraId="541F9886" w14:textId="1E26B925" w:rsidR="009565DA" w:rsidRPr="00DF64AB" w:rsidRDefault="009565DA" w:rsidP="009565DA">
      <w:pPr>
        <w:spacing w:before="180" w:line="240" w:lineRule="auto"/>
        <w:rPr>
          <w:rFonts w:ascii="Arial" w:hAnsi="Arial" w:cs="Arial"/>
        </w:rPr>
      </w:pPr>
      <w:r w:rsidRPr="00DF64AB">
        <w:rPr>
          <w:rFonts w:ascii="Arial" w:hAnsi="Arial" w:cs="Arial"/>
        </w:rPr>
        <w:t xml:space="preserve">Registered OTC medicines are considered higher risk than listed OTC medicines, based on their substances or the indications made for the medicine. </w:t>
      </w:r>
    </w:p>
    <w:p w14:paraId="6C8CF7A8" w14:textId="77777777" w:rsidR="007175BD" w:rsidRPr="00DF64AB" w:rsidRDefault="007175BD" w:rsidP="007175BD">
      <w:pPr>
        <w:spacing w:before="180" w:line="240" w:lineRule="auto"/>
        <w:rPr>
          <w:rFonts w:ascii="Arial" w:hAnsi="Arial" w:cs="Arial"/>
        </w:rPr>
      </w:pPr>
      <w:r w:rsidRPr="00DF64AB">
        <w:rPr>
          <w:rFonts w:ascii="Arial" w:hAnsi="Arial" w:cs="Arial"/>
        </w:rPr>
        <w:t>The pre-market regulatory processes for OTC medicines include:</w:t>
      </w:r>
    </w:p>
    <w:p w14:paraId="7705CD7B" w14:textId="4E99822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lodg</w:t>
      </w:r>
      <w:r w:rsidR="003B5A5F" w:rsidRPr="00DF64AB">
        <w:rPr>
          <w:rFonts w:eastAsiaTheme="minorHAnsi" w:cs="Arial"/>
          <w:color w:val="auto"/>
        </w:rPr>
        <w:t>ing</w:t>
      </w:r>
      <w:r w:rsidR="00A27DB4" w:rsidRPr="00DF64AB">
        <w:rPr>
          <w:rFonts w:eastAsiaTheme="minorHAnsi" w:cs="Arial"/>
          <w:color w:val="auto"/>
        </w:rPr>
        <w:t xml:space="preserve"> </w:t>
      </w:r>
      <w:r w:rsidRPr="00DF64AB">
        <w:rPr>
          <w:rFonts w:eastAsiaTheme="minorHAnsi" w:cs="Arial"/>
          <w:color w:val="auto"/>
        </w:rPr>
        <w:t xml:space="preserve">an application for </w:t>
      </w:r>
      <w:r w:rsidR="00ED367F">
        <w:rPr>
          <w:rFonts w:eastAsiaTheme="minorHAnsi" w:cs="Arial"/>
          <w:color w:val="auto"/>
        </w:rPr>
        <w:t xml:space="preserve">inclusion of a </w:t>
      </w:r>
      <w:r w:rsidRPr="00DF64AB">
        <w:rPr>
          <w:rFonts w:eastAsiaTheme="minorHAnsi" w:cs="Arial"/>
          <w:color w:val="auto"/>
        </w:rPr>
        <w:t xml:space="preserve">product </w:t>
      </w:r>
      <w:r w:rsidR="00ED367F">
        <w:rPr>
          <w:rFonts w:eastAsiaTheme="minorHAnsi" w:cs="Arial"/>
          <w:color w:val="auto"/>
        </w:rPr>
        <w:t>i</w:t>
      </w:r>
      <w:r w:rsidR="00ED367F" w:rsidRPr="00DF64AB">
        <w:rPr>
          <w:rFonts w:eastAsiaTheme="minorHAnsi" w:cs="Arial"/>
          <w:color w:val="auto"/>
        </w:rPr>
        <w:t xml:space="preserve">n the ARTG </w:t>
      </w:r>
      <w:r w:rsidR="00ED367F">
        <w:rPr>
          <w:rFonts w:eastAsiaTheme="minorHAnsi" w:cs="Arial"/>
          <w:color w:val="auto"/>
        </w:rPr>
        <w:t xml:space="preserve">via </w:t>
      </w:r>
      <w:r w:rsidRPr="00DF64AB">
        <w:rPr>
          <w:rFonts w:eastAsiaTheme="minorHAnsi" w:cs="Arial"/>
          <w:color w:val="auto"/>
        </w:rPr>
        <w:t xml:space="preserve">registration or listing </w:t>
      </w:r>
    </w:p>
    <w:p w14:paraId="34A8E5CA" w14:textId="7777777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administrative and technical screening</w:t>
      </w:r>
    </w:p>
    <w:p w14:paraId="4E8444D5" w14:textId="7777777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scientific evaluation</w:t>
      </w:r>
    </w:p>
    <w:p w14:paraId="43518009" w14:textId="7777777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label assessment</w:t>
      </w:r>
    </w:p>
    <w:p w14:paraId="28A9BF40" w14:textId="3C4AD444"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lastRenderedPageBreak/>
        <w:t xml:space="preserve">ensuring appropriate </w:t>
      </w:r>
      <w:hyperlink r:id="rId22" w:history="1">
        <w:r w:rsidR="0076618A" w:rsidRPr="00DF64AB">
          <w:rPr>
            <w:rStyle w:val="Hyperlink"/>
            <w:rFonts w:cs="Arial"/>
          </w:rPr>
          <w:t>GMP</w:t>
        </w:r>
      </w:hyperlink>
      <w:r w:rsidRPr="00DF64AB">
        <w:rPr>
          <w:rFonts w:eastAsiaTheme="minorHAnsi" w:cs="Arial"/>
          <w:color w:val="auto"/>
        </w:rPr>
        <w:t xml:space="preserve"> is in place</w:t>
      </w:r>
    </w:p>
    <w:p w14:paraId="131AB5E5" w14:textId="7777777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requesting advice from the Advisory Committee on Medicines</w:t>
      </w:r>
    </w:p>
    <w:p w14:paraId="02C0DC26" w14:textId="482CC175"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advising the sponsor of the outcome of the application process</w:t>
      </w:r>
      <w:r w:rsidR="00B45D2D">
        <w:rPr>
          <w:rFonts w:eastAsiaTheme="minorHAnsi" w:cs="Arial"/>
          <w:color w:val="auto"/>
        </w:rPr>
        <w:t>, and</w:t>
      </w:r>
    </w:p>
    <w:p w14:paraId="3BCA5BFF" w14:textId="77777777" w:rsidR="007175BD" w:rsidRPr="00DF64AB" w:rsidRDefault="007175BD" w:rsidP="006D31C0">
      <w:pPr>
        <w:pStyle w:val="ListBullet"/>
        <w:spacing w:after="120"/>
        <w:ind w:left="709" w:hanging="425"/>
        <w:rPr>
          <w:rFonts w:eastAsiaTheme="minorHAnsi" w:cs="Arial"/>
          <w:color w:val="auto"/>
        </w:rPr>
      </w:pPr>
      <w:r w:rsidRPr="00DF64AB">
        <w:rPr>
          <w:rFonts w:eastAsiaTheme="minorHAnsi" w:cs="Arial"/>
          <w:color w:val="auto"/>
        </w:rPr>
        <w:t>updating the ARTG.</w:t>
      </w:r>
    </w:p>
    <w:p w14:paraId="4BBDC3C6" w14:textId="77777777" w:rsidR="007175BD" w:rsidRPr="00DF64AB" w:rsidRDefault="007175BD" w:rsidP="007175BD">
      <w:pPr>
        <w:pStyle w:val="Heading5"/>
        <w:rPr>
          <w:rFonts w:cs="Arial"/>
        </w:rPr>
      </w:pPr>
      <w:r w:rsidRPr="00DF64AB">
        <w:rPr>
          <w:rFonts w:cs="Arial"/>
        </w:rPr>
        <w:t>Listing an OTC medicine in the ARTG</w:t>
      </w:r>
    </w:p>
    <w:p w14:paraId="0573258E" w14:textId="6DDC0017" w:rsidR="00AF4EFC" w:rsidRPr="00DF64AB" w:rsidRDefault="00AF4EFC" w:rsidP="00AF4EFC">
      <w:pPr>
        <w:spacing w:before="120" w:line="240" w:lineRule="atLeast"/>
        <w:rPr>
          <w:rFonts w:ascii="Arial" w:hAnsi="Arial" w:cs="Arial"/>
        </w:rPr>
      </w:pPr>
      <w:r w:rsidRPr="00DF64AB">
        <w:rPr>
          <w:rFonts w:ascii="Arial" w:hAnsi="Arial" w:cs="Arial"/>
        </w:rPr>
        <w:t>The listing process for an OTC medicine is the same as listing a complementary medicine</w:t>
      </w:r>
      <w:r w:rsidR="00B45D2D">
        <w:rPr>
          <w:rFonts w:ascii="Arial" w:hAnsi="Arial" w:cs="Arial"/>
        </w:rPr>
        <w:t>,</w:t>
      </w:r>
      <w:r w:rsidRPr="00DF64AB">
        <w:rPr>
          <w:rFonts w:ascii="Arial" w:hAnsi="Arial" w:cs="Arial"/>
        </w:rPr>
        <w:t xml:space="preserve"> which is </w:t>
      </w:r>
      <w:r w:rsidR="00B45D2D">
        <w:rPr>
          <w:rFonts w:ascii="Arial" w:hAnsi="Arial" w:cs="Arial"/>
        </w:rPr>
        <w:t>described below</w:t>
      </w:r>
      <w:r w:rsidRPr="00DF64AB">
        <w:rPr>
          <w:rFonts w:ascii="Arial" w:hAnsi="Arial" w:cs="Arial"/>
        </w:rPr>
        <w:t>.</w:t>
      </w:r>
    </w:p>
    <w:p w14:paraId="1463BA13" w14:textId="77777777" w:rsidR="00B76AF9" w:rsidRPr="00DF64AB" w:rsidRDefault="00B76AF9" w:rsidP="00B76AF9">
      <w:pPr>
        <w:pStyle w:val="Heading4"/>
        <w:rPr>
          <w:rFonts w:cs="Arial"/>
        </w:rPr>
      </w:pPr>
      <w:bookmarkStart w:id="25" w:name="_Toc233286922"/>
      <w:r w:rsidRPr="00DF64AB">
        <w:rPr>
          <w:rFonts w:cs="Arial"/>
        </w:rPr>
        <w:t xml:space="preserve">3. </w:t>
      </w:r>
      <w:bookmarkStart w:id="26" w:name="_Hlk102555454"/>
      <w:r w:rsidRPr="00DF64AB">
        <w:rPr>
          <w:rFonts w:cs="Arial"/>
        </w:rPr>
        <w:t>Complementary medicines</w:t>
      </w:r>
      <w:bookmarkEnd w:id="25"/>
    </w:p>
    <w:bookmarkEnd w:id="26"/>
    <w:p w14:paraId="630FD113" w14:textId="165593C2" w:rsidR="001D703F" w:rsidRPr="00DF64AB" w:rsidRDefault="001D703F" w:rsidP="001D703F">
      <w:pPr>
        <w:spacing w:before="120" w:after="180" w:line="240" w:lineRule="atLeast"/>
        <w:rPr>
          <w:rFonts w:ascii="Arial" w:hAnsi="Arial" w:cs="Arial"/>
        </w:rPr>
      </w:pPr>
      <w:r w:rsidRPr="00DF64AB">
        <w:rPr>
          <w:rFonts w:ascii="Arial" w:hAnsi="Arial" w:cs="Arial"/>
        </w:rPr>
        <w:t xml:space="preserve">Medicinal products containing ingredients such as herbs, vitamins, minerals, nutritional supplements, homoeopathic and certain aromatherapy preparations are referred to as 'complementary medicines' and are regulated as medicines under the Act. Complementary medicines may be either listed or registered, depending on their ingredients and </w:t>
      </w:r>
      <w:r w:rsidR="00CD4A1C">
        <w:rPr>
          <w:rFonts w:ascii="Arial" w:hAnsi="Arial" w:cs="Arial"/>
        </w:rPr>
        <w:t xml:space="preserve">the </w:t>
      </w:r>
      <w:r w:rsidRPr="00DF64AB">
        <w:rPr>
          <w:rFonts w:ascii="Arial" w:hAnsi="Arial" w:cs="Arial"/>
        </w:rPr>
        <w:t>claims made for the medicine. Most complementary medicines are listed in the ARTG.</w:t>
      </w:r>
    </w:p>
    <w:p w14:paraId="67063F86" w14:textId="77777777" w:rsidR="00657516" w:rsidRPr="00DF64AB" w:rsidRDefault="00657516" w:rsidP="00657516">
      <w:pPr>
        <w:pStyle w:val="Heading5"/>
        <w:rPr>
          <w:rFonts w:cs="Arial"/>
        </w:rPr>
      </w:pPr>
      <w:r w:rsidRPr="00DF64AB">
        <w:rPr>
          <w:rFonts w:cs="Arial"/>
        </w:rPr>
        <w:t>Listing a complementary medicine in the ARTG</w:t>
      </w:r>
    </w:p>
    <w:p w14:paraId="33A02DFA" w14:textId="156EBF5E" w:rsidR="00082E24" w:rsidRPr="00DF64AB" w:rsidRDefault="00082E24" w:rsidP="00FE41AA">
      <w:pPr>
        <w:rPr>
          <w:rFonts w:ascii="Arial" w:hAnsi="Arial" w:cs="Arial"/>
        </w:rPr>
      </w:pPr>
      <w:r w:rsidRPr="00DF64AB">
        <w:rPr>
          <w:rFonts w:ascii="Arial" w:hAnsi="Arial" w:cs="Arial"/>
        </w:rPr>
        <w:t xml:space="preserve">Listed medicines are low risk medicines that are listed in the ARTG. There are </w:t>
      </w:r>
      <w:r w:rsidR="00396374" w:rsidRPr="00DF64AB">
        <w:rPr>
          <w:rFonts w:ascii="Arial" w:hAnsi="Arial" w:cs="Arial"/>
        </w:rPr>
        <w:t xml:space="preserve">2 </w:t>
      </w:r>
      <w:r w:rsidRPr="00DF64AB">
        <w:rPr>
          <w:rFonts w:ascii="Arial" w:hAnsi="Arial" w:cs="Arial"/>
        </w:rPr>
        <w:t>pathways to list a medicine in the ARTG.</w:t>
      </w:r>
    </w:p>
    <w:p w14:paraId="54C1CCAE" w14:textId="2BFC70FC" w:rsidR="00082E24" w:rsidRPr="00DF64AB" w:rsidRDefault="00CD4A1C" w:rsidP="00FE41AA">
      <w:pPr>
        <w:rPr>
          <w:rFonts w:ascii="Arial" w:hAnsi="Arial" w:cs="Arial"/>
        </w:rPr>
      </w:pPr>
      <w:r>
        <w:rPr>
          <w:rFonts w:ascii="Arial" w:hAnsi="Arial" w:cs="Arial"/>
        </w:rPr>
        <w:t>Firstly, m</w:t>
      </w:r>
      <w:r w:rsidR="00082E24" w:rsidRPr="00DF64AB">
        <w:rPr>
          <w:rFonts w:ascii="Arial" w:hAnsi="Arial" w:cs="Arial"/>
        </w:rPr>
        <w:t>edicines can be listed via a streamlined electronic listing facility following self-certification by the sponsor of the safety, quality, and efficacy of the product. Under this process, the sponsor is required to select the indications for their medicine from the list of permitted indications that is maintained by the TGA. This process allows for early market access for the lowest risk complementary medicines.</w:t>
      </w:r>
    </w:p>
    <w:p w14:paraId="00F8AAF7" w14:textId="0B0187C2" w:rsidR="00082E24" w:rsidRPr="00DF64AB" w:rsidRDefault="00082E24" w:rsidP="00FE41AA">
      <w:pPr>
        <w:rPr>
          <w:rFonts w:ascii="Arial" w:hAnsi="Arial" w:cs="Arial"/>
        </w:rPr>
      </w:pPr>
      <w:r w:rsidRPr="00DF64AB">
        <w:rPr>
          <w:rFonts w:ascii="Arial" w:hAnsi="Arial" w:cs="Arial"/>
        </w:rPr>
        <w:t>Unlike other medicines, there is no evaluation of these products prior to the medicine being listed in the ARTG. To be eligible for this pathway a medicine must only:</w:t>
      </w:r>
    </w:p>
    <w:p w14:paraId="21E3C60A" w14:textId="77777777" w:rsidR="00657516" w:rsidRPr="00DF64AB" w:rsidRDefault="00657516" w:rsidP="006D31C0">
      <w:pPr>
        <w:pStyle w:val="ListBullet"/>
        <w:spacing w:after="120"/>
        <w:ind w:left="709" w:hanging="425"/>
        <w:rPr>
          <w:rFonts w:eastAsiaTheme="minorHAnsi" w:cs="Arial"/>
          <w:color w:val="auto"/>
        </w:rPr>
      </w:pPr>
      <w:r w:rsidRPr="00DF64AB">
        <w:rPr>
          <w:rFonts w:eastAsiaTheme="minorHAnsi" w:cs="Arial"/>
          <w:color w:val="auto"/>
        </w:rPr>
        <w:t>contain certain low risk ingredients in acceptable amounts that are permitted for use in listed medicine</w:t>
      </w:r>
    </w:p>
    <w:p w14:paraId="3A312D3F" w14:textId="6F823688" w:rsidR="00657516" w:rsidRPr="00DF64AB" w:rsidRDefault="00657516" w:rsidP="006D31C0">
      <w:pPr>
        <w:pStyle w:val="ListBullet"/>
        <w:spacing w:after="120"/>
        <w:ind w:left="709" w:hanging="425"/>
        <w:rPr>
          <w:rFonts w:eastAsiaTheme="minorHAnsi" w:cs="Arial"/>
          <w:color w:val="auto"/>
        </w:rPr>
      </w:pPr>
      <w:r w:rsidRPr="00DF64AB">
        <w:rPr>
          <w:rFonts w:eastAsiaTheme="minorHAnsi" w:cs="Arial"/>
          <w:color w:val="auto"/>
        </w:rPr>
        <w:t xml:space="preserve">make </w:t>
      </w:r>
      <w:r w:rsidR="00ED367F">
        <w:rPr>
          <w:rFonts w:eastAsiaTheme="minorHAnsi" w:cs="Arial"/>
          <w:color w:val="auto"/>
        </w:rPr>
        <w:t xml:space="preserve">therapeutic </w:t>
      </w:r>
      <w:r w:rsidR="008844D8" w:rsidRPr="00DF64AB">
        <w:rPr>
          <w:rFonts w:eastAsiaTheme="minorHAnsi" w:cs="Arial"/>
          <w:color w:val="auto"/>
        </w:rPr>
        <w:t xml:space="preserve">claims </w:t>
      </w:r>
      <w:r w:rsidRPr="00DF64AB">
        <w:rPr>
          <w:rFonts w:eastAsiaTheme="minorHAnsi" w:cs="Arial"/>
          <w:color w:val="auto"/>
        </w:rPr>
        <w:t>for health maintenance and health enhancement or certain indications for non-serious, self-limiting conditions, and</w:t>
      </w:r>
    </w:p>
    <w:p w14:paraId="0BA1ABE5" w14:textId="794D652E" w:rsidR="00657516" w:rsidRPr="00DF64AB" w:rsidRDefault="00657516" w:rsidP="006D31C0">
      <w:pPr>
        <w:pStyle w:val="ListBullet"/>
        <w:spacing w:after="120"/>
        <w:ind w:left="709" w:hanging="425"/>
        <w:rPr>
          <w:rFonts w:eastAsiaTheme="minorHAnsi" w:cs="Arial"/>
          <w:color w:val="auto"/>
        </w:rPr>
      </w:pPr>
      <w:r w:rsidRPr="00DF64AB">
        <w:rPr>
          <w:rFonts w:eastAsiaTheme="minorHAnsi" w:cs="Arial"/>
          <w:color w:val="auto"/>
        </w:rPr>
        <w:t xml:space="preserve">be manufactured in accordance with the </w:t>
      </w:r>
      <w:r w:rsidR="003B6D6F" w:rsidRPr="00DF64AB">
        <w:rPr>
          <w:rFonts w:eastAsiaTheme="minorHAnsi" w:cs="Arial"/>
          <w:color w:val="auto"/>
        </w:rPr>
        <w:t xml:space="preserve">principles of </w:t>
      </w:r>
      <w:hyperlink r:id="rId23" w:history="1">
        <w:r w:rsidR="003B6D6F" w:rsidRPr="00DF64AB">
          <w:rPr>
            <w:rStyle w:val="Hyperlink"/>
            <w:rFonts w:cs="Arial"/>
          </w:rPr>
          <w:t>GMP</w:t>
        </w:r>
      </w:hyperlink>
      <w:r w:rsidR="0059001B" w:rsidRPr="00DF64AB">
        <w:rPr>
          <w:rStyle w:val="Hyperlink"/>
          <w:rFonts w:cs="Arial"/>
          <w:color w:val="auto"/>
          <w:u w:val="none"/>
        </w:rPr>
        <w:t>.</w:t>
      </w:r>
    </w:p>
    <w:p w14:paraId="18209D38" w14:textId="22C26FEB" w:rsidR="00242E36" w:rsidRPr="00DF64AB" w:rsidRDefault="00CD4A1C" w:rsidP="00FE41AA">
      <w:pPr>
        <w:rPr>
          <w:rFonts w:ascii="Arial" w:hAnsi="Arial" w:cs="Arial"/>
        </w:rPr>
      </w:pPr>
      <w:r>
        <w:rPr>
          <w:rFonts w:ascii="Arial" w:hAnsi="Arial" w:cs="Arial"/>
        </w:rPr>
        <w:t>Secondly, me</w:t>
      </w:r>
      <w:r w:rsidR="00242E36" w:rsidRPr="00DF64AB">
        <w:rPr>
          <w:rFonts w:ascii="Arial" w:hAnsi="Arial" w:cs="Arial"/>
        </w:rPr>
        <w:t xml:space="preserve">dicines can be listed in the ARTG following sponsor certification of the safety and quality of the product, coupled with TGA assessment of the </w:t>
      </w:r>
      <w:r w:rsidR="00ED367F" w:rsidRPr="00DF64AB">
        <w:rPr>
          <w:rFonts w:ascii="Arial" w:hAnsi="Arial" w:cs="Arial"/>
        </w:rPr>
        <w:t xml:space="preserve">evidence </w:t>
      </w:r>
      <w:r w:rsidR="00ED367F">
        <w:rPr>
          <w:rFonts w:ascii="Arial" w:hAnsi="Arial" w:cs="Arial"/>
        </w:rPr>
        <w:t xml:space="preserve">of </w:t>
      </w:r>
      <w:r w:rsidR="00242E36" w:rsidRPr="00DF64AB">
        <w:rPr>
          <w:rFonts w:ascii="Arial" w:hAnsi="Arial" w:cs="Arial"/>
        </w:rPr>
        <w:t>efficacy supporting the proposed indication</w:t>
      </w:r>
      <w:r w:rsidR="00ED367F">
        <w:rPr>
          <w:rFonts w:ascii="Arial" w:hAnsi="Arial" w:cs="Arial"/>
        </w:rPr>
        <w:t>(</w:t>
      </w:r>
      <w:r w:rsidR="00242E36" w:rsidRPr="00DF64AB">
        <w:rPr>
          <w:rFonts w:ascii="Arial" w:hAnsi="Arial" w:cs="Arial"/>
        </w:rPr>
        <w:t>s</w:t>
      </w:r>
      <w:r w:rsidR="00ED367F">
        <w:rPr>
          <w:rFonts w:ascii="Arial" w:hAnsi="Arial" w:cs="Arial"/>
        </w:rPr>
        <w:t>)</w:t>
      </w:r>
      <w:r w:rsidR="00242E36" w:rsidRPr="00DF64AB">
        <w:rPr>
          <w:rFonts w:ascii="Arial" w:hAnsi="Arial" w:cs="Arial"/>
        </w:rPr>
        <w:t>. This pathway, commonly known as ‘Assessed Listing Pathway’</w:t>
      </w:r>
      <w:r>
        <w:rPr>
          <w:rFonts w:ascii="Arial" w:hAnsi="Arial" w:cs="Arial"/>
        </w:rPr>
        <w:t>,</w:t>
      </w:r>
      <w:r w:rsidR="00242E36" w:rsidRPr="00DF64AB">
        <w:rPr>
          <w:rFonts w:ascii="Arial" w:hAnsi="Arial" w:cs="Arial"/>
        </w:rPr>
        <w:t xml:space="preserve"> allows sponsors to apply for indications that fall outside the permitted indications list</w:t>
      </w:r>
      <w:r w:rsidR="00ED367F">
        <w:rPr>
          <w:rFonts w:ascii="Arial" w:hAnsi="Arial" w:cs="Arial"/>
        </w:rPr>
        <w:t>. I</w:t>
      </w:r>
      <w:r w:rsidR="00242E36" w:rsidRPr="00DF64AB">
        <w:rPr>
          <w:rFonts w:ascii="Arial" w:hAnsi="Arial" w:cs="Arial"/>
        </w:rPr>
        <w:t>n all other respects</w:t>
      </w:r>
      <w:r w:rsidR="00ED367F">
        <w:rPr>
          <w:rFonts w:ascii="Arial" w:hAnsi="Arial" w:cs="Arial"/>
        </w:rPr>
        <w:t>,</w:t>
      </w:r>
      <w:r w:rsidR="00242E36" w:rsidRPr="00DF64AB">
        <w:rPr>
          <w:rFonts w:ascii="Arial" w:hAnsi="Arial" w:cs="Arial"/>
        </w:rPr>
        <w:t xml:space="preserve"> the medicine meet</w:t>
      </w:r>
      <w:r w:rsidR="00ED367F">
        <w:rPr>
          <w:rFonts w:ascii="Arial" w:hAnsi="Arial" w:cs="Arial"/>
        </w:rPr>
        <w:t>s</w:t>
      </w:r>
      <w:r w:rsidR="00242E36" w:rsidRPr="00DF64AB">
        <w:rPr>
          <w:rFonts w:ascii="Arial" w:hAnsi="Arial" w:cs="Arial"/>
        </w:rPr>
        <w:t xml:space="preserve"> the current eligibility criteria for listed medicines </w:t>
      </w:r>
      <w:r w:rsidR="00ED367F">
        <w:rPr>
          <w:rFonts w:ascii="Arial" w:hAnsi="Arial" w:cs="Arial"/>
        </w:rPr>
        <w:t>in that it</w:t>
      </w:r>
      <w:r w:rsidR="00242E36" w:rsidRPr="00DF64AB">
        <w:rPr>
          <w:rFonts w:ascii="Arial" w:hAnsi="Arial" w:cs="Arial"/>
        </w:rPr>
        <w:t xml:space="preserve"> contain</w:t>
      </w:r>
      <w:r w:rsidR="00ED367F">
        <w:rPr>
          <w:rFonts w:ascii="Arial" w:hAnsi="Arial" w:cs="Arial"/>
        </w:rPr>
        <w:t>s</w:t>
      </w:r>
      <w:r w:rsidR="00242E36" w:rsidRPr="00DF64AB">
        <w:rPr>
          <w:rFonts w:ascii="Arial" w:hAnsi="Arial" w:cs="Arial"/>
        </w:rPr>
        <w:t xml:space="preserve"> only permitted ingredients and</w:t>
      </w:r>
      <w:r w:rsidR="00ED367F">
        <w:rPr>
          <w:rFonts w:ascii="Arial" w:hAnsi="Arial" w:cs="Arial"/>
        </w:rPr>
        <w:t xml:space="preserve"> meets required quality and manufacturing standards</w:t>
      </w:r>
      <w:r w:rsidR="00242E36" w:rsidRPr="00DF64AB">
        <w:rPr>
          <w:rFonts w:ascii="Arial" w:hAnsi="Arial" w:cs="Arial"/>
        </w:rPr>
        <w:t>.</w:t>
      </w:r>
      <w:r w:rsidR="00ED367F">
        <w:rPr>
          <w:rFonts w:ascii="Arial" w:hAnsi="Arial" w:cs="Arial"/>
        </w:rPr>
        <w:t xml:space="preserve"> </w:t>
      </w:r>
      <w:r w:rsidR="00242E36" w:rsidRPr="00DF64AB">
        <w:rPr>
          <w:rFonts w:ascii="Arial" w:hAnsi="Arial" w:cs="Arial"/>
        </w:rPr>
        <w:t>A proportion of listed complementary medicines are reviewed following their listing for compliance with the regulatory requirements.</w:t>
      </w:r>
      <w:bookmarkStart w:id="27" w:name="_Hlk103853058"/>
      <w:r w:rsidR="004D18ED" w:rsidRPr="00DF64AB">
        <w:rPr>
          <w:rFonts w:ascii="Arial" w:hAnsi="Arial" w:cs="Arial"/>
        </w:rPr>
        <w:t xml:space="preserve"> </w:t>
      </w:r>
      <w:r w:rsidR="00242E36" w:rsidRPr="00DF64AB">
        <w:rPr>
          <w:rFonts w:ascii="Arial" w:hAnsi="Arial" w:cs="Arial"/>
        </w:rPr>
        <w:t xml:space="preserve">Applications can be made for evaluation of new substances proposed for suitability for use as an ingredient in listed medicines. New approved ingredients are added to the permitted ingredients list. </w:t>
      </w:r>
    </w:p>
    <w:bookmarkEnd w:id="27"/>
    <w:p w14:paraId="4F38D7C1" w14:textId="77777777" w:rsidR="00815370" w:rsidRPr="00DF64AB" w:rsidRDefault="00815370" w:rsidP="00815370">
      <w:pPr>
        <w:pStyle w:val="Heading5"/>
        <w:rPr>
          <w:rFonts w:cs="Arial"/>
        </w:rPr>
      </w:pPr>
      <w:r w:rsidRPr="00DF64AB">
        <w:rPr>
          <w:rFonts w:cs="Arial"/>
        </w:rPr>
        <w:t>Registering a complementary medicine in the ARTG</w:t>
      </w:r>
    </w:p>
    <w:p w14:paraId="660EDF23" w14:textId="18FE8635" w:rsidR="00EB59D2" w:rsidRPr="00DF64AB" w:rsidRDefault="00EB59D2" w:rsidP="00EB59D2">
      <w:pPr>
        <w:ind w:right="-286"/>
        <w:rPr>
          <w:rFonts w:ascii="Arial" w:eastAsia="Cambria" w:hAnsi="Arial" w:cs="Arial"/>
        </w:rPr>
      </w:pPr>
      <w:r w:rsidRPr="00DF64AB">
        <w:rPr>
          <w:rFonts w:ascii="Arial" w:eastAsia="Cambria" w:hAnsi="Arial" w:cs="Arial"/>
        </w:rPr>
        <w:t xml:space="preserve">Registered complementary medicines </w:t>
      </w:r>
      <w:r w:rsidR="00D42B45" w:rsidRPr="00DF64AB">
        <w:rPr>
          <w:rFonts w:ascii="Arial" w:eastAsia="Cambria" w:hAnsi="Arial" w:cs="Arial"/>
        </w:rPr>
        <w:t>are</w:t>
      </w:r>
      <w:r w:rsidRPr="00DF64AB">
        <w:rPr>
          <w:rFonts w:ascii="Arial" w:eastAsia="Cambria" w:hAnsi="Arial" w:cs="Arial"/>
        </w:rPr>
        <w:t xml:space="preserve"> higher risk than listed complementary medicines, based on their substances or the</w:t>
      </w:r>
      <w:r w:rsidR="008C0F2A" w:rsidRPr="00DF64AB">
        <w:rPr>
          <w:rFonts w:ascii="Arial" w:eastAsia="Cambria" w:hAnsi="Arial" w:cs="Arial"/>
        </w:rPr>
        <w:t xml:space="preserve"> therapeutic claims </w:t>
      </w:r>
      <w:r w:rsidRPr="00DF64AB">
        <w:rPr>
          <w:rFonts w:ascii="Arial" w:eastAsia="Cambria" w:hAnsi="Arial" w:cs="Arial"/>
        </w:rPr>
        <w:t xml:space="preserve">made for the medicine. Registered complementary medicines, like </w:t>
      </w:r>
      <w:r w:rsidR="00D42B45">
        <w:rPr>
          <w:rFonts w:ascii="Arial" w:eastAsia="Cambria" w:hAnsi="Arial" w:cs="Arial"/>
        </w:rPr>
        <w:t>all</w:t>
      </w:r>
      <w:r w:rsidRPr="00DF64AB">
        <w:rPr>
          <w:rFonts w:ascii="Arial" w:eastAsia="Cambria" w:hAnsi="Arial" w:cs="Arial"/>
        </w:rPr>
        <w:t xml:space="preserve"> registered medicine</w:t>
      </w:r>
      <w:r w:rsidR="00D42B45">
        <w:rPr>
          <w:rFonts w:ascii="Arial" w:eastAsia="Cambria" w:hAnsi="Arial" w:cs="Arial"/>
        </w:rPr>
        <w:t>s</w:t>
      </w:r>
      <w:r w:rsidRPr="00DF64AB">
        <w:rPr>
          <w:rFonts w:ascii="Arial" w:eastAsia="Cambria" w:hAnsi="Arial" w:cs="Arial"/>
        </w:rPr>
        <w:t xml:space="preserve">, are fully evaluated for quality, safety and efficacy prior to being </w:t>
      </w:r>
      <w:r w:rsidR="00D42B45">
        <w:rPr>
          <w:rFonts w:ascii="Arial" w:eastAsia="Cambria" w:hAnsi="Arial" w:cs="Arial"/>
        </w:rPr>
        <w:t xml:space="preserve">included </w:t>
      </w:r>
      <w:r w:rsidRPr="00DF64AB">
        <w:rPr>
          <w:rFonts w:ascii="Arial" w:eastAsia="Cambria" w:hAnsi="Arial" w:cs="Arial"/>
        </w:rPr>
        <w:t xml:space="preserve">in the ARTG and </w:t>
      </w:r>
      <w:r w:rsidR="00D42B45">
        <w:rPr>
          <w:rFonts w:ascii="Arial" w:eastAsia="Cambria" w:hAnsi="Arial" w:cs="Arial"/>
        </w:rPr>
        <w:t>supplied</w:t>
      </w:r>
      <w:r w:rsidRPr="00DF64AB">
        <w:rPr>
          <w:rFonts w:ascii="Arial" w:eastAsia="Cambria" w:hAnsi="Arial" w:cs="Arial"/>
        </w:rPr>
        <w:t>.</w:t>
      </w:r>
    </w:p>
    <w:p w14:paraId="2B66B702" w14:textId="77777777" w:rsidR="004E5740" w:rsidRPr="00DF64AB" w:rsidRDefault="004E5740" w:rsidP="004E5740">
      <w:pPr>
        <w:pStyle w:val="Heading4"/>
        <w:rPr>
          <w:rFonts w:cs="Arial"/>
        </w:rPr>
      </w:pPr>
      <w:bookmarkStart w:id="28" w:name="_Toc233286923"/>
      <w:r w:rsidRPr="00DF64AB">
        <w:rPr>
          <w:rFonts w:cs="Arial"/>
        </w:rPr>
        <w:lastRenderedPageBreak/>
        <w:t>4. Medical devices</w:t>
      </w:r>
      <w:bookmarkEnd w:id="28"/>
    </w:p>
    <w:p w14:paraId="09F14F18" w14:textId="184C542E" w:rsidR="00364A58" w:rsidRPr="00DF64AB" w:rsidRDefault="004E5740" w:rsidP="00364A58">
      <w:pPr>
        <w:rPr>
          <w:rFonts w:ascii="Arial" w:hAnsi="Arial" w:cs="Arial"/>
        </w:rPr>
      </w:pPr>
      <w:r w:rsidRPr="00DF64AB">
        <w:rPr>
          <w:rFonts w:ascii="Arial" w:hAnsi="Arial" w:cs="Arial"/>
        </w:rPr>
        <w:t xml:space="preserve">The Australian medical devices regulatory framework sets requirements for the safety and performance of medical devices, </w:t>
      </w:r>
      <w:r w:rsidR="00BA5251">
        <w:rPr>
          <w:rFonts w:ascii="Arial" w:hAnsi="Arial" w:cs="Arial"/>
        </w:rPr>
        <w:t>in</w:t>
      </w:r>
      <w:r w:rsidRPr="00DF64AB">
        <w:rPr>
          <w:rFonts w:ascii="Arial" w:hAnsi="Arial" w:cs="Arial"/>
        </w:rPr>
        <w:t xml:space="preserve"> a series of </w:t>
      </w:r>
      <w:hyperlink r:id="rId24" w:history="1">
        <w:r w:rsidRPr="00DF64AB">
          <w:rPr>
            <w:rStyle w:val="Hyperlink"/>
            <w:rFonts w:cs="Arial"/>
          </w:rPr>
          <w:t>Essential Principles</w:t>
        </w:r>
      </w:hyperlink>
      <w:r w:rsidRPr="00DF64AB">
        <w:rPr>
          <w:rFonts w:ascii="Arial" w:hAnsi="Arial" w:cs="Arial"/>
        </w:rPr>
        <w:t xml:space="preserve">. </w:t>
      </w:r>
      <w:r w:rsidR="00BA5251">
        <w:rPr>
          <w:rFonts w:ascii="Arial" w:eastAsia="Cambria" w:hAnsi="Arial" w:cs="Arial"/>
        </w:rPr>
        <w:t>Manufacturers and sponsors</w:t>
      </w:r>
      <w:r w:rsidR="00364A58" w:rsidRPr="00DF64AB">
        <w:rPr>
          <w:rFonts w:ascii="Arial" w:eastAsia="Cambria" w:hAnsi="Arial" w:cs="Arial"/>
        </w:rPr>
        <w:t xml:space="preserve"> must demonstrate </w:t>
      </w:r>
      <w:r w:rsidR="00BA5251">
        <w:rPr>
          <w:rFonts w:ascii="Arial" w:eastAsia="Cambria" w:hAnsi="Arial" w:cs="Arial"/>
        </w:rPr>
        <w:t>their medical devices comply</w:t>
      </w:r>
      <w:r w:rsidR="00BA5251" w:rsidRPr="00DF64AB">
        <w:rPr>
          <w:rFonts w:ascii="Arial" w:eastAsia="Cambria" w:hAnsi="Arial" w:cs="Arial"/>
        </w:rPr>
        <w:t xml:space="preserve"> </w:t>
      </w:r>
      <w:r w:rsidR="00364A58" w:rsidRPr="00DF64AB">
        <w:rPr>
          <w:rFonts w:ascii="Arial" w:eastAsia="Cambria" w:hAnsi="Arial" w:cs="Arial"/>
        </w:rPr>
        <w:t xml:space="preserve">with the Essential Principles. The extent of assessment required to demonstrate compliance with these principles is based on the risk classification of the device, with higher risk devices undergoing greater assessment prior to being </w:t>
      </w:r>
      <w:r w:rsidR="00CD4A1C">
        <w:rPr>
          <w:rFonts w:ascii="Arial" w:eastAsia="Cambria" w:hAnsi="Arial" w:cs="Arial"/>
        </w:rPr>
        <w:t xml:space="preserve">approved for </w:t>
      </w:r>
      <w:r w:rsidR="00D42B45">
        <w:rPr>
          <w:rFonts w:ascii="Arial" w:eastAsia="Cambria" w:hAnsi="Arial" w:cs="Arial"/>
        </w:rPr>
        <w:t>suppl</w:t>
      </w:r>
      <w:r w:rsidR="00CD4A1C">
        <w:rPr>
          <w:rFonts w:ascii="Arial" w:eastAsia="Cambria" w:hAnsi="Arial" w:cs="Arial"/>
        </w:rPr>
        <w:t>y</w:t>
      </w:r>
      <w:r w:rsidR="00D42B45">
        <w:rPr>
          <w:rFonts w:ascii="Arial" w:eastAsia="Cambria" w:hAnsi="Arial" w:cs="Arial"/>
        </w:rPr>
        <w:t xml:space="preserve"> to</w:t>
      </w:r>
      <w:r w:rsidR="00364A58" w:rsidRPr="00DF64AB">
        <w:rPr>
          <w:rFonts w:ascii="Arial" w:eastAsia="Cambria" w:hAnsi="Arial" w:cs="Arial"/>
        </w:rPr>
        <w:t xml:space="preserve"> the Australian market.</w:t>
      </w:r>
    </w:p>
    <w:p w14:paraId="76B25859" w14:textId="3C7BD42C" w:rsidR="003B2576" w:rsidRPr="00DF64AB" w:rsidRDefault="003B2576" w:rsidP="003B2576">
      <w:pPr>
        <w:rPr>
          <w:rFonts w:ascii="Arial" w:eastAsia="Cambria" w:hAnsi="Arial" w:cs="Arial"/>
        </w:rPr>
      </w:pPr>
      <w:r w:rsidRPr="00DF64AB">
        <w:rPr>
          <w:rFonts w:ascii="Arial" w:eastAsia="Cambria" w:hAnsi="Arial" w:cs="Arial"/>
        </w:rPr>
        <w:t xml:space="preserve">To recover costs of pre-market and post-market regulatory activities, there are </w:t>
      </w:r>
      <w:r w:rsidR="00EE353B" w:rsidRPr="00DF64AB">
        <w:rPr>
          <w:rFonts w:ascii="Arial" w:eastAsia="Cambria" w:hAnsi="Arial" w:cs="Arial"/>
        </w:rPr>
        <w:t>several</w:t>
      </w:r>
      <w:r w:rsidRPr="00DF64AB">
        <w:rPr>
          <w:rFonts w:ascii="Arial" w:eastAsia="Cambria" w:hAnsi="Arial" w:cs="Arial"/>
        </w:rPr>
        <w:t xml:space="preserve"> fees and charges for medical devices. These include annual charges, application fees, conformity assessment fees and application audit fees.</w:t>
      </w:r>
    </w:p>
    <w:p w14:paraId="573C0975" w14:textId="77777777" w:rsidR="00282DB1" w:rsidRPr="00DF64AB" w:rsidRDefault="00282DB1" w:rsidP="00837858">
      <w:pPr>
        <w:pStyle w:val="Heading5"/>
        <w:rPr>
          <w:rFonts w:cs="Arial"/>
        </w:rPr>
      </w:pPr>
      <w:r w:rsidRPr="00DF64AB">
        <w:rPr>
          <w:rFonts w:cs="Arial"/>
        </w:rPr>
        <w:t>Applications to include medical devices in the ARTG</w:t>
      </w:r>
    </w:p>
    <w:p w14:paraId="5F32A798" w14:textId="434618F7" w:rsidR="009E77E8" w:rsidRPr="00DF64AB" w:rsidRDefault="009E77E8" w:rsidP="009E77E8">
      <w:pPr>
        <w:rPr>
          <w:rFonts w:ascii="Arial" w:eastAsia="Cambria" w:hAnsi="Arial" w:cs="Arial"/>
        </w:rPr>
      </w:pPr>
      <w:r w:rsidRPr="00DF64AB">
        <w:rPr>
          <w:rFonts w:ascii="Arial" w:eastAsia="Cambria" w:hAnsi="Arial" w:cs="Arial"/>
        </w:rPr>
        <w:t>Under the Act, medical devices must be included in the ARTG prior to supply in Australia</w:t>
      </w:r>
      <w:r w:rsidR="006B4FD7">
        <w:rPr>
          <w:rFonts w:ascii="Arial" w:eastAsia="Cambria" w:hAnsi="Arial" w:cs="Arial"/>
        </w:rPr>
        <w:t>,</w:t>
      </w:r>
      <w:r w:rsidRPr="00DF64AB">
        <w:rPr>
          <w:rFonts w:ascii="Arial" w:eastAsia="Cambria" w:hAnsi="Arial" w:cs="Arial"/>
        </w:rPr>
        <w:t xml:space="preserve"> unless </w:t>
      </w:r>
      <w:r w:rsidR="006B4FD7">
        <w:rPr>
          <w:rFonts w:ascii="Arial" w:eastAsia="Cambria" w:hAnsi="Arial" w:cs="Arial"/>
        </w:rPr>
        <w:t xml:space="preserve">an </w:t>
      </w:r>
      <w:r w:rsidRPr="00DF64AB">
        <w:rPr>
          <w:rFonts w:ascii="Arial" w:eastAsia="Cambria" w:hAnsi="Arial" w:cs="Arial"/>
        </w:rPr>
        <w:t>exempt</w:t>
      </w:r>
      <w:r w:rsidR="006B4FD7">
        <w:rPr>
          <w:rFonts w:ascii="Arial" w:eastAsia="Cambria" w:hAnsi="Arial" w:cs="Arial"/>
        </w:rPr>
        <w:t>ion applies,</w:t>
      </w:r>
      <w:r w:rsidRPr="00DF64AB">
        <w:rPr>
          <w:rFonts w:ascii="Arial" w:eastAsia="Cambria" w:hAnsi="Arial" w:cs="Arial"/>
        </w:rPr>
        <w:t xml:space="preserve"> </w:t>
      </w:r>
      <w:r w:rsidR="006B4FD7">
        <w:rPr>
          <w:rFonts w:ascii="Arial" w:eastAsia="Cambria" w:hAnsi="Arial" w:cs="Arial"/>
        </w:rPr>
        <w:t>including</w:t>
      </w:r>
      <w:r w:rsidRPr="00DF64AB">
        <w:rPr>
          <w:rFonts w:ascii="Arial" w:eastAsia="Cambria" w:hAnsi="Arial" w:cs="Arial"/>
        </w:rPr>
        <w:t xml:space="preserve"> under sections 41HA, 41HB or 41HC of the Act. The level of assessment at the point of application for ARTG inclusion depends on the </w:t>
      </w:r>
      <w:r w:rsidR="009C01EF" w:rsidRPr="00DF64AB">
        <w:rPr>
          <w:rFonts w:ascii="Arial" w:eastAsia="Cambria" w:hAnsi="Arial" w:cs="Arial"/>
        </w:rPr>
        <w:t>device</w:t>
      </w:r>
      <w:r w:rsidR="009C01EF">
        <w:rPr>
          <w:rFonts w:ascii="Arial" w:eastAsia="Cambria" w:hAnsi="Arial" w:cs="Arial"/>
        </w:rPr>
        <w:t>’s</w:t>
      </w:r>
      <w:r w:rsidR="009C01EF" w:rsidRPr="00DF64AB">
        <w:rPr>
          <w:rFonts w:ascii="Arial" w:eastAsia="Cambria" w:hAnsi="Arial" w:cs="Arial"/>
        </w:rPr>
        <w:t xml:space="preserve"> </w:t>
      </w:r>
      <w:r w:rsidRPr="00DF64AB">
        <w:rPr>
          <w:rFonts w:ascii="Arial" w:eastAsia="Cambria" w:hAnsi="Arial" w:cs="Arial"/>
        </w:rPr>
        <w:t xml:space="preserve">risk classification, the conformity assessment evidence </w:t>
      </w:r>
      <w:r w:rsidR="006B4FD7">
        <w:rPr>
          <w:rFonts w:ascii="Arial" w:eastAsia="Cambria" w:hAnsi="Arial" w:cs="Arial"/>
        </w:rPr>
        <w:t>provided</w:t>
      </w:r>
      <w:r w:rsidRPr="00DF64AB">
        <w:rPr>
          <w:rFonts w:ascii="Arial" w:eastAsia="Cambria" w:hAnsi="Arial" w:cs="Arial"/>
        </w:rPr>
        <w:t xml:space="preserve">, and whether any concerns with the application require the TGA to request further information </w:t>
      </w:r>
      <w:r w:rsidR="006B4FD7">
        <w:rPr>
          <w:rFonts w:ascii="Arial" w:eastAsia="Cambria" w:hAnsi="Arial" w:cs="Arial"/>
        </w:rPr>
        <w:t>before</w:t>
      </w:r>
      <w:r w:rsidRPr="00DF64AB">
        <w:rPr>
          <w:rFonts w:ascii="Arial" w:eastAsia="Cambria" w:hAnsi="Arial" w:cs="Arial"/>
        </w:rPr>
        <w:t xml:space="preserve"> inclusion.</w:t>
      </w:r>
    </w:p>
    <w:p w14:paraId="35544AC9" w14:textId="733894AB" w:rsidR="009E77E8" w:rsidRPr="00DF64AB" w:rsidRDefault="009E77E8" w:rsidP="009E77E8">
      <w:pPr>
        <w:rPr>
          <w:rFonts w:ascii="Arial" w:eastAsia="Cambria" w:hAnsi="Arial" w:cs="Arial"/>
        </w:rPr>
      </w:pPr>
      <w:r w:rsidRPr="00DF64AB">
        <w:rPr>
          <w:rFonts w:ascii="Arial" w:eastAsia="Cambria" w:hAnsi="Arial" w:cs="Arial"/>
        </w:rPr>
        <w:t xml:space="preserve">High-risk medical devices must have an ARTG entry for each device </w:t>
      </w:r>
      <w:r w:rsidR="00BA5251">
        <w:rPr>
          <w:rFonts w:ascii="Arial" w:eastAsia="Cambria" w:hAnsi="Arial" w:cs="Arial"/>
        </w:rPr>
        <w:t>model</w:t>
      </w:r>
      <w:r w:rsidR="00316C05">
        <w:rPr>
          <w:rFonts w:ascii="Arial" w:eastAsia="Cambria" w:hAnsi="Arial" w:cs="Arial"/>
        </w:rPr>
        <w:t xml:space="preserve">, </w:t>
      </w:r>
      <w:r w:rsidR="00BA5251">
        <w:rPr>
          <w:rFonts w:ascii="Arial" w:eastAsia="Cambria" w:hAnsi="Arial" w:cs="Arial"/>
        </w:rPr>
        <w:t>also known as</w:t>
      </w:r>
      <w:r w:rsidR="009C01EF">
        <w:rPr>
          <w:rFonts w:ascii="Arial" w:eastAsia="Cambria" w:hAnsi="Arial" w:cs="Arial"/>
        </w:rPr>
        <w:t xml:space="preserve"> </w:t>
      </w:r>
      <w:r w:rsidRPr="00DF64AB">
        <w:rPr>
          <w:rFonts w:ascii="Arial" w:eastAsia="Cambria" w:hAnsi="Arial" w:cs="Arial"/>
        </w:rPr>
        <w:t xml:space="preserve">unique </w:t>
      </w:r>
      <w:r w:rsidR="00BA5251">
        <w:rPr>
          <w:rFonts w:ascii="Arial" w:eastAsia="Cambria" w:hAnsi="Arial" w:cs="Arial"/>
        </w:rPr>
        <w:t xml:space="preserve">product </w:t>
      </w:r>
      <w:r w:rsidRPr="00DF64AB">
        <w:rPr>
          <w:rFonts w:ascii="Arial" w:eastAsia="Cambria" w:hAnsi="Arial" w:cs="Arial"/>
        </w:rPr>
        <w:t>identifier. Lower risk devices can have multiple similar devices included under one ARTG entry</w:t>
      </w:r>
      <w:r w:rsidR="00CD4A1C">
        <w:rPr>
          <w:rFonts w:ascii="Arial" w:eastAsia="Cambria" w:hAnsi="Arial" w:cs="Arial"/>
        </w:rPr>
        <w:t>,</w:t>
      </w:r>
      <w:r w:rsidRPr="00DF64AB">
        <w:rPr>
          <w:rFonts w:ascii="Arial" w:eastAsia="Cambria" w:hAnsi="Arial" w:cs="Arial"/>
        </w:rPr>
        <w:t xml:space="preserve"> </w:t>
      </w:r>
      <w:r w:rsidR="009C01EF">
        <w:rPr>
          <w:rFonts w:ascii="Arial" w:eastAsia="Cambria" w:hAnsi="Arial" w:cs="Arial"/>
        </w:rPr>
        <w:t xml:space="preserve">as </w:t>
      </w:r>
      <w:r w:rsidRPr="00DF64AB">
        <w:rPr>
          <w:rFonts w:ascii="Arial" w:eastAsia="Cambria" w:hAnsi="Arial" w:cs="Arial"/>
        </w:rPr>
        <w:t>a ‘kind of medical device’. As the application fee is payable per ARTG entry</w:t>
      </w:r>
      <w:r w:rsidR="009C01EF">
        <w:rPr>
          <w:rFonts w:ascii="Arial" w:eastAsia="Cambria" w:hAnsi="Arial" w:cs="Arial"/>
        </w:rPr>
        <w:t>,</w:t>
      </w:r>
      <w:r w:rsidRPr="00DF64AB">
        <w:rPr>
          <w:rFonts w:ascii="Arial" w:eastAsia="Cambria" w:hAnsi="Arial" w:cs="Arial"/>
        </w:rPr>
        <w:t xml:space="preserve"> and the value of the fee is higher for higher risk medical devices, the overall costs associated with higher risk medical devices are </w:t>
      </w:r>
      <w:r w:rsidR="00736C5D" w:rsidRPr="00DF64AB">
        <w:rPr>
          <w:rFonts w:ascii="Arial" w:eastAsia="Cambria" w:hAnsi="Arial" w:cs="Arial"/>
        </w:rPr>
        <w:t>greater</w:t>
      </w:r>
      <w:r w:rsidRPr="00DF64AB">
        <w:rPr>
          <w:rFonts w:ascii="Arial" w:eastAsia="Cambria" w:hAnsi="Arial" w:cs="Arial"/>
        </w:rPr>
        <w:t>.</w:t>
      </w:r>
    </w:p>
    <w:p w14:paraId="7DC5CF51" w14:textId="3B02F063" w:rsidR="009E77E8" w:rsidRPr="00DF64AB" w:rsidRDefault="009E77E8" w:rsidP="009E77E8">
      <w:pPr>
        <w:rPr>
          <w:rFonts w:ascii="Arial" w:eastAsia="Cambria" w:hAnsi="Arial" w:cs="Arial"/>
        </w:rPr>
      </w:pPr>
      <w:r w:rsidRPr="00DF64AB">
        <w:rPr>
          <w:rFonts w:ascii="Arial" w:eastAsia="Cambria" w:hAnsi="Arial" w:cs="Arial"/>
        </w:rPr>
        <w:t>Approval for each medical device is exclusive to the sponsor applying for inclusion</w:t>
      </w:r>
      <w:r w:rsidR="00316C05">
        <w:rPr>
          <w:rFonts w:ascii="Arial" w:eastAsia="Cambria" w:hAnsi="Arial" w:cs="Arial"/>
        </w:rPr>
        <w:t xml:space="preserve">. </w:t>
      </w:r>
      <w:r w:rsidR="00CD4A1C">
        <w:rPr>
          <w:rFonts w:ascii="Arial" w:eastAsia="Cambria" w:hAnsi="Arial" w:cs="Arial"/>
        </w:rPr>
        <w:t>While a</w:t>
      </w:r>
      <w:r w:rsidRPr="00DF64AB">
        <w:rPr>
          <w:rFonts w:ascii="Arial" w:eastAsia="Cambria" w:hAnsi="Arial" w:cs="Arial"/>
        </w:rPr>
        <w:t>pproval for one sponsor cannot be used by other sponsors, even where the medical device is identical</w:t>
      </w:r>
      <w:r w:rsidR="00316C05">
        <w:rPr>
          <w:rFonts w:ascii="Arial" w:eastAsia="Cambria" w:hAnsi="Arial" w:cs="Arial"/>
        </w:rPr>
        <w:t>,</w:t>
      </w:r>
      <w:r w:rsidRPr="00DF64AB">
        <w:rPr>
          <w:rFonts w:ascii="Arial" w:eastAsia="Cambria" w:hAnsi="Arial" w:cs="Arial"/>
        </w:rPr>
        <w:t xml:space="preserve"> devices can be distributed by multiple distributors on behalf of the same sponsor.</w:t>
      </w:r>
    </w:p>
    <w:p w14:paraId="6749F37C" w14:textId="22679FDA" w:rsidR="00D43E9E" w:rsidRPr="00A459C7" w:rsidRDefault="00D43E9E" w:rsidP="00D43E9E">
      <w:pPr>
        <w:rPr>
          <w:rFonts w:ascii="Arial" w:eastAsia="Cambria" w:hAnsi="Arial" w:cs="Arial"/>
        </w:rPr>
      </w:pPr>
      <w:r w:rsidRPr="00A459C7">
        <w:rPr>
          <w:rFonts w:ascii="Arial" w:eastAsia="Cambria" w:hAnsi="Arial" w:cs="Arial"/>
        </w:rPr>
        <w:t>All medical devices must comply with regulatory requirements for safety, performance, design, construction and labelling. Medical devices are regulated using a risk-based classification framework. Manufacturers must demonstrate compliance through appropriate regulatory evidence, with requirements increasing according to the device risk classification. Manufacturers must demonstrate compliance through conformity assessment, including assessment of their quality management system for higher risk devices. Conformity assessment evidence for higher risk devices may be issued by the TGA or by recognised comparable overseas regulators or assessment bodies.</w:t>
      </w:r>
    </w:p>
    <w:p w14:paraId="688A1C72" w14:textId="0A81BDDB" w:rsidR="009E77E8" w:rsidRPr="00DF64AB" w:rsidRDefault="009E77E8" w:rsidP="009E77E8">
      <w:pPr>
        <w:rPr>
          <w:rFonts w:ascii="Arial" w:eastAsia="Cambria" w:hAnsi="Arial" w:cs="Arial"/>
        </w:rPr>
      </w:pPr>
      <w:r w:rsidRPr="00DF64AB">
        <w:rPr>
          <w:rFonts w:ascii="Arial" w:eastAsia="Cambria" w:hAnsi="Arial" w:cs="Arial"/>
        </w:rPr>
        <w:t>In addition to the requirement to provide a conformity assessment document with an application for ARTG inclusion, the application process may</w:t>
      </w:r>
      <w:r w:rsidR="006D7FC5" w:rsidRPr="00DF64AB">
        <w:rPr>
          <w:rFonts w:ascii="Arial" w:eastAsia="Cambria" w:hAnsi="Arial" w:cs="Arial"/>
        </w:rPr>
        <w:t xml:space="preserve"> also</w:t>
      </w:r>
      <w:r w:rsidRPr="00DF64AB">
        <w:rPr>
          <w:rFonts w:ascii="Arial" w:eastAsia="Cambria" w:hAnsi="Arial" w:cs="Arial"/>
        </w:rPr>
        <w:t xml:space="preserve"> involve an assessment of other information </w:t>
      </w:r>
      <w:r w:rsidR="006D7FC5">
        <w:rPr>
          <w:rFonts w:ascii="Arial" w:eastAsia="Cambria" w:hAnsi="Arial" w:cs="Arial"/>
        </w:rPr>
        <w:t xml:space="preserve">as </w:t>
      </w:r>
      <w:r w:rsidRPr="00DF64AB">
        <w:rPr>
          <w:rFonts w:ascii="Arial" w:eastAsia="Cambria" w:hAnsi="Arial" w:cs="Arial"/>
        </w:rPr>
        <w:t>required by the TGA.</w:t>
      </w:r>
    </w:p>
    <w:p w14:paraId="15BBB188" w14:textId="08F043E1" w:rsidR="00282DB1" w:rsidRPr="00DF64AB" w:rsidRDefault="00282DB1" w:rsidP="00837858">
      <w:pPr>
        <w:pStyle w:val="Heading5"/>
        <w:rPr>
          <w:rFonts w:cs="Arial"/>
        </w:rPr>
      </w:pPr>
      <w:r w:rsidRPr="00DF64AB">
        <w:rPr>
          <w:rFonts w:cs="Arial"/>
        </w:rPr>
        <w:t>Application audits</w:t>
      </w:r>
    </w:p>
    <w:p w14:paraId="5C96634E" w14:textId="77777777" w:rsidR="00282DB1" w:rsidRPr="00DF64AB" w:rsidRDefault="00282DB1" w:rsidP="00282DB1">
      <w:pPr>
        <w:rPr>
          <w:rFonts w:ascii="Arial" w:hAnsi="Arial" w:cs="Arial"/>
        </w:rPr>
      </w:pPr>
      <w:r w:rsidRPr="00DF64AB">
        <w:rPr>
          <w:rFonts w:ascii="Arial" w:hAnsi="Arial" w:cs="Arial"/>
        </w:rPr>
        <w:t>Some applications for inclusion of medical devices in the ARTG will undergo an audit assessment:</w:t>
      </w:r>
    </w:p>
    <w:p w14:paraId="106C8A52" w14:textId="7C6C3B25" w:rsidR="00282DB1" w:rsidRPr="00DF64AB" w:rsidRDefault="00282DB1" w:rsidP="006D31C0">
      <w:pPr>
        <w:pStyle w:val="ListBullet"/>
        <w:spacing w:after="120"/>
        <w:ind w:left="709" w:hanging="425"/>
        <w:rPr>
          <w:rFonts w:eastAsiaTheme="minorHAnsi" w:cs="Arial"/>
          <w:color w:val="auto"/>
        </w:rPr>
      </w:pPr>
      <w:r w:rsidRPr="00DF64AB">
        <w:rPr>
          <w:rFonts w:eastAsiaTheme="minorHAnsi" w:cs="Arial"/>
          <w:color w:val="auto"/>
        </w:rPr>
        <w:t xml:space="preserve">applications to include certain medical devices in the ARTG must be selected for an </w:t>
      </w:r>
      <w:r w:rsidRPr="003C3BB1">
        <w:rPr>
          <w:rFonts w:eastAsiaTheme="minorHAnsi" w:cs="Arial"/>
          <w:color w:val="000000" w:themeColor="text1"/>
        </w:rPr>
        <w:t>application audit</w:t>
      </w:r>
      <w:r w:rsidR="006D7FC5" w:rsidRPr="003C3BB1">
        <w:rPr>
          <w:rFonts w:eastAsiaTheme="minorHAnsi" w:cs="Arial"/>
          <w:color w:val="000000" w:themeColor="text1"/>
        </w:rPr>
        <w:t>. F</w:t>
      </w:r>
      <w:r w:rsidRPr="003C3BB1">
        <w:rPr>
          <w:rFonts w:eastAsiaTheme="minorHAnsi" w:cs="Arial"/>
          <w:color w:val="000000" w:themeColor="text1"/>
        </w:rPr>
        <w:t xml:space="preserve">or these </w:t>
      </w:r>
      <w:r w:rsidR="00BA5251" w:rsidRPr="003C3BB1">
        <w:rPr>
          <w:rFonts w:eastAsiaTheme="minorHAnsi" w:cs="Arial"/>
          <w:color w:val="000000" w:themeColor="text1"/>
        </w:rPr>
        <w:t xml:space="preserve">mandatory </w:t>
      </w:r>
      <w:r w:rsidRPr="003C3BB1">
        <w:rPr>
          <w:rFonts w:eastAsiaTheme="minorHAnsi" w:cs="Arial"/>
          <w:color w:val="000000" w:themeColor="text1"/>
        </w:rPr>
        <w:t>audits an application audit assessment fee is charged</w:t>
      </w:r>
      <w:r w:rsidR="00BA5251" w:rsidRPr="003C3BB1">
        <w:rPr>
          <w:rFonts w:eastAsiaTheme="minorHAnsi" w:cs="Arial"/>
          <w:color w:val="000000" w:themeColor="text1"/>
        </w:rPr>
        <w:t xml:space="preserve">. </w:t>
      </w:r>
      <w:r w:rsidR="00BA5251" w:rsidRPr="003C3BB1">
        <w:rPr>
          <w:rFonts w:cs="Arial"/>
          <w:color w:val="000000" w:themeColor="text1"/>
        </w:rPr>
        <w:t>There are 2 levels of application audit for non-IVD medical devices and one level of application audit for IVD medical devices</w:t>
      </w:r>
    </w:p>
    <w:p w14:paraId="2F031D3E" w14:textId="45A538FF" w:rsidR="00282DB1" w:rsidRPr="00DF64AB" w:rsidRDefault="00282DB1" w:rsidP="006D31C0">
      <w:pPr>
        <w:pStyle w:val="ListBullet"/>
        <w:spacing w:after="120"/>
        <w:ind w:left="709" w:hanging="425"/>
        <w:rPr>
          <w:rFonts w:eastAsiaTheme="minorHAnsi" w:cs="Arial"/>
          <w:color w:val="auto"/>
        </w:rPr>
      </w:pPr>
      <w:r w:rsidRPr="00DF64AB">
        <w:rPr>
          <w:rFonts w:eastAsiaTheme="minorHAnsi" w:cs="Arial"/>
          <w:color w:val="auto"/>
        </w:rPr>
        <w:t>TGA may also select any other application for inclusion for an audit</w:t>
      </w:r>
      <w:r w:rsidR="006D7FC5">
        <w:rPr>
          <w:rFonts w:eastAsiaTheme="minorHAnsi" w:cs="Arial"/>
          <w:color w:val="auto"/>
        </w:rPr>
        <w:t>. A</w:t>
      </w:r>
      <w:r w:rsidRPr="00DF64AB">
        <w:rPr>
          <w:rFonts w:eastAsiaTheme="minorHAnsi" w:cs="Arial"/>
          <w:color w:val="auto"/>
        </w:rPr>
        <w:t>n audit assessment fee is not charged for these audits</w:t>
      </w:r>
      <w:r w:rsidR="00580C70" w:rsidRPr="00DF64AB">
        <w:rPr>
          <w:rFonts w:eastAsiaTheme="minorHAnsi" w:cs="Arial"/>
          <w:color w:val="auto"/>
        </w:rPr>
        <w:t>.</w:t>
      </w:r>
    </w:p>
    <w:p w14:paraId="12BCC201" w14:textId="7DFE5935" w:rsidR="00AA6558" w:rsidRPr="00DF64AB" w:rsidRDefault="00AA6558" w:rsidP="00FE41AA">
      <w:pPr>
        <w:rPr>
          <w:rFonts w:ascii="Arial" w:hAnsi="Arial" w:cs="Arial"/>
        </w:rPr>
      </w:pPr>
      <w:r w:rsidRPr="00DF64AB">
        <w:rPr>
          <w:rFonts w:ascii="Arial" w:hAnsi="Arial" w:cs="Arial"/>
        </w:rPr>
        <w:t xml:space="preserve">If an application audit is to be conducted, the TGA determines </w:t>
      </w:r>
      <w:r w:rsidR="00BA5251">
        <w:rPr>
          <w:rFonts w:ascii="Arial" w:hAnsi="Arial" w:cs="Arial"/>
        </w:rPr>
        <w:t>what level of assessment</w:t>
      </w:r>
      <w:r w:rsidRPr="00DF64AB">
        <w:rPr>
          <w:rFonts w:ascii="Arial" w:hAnsi="Arial" w:cs="Arial"/>
        </w:rPr>
        <w:t xml:space="preserve"> is appropriate for each application</w:t>
      </w:r>
      <w:r w:rsidR="00BA5251">
        <w:rPr>
          <w:rFonts w:ascii="Arial" w:hAnsi="Arial" w:cs="Arial"/>
        </w:rPr>
        <w:t xml:space="preserve"> audit</w:t>
      </w:r>
      <w:r w:rsidRPr="00DF64AB">
        <w:rPr>
          <w:rFonts w:ascii="Arial" w:hAnsi="Arial" w:cs="Arial"/>
        </w:rPr>
        <w:t xml:space="preserve">. </w:t>
      </w:r>
    </w:p>
    <w:p w14:paraId="4ACDDAC6" w14:textId="298B6C36" w:rsidR="00F34467" w:rsidRPr="00DF64AB" w:rsidRDefault="00F34467" w:rsidP="00F34467">
      <w:pPr>
        <w:pStyle w:val="Heading5"/>
        <w:rPr>
          <w:rFonts w:cs="Arial"/>
        </w:rPr>
      </w:pPr>
      <w:r w:rsidRPr="00DF64AB">
        <w:rPr>
          <w:rFonts w:cs="Arial"/>
        </w:rPr>
        <w:t>Conformity assessment</w:t>
      </w:r>
    </w:p>
    <w:p w14:paraId="7D33E28D" w14:textId="3045527C" w:rsidR="00F93783" w:rsidRPr="00DF64AB" w:rsidRDefault="00F93783" w:rsidP="00F93783">
      <w:pPr>
        <w:rPr>
          <w:rFonts w:ascii="Arial" w:eastAsia="Cambria" w:hAnsi="Arial" w:cs="Arial"/>
        </w:rPr>
      </w:pPr>
      <w:r w:rsidRPr="00DF64AB">
        <w:rPr>
          <w:rFonts w:ascii="Arial" w:eastAsia="Cambria" w:hAnsi="Arial" w:cs="Arial"/>
        </w:rPr>
        <w:t xml:space="preserve">A conformity assessment is a systematic and ongoing examination of evidence and procedures to ensure that manufacturers of medical devices have systems and processes that provide assurance </w:t>
      </w:r>
      <w:r w:rsidR="006D7FC5">
        <w:rPr>
          <w:rFonts w:ascii="Arial" w:eastAsia="Cambria" w:hAnsi="Arial" w:cs="Arial"/>
        </w:rPr>
        <w:t>of</w:t>
      </w:r>
      <w:r w:rsidRPr="00DF64AB">
        <w:rPr>
          <w:rFonts w:ascii="Arial" w:eastAsia="Cambria" w:hAnsi="Arial" w:cs="Arial"/>
        </w:rPr>
        <w:t xml:space="preserve"> conform</w:t>
      </w:r>
      <w:r w:rsidR="006D7FC5">
        <w:rPr>
          <w:rFonts w:ascii="Arial" w:eastAsia="Cambria" w:hAnsi="Arial" w:cs="Arial"/>
        </w:rPr>
        <w:t>ity</w:t>
      </w:r>
      <w:r w:rsidRPr="00DF64AB">
        <w:rPr>
          <w:rFonts w:ascii="Arial" w:eastAsia="Cambria" w:hAnsi="Arial" w:cs="Arial"/>
        </w:rPr>
        <w:t xml:space="preserve"> to the Essential Principles for quality, safety and performance.</w:t>
      </w:r>
    </w:p>
    <w:p w14:paraId="4A8739DA" w14:textId="77777777" w:rsidR="00F93783" w:rsidRPr="00DF64AB" w:rsidRDefault="00F93783" w:rsidP="00F93783">
      <w:pPr>
        <w:rPr>
          <w:rFonts w:ascii="Arial" w:eastAsia="Cambria" w:hAnsi="Arial" w:cs="Arial"/>
        </w:rPr>
      </w:pPr>
      <w:r w:rsidRPr="00DF64AB">
        <w:rPr>
          <w:rFonts w:ascii="Arial" w:eastAsia="Cambria" w:hAnsi="Arial" w:cs="Arial"/>
        </w:rPr>
        <w:lastRenderedPageBreak/>
        <w:t>A manufacturer must implement and maintain a post-market monitoring system for devices after supply, with reportable events reported as specified in the Regulations. A manufacturer’s quality system certification may be subject to periodic surveillance audits.</w:t>
      </w:r>
    </w:p>
    <w:p w14:paraId="02B8BF35" w14:textId="4C6F9BE5" w:rsidR="00D64A65" w:rsidRPr="00DF64AB" w:rsidRDefault="00D64A65" w:rsidP="00D64A65">
      <w:pPr>
        <w:rPr>
          <w:rFonts w:ascii="Arial" w:eastAsia="Cambria" w:hAnsi="Arial" w:cs="Arial"/>
        </w:rPr>
      </w:pPr>
      <w:r w:rsidRPr="00DF64AB">
        <w:rPr>
          <w:rFonts w:ascii="Arial" w:eastAsia="Cambria" w:hAnsi="Arial" w:cs="Arial"/>
        </w:rPr>
        <w:t xml:space="preserve">For </w:t>
      </w:r>
      <w:proofErr w:type="gramStart"/>
      <w:r w:rsidRPr="00DF64AB">
        <w:rPr>
          <w:rFonts w:ascii="Arial" w:eastAsia="Cambria" w:hAnsi="Arial" w:cs="Arial"/>
        </w:rPr>
        <w:t>the majority of</w:t>
      </w:r>
      <w:proofErr w:type="gramEnd"/>
      <w:r w:rsidRPr="00DF64AB">
        <w:rPr>
          <w:rFonts w:ascii="Arial" w:eastAsia="Cambria" w:hAnsi="Arial" w:cs="Arial"/>
        </w:rPr>
        <w:t xml:space="preserve"> medical devices and IVDs</w:t>
      </w:r>
      <w:r w:rsidR="003C3BB1">
        <w:rPr>
          <w:rFonts w:ascii="Arial" w:eastAsia="Cambria" w:hAnsi="Arial" w:cs="Arial"/>
        </w:rPr>
        <w:t>,</w:t>
      </w:r>
      <w:r w:rsidRPr="00DF64AB">
        <w:rPr>
          <w:rFonts w:ascii="Arial" w:eastAsia="Cambria" w:hAnsi="Arial" w:cs="Arial"/>
        </w:rPr>
        <w:t xml:space="preserve"> the TGA accepts documents issued by the assessment bodies or overseas regulators</w:t>
      </w:r>
      <w:r w:rsidR="00CD4A1C">
        <w:rPr>
          <w:rFonts w:ascii="Arial" w:eastAsia="Cambria" w:hAnsi="Arial" w:cs="Arial"/>
        </w:rPr>
        <w:t>. These documents</w:t>
      </w:r>
      <w:r w:rsidRPr="00DF64AB">
        <w:rPr>
          <w:rFonts w:ascii="Arial" w:eastAsia="Cambria" w:hAnsi="Arial" w:cs="Arial"/>
        </w:rPr>
        <w:t xml:space="preserve"> provide evidence that that body has assessed the manufacturer’s compliance with the conformity assessment procedures or procedures comparable to conformity assessment and found it to be acceptable. As the Australian and the European Union (EU) regulatory requirements are similar, many manufacturers of medical devices authorised for supply in Australia have EC Certificates issued by EU Notified Bodies.</w:t>
      </w:r>
      <w:r>
        <w:rPr>
          <w:rFonts w:ascii="Arial" w:eastAsia="Cambria" w:hAnsi="Arial" w:cs="Arial"/>
        </w:rPr>
        <w:t xml:space="preserve"> Many manufacturers rely on certification under the Medical Devices Single Audit Program (MDSAP).</w:t>
      </w:r>
    </w:p>
    <w:p w14:paraId="1C73BE7F" w14:textId="77777777" w:rsidR="00F93783" w:rsidRPr="00DF64AB" w:rsidRDefault="00F93783" w:rsidP="00F93783">
      <w:pPr>
        <w:rPr>
          <w:rFonts w:ascii="Arial" w:eastAsia="Cambria" w:hAnsi="Arial" w:cs="Arial"/>
        </w:rPr>
      </w:pPr>
      <w:r w:rsidRPr="00DF64AB">
        <w:rPr>
          <w:rFonts w:ascii="Arial" w:eastAsia="Cambria" w:hAnsi="Arial" w:cs="Arial"/>
        </w:rPr>
        <w:t>Manufacturers may choose to seek a conformity assessment certificate from the TGA, rather than relying on overseas certification. There are different fees for various types of TGA conformity assessment certificate applications and for surveillance audits.</w:t>
      </w:r>
    </w:p>
    <w:p w14:paraId="31CB2F98" w14:textId="5AC0AA48" w:rsidR="00F34467" w:rsidRPr="00DF64AB" w:rsidRDefault="00F34467" w:rsidP="00F34467">
      <w:pPr>
        <w:rPr>
          <w:rFonts w:ascii="Arial" w:eastAsia="Times New Roman" w:hAnsi="Arial" w:cs="Arial"/>
          <w:b/>
          <w:bCs/>
          <w:i/>
          <w:color w:val="001871"/>
          <w:sz w:val="26"/>
          <w:szCs w:val="26"/>
        </w:rPr>
      </w:pPr>
      <w:r w:rsidRPr="00DF64AB">
        <w:rPr>
          <w:rFonts w:ascii="Arial" w:eastAsia="Times New Roman" w:hAnsi="Arial" w:cs="Arial"/>
          <w:b/>
          <w:bCs/>
          <w:i/>
          <w:color w:val="001871"/>
          <w:sz w:val="26"/>
          <w:szCs w:val="26"/>
        </w:rPr>
        <w:t>Export</w:t>
      </w:r>
    </w:p>
    <w:p w14:paraId="5AEDAE36" w14:textId="77777777" w:rsidR="00F34467" w:rsidRPr="00DF64AB" w:rsidRDefault="00F34467" w:rsidP="00F34467">
      <w:pPr>
        <w:rPr>
          <w:rFonts w:ascii="Arial" w:hAnsi="Arial" w:cs="Arial"/>
        </w:rPr>
      </w:pPr>
      <w:r w:rsidRPr="00DF64AB">
        <w:rPr>
          <w:rFonts w:ascii="Arial" w:hAnsi="Arial" w:cs="Arial"/>
        </w:rPr>
        <w:t>Sponsors wanting to export medical devices from Australia must meet regulatory requirements set out in the legislation. Before a sponsor can export a medical device from Australia, the device must:</w:t>
      </w:r>
    </w:p>
    <w:p w14:paraId="6B413F35" w14:textId="77777777" w:rsidR="00F34467" w:rsidRPr="00DF64AB" w:rsidRDefault="00F34467" w:rsidP="006D31C0">
      <w:pPr>
        <w:pStyle w:val="ListBullet"/>
        <w:spacing w:after="120"/>
        <w:ind w:left="709" w:hanging="425"/>
        <w:rPr>
          <w:rFonts w:eastAsiaTheme="minorHAnsi" w:cs="Arial"/>
          <w:color w:val="auto"/>
        </w:rPr>
      </w:pPr>
      <w:r w:rsidRPr="00DF64AB">
        <w:rPr>
          <w:rFonts w:eastAsiaTheme="minorHAnsi" w:cs="Arial"/>
          <w:color w:val="auto"/>
        </w:rPr>
        <w:t>be included in the ARTG, or</w:t>
      </w:r>
    </w:p>
    <w:p w14:paraId="4122BC2E" w14:textId="28FA74CC" w:rsidR="00F34467" w:rsidRPr="00DF64AB" w:rsidRDefault="00F34467" w:rsidP="006D31C0">
      <w:pPr>
        <w:pStyle w:val="ListBullet"/>
        <w:spacing w:after="120"/>
        <w:ind w:left="709" w:hanging="425"/>
        <w:rPr>
          <w:rFonts w:eastAsiaTheme="minorHAnsi" w:cs="Arial"/>
          <w:color w:val="auto"/>
        </w:rPr>
      </w:pPr>
      <w:r w:rsidRPr="00DF64AB">
        <w:rPr>
          <w:rFonts w:eastAsiaTheme="minorHAnsi" w:cs="Arial"/>
          <w:color w:val="auto"/>
        </w:rPr>
        <w:t xml:space="preserve">be exempt </w:t>
      </w:r>
      <w:r w:rsidR="00C87D33">
        <w:rPr>
          <w:rFonts w:eastAsiaTheme="minorHAnsi" w:cs="Arial"/>
          <w:color w:val="auto"/>
        </w:rPr>
        <w:t>from registration</w:t>
      </w:r>
      <w:r w:rsidRPr="00DF64AB">
        <w:rPr>
          <w:rFonts w:eastAsiaTheme="minorHAnsi" w:cs="Arial"/>
          <w:color w:val="auto"/>
        </w:rPr>
        <w:t>.</w:t>
      </w:r>
    </w:p>
    <w:p w14:paraId="369C0050" w14:textId="0BD2DD5D" w:rsidR="000D50A4" w:rsidRPr="00DF64AB" w:rsidRDefault="000D50A4" w:rsidP="00FE41AA">
      <w:pPr>
        <w:rPr>
          <w:rFonts w:ascii="Arial" w:hAnsi="Arial" w:cs="Arial"/>
        </w:rPr>
      </w:pPr>
      <w:r w:rsidRPr="00DF64AB">
        <w:rPr>
          <w:rFonts w:ascii="Arial" w:hAnsi="Arial" w:cs="Arial"/>
        </w:rPr>
        <w:t xml:space="preserve">A medical device that is intended by the manufacturer to be for export only is classified as a Class I medical device, </w:t>
      </w:r>
      <w:r w:rsidR="00E6780D">
        <w:rPr>
          <w:rFonts w:ascii="Arial" w:hAnsi="Arial" w:cs="Arial"/>
        </w:rPr>
        <w:t>for which</w:t>
      </w:r>
      <w:r w:rsidRPr="00DF64AB">
        <w:rPr>
          <w:rFonts w:ascii="Arial" w:hAnsi="Arial" w:cs="Arial"/>
        </w:rPr>
        <w:t xml:space="preserve"> there is no requirement for the manufacturer of such device to have a certification or approval issued by an assessment body or regulator. The labelling or packaging of such devices should contain the words ‘for export only’. </w:t>
      </w:r>
      <w:r w:rsidR="00870100">
        <w:rPr>
          <w:rFonts w:ascii="Arial" w:hAnsi="Arial" w:cs="Arial"/>
        </w:rPr>
        <w:t>E</w:t>
      </w:r>
      <w:r w:rsidRPr="00DF64AB">
        <w:rPr>
          <w:rFonts w:ascii="Arial" w:hAnsi="Arial" w:cs="Arial"/>
        </w:rPr>
        <w:t>xport only medical devices are still required to comply with the Essential Principles.</w:t>
      </w:r>
    </w:p>
    <w:p w14:paraId="40068FB9" w14:textId="0AAD54D4" w:rsidR="000D50A4" w:rsidRPr="00DF64AB" w:rsidRDefault="000D50A4" w:rsidP="00FE41AA">
      <w:pPr>
        <w:rPr>
          <w:rFonts w:ascii="Arial" w:hAnsi="Arial" w:cs="Arial"/>
        </w:rPr>
      </w:pPr>
      <w:r w:rsidRPr="00DF64AB">
        <w:rPr>
          <w:rFonts w:ascii="Arial" w:hAnsi="Arial" w:cs="Arial"/>
        </w:rPr>
        <w:t>If a medical device is imported or manufactured and supplied in Australia, and exported from Australia, the device is classified in accordance with the classification rules provided in Schedule 2 or 2A of the Therapeutic Goods (Medical Devices) Regulations 2002.</w:t>
      </w:r>
    </w:p>
    <w:p w14:paraId="164BA6AE" w14:textId="77777777" w:rsidR="00320DE0" w:rsidRPr="00DF64AB" w:rsidRDefault="00320DE0" w:rsidP="0000378C">
      <w:pPr>
        <w:pStyle w:val="Heading4"/>
        <w:rPr>
          <w:rFonts w:cs="Arial"/>
        </w:rPr>
      </w:pPr>
      <w:bookmarkStart w:id="29" w:name="_Toc233286924"/>
      <w:r w:rsidRPr="00DF64AB">
        <w:rPr>
          <w:rFonts w:cs="Arial"/>
        </w:rPr>
        <w:t>5. Other therapeutic goods listed in the ARTG</w:t>
      </w:r>
      <w:bookmarkEnd w:id="29"/>
    </w:p>
    <w:p w14:paraId="6368B1AC" w14:textId="4818155F" w:rsidR="00EA5034" w:rsidRPr="00DF64AB" w:rsidRDefault="00E6780D" w:rsidP="00EA5034">
      <w:pPr>
        <w:rPr>
          <w:rFonts w:ascii="Arial" w:eastAsia="Cambria" w:hAnsi="Arial" w:cs="Arial"/>
        </w:rPr>
      </w:pPr>
      <w:r>
        <w:rPr>
          <w:rFonts w:ascii="Arial" w:eastAsia="Cambria" w:hAnsi="Arial" w:cs="Arial"/>
        </w:rPr>
        <w:t>A</w:t>
      </w:r>
      <w:r w:rsidR="00EA5034" w:rsidRPr="00DF64AB">
        <w:rPr>
          <w:rFonts w:ascii="Arial" w:eastAsia="Cambria" w:hAnsi="Arial" w:cs="Arial"/>
        </w:rPr>
        <w:t xml:space="preserve"> small number of other therapeutic goods that do not meet the definition of a medical device, medicine or biological are regulated under Chapter 3 of the Act. These</w:t>
      </w:r>
      <w:r w:rsidR="00870100">
        <w:rPr>
          <w:rFonts w:ascii="Arial" w:eastAsia="Cambria" w:hAnsi="Arial" w:cs="Arial"/>
        </w:rPr>
        <w:t xml:space="preserve"> devices do</w:t>
      </w:r>
      <w:r w:rsidR="00EA5034" w:rsidRPr="00DF64AB">
        <w:rPr>
          <w:rFonts w:ascii="Arial" w:eastAsia="Cambria" w:hAnsi="Arial" w:cs="Arial"/>
        </w:rPr>
        <w:t xml:space="preserve"> </w:t>
      </w:r>
      <w:r w:rsidR="00870100" w:rsidRPr="00DF64AB">
        <w:rPr>
          <w:rFonts w:ascii="Arial" w:eastAsia="Cambria" w:hAnsi="Arial" w:cs="Arial"/>
        </w:rPr>
        <w:t>not need to be listed in the ARTG</w:t>
      </w:r>
      <w:r w:rsidR="00870100">
        <w:rPr>
          <w:rFonts w:ascii="Arial" w:eastAsia="Cambria" w:hAnsi="Arial" w:cs="Arial"/>
        </w:rPr>
        <w:t xml:space="preserve"> and </w:t>
      </w:r>
      <w:r w:rsidR="00EA5034" w:rsidRPr="00DF64AB">
        <w:rPr>
          <w:rFonts w:ascii="Arial" w:eastAsia="Cambria" w:hAnsi="Arial" w:cs="Arial"/>
        </w:rPr>
        <w:t>include tampons, menstrual cups, and hard surface disinfectants without specific claims</w:t>
      </w:r>
      <w:r w:rsidR="00870100">
        <w:rPr>
          <w:rFonts w:ascii="Arial" w:eastAsia="Cambria" w:hAnsi="Arial" w:cs="Arial"/>
        </w:rPr>
        <w:t>. H</w:t>
      </w:r>
      <w:r w:rsidR="00EA5034" w:rsidRPr="00DF64AB">
        <w:rPr>
          <w:rFonts w:ascii="Arial" w:eastAsia="Cambria" w:hAnsi="Arial" w:cs="Arial"/>
        </w:rPr>
        <w:t>ard surface disinfectants with specific claims do need to be listed in the ARTG and sponsors need to pay fees and charges for those products.</w:t>
      </w:r>
    </w:p>
    <w:p w14:paraId="6F608C6D" w14:textId="77777777" w:rsidR="00320DE0" w:rsidRPr="00DF64AB" w:rsidRDefault="00320DE0" w:rsidP="0000378C">
      <w:pPr>
        <w:pStyle w:val="Heading4"/>
        <w:rPr>
          <w:rFonts w:cs="Arial"/>
        </w:rPr>
      </w:pPr>
      <w:bookmarkStart w:id="30" w:name="_Toc233286925"/>
      <w:r w:rsidRPr="00DF64AB">
        <w:rPr>
          <w:rFonts w:cs="Arial"/>
        </w:rPr>
        <w:t>6. Biologicals</w:t>
      </w:r>
      <w:bookmarkEnd w:id="30"/>
    </w:p>
    <w:p w14:paraId="51D84A4B" w14:textId="77777777" w:rsidR="009D532A" w:rsidRPr="00DF64AB" w:rsidRDefault="009D532A" w:rsidP="009D532A">
      <w:pPr>
        <w:rPr>
          <w:rFonts w:ascii="Arial" w:eastAsia="Cambria" w:hAnsi="Arial" w:cs="Arial"/>
        </w:rPr>
      </w:pPr>
      <w:r w:rsidRPr="00DF64AB">
        <w:rPr>
          <w:rFonts w:ascii="Arial" w:eastAsia="Cambria" w:hAnsi="Arial" w:cs="Arial"/>
        </w:rPr>
        <w:t xml:space="preserve">Biologicals include human tissue and cell therapy products. Tissue therapy products involve the use of tissues as therapeutic goods, while cell therapy products involve the use of isolated living cells either as therapeutic goods or as replacements for cells that are defective or deficient </w:t>
      </w:r>
      <w:proofErr w:type="gramStart"/>
      <w:r w:rsidRPr="00DF64AB">
        <w:rPr>
          <w:rFonts w:ascii="Arial" w:eastAsia="Cambria" w:hAnsi="Arial" w:cs="Arial"/>
        </w:rPr>
        <w:t>in particular disorders</w:t>
      </w:r>
      <w:proofErr w:type="gramEnd"/>
      <w:r w:rsidRPr="00DF64AB">
        <w:rPr>
          <w:rFonts w:ascii="Arial" w:eastAsia="Cambria" w:hAnsi="Arial" w:cs="Arial"/>
        </w:rPr>
        <w:t>.</w:t>
      </w:r>
    </w:p>
    <w:p w14:paraId="79F24160" w14:textId="77777777" w:rsidR="00320DE0" w:rsidRPr="00DF64AB" w:rsidRDefault="00320DE0" w:rsidP="00320DE0">
      <w:pPr>
        <w:keepNext/>
        <w:spacing w:before="180"/>
        <w:rPr>
          <w:rFonts w:ascii="Arial" w:hAnsi="Arial" w:cs="Arial"/>
        </w:rPr>
      </w:pPr>
      <w:r w:rsidRPr="00DF64AB">
        <w:rPr>
          <w:rFonts w:ascii="Arial" w:hAnsi="Arial" w:cs="Arial"/>
        </w:rPr>
        <w:t>Some examples of tissue therapies currently being used are:</w:t>
      </w:r>
    </w:p>
    <w:p w14:paraId="5DC30758"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skin replacement after severe burns</w:t>
      </w:r>
    </w:p>
    <w:p w14:paraId="1DFDA465"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transplantation of heart, kidney, liver, lung or pancreas</w:t>
      </w:r>
    </w:p>
    <w:p w14:paraId="26987FF9"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bone, tendons and ligaments to repair injuries</w:t>
      </w:r>
    </w:p>
    <w:p w14:paraId="43723FA9"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heart valves to replace defective heart valves, and</w:t>
      </w:r>
    </w:p>
    <w:p w14:paraId="110105D2"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corneas to restore eyesight.</w:t>
      </w:r>
    </w:p>
    <w:p w14:paraId="6F491171" w14:textId="1A12EED6" w:rsidR="00320DE0" w:rsidRPr="00DF64AB" w:rsidRDefault="00320DE0" w:rsidP="00320DE0">
      <w:pPr>
        <w:spacing w:before="180"/>
        <w:rPr>
          <w:rFonts w:ascii="Arial" w:hAnsi="Arial" w:cs="Arial"/>
        </w:rPr>
      </w:pPr>
      <w:r w:rsidRPr="00DF64AB">
        <w:rPr>
          <w:rFonts w:ascii="Arial" w:hAnsi="Arial" w:cs="Arial"/>
        </w:rPr>
        <w:t>Some examples of cell therapies currently being used, or currently under development</w:t>
      </w:r>
      <w:r w:rsidR="0047319D">
        <w:rPr>
          <w:rFonts w:ascii="Arial" w:hAnsi="Arial" w:cs="Arial"/>
        </w:rPr>
        <w:t>,</w:t>
      </w:r>
      <w:r w:rsidRPr="00DF64AB">
        <w:rPr>
          <w:rFonts w:ascii="Arial" w:hAnsi="Arial" w:cs="Arial"/>
        </w:rPr>
        <w:t xml:space="preserve"> are:</w:t>
      </w:r>
    </w:p>
    <w:p w14:paraId="612F192E"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chondrocytes used for cartilage regeneration</w:t>
      </w:r>
    </w:p>
    <w:p w14:paraId="66E5E0BC" w14:textId="30960B8C"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lastRenderedPageBreak/>
        <w:t>isolated pancreatic islet cells for the treatment of diabetes</w:t>
      </w:r>
      <w:r w:rsidR="0047319D">
        <w:rPr>
          <w:rFonts w:eastAsiaTheme="minorHAnsi" w:cs="Arial"/>
          <w:color w:val="auto"/>
        </w:rPr>
        <w:t>, and</w:t>
      </w:r>
    </w:p>
    <w:p w14:paraId="1BEB8323" w14:textId="77777777" w:rsidR="00320DE0" w:rsidRPr="00DF64AB" w:rsidRDefault="00320DE0" w:rsidP="006D31C0">
      <w:pPr>
        <w:pStyle w:val="ListBullet"/>
        <w:spacing w:after="120"/>
        <w:ind w:left="709" w:hanging="425"/>
        <w:rPr>
          <w:rFonts w:eastAsiaTheme="minorHAnsi" w:cs="Arial"/>
          <w:color w:val="auto"/>
        </w:rPr>
      </w:pPr>
      <w:r w:rsidRPr="00DF64AB">
        <w:rPr>
          <w:rFonts w:eastAsiaTheme="minorHAnsi" w:cs="Arial"/>
          <w:color w:val="auto"/>
        </w:rPr>
        <w:t>mesenchymal progenitor cells for the treatment of musculoskeletal defects and in a range of other clinical applications such as cardiovascular repair.</w:t>
      </w:r>
    </w:p>
    <w:p w14:paraId="393FD4DB" w14:textId="77777777" w:rsidR="00756012" w:rsidRPr="00FE457F" w:rsidRDefault="00756012" w:rsidP="00FE457F">
      <w:pPr>
        <w:pStyle w:val="ListBullet"/>
        <w:spacing w:after="120"/>
        <w:ind w:left="709" w:hanging="425"/>
        <w:rPr>
          <w:rFonts w:eastAsiaTheme="minorHAnsi" w:cs="Arial"/>
          <w:color w:val="auto"/>
        </w:rPr>
      </w:pPr>
      <w:r w:rsidRPr="00FE457F">
        <w:rPr>
          <w:rFonts w:eastAsiaTheme="minorHAnsi" w:cs="Arial"/>
          <w:color w:val="auto"/>
        </w:rPr>
        <w:t>Inclusion in the ARTG</w:t>
      </w:r>
    </w:p>
    <w:p w14:paraId="60D5B970" w14:textId="5EF8A8AA" w:rsidR="00756012" w:rsidRPr="00FE457F" w:rsidRDefault="00756012" w:rsidP="00FE457F">
      <w:pPr>
        <w:pStyle w:val="ListBullet"/>
        <w:spacing w:after="120"/>
        <w:ind w:left="709" w:hanging="425"/>
        <w:rPr>
          <w:rFonts w:eastAsiaTheme="minorHAnsi" w:cs="Arial"/>
          <w:color w:val="auto"/>
        </w:rPr>
      </w:pPr>
      <w:r w:rsidRPr="00FE457F">
        <w:rPr>
          <w:rFonts w:eastAsiaTheme="minorHAnsi" w:cs="Arial"/>
          <w:color w:val="auto"/>
        </w:rPr>
        <w:t xml:space="preserve">The </w:t>
      </w:r>
      <w:r w:rsidR="0047319D" w:rsidRPr="00FE457F">
        <w:rPr>
          <w:rFonts w:eastAsiaTheme="minorHAnsi" w:cs="Arial"/>
          <w:color w:val="auto"/>
        </w:rPr>
        <w:t>regulation of</w:t>
      </w:r>
      <w:r w:rsidRPr="00FE457F">
        <w:rPr>
          <w:rFonts w:eastAsiaTheme="minorHAnsi" w:cs="Arial"/>
          <w:color w:val="auto"/>
        </w:rPr>
        <w:t xml:space="preserve"> biologicals involve</w:t>
      </w:r>
      <w:r w:rsidR="0047319D" w:rsidRPr="00FE457F">
        <w:rPr>
          <w:rFonts w:eastAsiaTheme="minorHAnsi" w:cs="Arial"/>
          <w:color w:val="auto"/>
        </w:rPr>
        <w:t>s</w:t>
      </w:r>
      <w:r w:rsidRPr="00FE457F">
        <w:rPr>
          <w:rFonts w:eastAsiaTheme="minorHAnsi" w:cs="Arial"/>
          <w:color w:val="auto"/>
        </w:rPr>
        <w:t xml:space="preserve"> the following registration and approval activities:</w:t>
      </w:r>
    </w:p>
    <w:p w14:paraId="340EFF4F" w14:textId="77777777" w:rsidR="00756012" w:rsidRPr="00DF64AB" w:rsidRDefault="00756012" w:rsidP="006D31C0">
      <w:pPr>
        <w:pStyle w:val="ListBullet"/>
        <w:spacing w:after="120"/>
        <w:ind w:left="709" w:hanging="425"/>
        <w:rPr>
          <w:rFonts w:eastAsiaTheme="minorHAnsi" w:cs="Arial"/>
          <w:color w:val="auto"/>
        </w:rPr>
      </w:pPr>
      <w:r w:rsidRPr="00DF64AB">
        <w:rPr>
          <w:rFonts w:eastAsiaTheme="minorHAnsi" w:cs="Arial"/>
          <w:color w:val="auto"/>
        </w:rPr>
        <w:t>sponsors of Class 1 biologicals are required to attest compliance with relevant mandatory standards</w:t>
      </w:r>
    </w:p>
    <w:p w14:paraId="3E6553C4" w14:textId="77777777" w:rsidR="00756012" w:rsidRPr="00DF64AB" w:rsidRDefault="00756012" w:rsidP="006D31C0">
      <w:pPr>
        <w:pStyle w:val="ListBullet"/>
        <w:spacing w:after="120"/>
        <w:ind w:left="709" w:hanging="425"/>
        <w:rPr>
          <w:rFonts w:eastAsiaTheme="minorHAnsi" w:cs="Arial"/>
          <w:color w:val="auto"/>
        </w:rPr>
      </w:pPr>
      <w:r w:rsidRPr="00DF64AB">
        <w:rPr>
          <w:rFonts w:eastAsiaTheme="minorHAnsi" w:cs="Arial"/>
          <w:color w:val="auto"/>
        </w:rPr>
        <w:t>Class 2, 3 and 4 biologicals undergo pre-market evaluation prior to ARTG inclusion</w:t>
      </w:r>
    </w:p>
    <w:p w14:paraId="504B5D6B" w14:textId="230FF8F8" w:rsidR="00756012" w:rsidRPr="00DF64AB" w:rsidRDefault="00756012" w:rsidP="006D31C0">
      <w:pPr>
        <w:pStyle w:val="ListBullet"/>
        <w:spacing w:after="120"/>
        <w:ind w:left="709" w:hanging="425"/>
        <w:rPr>
          <w:rFonts w:eastAsiaTheme="minorHAnsi" w:cs="Arial"/>
          <w:color w:val="auto"/>
        </w:rPr>
      </w:pPr>
      <w:r w:rsidRPr="00DF64AB">
        <w:rPr>
          <w:rFonts w:eastAsiaTheme="minorHAnsi" w:cs="Arial"/>
          <w:color w:val="auto"/>
        </w:rPr>
        <w:t>highly manipulated Class 3 and 4 biologicals are subject to the highest levels of pre-market evaluation</w:t>
      </w:r>
      <w:r w:rsidR="0047319D">
        <w:rPr>
          <w:rFonts w:eastAsiaTheme="minorHAnsi" w:cs="Arial"/>
          <w:color w:val="auto"/>
        </w:rPr>
        <w:t>, and</w:t>
      </w:r>
    </w:p>
    <w:p w14:paraId="764BBC31" w14:textId="77777777" w:rsidR="00756012" w:rsidRPr="00DF64AB" w:rsidRDefault="00756012" w:rsidP="006D31C0">
      <w:pPr>
        <w:pStyle w:val="ListBullet"/>
        <w:spacing w:after="120"/>
        <w:ind w:left="709" w:hanging="425"/>
        <w:rPr>
          <w:rFonts w:eastAsiaTheme="minorHAnsi" w:cs="Arial"/>
          <w:color w:val="auto"/>
        </w:rPr>
      </w:pPr>
      <w:r w:rsidRPr="00DF64AB">
        <w:rPr>
          <w:rFonts w:eastAsiaTheme="minorHAnsi" w:cs="Arial"/>
          <w:color w:val="auto"/>
        </w:rPr>
        <w:t>manufacturers of Class 2, 3 and 4 biologicals are required to demonstrate compliance with manufacturing principles equivalent to the Australian Code of Good Manufacturing for human blood and blood components, human tissues and human cellular therapy products (2013).</w:t>
      </w:r>
    </w:p>
    <w:p w14:paraId="303BA16F" w14:textId="77777777" w:rsidR="00AF7DF5" w:rsidRPr="00DF64AB" w:rsidRDefault="00AF7DF5" w:rsidP="00AF7DF5">
      <w:pPr>
        <w:pStyle w:val="Heading4"/>
        <w:rPr>
          <w:rFonts w:cs="Arial"/>
        </w:rPr>
      </w:pPr>
      <w:bookmarkStart w:id="31" w:name="_Toc233286926"/>
      <w:r w:rsidRPr="00DF64AB">
        <w:rPr>
          <w:rFonts w:cs="Arial"/>
        </w:rPr>
        <w:t>7. Blood and blood components</w:t>
      </w:r>
      <w:bookmarkEnd w:id="31"/>
    </w:p>
    <w:p w14:paraId="7550C8B3" w14:textId="26B6E1F8" w:rsidR="00870100" w:rsidRDefault="002F71B4" w:rsidP="00174813">
      <w:pPr>
        <w:rPr>
          <w:rFonts w:ascii="Arial" w:hAnsi="Arial" w:cs="Arial"/>
        </w:rPr>
      </w:pPr>
      <w:r w:rsidRPr="00DF64AB">
        <w:rPr>
          <w:rFonts w:ascii="Arial" w:hAnsi="Arial" w:cs="Arial"/>
        </w:rPr>
        <w:t>Blood, blood components and plasma derivatives are regulated under the Act</w:t>
      </w:r>
      <w:r w:rsidR="00870100">
        <w:rPr>
          <w:rFonts w:ascii="Arial" w:hAnsi="Arial" w:cs="Arial"/>
        </w:rPr>
        <w:t>:</w:t>
      </w:r>
    </w:p>
    <w:p w14:paraId="7ABB5BEA" w14:textId="40496467" w:rsidR="00870100" w:rsidRDefault="002F71B4" w:rsidP="00870100">
      <w:pPr>
        <w:pStyle w:val="ListParagraph"/>
        <w:numPr>
          <w:ilvl w:val="0"/>
          <w:numId w:val="54"/>
        </w:numPr>
        <w:rPr>
          <w:rFonts w:ascii="Arial" w:hAnsi="Arial" w:cs="Arial"/>
          <w:sz w:val="20"/>
        </w:rPr>
      </w:pPr>
      <w:r w:rsidRPr="00724841">
        <w:rPr>
          <w:rFonts w:ascii="Arial" w:hAnsi="Arial" w:cs="Arial"/>
          <w:sz w:val="20"/>
        </w:rPr>
        <w:t>'blood' means whole blood extracted from human donors</w:t>
      </w:r>
      <w:r w:rsidR="0047319D">
        <w:rPr>
          <w:rFonts w:ascii="Arial" w:hAnsi="Arial" w:cs="Arial"/>
          <w:sz w:val="20"/>
        </w:rPr>
        <w:t>, and</w:t>
      </w:r>
    </w:p>
    <w:p w14:paraId="3C793518" w14:textId="4C56BE10" w:rsidR="00724841" w:rsidRDefault="002F71B4" w:rsidP="00870100">
      <w:pPr>
        <w:pStyle w:val="ListParagraph"/>
        <w:numPr>
          <w:ilvl w:val="0"/>
          <w:numId w:val="54"/>
        </w:numPr>
        <w:rPr>
          <w:rFonts w:ascii="Arial" w:hAnsi="Arial" w:cs="Arial"/>
          <w:sz w:val="20"/>
        </w:rPr>
      </w:pPr>
      <w:r w:rsidRPr="00724841">
        <w:rPr>
          <w:rFonts w:ascii="Arial" w:hAnsi="Arial" w:cs="Arial"/>
          <w:sz w:val="20"/>
        </w:rPr>
        <w:t>'</w:t>
      </w:r>
      <w:proofErr w:type="gramStart"/>
      <w:r w:rsidRPr="00724841">
        <w:rPr>
          <w:rFonts w:ascii="Arial" w:hAnsi="Arial" w:cs="Arial"/>
          <w:sz w:val="20"/>
        </w:rPr>
        <w:t>blood</w:t>
      </w:r>
      <w:proofErr w:type="gramEnd"/>
      <w:r w:rsidRPr="00724841">
        <w:rPr>
          <w:rFonts w:ascii="Arial" w:hAnsi="Arial" w:cs="Arial"/>
          <w:sz w:val="20"/>
        </w:rPr>
        <w:t xml:space="preserve"> components' means therapeutic components that have been manufactured from blood </w:t>
      </w:r>
      <w:r w:rsidR="00870100">
        <w:rPr>
          <w:rFonts w:ascii="Arial" w:hAnsi="Arial" w:cs="Arial"/>
          <w:sz w:val="20"/>
        </w:rPr>
        <w:t xml:space="preserve">and </w:t>
      </w:r>
      <w:r w:rsidRPr="004F20B6">
        <w:rPr>
          <w:rFonts w:ascii="Arial" w:hAnsi="Arial" w:cs="Arial"/>
          <w:sz w:val="20"/>
        </w:rPr>
        <w:t>includ</w:t>
      </w:r>
      <w:r w:rsidR="00870100" w:rsidRPr="004F20B6">
        <w:rPr>
          <w:rFonts w:ascii="Arial" w:hAnsi="Arial" w:cs="Arial"/>
          <w:sz w:val="20"/>
        </w:rPr>
        <w:t>es</w:t>
      </w:r>
      <w:r w:rsidRPr="004F20B6">
        <w:rPr>
          <w:rFonts w:ascii="Arial" w:hAnsi="Arial" w:cs="Arial"/>
          <w:sz w:val="20"/>
        </w:rPr>
        <w:t xml:space="preserve"> red cells, white cells, progenitor cells, platelets and plasma.</w:t>
      </w:r>
    </w:p>
    <w:p w14:paraId="11E7BADE" w14:textId="47A1498D" w:rsidR="00890843" w:rsidRPr="00724841" w:rsidRDefault="002F71B4" w:rsidP="00724841">
      <w:pPr>
        <w:rPr>
          <w:rFonts w:ascii="Arial" w:hAnsi="Arial" w:cs="Arial"/>
        </w:rPr>
      </w:pPr>
      <w:r w:rsidRPr="00724841">
        <w:rPr>
          <w:rFonts w:ascii="Arial" w:hAnsi="Arial" w:cs="Arial"/>
        </w:rPr>
        <w:t>'Blood components' do</w:t>
      </w:r>
      <w:r w:rsidR="00724841">
        <w:rPr>
          <w:rFonts w:ascii="Arial" w:hAnsi="Arial" w:cs="Arial"/>
        </w:rPr>
        <w:t>es</w:t>
      </w:r>
      <w:r w:rsidRPr="00724841">
        <w:rPr>
          <w:rFonts w:ascii="Arial" w:hAnsi="Arial" w:cs="Arial"/>
        </w:rPr>
        <w:t xml:space="preserve"> not include products derived through </w:t>
      </w:r>
      <w:r w:rsidR="007A0C20">
        <w:rPr>
          <w:rFonts w:ascii="Arial" w:hAnsi="Arial" w:cs="Arial"/>
        </w:rPr>
        <w:t xml:space="preserve">the </w:t>
      </w:r>
      <w:r w:rsidRPr="00724841">
        <w:rPr>
          <w:rFonts w:ascii="Arial" w:hAnsi="Arial" w:cs="Arial"/>
        </w:rPr>
        <w:t>fractionation of plasma. Plasma derivatives are prescription medicines subject to full regulation, including compliance with set standards, licensing of manufacture</w:t>
      </w:r>
      <w:r w:rsidR="00724841">
        <w:rPr>
          <w:rFonts w:ascii="Arial" w:hAnsi="Arial" w:cs="Arial"/>
        </w:rPr>
        <w:t>rs</w:t>
      </w:r>
      <w:r w:rsidRPr="00724841">
        <w:rPr>
          <w:rFonts w:ascii="Arial" w:hAnsi="Arial" w:cs="Arial"/>
        </w:rPr>
        <w:t xml:space="preserve"> and inclusion in the ARTG after review of manufacturing, pre-clinical and clinical data</w:t>
      </w:r>
      <w:r w:rsidR="00960D32" w:rsidRPr="00724841">
        <w:rPr>
          <w:rFonts w:ascii="Arial" w:hAnsi="Arial" w:cs="Arial"/>
        </w:rPr>
        <w:t>.</w:t>
      </w:r>
    </w:p>
    <w:p w14:paraId="6208020E" w14:textId="36C6468D" w:rsidR="002F71B4" w:rsidRPr="00DF64AB" w:rsidRDefault="002F71B4" w:rsidP="00174813">
      <w:pPr>
        <w:rPr>
          <w:rFonts w:ascii="Arial" w:hAnsi="Arial" w:cs="Arial"/>
        </w:rPr>
      </w:pPr>
      <w:r w:rsidRPr="00DF64AB">
        <w:rPr>
          <w:rFonts w:ascii="Arial" w:hAnsi="Arial" w:cs="Arial"/>
        </w:rPr>
        <w:t>Some blood and blood components are exempt from regulation, including those:</w:t>
      </w:r>
    </w:p>
    <w:p w14:paraId="768D0837" w14:textId="77777777" w:rsidR="00AF7DF5" w:rsidRPr="00DF64AB" w:rsidRDefault="00AF7DF5" w:rsidP="006D31C0">
      <w:pPr>
        <w:pStyle w:val="ListBullet"/>
        <w:spacing w:after="120"/>
        <w:ind w:left="709" w:hanging="425"/>
        <w:rPr>
          <w:rFonts w:eastAsiaTheme="minorHAnsi" w:cs="Arial"/>
          <w:color w:val="auto"/>
        </w:rPr>
      </w:pPr>
      <w:r w:rsidRPr="00DF64AB">
        <w:rPr>
          <w:rFonts w:eastAsiaTheme="minorHAnsi" w:cs="Arial"/>
          <w:color w:val="auto"/>
        </w:rPr>
        <w:t xml:space="preserve">collected by a medical practitioner </w:t>
      </w:r>
      <w:proofErr w:type="gramStart"/>
      <w:r w:rsidRPr="00DF64AB">
        <w:rPr>
          <w:rFonts w:eastAsiaTheme="minorHAnsi" w:cs="Arial"/>
          <w:color w:val="auto"/>
        </w:rPr>
        <w:t>in the course of</w:t>
      </w:r>
      <w:proofErr w:type="gramEnd"/>
      <w:r w:rsidRPr="00DF64AB">
        <w:rPr>
          <w:rFonts w:eastAsiaTheme="minorHAnsi" w:cs="Arial"/>
          <w:color w:val="auto"/>
        </w:rPr>
        <w:t xml:space="preserve"> medical treatment and for the purposes of diagnosis or testing for a medical condition</w:t>
      </w:r>
    </w:p>
    <w:p w14:paraId="1B81280F" w14:textId="7ACB19A5" w:rsidR="00AF7DF5" w:rsidRPr="00DF64AB" w:rsidRDefault="00AF7DF5" w:rsidP="006D31C0">
      <w:pPr>
        <w:pStyle w:val="ListBullet"/>
        <w:spacing w:after="120"/>
        <w:ind w:left="709" w:hanging="425"/>
        <w:rPr>
          <w:rFonts w:eastAsiaTheme="minorHAnsi" w:cs="Arial"/>
          <w:color w:val="auto"/>
        </w:rPr>
      </w:pPr>
      <w:r w:rsidRPr="00DF64AB">
        <w:rPr>
          <w:rFonts w:eastAsiaTheme="minorHAnsi" w:cs="Arial"/>
          <w:color w:val="auto"/>
        </w:rPr>
        <w:t>manufactured by a medical practitioner for therapeutic application to a particular patient under the practitioner's care</w:t>
      </w:r>
      <w:r w:rsidR="007A0C20">
        <w:rPr>
          <w:rFonts w:eastAsiaTheme="minorHAnsi" w:cs="Arial"/>
          <w:color w:val="auto"/>
        </w:rPr>
        <w:t>, or</w:t>
      </w:r>
    </w:p>
    <w:p w14:paraId="44EA8783" w14:textId="77777777" w:rsidR="00AF7DF5" w:rsidRPr="00DF64AB" w:rsidRDefault="00AF7DF5" w:rsidP="006D31C0">
      <w:pPr>
        <w:pStyle w:val="ListBullet"/>
        <w:spacing w:after="120"/>
        <w:ind w:left="709" w:hanging="425"/>
        <w:rPr>
          <w:rFonts w:eastAsiaTheme="minorHAnsi" w:cs="Arial"/>
          <w:color w:val="auto"/>
        </w:rPr>
      </w:pPr>
      <w:r w:rsidRPr="00DF64AB">
        <w:rPr>
          <w:rFonts w:eastAsiaTheme="minorHAnsi" w:cs="Arial"/>
          <w:color w:val="auto"/>
        </w:rPr>
        <w:t>manufactured by a blood collection centre for a medical practitioner for therapeutic application to a particular patient under the practitioner's care.</w:t>
      </w:r>
    </w:p>
    <w:p w14:paraId="745D920A" w14:textId="77777777" w:rsidR="00AF7DF5" w:rsidRPr="00DF64AB" w:rsidRDefault="00AF7DF5" w:rsidP="00AF7DF5">
      <w:pPr>
        <w:pStyle w:val="Heading4"/>
        <w:rPr>
          <w:rFonts w:cs="Arial"/>
        </w:rPr>
      </w:pPr>
      <w:bookmarkStart w:id="32" w:name="_Toc233286927"/>
      <w:r w:rsidRPr="00DF64AB">
        <w:rPr>
          <w:rFonts w:cs="Arial"/>
        </w:rPr>
        <w:t>8. Patient access to unapproved therapeutic goods</w:t>
      </w:r>
      <w:bookmarkEnd w:id="32"/>
      <w:r w:rsidRPr="00DF64AB">
        <w:rPr>
          <w:rFonts w:cs="Arial"/>
        </w:rPr>
        <w:t xml:space="preserve"> </w:t>
      </w:r>
    </w:p>
    <w:p w14:paraId="44B88796" w14:textId="6E309B9D" w:rsidR="00AF7DF5" w:rsidRPr="00DF64AB" w:rsidRDefault="00AF7DF5" w:rsidP="00AF7DF5">
      <w:pPr>
        <w:keepNext/>
        <w:rPr>
          <w:rFonts w:ascii="Arial" w:hAnsi="Arial" w:cs="Arial"/>
        </w:rPr>
      </w:pPr>
      <w:r w:rsidRPr="00DF64AB">
        <w:rPr>
          <w:rFonts w:ascii="Arial" w:hAnsi="Arial" w:cs="Arial"/>
        </w:rPr>
        <w:t>There are circumstances where patients may require access to certain medicines or medical devices that have not been approved for supply in Australia. Under the Act</w:t>
      </w:r>
      <w:r w:rsidR="00724841">
        <w:rPr>
          <w:rFonts w:ascii="Arial" w:hAnsi="Arial" w:cs="Arial"/>
        </w:rPr>
        <w:t>,</w:t>
      </w:r>
      <w:r w:rsidRPr="00DF64AB">
        <w:rPr>
          <w:rFonts w:ascii="Arial" w:hAnsi="Arial" w:cs="Arial"/>
        </w:rPr>
        <w:t xml:space="preserve"> access to unapproved goods is available to patients under </w:t>
      </w:r>
      <w:r w:rsidR="0005493B" w:rsidRPr="00DF64AB">
        <w:rPr>
          <w:rFonts w:ascii="Arial" w:hAnsi="Arial" w:cs="Arial"/>
        </w:rPr>
        <w:t xml:space="preserve">2 </w:t>
      </w:r>
      <w:r w:rsidR="00C87D33">
        <w:rPr>
          <w:rFonts w:ascii="Arial" w:hAnsi="Arial" w:cs="Arial"/>
        </w:rPr>
        <w:t xml:space="preserve">main </w:t>
      </w:r>
      <w:r w:rsidRPr="00DF64AB">
        <w:rPr>
          <w:rFonts w:ascii="Arial" w:hAnsi="Arial" w:cs="Arial"/>
        </w:rPr>
        <w:t>schemes:</w:t>
      </w:r>
    </w:p>
    <w:p w14:paraId="6C7FE2C7" w14:textId="77777777" w:rsidR="00195904" w:rsidRPr="00DF64AB" w:rsidRDefault="00195904" w:rsidP="006D31C0">
      <w:pPr>
        <w:pStyle w:val="Heading5"/>
        <w:numPr>
          <w:ilvl w:val="0"/>
          <w:numId w:val="7"/>
        </w:numPr>
        <w:tabs>
          <w:tab w:val="num" w:pos="360"/>
        </w:tabs>
        <w:ind w:left="0" w:firstLine="0"/>
        <w:rPr>
          <w:rFonts w:cs="Arial"/>
        </w:rPr>
      </w:pPr>
      <w:r w:rsidRPr="00DF64AB">
        <w:rPr>
          <w:rFonts w:cs="Arial"/>
        </w:rPr>
        <w:t xml:space="preserve">Special Access Scheme </w:t>
      </w:r>
    </w:p>
    <w:p w14:paraId="3A64E43F" w14:textId="304250DA" w:rsidR="00781CD4" w:rsidRPr="00DF64AB" w:rsidRDefault="00781CD4" w:rsidP="00174813">
      <w:pPr>
        <w:rPr>
          <w:rFonts w:ascii="Arial" w:hAnsi="Arial" w:cs="Arial"/>
        </w:rPr>
      </w:pPr>
      <w:r w:rsidRPr="00DF64AB">
        <w:rPr>
          <w:rFonts w:ascii="Arial" w:hAnsi="Arial" w:cs="Arial"/>
        </w:rPr>
        <w:t xml:space="preserve">The </w:t>
      </w:r>
      <w:hyperlink r:id="rId25" w:history="1">
        <w:r w:rsidRPr="00DF64AB">
          <w:rPr>
            <w:rStyle w:val="Hyperlink"/>
            <w:rFonts w:cs="Arial"/>
          </w:rPr>
          <w:t>Special Access Scheme (SAS</w:t>
        </w:r>
      </w:hyperlink>
      <w:r w:rsidRPr="00DF64AB">
        <w:rPr>
          <w:rStyle w:val="Hyperlink"/>
          <w:rFonts w:cs="Arial"/>
        </w:rPr>
        <w:t>)</w:t>
      </w:r>
      <w:r w:rsidRPr="00DF64AB">
        <w:rPr>
          <w:rFonts w:ascii="Arial" w:hAnsi="Arial" w:cs="Arial"/>
        </w:rPr>
        <w:t xml:space="preserve"> provide</w:t>
      </w:r>
      <w:r w:rsidR="00724841">
        <w:rPr>
          <w:rFonts w:ascii="Arial" w:hAnsi="Arial" w:cs="Arial"/>
        </w:rPr>
        <w:t>s</w:t>
      </w:r>
      <w:r w:rsidRPr="00DF64AB">
        <w:rPr>
          <w:rFonts w:ascii="Arial" w:hAnsi="Arial" w:cs="Arial"/>
        </w:rPr>
        <w:t xml:space="preserve"> for the import and/or supply of an unapproved therapeutic good for a single patient, on a case-by-case basis.</w:t>
      </w:r>
      <w:r w:rsidR="007A0C20">
        <w:rPr>
          <w:rFonts w:ascii="Arial" w:hAnsi="Arial" w:cs="Arial"/>
        </w:rPr>
        <w:t xml:space="preserve"> There are</w:t>
      </w:r>
      <w:r w:rsidRPr="00DF64AB">
        <w:rPr>
          <w:rFonts w:ascii="Arial" w:hAnsi="Arial" w:cs="Arial"/>
        </w:rPr>
        <w:t xml:space="preserve"> </w:t>
      </w:r>
      <w:r w:rsidR="00963484" w:rsidRPr="00DF64AB">
        <w:rPr>
          <w:rFonts w:ascii="Arial" w:hAnsi="Arial" w:cs="Arial"/>
        </w:rPr>
        <w:t xml:space="preserve">3 </w:t>
      </w:r>
      <w:r w:rsidRPr="00DF64AB">
        <w:rPr>
          <w:rFonts w:ascii="Arial" w:hAnsi="Arial" w:cs="Arial"/>
        </w:rPr>
        <w:t>categories under the scheme:</w:t>
      </w:r>
    </w:p>
    <w:p w14:paraId="4B951EE0" w14:textId="77777777" w:rsidR="00781CD4" w:rsidRPr="00DF64AB" w:rsidRDefault="00781CD4" w:rsidP="00986D80">
      <w:pPr>
        <w:pStyle w:val="ListBullet"/>
        <w:spacing w:after="120"/>
        <w:ind w:left="709" w:hanging="425"/>
        <w:rPr>
          <w:rFonts w:eastAsiaTheme="minorHAnsi" w:cs="Arial"/>
          <w:color w:val="auto"/>
        </w:rPr>
      </w:pPr>
      <w:r w:rsidRPr="00DF64AB">
        <w:rPr>
          <w:rFonts w:eastAsiaTheme="minorHAnsi" w:cs="Arial"/>
          <w:b/>
          <w:bCs/>
          <w:color w:val="auto"/>
        </w:rPr>
        <w:t>Category A</w:t>
      </w:r>
      <w:r w:rsidRPr="00DF64AB">
        <w:rPr>
          <w:rFonts w:eastAsiaTheme="minorHAnsi" w:cs="Arial"/>
          <w:color w:val="auto"/>
        </w:rPr>
        <w:t xml:space="preserve"> is a notification pathway which can be accessed by a prescribing medical practitioner or a health practitioner on behalf of a prescribing medical practitioner for patients who are seriously ill with a condition from which death is reasonably likely to occur within a matter of months, or from which premature death is reasonably likely to occur in the absence of early treatment.</w:t>
      </w:r>
    </w:p>
    <w:p w14:paraId="32CE56FC" w14:textId="77777777" w:rsidR="00781CD4" w:rsidRPr="00DF64AB" w:rsidRDefault="00781CD4" w:rsidP="00986D80">
      <w:pPr>
        <w:pStyle w:val="ListBullet"/>
        <w:spacing w:after="120"/>
        <w:ind w:left="709" w:hanging="425"/>
        <w:rPr>
          <w:rFonts w:eastAsiaTheme="minorHAnsi" w:cs="Arial"/>
          <w:color w:val="auto"/>
        </w:rPr>
      </w:pPr>
      <w:r w:rsidRPr="00DF64AB">
        <w:rPr>
          <w:rFonts w:eastAsiaTheme="minorHAnsi" w:cs="Arial"/>
          <w:b/>
          <w:bCs/>
          <w:color w:val="auto"/>
        </w:rPr>
        <w:t>Category B</w:t>
      </w:r>
      <w:r w:rsidRPr="00DF64AB">
        <w:rPr>
          <w:rFonts w:eastAsiaTheme="minorHAnsi" w:cs="Arial"/>
          <w:color w:val="auto"/>
        </w:rPr>
        <w:t xml:space="preserve"> is an application pathway which can be accessed by health practitioners for patients who do not fit the Category A definition and where the unapproved good is not deemed to have an established history of use and cannot therefore be accessed through </w:t>
      </w:r>
      <w:r w:rsidRPr="00DF64AB">
        <w:rPr>
          <w:rFonts w:eastAsiaTheme="minorHAnsi" w:cs="Arial"/>
          <w:color w:val="auto"/>
        </w:rPr>
        <w:lastRenderedPageBreak/>
        <w:t>Category C. An approval letter from TGA is required before the good may be accessed. Approvals for medicines accessed through this pathway are typically only issued to medical and dental practitioners.</w:t>
      </w:r>
    </w:p>
    <w:p w14:paraId="30EBD2B2" w14:textId="77777777" w:rsidR="00781CD4" w:rsidRPr="00DF64AB" w:rsidRDefault="00781CD4" w:rsidP="00986D80">
      <w:pPr>
        <w:pStyle w:val="ListBullet"/>
        <w:spacing w:after="120"/>
        <w:ind w:left="709" w:hanging="425"/>
        <w:rPr>
          <w:rFonts w:eastAsiaTheme="minorHAnsi" w:cs="Arial"/>
          <w:color w:val="auto"/>
        </w:rPr>
      </w:pPr>
      <w:r w:rsidRPr="00DF64AB">
        <w:rPr>
          <w:rFonts w:eastAsiaTheme="minorHAnsi" w:cs="Arial"/>
          <w:b/>
          <w:bCs/>
          <w:color w:val="auto"/>
        </w:rPr>
        <w:t>Category C</w:t>
      </w:r>
      <w:r w:rsidRPr="00DF64AB">
        <w:rPr>
          <w:rFonts w:eastAsiaTheme="minorHAnsi" w:cs="Arial"/>
          <w:color w:val="auto"/>
        </w:rPr>
        <w:t xml:space="preserve"> is a notification pathway which allows health practitioners to supply goods that are deemed to have an established history of use without first seeking prior approval. The goods deemed to have an established history of use are specified in a list along with their indications and the type of health practitioner authorised to supply these products for the respective indications.</w:t>
      </w:r>
    </w:p>
    <w:p w14:paraId="38B3CD28" w14:textId="77777777" w:rsidR="00877944" w:rsidRPr="00DF64AB" w:rsidRDefault="00877944" w:rsidP="006D31C0">
      <w:pPr>
        <w:pStyle w:val="Heading5"/>
        <w:numPr>
          <w:ilvl w:val="0"/>
          <w:numId w:val="7"/>
        </w:numPr>
        <w:tabs>
          <w:tab w:val="num" w:pos="360"/>
        </w:tabs>
        <w:ind w:left="0" w:firstLine="0"/>
        <w:rPr>
          <w:rFonts w:cs="Arial"/>
        </w:rPr>
      </w:pPr>
      <w:r w:rsidRPr="00DF64AB">
        <w:rPr>
          <w:rFonts w:cs="Arial"/>
        </w:rPr>
        <w:t>Authorised prescribers</w:t>
      </w:r>
    </w:p>
    <w:p w14:paraId="77AFAC29" w14:textId="0D60E7E4" w:rsidR="00623132" w:rsidRPr="00DF64AB" w:rsidRDefault="007A0C20" w:rsidP="00623132">
      <w:pPr>
        <w:rPr>
          <w:rFonts w:ascii="Arial" w:hAnsi="Arial" w:cs="Arial"/>
        </w:rPr>
      </w:pPr>
      <w:r>
        <w:rPr>
          <w:rFonts w:ascii="Arial" w:hAnsi="Arial" w:cs="Arial"/>
        </w:rPr>
        <w:t>A</w:t>
      </w:r>
      <w:r w:rsidR="00623132" w:rsidRPr="00DF64AB">
        <w:rPr>
          <w:rFonts w:ascii="Arial" w:hAnsi="Arial" w:cs="Arial"/>
        </w:rPr>
        <w:t xml:space="preserve"> medical practitioner may be granted authority to become an </w:t>
      </w:r>
      <w:r w:rsidR="00C87D33">
        <w:rPr>
          <w:rFonts w:ascii="Arial" w:hAnsi="Arial" w:cs="Arial"/>
        </w:rPr>
        <w:t>Authorised Prescriber (</w:t>
      </w:r>
      <w:r w:rsidR="00623132" w:rsidRPr="00DF64AB">
        <w:rPr>
          <w:rFonts w:ascii="Arial" w:hAnsi="Arial" w:cs="Arial"/>
        </w:rPr>
        <w:t>AP</w:t>
      </w:r>
      <w:r w:rsidR="00C87D33">
        <w:rPr>
          <w:rFonts w:ascii="Arial" w:hAnsi="Arial" w:cs="Arial"/>
        </w:rPr>
        <w:t>)</w:t>
      </w:r>
      <w:r w:rsidR="00623132" w:rsidRPr="00DF64AB">
        <w:rPr>
          <w:rFonts w:ascii="Arial" w:hAnsi="Arial" w:cs="Arial"/>
        </w:rPr>
        <w:t xml:space="preserve"> of a specified unapproved therapeutic good</w:t>
      </w:r>
      <w:r w:rsidR="00724841">
        <w:rPr>
          <w:rFonts w:ascii="Arial" w:hAnsi="Arial" w:cs="Arial"/>
        </w:rPr>
        <w:t xml:space="preserve">, </w:t>
      </w:r>
      <w:r w:rsidR="00623132" w:rsidRPr="00DF64AB">
        <w:rPr>
          <w:rFonts w:ascii="Arial" w:hAnsi="Arial" w:cs="Arial"/>
        </w:rPr>
        <w:t>or class of unapproved therapeutic goods</w:t>
      </w:r>
      <w:r w:rsidR="00724841">
        <w:rPr>
          <w:rFonts w:ascii="Arial" w:hAnsi="Arial" w:cs="Arial"/>
        </w:rPr>
        <w:t>,</w:t>
      </w:r>
      <w:r w:rsidR="00623132" w:rsidRPr="00DF64AB">
        <w:rPr>
          <w:rFonts w:ascii="Arial" w:hAnsi="Arial" w:cs="Arial"/>
        </w:rPr>
        <w:t xml:space="preserve"> to specific </w:t>
      </w:r>
      <w:r w:rsidR="00724841" w:rsidRPr="00DF64AB">
        <w:rPr>
          <w:rFonts w:ascii="Arial" w:hAnsi="Arial" w:cs="Arial"/>
        </w:rPr>
        <w:t>patients,</w:t>
      </w:r>
      <w:r w:rsidR="00724841">
        <w:rPr>
          <w:rFonts w:ascii="Arial" w:hAnsi="Arial" w:cs="Arial"/>
        </w:rPr>
        <w:t xml:space="preserve"> </w:t>
      </w:r>
      <w:r w:rsidR="00623132" w:rsidRPr="00DF64AB">
        <w:rPr>
          <w:rFonts w:ascii="Arial" w:hAnsi="Arial" w:cs="Arial"/>
        </w:rPr>
        <w:t>or classes of recipients</w:t>
      </w:r>
      <w:r w:rsidR="00724841">
        <w:rPr>
          <w:rFonts w:ascii="Arial" w:hAnsi="Arial" w:cs="Arial"/>
        </w:rPr>
        <w:t>,</w:t>
      </w:r>
      <w:r w:rsidR="00623132" w:rsidRPr="00DF64AB">
        <w:rPr>
          <w:rFonts w:ascii="Arial" w:hAnsi="Arial" w:cs="Arial"/>
        </w:rPr>
        <w:t xml:space="preserve"> with a particular medical condition.</w:t>
      </w:r>
      <w:r>
        <w:rPr>
          <w:rFonts w:ascii="Arial" w:hAnsi="Arial" w:cs="Arial"/>
        </w:rPr>
        <w:t xml:space="preserve"> Following TGA assessment of an application, t</w:t>
      </w:r>
      <w:r w:rsidR="00623132" w:rsidRPr="00DF64AB">
        <w:rPr>
          <w:rFonts w:ascii="Arial" w:hAnsi="Arial" w:cs="Arial"/>
        </w:rPr>
        <w:t xml:space="preserve">he medical practitioner becomes an AP and can prescribe that product for that condition to </w:t>
      </w:r>
      <w:r w:rsidR="00724841">
        <w:rPr>
          <w:rFonts w:ascii="Arial" w:hAnsi="Arial" w:cs="Arial"/>
        </w:rPr>
        <w:t>multiple</w:t>
      </w:r>
      <w:r w:rsidR="00724841" w:rsidRPr="00DF64AB">
        <w:rPr>
          <w:rFonts w:ascii="Arial" w:hAnsi="Arial" w:cs="Arial"/>
        </w:rPr>
        <w:t xml:space="preserve"> </w:t>
      </w:r>
      <w:r w:rsidR="00623132" w:rsidRPr="00DF64AB">
        <w:rPr>
          <w:rFonts w:ascii="Arial" w:hAnsi="Arial" w:cs="Arial"/>
        </w:rPr>
        <w:t>patients in their immediate care without further TGA approval.</w:t>
      </w:r>
    </w:p>
    <w:p w14:paraId="296CA080" w14:textId="3A18D514" w:rsidR="00623132" w:rsidRPr="00DF64AB" w:rsidRDefault="00623132" w:rsidP="00623132">
      <w:pPr>
        <w:rPr>
          <w:rFonts w:ascii="Arial" w:hAnsi="Arial" w:cs="Arial"/>
        </w:rPr>
      </w:pPr>
      <w:r w:rsidRPr="00DF64AB">
        <w:rPr>
          <w:rFonts w:ascii="Arial" w:hAnsi="Arial" w:cs="Arial"/>
        </w:rPr>
        <w:t>The TGA does not charge a fee to the users of these services. The</w:t>
      </w:r>
      <w:r w:rsidR="00724841">
        <w:rPr>
          <w:rFonts w:ascii="Arial" w:hAnsi="Arial" w:cs="Arial"/>
        </w:rPr>
        <w:t xml:space="preserve">y are </w:t>
      </w:r>
      <w:r w:rsidRPr="00DF64AB">
        <w:rPr>
          <w:rFonts w:ascii="Arial" w:hAnsi="Arial" w:cs="Arial"/>
        </w:rPr>
        <w:t xml:space="preserve">provided free of charge to enable timely access to unapproved medicines or medical devices essential for treating a terminally ill patient in highly time sensitive situations, or where the health practitioner feels there are no approved and available options to treat their patient’s condition </w:t>
      </w:r>
      <w:r w:rsidR="00724841">
        <w:rPr>
          <w:rFonts w:ascii="Arial" w:hAnsi="Arial" w:cs="Arial"/>
        </w:rPr>
        <w:t>for</w:t>
      </w:r>
      <w:r w:rsidRPr="00DF64AB">
        <w:rPr>
          <w:rFonts w:ascii="Arial" w:hAnsi="Arial" w:cs="Arial"/>
        </w:rPr>
        <w:t xml:space="preserve"> their specific circumstances. It is in the public</w:t>
      </w:r>
      <w:r w:rsidR="00724841">
        <w:rPr>
          <w:rFonts w:ascii="Arial" w:hAnsi="Arial" w:cs="Arial"/>
        </w:rPr>
        <w:t>’s</w:t>
      </w:r>
      <w:r w:rsidRPr="00DF64AB">
        <w:rPr>
          <w:rFonts w:ascii="Arial" w:hAnsi="Arial" w:cs="Arial"/>
        </w:rPr>
        <w:t xml:space="preserve"> interest to save a life or alleviate suffering through timely access to critical therapeutic goods, where possible.</w:t>
      </w:r>
    </w:p>
    <w:p w14:paraId="47560EDD" w14:textId="77777777" w:rsidR="00623132" w:rsidRPr="00DF64AB" w:rsidRDefault="00623132" w:rsidP="00623132">
      <w:pPr>
        <w:rPr>
          <w:rFonts w:ascii="Arial" w:hAnsi="Arial" w:cs="Arial"/>
        </w:rPr>
      </w:pPr>
      <w:r w:rsidRPr="00DF64AB">
        <w:rPr>
          <w:rFonts w:ascii="Arial" w:hAnsi="Arial" w:cs="Arial"/>
        </w:rPr>
        <w:t>The fee waiver is consistent with the Regulations as they do not provide for charging of applications under these two schemes.</w:t>
      </w:r>
    </w:p>
    <w:p w14:paraId="765AF558" w14:textId="59ACC64E" w:rsidR="00A2064C" w:rsidRPr="00DF64AB" w:rsidRDefault="00945DF1" w:rsidP="00623132">
      <w:pPr>
        <w:rPr>
          <w:rFonts w:ascii="Arial" w:hAnsi="Arial" w:cs="Arial"/>
        </w:rPr>
      </w:pPr>
      <w:bookmarkStart w:id="33" w:name="_Hlk198625632"/>
      <w:r w:rsidRPr="00DF64AB">
        <w:rPr>
          <w:rFonts w:ascii="Arial" w:hAnsi="Arial" w:cs="Arial"/>
        </w:rPr>
        <w:t xml:space="preserve">In </w:t>
      </w:r>
      <w:r w:rsidR="00A76AB9" w:rsidRPr="00DF64AB">
        <w:rPr>
          <w:rFonts w:ascii="Arial" w:hAnsi="Arial" w:cs="Arial"/>
        </w:rPr>
        <w:t>2024</w:t>
      </w:r>
      <w:r w:rsidRPr="00DF64AB">
        <w:rPr>
          <w:rFonts w:ascii="Arial" w:hAnsi="Arial" w:cs="Arial"/>
        </w:rPr>
        <w:t>-2</w:t>
      </w:r>
      <w:r w:rsidR="00A76AB9" w:rsidRPr="00DF64AB">
        <w:rPr>
          <w:rFonts w:ascii="Arial" w:hAnsi="Arial" w:cs="Arial"/>
        </w:rPr>
        <w:t>5</w:t>
      </w:r>
      <w:r w:rsidRPr="00DF64AB">
        <w:rPr>
          <w:rFonts w:ascii="Arial" w:hAnsi="Arial" w:cs="Arial"/>
        </w:rPr>
        <w:t xml:space="preserve">, there were </w:t>
      </w:r>
      <w:r w:rsidR="00A76AB9" w:rsidRPr="00DF64AB">
        <w:rPr>
          <w:rFonts w:ascii="Arial" w:hAnsi="Arial" w:cs="Arial"/>
        </w:rPr>
        <w:t>38,167</w:t>
      </w:r>
      <w:r w:rsidRPr="00DF64AB">
        <w:rPr>
          <w:rFonts w:ascii="Arial" w:hAnsi="Arial" w:cs="Arial"/>
        </w:rPr>
        <w:t xml:space="preserve"> SAS </w:t>
      </w:r>
      <w:r w:rsidR="00724841">
        <w:rPr>
          <w:rFonts w:ascii="Arial" w:hAnsi="Arial" w:cs="Arial"/>
        </w:rPr>
        <w:t>C</w:t>
      </w:r>
      <w:r w:rsidRPr="00DF64AB">
        <w:rPr>
          <w:rFonts w:ascii="Arial" w:hAnsi="Arial" w:cs="Arial"/>
        </w:rPr>
        <w:t xml:space="preserve">ategory A notifications, </w:t>
      </w:r>
      <w:r w:rsidR="00A76AB9" w:rsidRPr="00DF64AB">
        <w:rPr>
          <w:rFonts w:ascii="Arial" w:hAnsi="Arial" w:cs="Arial"/>
        </w:rPr>
        <w:t>235,276</w:t>
      </w:r>
      <w:r w:rsidRPr="00DF64AB">
        <w:rPr>
          <w:rFonts w:ascii="Arial" w:hAnsi="Arial" w:cs="Arial"/>
        </w:rPr>
        <w:t xml:space="preserve"> SAS </w:t>
      </w:r>
      <w:r w:rsidR="00724841">
        <w:rPr>
          <w:rFonts w:ascii="Arial" w:hAnsi="Arial" w:cs="Arial"/>
        </w:rPr>
        <w:t>C</w:t>
      </w:r>
      <w:r w:rsidRPr="00DF64AB">
        <w:rPr>
          <w:rFonts w:ascii="Arial" w:hAnsi="Arial" w:cs="Arial"/>
        </w:rPr>
        <w:t xml:space="preserve">ategory B applications, </w:t>
      </w:r>
      <w:r w:rsidR="00A76AB9" w:rsidRPr="00DF64AB">
        <w:rPr>
          <w:rFonts w:ascii="Arial" w:hAnsi="Arial" w:cs="Arial"/>
        </w:rPr>
        <w:t>95,801</w:t>
      </w:r>
      <w:r w:rsidRPr="00DF64AB">
        <w:rPr>
          <w:rFonts w:ascii="Arial" w:hAnsi="Arial" w:cs="Arial"/>
        </w:rPr>
        <w:t xml:space="preserve"> SAS </w:t>
      </w:r>
      <w:r w:rsidR="00724841">
        <w:rPr>
          <w:rFonts w:ascii="Arial" w:hAnsi="Arial" w:cs="Arial"/>
        </w:rPr>
        <w:t>C</w:t>
      </w:r>
      <w:r w:rsidRPr="00DF64AB">
        <w:rPr>
          <w:rFonts w:ascii="Arial" w:hAnsi="Arial" w:cs="Arial"/>
        </w:rPr>
        <w:t xml:space="preserve">ategory C applications, and </w:t>
      </w:r>
      <w:r w:rsidR="007945C9" w:rsidRPr="00DF64AB">
        <w:rPr>
          <w:rFonts w:ascii="Arial" w:hAnsi="Arial" w:cs="Arial"/>
        </w:rPr>
        <w:t>22,437</w:t>
      </w:r>
      <w:r w:rsidRPr="00DF64AB">
        <w:rPr>
          <w:rFonts w:ascii="Arial" w:hAnsi="Arial" w:cs="Arial"/>
        </w:rPr>
        <w:t xml:space="preserve"> AP applications. The annual cost of these fee-free services is estimated to be $</w:t>
      </w:r>
      <w:r w:rsidR="007945C9" w:rsidRPr="00DF64AB">
        <w:rPr>
          <w:rFonts w:ascii="Arial" w:hAnsi="Arial" w:cs="Arial"/>
        </w:rPr>
        <w:t>8.8</w:t>
      </w:r>
      <w:r w:rsidRPr="00DF64AB">
        <w:rPr>
          <w:rFonts w:ascii="Arial" w:hAnsi="Arial" w:cs="Arial"/>
        </w:rPr>
        <w:t xml:space="preserve"> million, or around $</w:t>
      </w:r>
      <w:r w:rsidR="007945C9" w:rsidRPr="00DF64AB">
        <w:rPr>
          <w:rFonts w:ascii="Arial" w:hAnsi="Arial" w:cs="Arial"/>
        </w:rPr>
        <w:t xml:space="preserve">23 </w:t>
      </w:r>
      <w:r w:rsidRPr="00DF64AB">
        <w:rPr>
          <w:rFonts w:ascii="Arial" w:hAnsi="Arial" w:cs="Arial"/>
        </w:rPr>
        <w:t>per application/notification. Cost recovery of this through an application fee levied on patients and/or medical practitioners is unlikely to be cost</w:t>
      </w:r>
      <w:r w:rsidR="007A0C20">
        <w:rPr>
          <w:rFonts w:ascii="Arial" w:hAnsi="Arial" w:cs="Arial"/>
        </w:rPr>
        <w:t>-</w:t>
      </w:r>
      <w:r w:rsidRPr="00DF64AB">
        <w:rPr>
          <w:rFonts w:ascii="Arial" w:hAnsi="Arial" w:cs="Arial"/>
        </w:rPr>
        <w:t xml:space="preserve">efficient. Moreover, such a process would impact time critical access to these products for seriously ill patients. </w:t>
      </w:r>
      <w:r w:rsidR="00724841">
        <w:rPr>
          <w:rFonts w:ascii="Arial" w:hAnsi="Arial" w:cs="Arial"/>
        </w:rPr>
        <w:t>C</w:t>
      </w:r>
      <w:r w:rsidRPr="00DF64AB">
        <w:rPr>
          <w:rFonts w:ascii="Arial" w:hAnsi="Arial" w:cs="Arial"/>
        </w:rPr>
        <w:t xml:space="preserve">ost recovery for these activities is </w:t>
      </w:r>
      <w:r w:rsidR="007A0C20">
        <w:rPr>
          <w:rFonts w:ascii="Arial" w:hAnsi="Arial" w:cs="Arial"/>
        </w:rPr>
        <w:t xml:space="preserve">therefore </w:t>
      </w:r>
      <w:r w:rsidRPr="00DF64AB">
        <w:rPr>
          <w:rFonts w:ascii="Arial" w:hAnsi="Arial" w:cs="Arial"/>
        </w:rPr>
        <w:t>not considered appropriate</w:t>
      </w:r>
      <w:r w:rsidR="003C3BB1">
        <w:rPr>
          <w:rFonts w:ascii="Arial" w:hAnsi="Arial" w:cs="Arial"/>
        </w:rPr>
        <w:t>,</w:t>
      </w:r>
      <w:r w:rsidRPr="00DF64AB">
        <w:rPr>
          <w:rFonts w:ascii="Arial" w:hAnsi="Arial" w:cs="Arial"/>
        </w:rPr>
        <w:t xml:space="preserve"> and the costs are </w:t>
      </w:r>
      <w:r w:rsidR="006C6C40" w:rsidRPr="00DF64AB">
        <w:rPr>
          <w:rFonts w:ascii="Arial" w:hAnsi="Arial" w:cs="Arial"/>
        </w:rPr>
        <w:t xml:space="preserve">met </w:t>
      </w:r>
      <w:r w:rsidR="007A0C20">
        <w:rPr>
          <w:rFonts w:ascii="Arial" w:hAnsi="Arial" w:cs="Arial"/>
        </w:rPr>
        <w:t>through</w:t>
      </w:r>
      <w:r w:rsidR="007A0C20" w:rsidRPr="00DF64AB">
        <w:rPr>
          <w:rFonts w:ascii="Arial" w:hAnsi="Arial" w:cs="Arial"/>
        </w:rPr>
        <w:t xml:space="preserve"> </w:t>
      </w:r>
      <w:r w:rsidR="007666BE" w:rsidRPr="00DF64AB">
        <w:rPr>
          <w:rFonts w:ascii="Arial" w:hAnsi="Arial" w:cs="Arial"/>
        </w:rPr>
        <w:t xml:space="preserve">government </w:t>
      </w:r>
      <w:r w:rsidR="006C6C40" w:rsidRPr="00DF64AB">
        <w:rPr>
          <w:rFonts w:ascii="Arial" w:hAnsi="Arial" w:cs="Arial"/>
        </w:rPr>
        <w:t>funding.</w:t>
      </w:r>
      <w:bookmarkEnd w:id="33"/>
    </w:p>
    <w:p w14:paraId="1B75A874" w14:textId="77777777" w:rsidR="00427E6B" w:rsidRPr="00DF64AB" w:rsidRDefault="00427E6B" w:rsidP="00427E6B">
      <w:pPr>
        <w:pStyle w:val="Heading4"/>
        <w:spacing w:before="240"/>
        <w:rPr>
          <w:rFonts w:cs="Arial"/>
        </w:rPr>
      </w:pPr>
      <w:bookmarkStart w:id="34" w:name="_Toc233286928"/>
      <w:r w:rsidRPr="00DF64AB">
        <w:rPr>
          <w:rFonts w:cs="Arial"/>
        </w:rPr>
        <w:t xml:space="preserve">9. </w:t>
      </w:r>
      <w:bookmarkStart w:id="35" w:name="_Hlk101972703"/>
      <w:r w:rsidRPr="00DF64AB">
        <w:rPr>
          <w:rFonts w:cs="Arial"/>
        </w:rPr>
        <w:t>Orphan drug program</w:t>
      </w:r>
      <w:bookmarkEnd w:id="34"/>
    </w:p>
    <w:p w14:paraId="0BCC32D3" w14:textId="20EA2071" w:rsidR="00427E6B" w:rsidRPr="00DF64AB" w:rsidRDefault="00427E6B" w:rsidP="00427E6B">
      <w:pPr>
        <w:rPr>
          <w:rFonts w:ascii="Arial" w:hAnsi="Arial" w:cs="Arial"/>
        </w:rPr>
      </w:pPr>
      <w:r w:rsidRPr="00DF64AB">
        <w:rPr>
          <w:rFonts w:ascii="Arial" w:hAnsi="Arial" w:cs="Arial"/>
        </w:rPr>
        <w:t xml:space="preserve">The TGA’s </w:t>
      </w:r>
      <w:hyperlink r:id="rId26" w:history="1">
        <w:r w:rsidRPr="00DF64AB">
          <w:rPr>
            <w:rStyle w:val="Hyperlink"/>
            <w:rFonts w:cs="Arial"/>
          </w:rPr>
          <w:t>orphan drug program</w:t>
        </w:r>
      </w:hyperlink>
      <w:r w:rsidRPr="00DF64AB">
        <w:rPr>
          <w:rFonts w:ascii="Arial" w:hAnsi="Arial" w:cs="Arial"/>
        </w:rPr>
        <w:t xml:space="preserve"> is an activity undertaken for the public good, with the objective of assisting sponsors to bring medicines for rare diseases or new dose forms for special patient populations to market that may otherwise not be available. A medicine may be eligible for orphan drug designation if all orphan criteria prescribed in regulations 16J (3) or 16J (4) of the Regulations are satisfied. </w:t>
      </w:r>
    </w:p>
    <w:p w14:paraId="52D33AD5" w14:textId="232F9204" w:rsidR="00407B8C" w:rsidRPr="00DF64AB" w:rsidRDefault="00407B8C" w:rsidP="00407B8C">
      <w:pPr>
        <w:rPr>
          <w:rFonts w:ascii="Arial" w:hAnsi="Arial" w:cs="Arial"/>
        </w:rPr>
      </w:pPr>
      <w:bookmarkStart w:id="36" w:name="_Toc169081973"/>
      <w:bookmarkEnd w:id="35"/>
      <w:r w:rsidRPr="00DF64AB">
        <w:rPr>
          <w:rFonts w:ascii="Arial" w:hAnsi="Arial" w:cs="Arial"/>
        </w:rPr>
        <w:t xml:space="preserve">The orphan drug program </w:t>
      </w:r>
      <w:r w:rsidR="00FB3C8A">
        <w:rPr>
          <w:rFonts w:ascii="Arial" w:hAnsi="Arial" w:cs="Arial"/>
        </w:rPr>
        <w:t>is</w:t>
      </w:r>
      <w:r w:rsidRPr="00DF64AB">
        <w:rPr>
          <w:rFonts w:ascii="Arial" w:hAnsi="Arial" w:cs="Arial"/>
        </w:rPr>
        <w:t xml:space="preserve"> part of a global movement to </w:t>
      </w:r>
      <w:r w:rsidR="00FB3C8A">
        <w:rPr>
          <w:rFonts w:ascii="Arial" w:hAnsi="Arial" w:cs="Arial"/>
        </w:rPr>
        <w:t>promote</w:t>
      </w:r>
      <w:r w:rsidR="00FB3C8A" w:rsidRPr="00DF64AB">
        <w:rPr>
          <w:rFonts w:ascii="Arial" w:hAnsi="Arial" w:cs="Arial"/>
        </w:rPr>
        <w:t xml:space="preserve"> </w:t>
      </w:r>
      <w:r w:rsidRPr="00DF64AB">
        <w:rPr>
          <w:rFonts w:ascii="Arial" w:hAnsi="Arial" w:cs="Arial"/>
        </w:rPr>
        <w:t>treatment of approximately 7,000 rare diseases. Th</w:t>
      </w:r>
      <w:r w:rsidR="00724841">
        <w:rPr>
          <w:rFonts w:ascii="Arial" w:hAnsi="Arial" w:cs="Arial"/>
        </w:rPr>
        <w:t>is</w:t>
      </w:r>
      <w:r w:rsidRPr="00DF64AB">
        <w:rPr>
          <w:rFonts w:ascii="Arial" w:hAnsi="Arial" w:cs="Arial"/>
        </w:rPr>
        <w:t xml:space="preserve"> incentive is provided by the TGA in the form of a fee waiver. Under regulation 45 (12) of the Regulations, application and evaluation fees for the assessment of orphan drugs are not charged by the TGA</w:t>
      </w:r>
      <w:r w:rsidR="00FB3C8A">
        <w:rPr>
          <w:rFonts w:ascii="Arial" w:hAnsi="Arial" w:cs="Arial"/>
        </w:rPr>
        <w:t>,</w:t>
      </w:r>
      <w:r w:rsidRPr="00DF64AB">
        <w:rPr>
          <w:rFonts w:ascii="Arial" w:hAnsi="Arial" w:cs="Arial"/>
        </w:rPr>
        <w:t xml:space="preserve"> but the quality, efficacy and safety of orphan drugs are assessed </w:t>
      </w:r>
      <w:r w:rsidR="00FB3C8A">
        <w:rPr>
          <w:rFonts w:ascii="Arial" w:hAnsi="Arial" w:cs="Arial"/>
        </w:rPr>
        <w:t>to</w:t>
      </w:r>
      <w:r w:rsidRPr="00DF64AB">
        <w:rPr>
          <w:rFonts w:ascii="Arial" w:hAnsi="Arial" w:cs="Arial"/>
        </w:rPr>
        <w:t xml:space="preserve"> the same standard as for other registered medicines. Once an orphan drug is entered on the ARTG, the annual charge is payable subject to the annual charge exemption (ACE) scheme.</w:t>
      </w:r>
    </w:p>
    <w:p w14:paraId="5F0213DC" w14:textId="173125F6" w:rsidR="0081221D" w:rsidRPr="00DF64AB" w:rsidRDefault="00237300" w:rsidP="00407B8C">
      <w:pPr>
        <w:rPr>
          <w:rFonts w:ascii="Arial" w:hAnsi="Arial" w:cs="Arial"/>
        </w:rPr>
      </w:pPr>
      <w:bookmarkStart w:id="37" w:name="_Hlk198625658"/>
      <w:r w:rsidRPr="00DF64AB">
        <w:rPr>
          <w:rFonts w:ascii="Arial" w:hAnsi="Arial" w:cs="Arial"/>
        </w:rPr>
        <w:t xml:space="preserve">In </w:t>
      </w:r>
      <w:r w:rsidR="009612E7" w:rsidRPr="00DF64AB">
        <w:rPr>
          <w:rFonts w:ascii="Arial" w:hAnsi="Arial" w:cs="Arial"/>
        </w:rPr>
        <w:t>2024</w:t>
      </w:r>
      <w:r w:rsidRPr="00DF64AB">
        <w:rPr>
          <w:rFonts w:ascii="Arial" w:hAnsi="Arial" w:cs="Arial"/>
        </w:rPr>
        <w:t>-2</w:t>
      </w:r>
      <w:r w:rsidR="009612E7" w:rsidRPr="00DF64AB">
        <w:rPr>
          <w:rFonts w:ascii="Arial" w:hAnsi="Arial" w:cs="Arial"/>
        </w:rPr>
        <w:t>5</w:t>
      </w:r>
      <w:r w:rsidRPr="00DF64AB">
        <w:rPr>
          <w:rFonts w:ascii="Arial" w:hAnsi="Arial" w:cs="Arial"/>
        </w:rPr>
        <w:t xml:space="preserve">, the TGA assessed </w:t>
      </w:r>
      <w:r w:rsidR="009612E7" w:rsidRPr="00DF64AB">
        <w:rPr>
          <w:rFonts w:ascii="Arial" w:hAnsi="Arial" w:cs="Arial"/>
        </w:rPr>
        <w:t xml:space="preserve">28 </w:t>
      </w:r>
      <w:r w:rsidRPr="00DF64AB">
        <w:rPr>
          <w:rFonts w:ascii="Arial" w:hAnsi="Arial" w:cs="Arial"/>
        </w:rPr>
        <w:t xml:space="preserve">orphan drug applications. The total </w:t>
      </w:r>
      <w:r w:rsidR="001026DA" w:rsidRPr="00DF64AB">
        <w:rPr>
          <w:rFonts w:ascii="Arial" w:hAnsi="Arial" w:cs="Arial"/>
        </w:rPr>
        <w:t xml:space="preserve">cost </w:t>
      </w:r>
      <w:r w:rsidRPr="00DF64AB">
        <w:rPr>
          <w:rFonts w:ascii="Arial" w:hAnsi="Arial" w:cs="Arial"/>
        </w:rPr>
        <w:t>attributed to the orphan drug program</w:t>
      </w:r>
      <w:r w:rsidR="00FA5F9B" w:rsidRPr="00DF64AB">
        <w:rPr>
          <w:rFonts w:ascii="Arial" w:hAnsi="Arial" w:cs="Arial"/>
        </w:rPr>
        <w:t xml:space="preserve"> </w:t>
      </w:r>
      <w:r w:rsidR="00724841" w:rsidRPr="00DF64AB">
        <w:rPr>
          <w:rFonts w:ascii="Arial" w:hAnsi="Arial" w:cs="Arial"/>
        </w:rPr>
        <w:t>was $7</w:t>
      </w:r>
      <w:r w:rsidR="00724841">
        <w:rPr>
          <w:rFonts w:ascii="Arial" w:hAnsi="Arial" w:cs="Arial"/>
        </w:rPr>
        <w:t xml:space="preserve"> </w:t>
      </w:r>
      <w:r w:rsidR="00724841" w:rsidRPr="00DF64AB">
        <w:rPr>
          <w:rFonts w:ascii="Arial" w:hAnsi="Arial" w:cs="Arial"/>
        </w:rPr>
        <w:t xml:space="preserve">million </w:t>
      </w:r>
      <w:r w:rsidR="00724841">
        <w:rPr>
          <w:rFonts w:ascii="Arial" w:hAnsi="Arial" w:cs="Arial"/>
        </w:rPr>
        <w:t>in</w:t>
      </w:r>
      <w:r w:rsidR="00724841" w:rsidRPr="00DF64AB">
        <w:rPr>
          <w:rFonts w:ascii="Arial" w:hAnsi="Arial" w:cs="Arial"/>
        </w:rPr>
        <w:t xml:space="preserve"> foregone </w:t>
      </w:r>
      <w:r w:rsidR="001026DA" w:rsidRPr="00DF64AB">
        <w:rPr>
          <w:rFonts w:ascii="Arial" w:hAnsi="Arial" w:cs="Arial"/>
        </w:rPr>
        <w:t>revenue</w:t>
      </w:r>
      <w:r w:rsidR="00724841">
        <w:rPr>
          <w:rFonts w:ascii="Arial" w:hAnsi="Arial" w:cs="Arial"/>
        </w:rPr>
        <w:t>.</w:t>
      </w:r>
      <w:bookmarkEnd w:id="37"/>
      <w:r w:rsidR="00FB3C8A">
        <w:rPr>
          <w:rFonts w:ascii="Arial" w:hAnsi="Arial" w:cs="Arial"/>
        </w:rPr>
        <w:t xml:space="preserve"> </w:t>
      </w:r>
      <w:r w:rsidR="00407B8C" w:rsidRPr="00DF64AB">
        <w:rPr>
          <w:rFonts w:ascii="Arial" w:hAnsi="Arial" w:cs="Arial"/>
        </w:rPr>
        <w:t xml:space="preserve">The costs of the orphan drug program are met </w:t>
      </w:r>
      <w:r w:rsidR="00FB3C8A">
        <w:rPr>
          <w:rFonts w:ascii="Arial" w:hAnsi="Arial" w:cs="Arial"/>
        </w:rPr>
        <w:t>through</w:t>
      </w:r>
      <w:r w:rsidR="00FB3C8A" w:rsidRPr="00DF64AB">
        <w:rPr>
          <w:rFonts w:ascii="Arial" w:hAnsi="Arial" w:cs="Arial"/>
        </w:rPr>
        <w:t xml:space="preserve"> </w:t>
      </w:r>
      <w:r w:rsidR="007666BE" w:rsidRPr="00DF64AB">
        <w:rPr>
          <w:rFonts w:ascii="Arial" w:hAnsi="Arial" w:cs="Arial"/>
        </w:rPr>
        <w:t xml:space="preserve">government </w:t>
      </w:r>
      <w:r w:rsidR="007E4415" w:rsidRPr="00DF64AB">
        <w:rPr>
          <w:rFonts w:ascii="Arial" w:hAnsi="Arial" w:cs="Arial"/>
        </w:rPr>
        <w:t>funding</w:t>
      </w:r>
      <w:r w:rsidR="00407B8C" w:rsidRPr="00DF64AB">
        <w:rPr>
          <w:rFonts w:ascii="Arial" w:hAnsi="Arial" w:cs="Arial"/>
        </w:rPr>
        <w:t>.</w:t>
      </w:r>
    </w:p>
    <w:p w14:paraId="738FEF3A" w14:textId="77777777" w:rsidR="0081221D" w:rsidRPr="00DF64AB" w:rsidRDefault="0081221D">
      <w:pPr>
        <w:rPr>
          <w:rFonts w:ascii="Arial" w:hAnsi="Arial" w:cs="Arial"/>
        </w:rPr>
      </w:pPr>
      <w:r w:rsidRPr="00DF64AB">
        <w:rPr>
          <w:rFonts w:ascii="Arial" w:hAnsi="Arial" w:cs="Arial"/>
        </w:rPr>
        <w:br w:type="page"/>
      </w:r>
    </w:p>
    <w:p w14:paraId="340CB6C6" w14:textId="77777777" w:rsidR="00985A5C" w:rsidRPr="00DF64AB" w:rsidRDefault="00985A5C" w:rsidP="00985A5C">
      <w:pPr>
        <w:pStyle w:val="Heading3"/>
        <w:rPr>
          <w:rFonts w:cs="Arial"/>
        </w:rPr>
      </w:pPr>
      <w:bookmarkStart w:id="38" w:name="_Toc233286929"/>
      <w:r w:rsidRPr="00DF64AB">
        <w:rPr>
          <w:rFonts w:cs="Arial"/>
        </w:rPr>
        <w:lastRenderedPageBreak/>
        <w:t>B: Compliance, monitoring and enforcement</w:t>
      </w:r>
      <w:bookmarkEnd w:id="36"/>
      <w:bookmarkEnd w:id="38"/>
    </w:p>
    <w:p w14:paraId="05B7F507" w14:textId="77777777" w:rsidR="00A92A6C" w:rsidRPr="00210D90" w:rsidRDefault="00A92A6C" w:rsidP="00A92A6C">
      <w:pPr>
        <w:rPr>
          <w:rFonts w:ascii="Arial" w:hAnsi="Arial" w:cs="Arial"/>
        </w:rPr>
      </w:pPr>
      <w:r w:rsidRPr="00210D90">
        <w:rPr>
          <w:rFonts w:ascii="Arial" w:hAnsi="Arial" w:cs="Arial"/>
        </w:rPr>
        <w:t xml:space="preserve">The TGA’s compliance and enforcement activities are governed by the </w:t>
      </w:r>
      <w:hyperlink r:id="rId27" w:history="1">
        <w:r w:rsidRPr="00D1151F">
          <w:rPr>
            <w:rStyle w:val="Hyperlink"/>
            <w:rFonts w:cs="Arial"/>
          </w:rPr>
          <w:t xml:space="preserve">TGA Compliance </w:t>
        </w:r>
        <w:r>
          <w:rPr>
            <w:rStyle w:val="Hyperlink"/>
            <w:rFonts w:cs="Arial"/>
          </w:rPr>
          <w:t>P</w:t>
        </w:r>
        <w:r w:rsidRPr="00D1151F">
          <w:rPr>
            <w:rStyle w:val="Hyperlink"/>
            <w:rFonts w:cs="Arial"/>
          </w:rPr>
          <w:t>rinciples</w:t>
        </w:r>
      </w:hyperlink>
      <w:r w:rsidRPr="00D51FFB">
        <w:rPr>
          <w:rFonts w:ascii="Arial" w:hAnsi="Arial" w:cs="Arial"/>
        </w:rPr>
        <w:t xml:space="preserve"> </w:t>
      </w:r>
      <w:r w:rsidRPr="00210D90">
        <w:rPr>
          <w:rFonts w:ascii="Arial" w:hAnsi="Arial" w:cs="Arial"/>
        </w:rPr>
        <w:t xml:space="preserve">and the </w:t>
      </w:r>
      <w:hyperlink r:id="rId28" w:history="1">
        <w:r w:rsidRPr="00210D90">
          <w:rPr>
            <w:rStyle w:val="Hyperlink"/>
            <w:rFonts w:cs="Arial"/>
          </w:rPr>
          <w:t>Regulatory Compliance Framework</w:t>
        </w:r>
      </w:hyperlink>
      <w:r w:rsidRPr="00210D90">
        <w:rPr>
          <w:rFonts w:ascii="Arial" w:hAnsi="Arial" w:cs="Arial"/>
        </w:rPr>
        <w:t>, which together set out a risk-based, intelligence-led approach to monitoring, compliance and enforcement across all regulated therapeutic goods activities.</w:t>
      </w:r>
    </w:p>
    <w:p w14:paraId="7D3FCF2D" w14:textId="77777777" w:rsidR="00A92A6C" w:rsidRPr="00B067F4" w:rsidRDefault="00A92A6C" w:rsidP="00A92A6C">
      <w:pPr>
        <w:rPr>
          <w:rFonts w:ascii="Arial" w:hAnsi="Arial" w:cs="Arial"/>
        </w:rPr>
      </w:pPr>
      <w:r>
        <w:rPr>
          <w:rFonts w:ascii="Arial" w:hAnsi="Arial" w:cs="Arial"/>
        </w:rPr>
        <w:t>T</w:t>
      </w:r>
      <w:r w:rsidRPr="00B067F4">
        <w:rPr>
          <w:rFonts w:ascii="Arial" w:hAnsi="Arial" w:cs="Arial"/>
        </w:rPr>
        <w:t xml:space="preserve">hese frameworks guide the TGA to apply regulatory powers in a manner that is </w:t>
      </w:r>
      <w:r w:rsidRPr="008271A0">
        <w:rPr>
          <w:rFonts w:ascii="Arial" w:hAnsi="Arial" w:cs="Arial"/>
        </w:rPr>
        <w:t>evidence-based, proportionate and directed to areas of greatest risk to public health and regulatory integrity</w:t>
      </w:r>
      <w:r w:rsidRPr="00B067F4">
        <w:rPr>
          <w:rFonts w:ascii="Arial" w:hAnsi="Arial" w:cs="Arial"/>
        </w:rPr>
        <w:t>, while promoting a fair and compliant therapeutic goods market.</w:t>
      </w:r>
    </w:p>
    <w:p w14:paraId="13FBF60C" w14:textId="77777777" w:rsidR="00A92A6C" w:rsidRPr="00B067F4" w:rsidRDefault="00A92A6C" w:rsidP="00A92A6C">
      <w:pPr>
        <w:rPr>
          <w:rFonts w:ascii="Arial" w:hAnsi="Arial" w:cs="Arial"/>
        </w:rPr>
      </w:pPr>
      <w:r w:rsidRPr="00B067F4">
        <w:rPr>
          <w:rFonts w:ascii="Arial" w:hAnsi="Arial" w:cs="Arial"/>
        </w:rPr>
        <w:t>The TGA monitors compliance with, and enforces where necessary, the legislation, regulations and rules relating to the import, export, manufacture, advertising and supply of therapeutic goods to protect consumers and maintain confidence in the regulatory system.</w:t>
      </w:r>
    </w:p>
    <w:p w14:paraId="725D6B8B" w14:textId="0CFA0707" w:rsidR="00274FAB" w:rsidRPr="00DF64AB" w:rsidRDefault="00274FAB" w:rsidP="00274FAB">
      <w:pPr>
        <w:pStyle w:val="Heading4"/>
        <w:rPr>
          <w:rFonts w:cs="Arial"/>
        </w:rPr>
      </w:pPr>
      <w:bookmarkStart w:id="39" w:name="_Toc233286930"/>
      <w:r w:rsidRPr="00DF64AB">
        <w:rPr>
          <w:rFonts w:cs="Arial"/>
        </w:rPr>
        <w:t>Risk-based compliance and monitoring</w:t>
      </w:r>
      <w:bookmarkEnd w:id="39"/>
    </w:p>
    <w:p w14:paraId="36DD44DE" w14:textId="538A0AD5" w:rsidR="008271A0" w:rsidRPr="00960049" w:rsidRDefault="008271A0" w:rsidP="008271A0">
      <w:pPr>
        <w:rPr>
          <w:rFonts w:ascii="Arial" w:hAnsi="Arial" w:cs="Arial"/>
        </w:rPr>
      </w:pPr>
      <w:r w:rsidRPr="00DF64AB">
        <w:rPr>
          <w:rFonts w:ascii="Arial" w:hAnsi="Arial" w:cs="Arial"/>
        </w:rPr>
        <w:t xml:space="preserve">Australians have </w:t>
      </w:r>
      <w:r w:rsidR="00401B1B">
        <w:rPr>
          <w:rFonts w:ascii="Arial" w:hAnsi="Arial" w:cs="Arial"/>
        </w:rPr>
        <w:t>the</w:t>
      </w:r>
      <w:r w:rsidRPr="00DF64AB">
        <w:rPr>
          <w:rFonts w:ascii="Arial" w:hAnsi="Arial" w:cs="Arial"/>
        </w:rPr>
        <w:t xml:space="preserve"> right to expect that </w:t>
      </w:r>
      <w:r w:rsidRPr="00960049">
        <w:rPr>
          <w:rFonts w:ascii="Arial" w:hAnsi="Arial" w:cs="Arial"/>
        </w:rPr>
        <w:t xml:space="preserve">therapeutic goods meet acceptable standards of safety </w:t>
      </w:r>
      <w:r>
        <w:rPr>
          <w:rFonts w:ascii="Arial" w:hAnsi="Arial" w:cs="Arial"/>
        </w:rPr>
        <w:t xml:space="preserve">and </w:t>
      </w:r>
      <w:r w:rsidRPr="00960049">
        <w:rPr>
          <w:rFonts w:ascii="Arial" w:hAnsi="Arial" w:cs="Arial"/>
        </w:rPr>
        <w:t>quali</w:t>
      </w:r>
      <w:r>
        <w:rPr>
          <w:rFonts w:ascii="Arial" w:hAnsi="Arial" w:cs="Arial"/>
        </w:rPr>
        <w:t>ty.</w:t>
      </w:r>
    </w:p>
    <w:p w14:paraId="7E7694C0" w14:textId="19B61A5A" w:rsidR="008271A0" w:rsidRDefault="008271A0" w:rsidP="008271A0">
      <w:pPr>
        <w:rPr>
          <w:rFonts w:ascii="Arial" w:hAnsi="Arial" w:cs="Arial"/>
        </w:rPr>
      </w:pPr>
      <w:r w:rsidRPr="00DF64AB">
        <w:rPr>
          <w:rFonts w:ascii="Arial" w:hAnsi="Arial" w:cs="Arial"/>
        </w:rPr>
        <w:t xml:space="preserve">One of the </w:t>
      </w:r>
      <w:r>
        <w:rPr>
          <w:rFonts w:ascii="Arial" w:hAnsi="Arial" w:cs="Arial"/>
        </w:rPr>
        <w:t xml:space="preserve">TGA’s core </w:t>
      </w:r>
      <w:r w:rsidRPr="00DF64AB">
        <w:rPr>
          <w:rFonts w:ascii="Arial" w:hAnsi="Arial" w:cs="Arial"/>
        </w:rPr>
        <w:t xml:space="preserve">roles is to regulate therapeutic </w:t>
      </w:r>
      <w:r>
        <w:rPr>
          <w:rFonts w:ascii="Arial" w:hAnsi="Arial" w:cs="Arial"/>
        </w:rPr>
        <w:t>goods</w:t>
      </w:r>
      <w:r w:rsidRPr="00DF64AB">
        <w:rPr>
          <w:rFonts w:ascii="Arial" w:hAnsi="Arial" w:cs="Arial"/>
        </w:rPr>
        <w:t xml:space="preserve"> based on a scientific and clinical assessment of the evidence of both the risks and the benefits of </w:t>
      </w:r>
      <w:r w:rsidR="00115CA4">
        <w:rPr>
          <w:rFonts w:ascii="Arial" w:hAnsi="Arial" w:cs="Arial"/>
        </w:rPr>
        <w:t>a</w:t>
      </w:r>
      <w:r w:rsidR="00115CA4" w:rsidRPr="00DF64AB">
        <w:rPr>
          <w:rFonts w:ascii="Arial" w:hAnsi="Arial" w:cs="Arial"/>
        </w:rPr>
        <w:t xml:space="preserve"> </w:t>
      </w:r>
      <w:r w:rsidRPr="00DF64AB">
        <w:rPr>
          <w:rFonts w:ascii="Arial" w:hAnsi="Arial" w:cs="Arial"/>
        </w:rPr>
        <w:t xml:space="preserve">product. </w:t>
      </w:r>
      <w:r w:rsidRPr="008271A0">
        <w:rPr>
          <w:rFonts w:ascii="Arial" w:hAnsi="Arial" w:cs="Arial"/>
        </w:rPr>
        <w:t>While risk</w:t>
      </w:r>
      <w:r>
        <w:rPr>
          <w:rFonts w:ascii="Arial" w:hAnsi="Arial" w:cs="Arial"/>
        </w:rPr>
        <w:t>s</w:t>
      </w:r>
      <w:r w:rsidRPr="008271A0">
        <w:rPr>
          <w:rFonts w:ascii="Arial" w:hAnsi="Arial" w:cs="Arial"/>
        </w:rPr>
        <w:t xml:space="preserve"> cannot be </w:t>
      </w:r>
      <w:r w:rsidR="00401B1B">
        <w:rPr>
          <w:rFonts w:ascii="Arial" w:hAnsi="Arial" w:cs="Arial"/>
        </w:rPr>
        <w:t xml:space="preserve">wholly </w:t>
      </w:r>
      <w:r w:rsidRPr="008271A0">
        <w:rPr>
          <w:rFonts w:ascii="Arial" w:hAnsi="Arial" w:cs="Arial"/>
        </w:rPr>
        <w:t>eliminated</w:t>
      </w:r>
      <w:r>
        <w:rPr>
          <w:rFonts w:ascii="Arial" w:hAnsi="Arial" w:cs="Arial"/>
        </w:rPr>
        <w:t xml:space="preserve">, the TGA </w:t>
      </w:r>
      <w:r w:rsidRPr="00C50E3F">
        <w:rPr>
          <w:rFonts w:ascii="Arial" w:hAnsi="Arial" w:cs="Arial"/>
        </w:rPr>
        <w:t>manag</w:t>
      </w:r>
      <w:r>
        <w:rPr>
          <w:rFonts w:ascii="Arial" w:hAnsi="Arial" w:cs="Arial"/>
        </w:rPr>
        <w:t>es them</w:t>
      </w:r>
      <w:r w:rsidRPr="00C50E3F">
        <w:rPr>
          <w:rFonts w:ascii="Arial" w:hAnsi="Arial" w:cs="Arial"/>
        </w:rPr>
        <w:t xml:space="preserve"> </w:t>
      </w:r>
      <w:r>
        <w:rPr>
          <w:rFonts w:ascii="Arial" w:hAnsi="Arial" w:cs="Arial"/>
        </w:rPr>
        <w:t xml:space="preserve">to ensure their </w:t>
      </w:r>
      <w:r w:rsidRPr="008271A0">
        <w:rPr>
          <w:rFonts w:ascii="Arial" w:hAnsi="Arial" w:cs="Arial"/>
        </w:rPr>
        <w:t>impact</w:t>
      </w:r>
      <w:r>
        <w:rPr>
          <w:rFonts w:ascii="Arial" w:hAnsi="Arial" w:cs="Arial"/>
        </w:rPr>
        <w:t xml:space="preserve"> on public health is</w:t>
      </w:r>
      <w:r w:rsidRPr="00C50E3F">
        <w:rPr>
          <w:rFonts w:ascii="Arial" w:hAnsi="Arial" w:cs="Arial"/>
        </w:rPr>
        <w:t xml:space="preserve"> kept </w:t>
      </w:r>
      <w:r>
        <w:rPr>
          <w:rFonts w:ascii="Arial" w:hAnsi="Arial" w:cs="Arial"/>
        </w:rPr>
        <w:t>at</w:t>
      </w:r>
      <w:r w:rsidRPr="00C50E3F">
        <w:rPr>
          <w:rFonts w:ascii="Arial" w:hAnsi="Arial" w:cs="Arial"/>
        </w:rPr>
        <w:t xml:space="preserve"> an acceptable level.</w:t>
      </w:r>
    </w:p>
    <w:p w14:paraId="26358C0D" w14:textId="77777777" w:rsidR="008271A0" w:rsidRPr="00955907" w:rsidRDefault="008271A0" w:rsidP="008271A0">
      <w:pPr>
        <w:rPr>
          <w:rFonts w:ascii="Arial" w:hAnsi="Arial" w:cs="Arial"/>
        </w:rPr>
      </w:pPr>
      <w:r w:rsidRPr="00955907">
        <w:rPr>
          <w:rFonts w:ascii="Arial" w:hAnsi="Arial" w:cs="Arial"/>
        </w:rPr>
        <w:t>This risk-based approach underpins both pre</w:t>
      </w:r>
      <w:r w:rsidRPr="00955907">
        <w:rPr>
          <w:rFonts w:ascii="Arial" w:hAnsi="Arial" w:cs="Arial"/>
        </w:rPr>
        <w:noBreakHyphen/>
        <w:t>market regulatory assessment and post</w:t>
      </w:r>
      <w:r w:rsidRPr="00955907">
        <w:rPr>
          <w:rFonts w:ascii="Arial" w:hAnsi="Arial" w:cs="Arial"/>
        </w:rPr>
        <w:noBreakHyphen/>
        <w:t>market monitoring and compliance activities, ensuring resources are directed to areas of greatest potential harm.</w:t>
      </w:r>
    </w:p>
    <w:p w14:paraId="1D797643" w14:textId="79248C72" w:rsidR="008271A0" w:rsidRPr="001B1333" w:rsidRDefault="008271A0" w:rsidP="008271A0">
      <w:pPr>
        <w:rPr>
          <w:rFonts w:ascii="Arial" w:hAnsi="Arial" w:cs="Arial"/>
        </w:rPr>
      </w:pPr>
      <w:r w:rsidRPr="00DF64AB">
        <w:rPr>
          <w:rFonts w:ascii="Arial" w:hAnsi="Arial" w:cs="Arial"/>
        </w:rPr>
        <w:t xml:space="preserve">The TGA </w:t>
      </w:r>
      <w:r>
        <w:rPr>
          <w:rFonts w:ascii="Arial" w:hAnsi="Arial" w:cs="Arial"/>
        </w:rPr>
        <w:t>applies a r</w:t>
      </w:r>
      <w:r w:rsidRPr="00DF64AB">
        <w:rPr>
          <w:rFonts w:ascii="Arial" w:hAnsi="Arial" w:cs="Arial"/>
        </w:rPr>
        <w:t xml:space="preserve">isk-based approach </w:t>
      </w:r>
      <w:r>
        <w:rPr>
          <w:rFonts w:ascii="Arial" w:hAnsi="Arial" w:cs="Arial"/>
        </w:rPr>
        <w:t xml:space="preserve">to </w:t>
      </w:r>
      <w:r w:rsidRPr="00DF64AB">
        <w:rPr>
          <w:rFonts w:ascii="Arial" w:hAnsi="Arial" w:cs="Arial"/>
        </w:rPr>
        <w:t>monitoring and compliance activities</w:t>
      </w:r>
      <w:r>
        <w:rPr>
          <w:rFonts w:ascii="Arial" w:hAnsi="Arial" w:cs="Arial"/>
        </w:rPr>
        <w:t>, prioritising r</w:t>
      </w:r>
      <w:r w:rsidRPr="001B1333">
        <w:rPr>
          <w:rFonts w:ascii="Arial" w:hAnsi="Arial" w:cs="Arial"/>
        </w:rPr>
        <w:t>isks based on the nature and severity of potential harm, including:</w:t>
      </w:r>
    </w:p>
    <w:p w14:paraId="31F4B92E" w14:textId="77777777" w:rsidR="008271A0" w:rsidRPr="008271A0" w:rsidRDefault="008271A0" w:rsidP="008271A0">
      <w:pPr>
        <w:pStyle w:val="ListBullet"/>
        <w:spacing w:after="120"/>
        <w:ind w:left="709" w:hanging="425"/>
        <w:rPr>
          <w:rFonts w:eastAsiaTheme="minorHAnsi" w:cs="Arial"/>
          <w:color w:val="auto"/>
        </w:rPr>
      </w:pPr>
      <w:r w:rsidRPr="008271A0">
        <w:rPr>
          <w:rFonts w:eastAsiaTheme="minorHAnsi" w:cs="Arial"/>
          <w:color w:val="auto"/>
        </w:rPr>
        <w:t>direct harm from a product, including its use or promotion</w:t>
      </w:r>
    </w:p>
    <w:p w14:paraId="482BA8B6" w14:textId="6827D701" w:rsidR="008271A0" w:rsidRPr="008271A0" w:rsidRDefault="008271A0" w:rsidP="008271A0">
      <w:pPr>
        <w:pStyle w:val="ListBullet"/>
        <w:spacing w:after="120"/>
        <w:ind w:left="709" w:hanging="425"/>
        <w:rPr>
          <w:rFonts w:eastAsiaTheme="minorHAnsi" w:cs="Arial"/>
          <w:color w:val="auto"/>
        </w:rPr>
      </w:pPr>
      <w:r w:rsidRPr="008271A0">
        <w:rPr>
          <w:rFonts w:eastAsiaTheme="minorHAnsi" w:cs="Arial"/>
          <w:color w:val="auto"/>
        </w:rPr>
        <w:t>indirect harm arising from misleading or inaccurate information delaying or replacing appropriate medical care</w:t>
      </w:r>
      <w:r w:rsidR="00401B1B">
        <w:rPr>
          <w:rFonts w:eastAsiaTheme="minorHAnsi" w:cs="Arial"/>
          <w:color w:val="auto"/>
        </w:rPr>
        <w:t>, and</w:t>
      </w:r>
    </w:p>
    <w:p w14:paraId="29F5BBF4" w14:textId="3BB44F59" w:rsidR="008271A0" w:rsidRDefault="008271A0" w:rsidP="008271A0">
      <w:pPr>
        <w:pStyle w:val="ListBullet"/>
        <w:spacing w:after="120"/>
        <w:ind w:left="709" w:hanging="425"/>
        <w:rPr>
          <w:rFonts w:eastAsiaTheme="minorHAnsi" w:cs="Arial"/>
          <w:color w:val="auto"/>
        </w:rPr>
      </w:pPr>
      <w:r w:rsidRPr="008271A0">
        <w:rPr>
          <w:rFonts w:eastAsiaTheme="minorHAnsi" w:cs="Arial"/>
          <w:color w:val="auto"/>
        </w:rPr>
        <w:t>systemic risks to confidence in the regulatory framework and therapeutic goods market</w:t>
      </w:r>
      <w:r>
        <w:rPr>
          <w:rFonts w:eastAsiaTheme="minorHAnsi" w:cs="Arial"/>
          <w:color w:val="auto"/>
        </w:rPr>
        <w:t>.</w:t>
      </w:r>
    </w:p>
    <w:p w14:paraId="5338543C" w14:textId="77777777" w:rsidR="008271A0" w:rsidRPr="008271A0" w:rsidRDefault="008271A0" w:rsidP="008271A0">
      <w:pPr>
        <w:rPr>
          <w:rFonts w:ascii="Arial" w:hAnsi="Arial" w:cs="Arial"/>
        </w:rPr>
      </w:pPr>
      <w:r w:rsidRPr="008271A0">
        <w:rPr>
          <w:rFonts w:ascii="Arial" w:hAnsi="Arial" w:cs="Arial"/>
        </w:rPr>
        <w:t>These activities ensure that regulatory effort is targeted to areas of highest risk and supports timely and proportionate intervention to reduce harm.</w:t>
      </w:r>
    </w:p>
    <w:p w14:paraId="759333B6" w14:textId="4F6A7837" w:rsidR="00274FAB" w:rsidRPr="00DF64AB" w:rsidRDefault="00274FAB" w:rsidP="00274FAB">
      <w:pPr>
        <w:pStyle w:val="Heading4"/>
        <w:rPr>
          <w:rFonts w:cs="Arial"/>
        </w:rPr>
      </w:pPr>
      <w:bookmarkStart w:id="40" w:name="_Toc233286931"/>
      <w:r w:rsidRPr="00DF64AB">
        <w:rPr>
          <w:rFonts w:cs="Arial"/>
        </w:rPr>
        <w:t xml:space="preserve">Approach to </w:t>
      </w:r>
      <w:r w:rsidR="000125D6">
        <w:rPr>
          <w:rFonts w:cs="Arial"/>
        </w:rPr>
        <w:t>surveillance</w:t>
      </w:r>
      <w:bookmarkEnd w:id="40"/>
    </w:p>
    <w:p w14:paraId="35B03597" w14:textId="3785FE1C" w:rsidR="008271A0" w:rsidRPr="00DF64AB" w:rsidRDefault="008271A0" w:rsidP="008271A0">
      <w:pPr>
        <w:rPr>
          <w:rFonts w:ascii="Arial" w:hAnsi="Arial" w:cs="Arial"/>
        </w:rPr>
      </w:pPr>
      <w:r w:rsidRPr="00DF64AB">
        <w:rPr>
          <w:rFonts w:ascii="Arial" w:hAnsi="Arial" w:cs="Arial"/>
        </w:rPr>
        <w:t xml:space="preserve">The TGA employs a combination </w:t>
      </w:r>
      <w:r w:rsidR="00115CA4">
        <w:rPr>
          <w:rFonts w:ascii="Arial" w:hAnsi="Arial" w:cs="Arial"/>
        </w:rPr>
        <w:t xml:space="preserve">of </w:t>
      </w:r>
      <w:r>
        <w:rPr>
          <w:rFonts w:ascii="Arial" w:hAnsi="Arial" w:cs="Arial"/>
        </w:rPr>
        <w:t xml:space="preserve">proactive and reactive </w:t>
      </w:r>
      <w:r w:rsidR="009059AF" w:rsidRPr="009059AF">
        <w:rPr>
          <w:rFonts w:ascii="Arial" w:hAnsi="Arial" w:cs="Arial"/>
          <w:u w:val="single"/>
        </w:rPr>
        <w:t>surveillance </w:t>
      </w:r>
      <w:r w:rsidRPr="00DF64AB">
        <w:rPr>
          <w:rFonts w:ascii="Arial" w:hAnsi="Arial" w:cs="Arial"/>
        </w:rPr>
        <w:t>strategies</w:t>
      </w:r>
      <w:r>
        <w:rPr>
          <w:rFonts w:ascii="Arial" w:hAnsi="Arial" w:cs="Arial"/>
        </w:rPr>
        <w:t xml:space="preserve">, </w:t>
      </w:r>
      <w:r w:rsidRPr="00DF64AB">
        <w:rPr>
          <w:rFonts w:ascii="Arial" w:hAnsi="Arial" w:cs="Arial"/>
        </w:rPr>
        <w:t xml:space="preserve">including acting on signals and reports of non-compliance from </w:t>
      </w:r>
      <w:proofErr w:type="gramStart"/>
      <w:r w:rsidRPr="00DF64AB">
        <w:rPr>
          <w:rFonts w:ascii="Arial" w:hAnsi="Arial" w:cs="Arial"/>
        </w:rPr>
        <w:t>a number of</w:t>
      </w:r>
      <w:proofErr w:type="gramEnd"/>
      <w:r w:rsidRPr="00DF64AB">
        <w:rPr>
          <w:rFonts w:ascii="Arial" w:hAnsi="Arial" w:cs="Arial"/>
        </w:rPr>
        <w:t xml:space="preserve"> external sources. </w:t>
      </w:r>
    </w:p>
    <w:p w14:paraId="4404BC72" w14:textId="56B2C32D" w:rsidR="008271A0" w:rsidRPr="0098646E" w:rsidRDefault="008271A0" w:rsidP="008271A0">
      <w:pPr>
        <w:rPr>
          <w:rFonts w:ascii="Arial" w:hAnsi="Arial" w:cs="Arial"/>
        </w:rPr>
      </w:pPr>
      <w:r w:rsidRPr="008271A0">
        <w:rPr>
          <w:rFonts w:ascii="Arial" w:hAnsi="Arial" w:cs="Arial"/>
        </w:rPr>
        <w:t>All identified signals of non-compliance are recorded, assessed and prioritised</w:t>
      </w:r>
      <w:r>
        <w:rPr>
          <w:rFonts w:ascii="Arial" w:hAnsi="Arial" w:cs="Arial"/>
        </w:rPr>
        <w:t xml:space="preserve"> using </w:t>
      </w:r>
      <w:r w:rsidRPr="008271A0">
        <w:rPr>
          <w:rFonts w:ascii="Arial" w:hAnsi="Arial" w:cs="Arial"/>
        </w:rPr>
        <w:t>intelligence-led triage processes to determine risk, priority and appropriate response pathways</w:t>
      </w:r>
      <w:r w:rsidRPr="0098646E">
        <w:rPr>
          <w:rFonts w:ascii="Arial" w:hAnsi="Arial" w:cs="Arial"/>
        </w:rPr>
        <w:t>.</w:t>
      </w:r>
    </w:p>
    <w:p w14:paraId="04BE2C0C" w14:textId="5D258C31" w:rsidR="008271A0" w:rsidRPr="00740EC3" w:rsidRDefault="008271A0" w:rsidP="008271A0">
      <w:pPr>
        <w:rPr>
          <w:rFonts w:ascii="Arial" w:hAnsi="Arial" w:cs="Arial"/>
        </w:rPr>
      </w:pPr>
      <w:r w:rsidRPr="00740EC3">
        <w:rPr>
          <w:rFonts w:ascii="Arial" w:hAnsi="Arial" w:cs="Arial"/>
        </w:rPr>
        <w:t>Monitoring activities are supported by data analytics, digital surveillance</w:t>
      </w:r>
      <w:r w:rsidR="00115CA4">
        <w:rPr>
          <w:rFonts w:ascii="Arial" w:hAnsi="Arial" w:cs="Arial"/>
        </w:rPr>
        <w:t xml:space="preserve">, </w:t>
      </w:r>
      <w:r w:rsidRPr="00740EC3">
        <w:rPr>
          <w:rFonts w:ascii="Arial" w:hAnsi="Arial" w:cs="Arial"/>
        </w:rPr>
        <w:t>including online environments, and intelligence from stakeholders and partner agencies to identify emerging risks and inform regulatory responses.</w:t>
      </w:r>
    </w:p>
    <w:p w14:paraId="0D81B96B" w14:textId="77777777" w:rsidR="00274FAB" w:rsidRPr="00DF64AB" w:rsidRDefault="00274FAB" w:rsidP="00274FAB">
      <w:pPr>
        <w:pStyle w:val="Heading4"/>
        <w:rPr>
          <w:rFonts w:cs="Arial"/>
        </w:rPr>
      </w:pPr>
      <w:bookmarkStart w:id="41" w:name="_Toc233286932"/>
      <w:r w:rsidRPr="00DF64AB">
        <w:rPr>
          <w:rFonts w:cs="Arial"/>
        </w:rPr>
        <w:t>Approach to compliance and enforcement</w:t>
      </w:r>
      <w:bookmarkEnd w:id="41"/>
    </w:p>
    <w:p w14:paraId="0D637A5A" w14:textId="77777777" w:rsidR="00B8461A" w:rsidRPr="00DF64AB" w:rsidRDefault="00274FAB" w:rsidP="00B8461A">
      <w:pPr>
        <w:rPr>
          <w:rFonts w:ascii="Arial" w:hAnsi="Arial" w:cs="Arial"/>
        </w:rPr>
      </w:pPr>
      <w:r w:rsidRPr="00DF64AB">
        <w:rPr>
          <w:rFonts w:ascii="Arial" w:hAnsi="Arial" w:cs="Arial"/>
        </w:rPr>
        <w:t>A range of compliance and enforcement tools are employed to address alleged non-compliance</w:t>
      </w:r>
      <w:r w:rsidR="004D18ED" w:rsidRPr="00DF64AB">
        <w:rPr>
          <w:rFonts w:ascii="Arial" w:hAnsi="Arial" w:cs="Arial"/>
        </w:rPr>
        <w:t xml:space="preserve"> </w:t>
      </w:r>
      <w:r w:rsidRPr="00DF64AB">
        <w:rPr>
          <w:rFonts w:ascii="Arial" w:hAnsi="Arial" w:cs="Arial"/>
        </w:rPr>
        <w:t xml:space="preserve">and to encourage compliance with the Act. </w:t>
      </w:r>
      <w:r w:rsidR="00B8461A" w:rsidRPr="00DF64AB">
        <w:rPr>
          <w:rFonts w:ascii="Arial" w:hAnsi="Arial" w:cs="Arial"/>
        </w:rPr>
        <w:t xml:space="preserve">The TGA publishes information on its website about its </w:t>
      </w:r>
      <w:hyperlink r:id="rId29" w:history="1">
        <w:r w:rsidR="00B8461A" w:rsidRPr="00DF64AB">
          <w:rPr>
            <w:rStyle w:val="Hyperlink"/>
            <w:rFonts w:cs="Arial"/>
          </w:rPr>
          <w:t>compliance and enforcement tools, as well as regulatory compliance activities and the outcomes of compliance actions</w:t>
        </w:r>
      </w:hyperlink>
      <w:r w:rsidR="00B8461A" w:rsidRPr="00DF64AB">
        <w:rPr>
          <w:rFonts w:ascii="Arial" w:hAnsi="Arial" w:cs="Arial"/>
        </w:rPr>
        <w:t>.</w:t>
      </w:r>
    </w:p>
    <w:p w14:paraId="1675C147" w14:textId="048010A4" w:rsidR="00CF0C7E" w:rsidRPr="00DF64AB" w:rsidRDefault="00CF0C7E" w:rsidP="00274FAB">
      <w:pPr>
        <w:rPr>
          <w:rFonts w:ascii="Arial" w:hAnsi="Arial" w:cs="Arial"/>
        </w:rPr>
      </w:pPr>
    </w:p>
    <w:p w14:paraId="44B2F58B" w14:textId="1730E2C4" w:rsidR="00274FAB" w:rsidRPr="00DF64AB" w:rsidRDefault="00A92A6C" w:rsidP="005C000E">
      <w:pPr>
        <w:jc w:val="center"/>
        <w:rPr>
          <w:rFonts w:ascii="Arial" w:hAnsi="Arial" w:cs="Arial"/>
        </w:rPr>
      </w:pPr>
      <w:r w:rsidRPr="00A92A6C">
        <w:rPr>
          <w:rFonts w:ascii="Arial" w:hAnsi="Arial" w:cs="Arial"/>
          <w:noProof/>
          <w:lang w:eastAsia="en-AU"/>
        </w:rPr>
        <w:lastRenderedPageBreak/>
        <w:drawing>
          <wp:inline distT="0" distB="0" distL="0" distR="0" wp14:anchorId="0B37B48D" wp14:editId="73163639">
            <wp:extent cx="4902452" cy="3530781"/>
            <wp:effectExtent l="0" t="0" r="0" b="0"/>
            <wp:docPr id="1399279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79541" name=""/>
                    <pic:cNvPicPr/>
                  </pic:nvPicPr>
                  <pic:blipFill>
                    <a:blip r:embed="rId30"/>
                    <a:stretch>
                      <a:fillRect/>
                    </a:stretch>
                  </pic:blipFill>
                  <pic:spPr>
                    <a:xfrm>
                      <a:off x="0" y="0"/>
                      <a:ext cx="4902452" cy="3530781"/>
                    </a:xfrm>
                    <a:prstGeom prst="rect">
                      <a:avLst/>
                    </a:prstGeom>
                  </pic:spPr>
                </pic:pic>
              </a:graphicData>
            </a:graphic>
          </wp:inline>
        </w:drawing>
      </w:r>
    </w:p>
    <w:p w14:paraId="18E5B81F" w14:textId="77777777" w:rsidR="0041115E" w:rsidRPr="00DF64AB" w:rsidRDefault="0041115E" w:rsidP="0041115E">
      <w:pPr>
        <w:pStyle w:val="Heading4"/>
        <w:rPr>
          <w:rFonts w:cs="Arial"/>
        </w:rPr>
      </w:pPr>
      <w:bookmarkStart w:id="42" w:name="_Toc233286933"/>
      <w:r w:rsidRPr="00DF64AB">
        <w:rPr>
          <w:rFonts w:cs="Arial"/>
        </w:rPr>
        <w:t>Regulatory education for industry</w:t>
      </w:r>
      <w:bookmarkEnd w:id="42"/>
    </w:p>
    <w:p w14:paraId="629F5A26" w14:textId="68E026C9" w:rsidR="008271A0" w:rsidRPr="008D4C9A" w:rsidRDefault="008271A0" w:rsidP="008271A0">
      <w:pPr>
        <w:rPr>
          <w:rFonts w:ascii="Arial" w:hAnsi="Arial" w:cs="Arial"/>
        </w:rPr>
      </w:pPr>
      <w:r w:rsidRPr="00DF64AB">
        <w:rPr>
          <w:rFonts w:ascii="Arial" w:hAnsi="Arial" w:cs="Arial"/>
        </w:rPr>
        <w:t>The TGA provides regulatory education to market-entry applicants and information to Small and Medium Enterprises (SMEs) prior to market entry</w:t>
      </w:r>
      <w:r w:rsidR="003237A1">
        <w:rPr>
          <w:rFonts w:ascii="Arial" w:hAnsi="Arial" w:cs="Arial"/>
        </w:rPr>
        <w:t>,</w:t>
      </w:r>
      <w:r w:rsidRPr="00DF64AB">
        <w:rPr>
          <w:rFonts w:ascii="Arial" w:hAnsi="Arial" w:cs="Arial"/>
        </w:rPr>
        <w:t xml:space="preserve"> to minimise the risk and likelihood of non-compliance. </w:t>
      </w:r>
      <w:proofErr w:type="gramStart"/>
      <w:r w:rsidRPr="00DF64AB" w:rsidDel="00F074E6">
        <w:rPr>
          <w:rFonts w:ascii="Arial" w:hAnsi="Arial" w:cs="Arial"/>
        </w:rPr>
        <w:t>The majority of</w:t>
      </w:r>
      <w:proofErr w:type="gramEnd"/>
      <w:r w:rsidRPr="00DF64AB" w:rsidDel="00F074E6">
        <w:rPr>
          <w:rFonts w:ascii="Arial" w:hAnsi="Arial" w:cs="Arial"/>
        </w:rPr>
        <w:t xml:space="preserve"> stakeholders comply with regulatory requirements. </w:t>
      </w:r>
      <w:r w:rsidRPr="008D4C9A">
        <w:rPr>
          <w:rFonts w:ascii="Arial" w:hAnsi="Arial" w:cs="Arial"/>
        </w:rPr>
        <w:t>Through engagement with the TGA, stakeholders develop a clearer understanding of their regulatory obligations, supporting voluntary compliance and reducing the likelihood of non</w:t>
      </w:r>
      <w:r w:rsidRPr="008D4C9A">
        <w:rPr>
          <w:rFonts w:ascii="Arial" w:hAnsi="Arial" w:cs="Arial"/>
        </w:rPr>
        <w:noBreakHyphen/>
        <w:t>compliance.</w:t>
      </w:r>
    </w:p>
    <w:p w14:paraId="71DB0766" w14:textId="77777777" w:rsidR="0041115E" w:rsidRPr="00DF64AB" w:rsidRDefault="0041115E" w:rsidP="0041115E">
      <w:pPr>
        <w:pStyle w:val="Heading4"/>
        <w:rPr>
          <w:rFonts w:cs="Arial"/>
        </w:rPr>
      </w:pPr>
      <w:bookmarkStart w:id="43" w:name="_Toc233286934"/>
      <w:r w:rsidRPr="00DF64AB">
        <w:rPr>
          <w:rFonts w:cs="Arial"/>
        </w:rPr>
        <w:t>Prioritisation of compliance and enforcement matters</w:t>
      </w:r>
      <w:bookmarkEnd w:id="43"/>
    </w:p>
    <w:p w14:paraId="53186E90" w14:textId="28DBA371" w:rsidR="008271A0" w:rsidRPr="0074735D" w:rsidRDefault="008271A0" w:rsidP="008271A0">
      <w:pPr>
        <w:rPr>
          <w:rFonts w:ascii="Arial" w:hAnsi="Arial" w:cs="Arial"/>
        </w:rPr>
      </w:pPr>
      <w:r w:rsidRPr="00F82093">
        <w:rPr>
          <w:rFonts w:ascii="Arial" w:hAnsi="Arial" w:cs="Arial"/>
        </w:rPr>
        <w:t>The TGA takes all referrals and complaints seriously</w:t>
      </w:r>
      <w:r>
        <w:rPr>
          <w:rFonts w:ascii="Arial" w:hAnsi="Arial" w:cs="Arial"/>
        </w:rPr>
        <w:t xml:space="preserve"> and, c</w:t>
      </w:r>
      <w:r w:rsidRPr="00F82093">
        <w:rPr>
          <w:rFonts w:ascii="Arial" w:hAnsi="Arial" w:cs="Arial"/>
        </w:rPr>
        <w:t xml:space="preserve">onsistent with </w:t>
      </w:r>
      <w:r w:rsidR="0075312B">
        <w:rPr>
          <w:rFonts w:ascii="Arial" w:hAnsi="Arial" w:cs="Arial"/>
        </w:rPr>
        <w:t>the</w:t>
      </w:r>
      <w:r w:rsidR="0075312B" w:rsidRPr="00F82093">
        <w:rPr>
          <w:rFonts w:ascii="Arial" w:hAnsi="Arial" w:cs="Arial"/>
        </w:rPr>
        <w:t xml:space="preserve"> </w:t>
      </w:r>
      <w:r w:rsidRPr="00F82093">
        <w:rPr>
          <w:rFonts w:ascii="Arial" w:hAnsi="Arial" w:cs="Arial"/>
        </w:rPr>
        <w:t>Regulatory Compliance Framework</w:t>
      </w:r>
      <w:r>
        <w:rPr>
          <w:rFonts w:ascii="Arial" w:hAnsi="Arial" w:cs="Arial"/>
        </w:rPr>
        <w:t xml:space="preserve">, </w:t>
      </w:r>
      <w:r w:rsidRPr="00F82093">
        <w:rPr>
          <w:rFonts w:ascii="Arial" w:hAnsi="Arial" w:cs="Arial"/>
        </w:rPr>
        <w:t>assess</w:t>
      </w:r>
      <w:r w:rsidR="0075312B">
        <w:rPr>
          <w:rFonts w:ascii="Arial" w:hAnsi="Arial" w:cs="Arial"/>
        </w:rPr>
        <w:t>es</w:t>
      </w:r>
      <w:r w:rsidRPr="00F82093">
        <w:rPr>
          <w:rFonts w:ascii="Arial" w:hAnsi="Arial" w:cs="Arial"/>
        </w:rPr>
        <w:t xml:space="preserve"> and prioritise</w:t>
      </w:r>
      <w:r>
        <w:rPr>
          <w:rFonts w:ascii="Arial" w:hAnsi="Arial" w:cs="Arial"/>
        </w:rPr>
        <w:t>s</w:t>
      </w:r>
      <w:r w:rsidRPr="00F82093">
        <w:rPr>
          <w:rFonts w:ascii="Arial" w:hAnsi="Arial" w:cs="Arial"/>
        </w:rPr>
        <w:t xml:space="preserve"> compliance activities based on the level of risk and potential harm to public health.</w:t>
      </w:r>
      <w:r>
        <w:rPr>
          <w:rFonts w:ascii="Arial" w:hAnsi="Arial" w:cs="Arial"/>
        </w:rPr>
        <w:t xml:space="preserve"> While not </w:t>
      </w:r>
      <w:r w:rsidRPr="00DF64AB">
        <w:rPr>
          <w:rFonts w:ascii="Arial" w:hAnsi="Arial" w:cs="Arial"/>
        </w:rPr>
        <w:t xml:space="preserve">all matters </w:t>
      </w:r>
      <w:r>
        <w:rPr>
          <w:rFonts w:ascii="Arial" w:hAnsi="Arial" w:cs="Arial"/>
        </w:rPr>
        <w:t xml:space="preserve">can be pursued, a structured, </w:t>
      </w:r>
      <w:r w:rsidRPr="00DF64AB">
        <w:rPr>
          <w:rFonts w:ascii="Arial" w:hAnsi="Arial" w:cs="Arial"/>
        </w:rPr>
        <w:t>intelligence</w:t>
      </w:r>
      <w:r w:rsidR="003237A1">
        <w:rPr>
          <w:rFonts w:ascii="Arial" w:hAnsi="Arial" w:cs="Arial"/>
        </w:rPr>
        <w:t>-</w:t>
      </w:r>
      <w:r w:rsidRPr="00DF64AB">
        <w:rPr>
          <w:rFonts w:ascii="Arial" w:hAnsi="Arial" w:cs="Arial"/>
        </w:rPr>
        <w:t>led</w:t>
      </w:r>
      <w:r w:rsidR="003237A1">
        <w:rPr>
          <w:rFonts w:ascii="Arial" w:hAnsi="Arial" w:cs="Arial"/>
        </w:rPr>
        <w:t xml:space="preserve"> and</w:t>
      </w:r>
      <w:r w:rsidRPr="00DF64AB">
        <w:rPr>
          <w:rFonts w:ascii="Arial" w:hAnsi="Arial" w:cs="Arial"/>
        </w:rPr>
        <w:t xml:space="preserve"> risk-based </w:t>
      </w:r>
      <w:r>
        <w:rPr>
          <w:rFonts w:ascii="Arial" w:hAnsi="Arial" w:cs="Arial"/>
        </w:rPr>
        <w:t>f</w:t>
      </w:r>
      <w:r w:rsidRPr="0074735D">
        <w:rPr>
          <w:rFonts w:ascii="Arial" w:hAnsi="Arial" w:cs="Arial"/>
        </w:rPr>
        <w:t>ramework is applied to ensure resources are directed to areas of greatest impact.</w:t>
      </w:r>
      <w:r w:rsidRPr="0074735D">
        <w:rPr>
          <w:rFonts w:ascii="Segoe UI" w:eastAsia="Times New Roman" w:hAnsi="Segoe UI" w:cs="Segoe UI"/>
          <w:sz w:val="21"/>
          <w:szCs w:val="21"/>
          <w:lang w:eastAsia="en-AU"/>
        </w:rPr>
        <w:t xml:space="preserve"> </w:t>
      </w:r>
      <w:r w:rsidRPr="0074735D">
        <w:rPr>
          <w:rFonts w:ascii="Arial" w:hAnsi="Arial" w:cs="Arial"/>
        </w:rPr>
        <w:t>These prioritisation processes support consistent decision</w:t>
      </w:r>
      <w:r w:rsidR="00331658">
        <w:rPr>
          <w:rFonts w:ascii="Arial" w:hAnsi="Arial" w:cs="Arial"/>
        </w:rPr>
        <w:t xml:space="preserve"> </w:t>
      </w:r>
      <w:r w:rsidRPr="0074735D">
        <w:rPr>
          <w:rFonts w:ascii="Arial" w:hAnsi="Arial" w:cs="Arial"/>
        </w:rPr>
        <w:t>making across compliance activities.</w:t>
      </w:r>
    </w:p>
    <w:p w14:paraId="473EB706" w14:textId="77777777" w:rsidR="008271A0" w:rsidRPr="00DF64AB" w:rsidRDefault="008271A0" w:rsidP="008271A0">
      <w:pPr>
        <w:rPr>
          <w:rFonts w:ascii="Arial" w:hAnsi="Arial" w:cs="Arial"/>
        </w:rPr>
      </w:pPr>
      <w:r w:rsidRPr="00DF64AB">
        <w:rPr>
          <w:rFonts w:ascii="Arial" w:hAnsi="Arial" w:cs="Arial"/>
        </w:rPr>
        <w:t>In deciding on a course of action the following will generally be considered:</w:t>
      </w:r>
    </w:p>
    <w:p w14:paraId="4C00389F" w14:textId="77777777"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seriousness of the alleged non-compliance and failure to follow the regulatory requirements</w:t>
      </w:r>
    </w:p>
    <w:p w14:paraId="3F8904A1" w14:textId="77777777"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risk of harm or injury related to a product itself, including the way in which a product is used or being promoted for use</w:t>
      </w:r>
    </w:p>
    <w:p w14:paraId="0683584D" w14:textId="77777777"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indirect risk of harm from reliance on misleading or inaccurate information in lieu of seeking professional health care advice and treatment</w:t>
      </w:r>
    </w:p>
    <w:p w14:paraId="77DF4435" w14:textId="15654279"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compliance history and behaviour of the responsible person or business</w:t>
      </w:r>
      <w:r w:rsidR="0003541C">
        <w:rPr>
          <w:rFonts w:eastAsiaTheme="minorHAnsi" w:cs="Arial"/>
          <w:color w:val="auto"/>
        </w:rPr>
        <w:t>, and</w:t>
      </w:r>
    </w:p>
    <w:p w14:paraId="4B4894F9" w14:textId="0D19ECC9"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level of compliance of the industry sector.</w:t>
      </w:r>
    </w:p>
    <w:p w14:paraId="3A87E7B4" w14:textId="369DA07B" w:rsidR="008271A0" w:rsidRPr="005C433B" w:rsidRDefault="008271A0" w:rsidP="008271A0">
      <w:pPr>
        <w:rPr>
          <w:rFonts w:ascii="Arial" w:hAnsi="Arial" w:cs="Arial"/>
        </w:rPr>
      </w:pPr>
      <w:r w:rsidRPr="00DF64AB">
        <w:rPr>
          <w:rFonts w:ascii="Arial" w:hAnsi="Arial" w:cs="Arial"/>
        </w:rPr>
        <w:t xml:space="preserve">Compliance actions aim to </w:t>
      </w:r>
      <w:r w:rsidRPr="008271A0">
        <w:rPr>
          <w:rFonts w:ascii="Arial" w:hAnsi="Arial" w:cs="Arial"/>
        </w:rPr>
        <w:t>address unsafe or non-compliant goods and maintain confidence in the regulatory system</w:t>
      </w:r>
      <w:r w:rsidRPr="005C433B">
        <w:rPr>
          <w:rFonts w:ascii="Arial" w:hAnsi="Arial" w:cs="Arial"/>
        </w:rPr>
        <w:t>.</w:t>
      </w:r>
    </w:p>
    <w:p w14:paraId="0AD0B6AA" w14:textId="77777777" w:rsidR="008271A0" w:rsidRPr="005C433B" w:rsidRDefault="008271A0" w:rsidP="008271A0">
      <w:pPr>
        <w:rPr>
          <w:rFonts w:ascii="Arial" w:hAnsi="Arial" w:cs="Arial"/>
        </w:rPr>
      </w:pPr>
      <w:r w:rsidRPr="005C433B">
        <w:rPr>
          <w:rFonts w:ascii="Arial" w:hAnsi="Arial" w:cs="Arial"/>
        </w:rPr>
        <w:t>Compliance efforts are directed toward high-risk products, behaviours and sectors, including emerging risks and areas of low voluntary compliance, ensuring an agile and timely response to high-impact issues.</w:t>
      </w:r>
    </w:p>
    <w:p w14:paraId="51902ABB" w14:textId="77777777" w:rsidR="0041115E" w:rsidRPr="00DF64AB" w:rsidRDefault="0041115E" w:rsidP="0041115E">
      <w:pPr>
        <w:pStyle w:val="Heading4"/>
        <w:spacing w:before="240"/>
        <w:rPr>
          <w:rFonts w:cs="Arial"/>
        </w:rPr>
      </w:pPr>
      <w:bookmarkStart w:id="44" w:name="_Toc233286935"/>
      <w:r w:rsidRPr="00DF64AB">
        <w:rPr>
          <w:rFonts w:cs="Arial"/>
        </w:rPr>
        <w:lastRenderedPageBreak/>
        <w:t>Other agencies</w:t>
      </w:r>
      <w:bookmarkEnd w:id="44"/>
    </w:p>
    <w:p w14:paraId="58A09C99" w14:textId="02C58CFF" w:rsidR="008271A0" w:rsidRPr="0058127E" w:rsidRDefault="008271A0" w:rsidP="008271A0">
      <w:pPr>
        <w:rPr>
          <w:rFonts w:ascii="Arial" w:hAnsi="Arial" w:cs="Arial"/>
        </w:rPr>
      </w:pPr>
      <w:r>
        <w:rPr>
          <w:rFonts w:ascii="Arial" w:hAnsi="Arial" w:cs="Arial"/>
        </w:rPr>
        <w:t>T</w:t>
      </w:r>
      <w:r w:rsidRPr="00DF64AB">
        <w:rPr>
          <w:rFonts w:ascii="Arial" w:hAnsi="Arial" w:cs="Arial"/>
        </w:rPr>
        <w:t xml:space="preserve">he TGA works with </w:t>
      </w:r>
      <w:r w:rsidRPr="00CE6E45">
        <w:rPr>
          <w:rFonts w:ascii="Arial" w:hAnsi="Arial" w:cs="Arial"/>
        </w:rPr>
        <w:t xml:space="preserve">domestic and international partners where appropriate to support </w:t>
      </w:r>
      <w:r w:rsidRPr="00DF64AB">
        <w:rPr>
          <w:rFonts w:ascii="Arial" w:hAnsi="Arial" w:cs="Arial"/>
        </w:rPr>
        <w:t xml:space="preserve">its monitoring and compliance functions. </w:t>
      </w:r>
      <w:r w:rsidRPr="008271A0">
        <w:rPr>
          <w:rFonts w:ascii="Arial" w:hAnsi="Arial" w:cs="Arial"/>
        </w:rPr>
        <w:t xml:space="preserve">This includes </w:t>
      </w:r>
      <w:r>
        <w:rPr>
          <w:rFonts w:ascii="Arial" w:hAnsi="Arial" w:cs="Arial"/>
        </w:rPr>
        <w:t>r</w:t>
      </w:r>
      <w:r w:rsidRPr="00800ABB">
        <w:rPr>
          <w:rFonts w:ascii="Arial" w:hAnsi="Arial" w:cs="Arial"/>
        </w:rPr>
        <w:t>egulatory, border and law enforcement agencie</w:t>
      </w:r>
      <w:r>
        <w:rPr>
          <w:rFonts w:ascii="Arial" w:hAnsi="Arial" w:cs="Arial"/>
        </w:rPr>
        <w:t xml:space="preserve">s and supports coordinated responses, </w:t>
      </w:r>
      <w:r w:rsidRPr="008271A0">
        <w:rPr>
          <w:rFonts w:ascii="Arial" w:hAnsi="Arial" w:cs="Arial"/>
        </w:rPr>
        <w:t xml:space="preserve">information sharing and joint investigations </w:t>
      </w:r>
      <w:r>
        <w:rPr>
          <w:rFonts w:ascii="Arial" w:hAnsi="Arial" w:cs="Arial"/>
        </w:rPr>
        <w:t>to address complex or jurisdictional risks</w:t>
      </w:r>
      <w:r w:rsidRPr="0058127E">
        <w:rPr>
          <w:rFonts w:ascii="Arial" w:hAnsi="Arial" w:cs="Arial"/>
        </w:rPr>
        <w:t>.</w:t>
      </w:r>
    </w:p>
    <w:p w14:paraId="5C4D1833" w14:textId="77777777" w:rsidR="0041115E" w:rsidRPr="00DF64AB" w:rsidRDefault="0041115E" w:rsidP="0041115E">
      <w:pPr>
        <w:pStyle w:val="Heading4"/>
        <w:spacing w:before="240"/>
        <w:rPr>
          <w:rFonts w:cs="Arial"/>
        </w:rPr>
      </w:pPr>
      <w:bookmarkStart w:id="45" w:name="_Toc233286936"/>
      <w:r w:rsidRPr="00DF64AB">
        <w:rPr>
          <w:rFonts w:cs="Arial"/>
        </w:rPr>
        <w:t>Therapeutic Goods Advertising</w:t>
      </w:r>
      <w:bookmarkEnd w:id="45"/>
    </w:p>
    <w:p w14:paraId="45CCCE21" w14:textId="1E10A14E" w:rsidR="008271A0" w:rsidRPr="00DF64AB" w:rsidRDefault="008271A0" w:rsidP="008271A0">
      <w:pPr>
        <w:rPr>
          <w:rFonts w:ascii="Arial" w:hAnsi="Arial" w:cs="Arial"/>
        </w:rPr>
      </w:pPr>
      <w:r w:rsidRPr="00DF64AB">
        <w:rPr>
          <w:rFonts w:ascii="Arial" w:hAnsi="Arial" w:cs="Arial"/>
        </w:rPr>
        <w:t xml:space="preserve">From 1 July 2018, the TGA became the single body responsible for handling complaints about therapeutic goods advertising to the public. It considers complaints about advertisements for medicines, medical devices and other therapeutic goods </w:t>
      </w:r>
      <w:r>
        <w:rPr>
          <w:rFonts w:ascii="Arial" w:hAnsi="Arial" w:cs="Arial"/>
        </w:rPr>
        <w:t>across a range of media, including</w:t>
      </w:r>
      <w:r w:rsidRPr="00DF64AB">
        <w:rPr>
          <w:rFonts w:ascii="Arial" w:hAnsi="Arial" w:cs="Arial"/>
        </w:rPr>
        <w:t xml:space="preserve"> broadcast and mainstream print media, billboards, cinema films, and the internet.</w:t>
      </w:r>
    </w:p>
    <w:p w14:paraId="5D0C9C6E" w14:textId="2F2F3FA0" w:rsidR="008271A0" w:rsidRPr="0000730A" w:rsidRDefault="008271A0" w:rsidP="008271A0">
      <w:pPr>
        <w:rPr>
          <w:rFonts w:ascii="Arial" w:hAnsi="Arial" w:cs="Arial"/>
        </w:rPr>
      </w:pPr>
      <w:r w:rsidRPr="00DF64AB">
        <w:rPr>
          <w:rFonts w:ascii="Arial" w:hAnsi="Arial" w:cs="Arial"/>
        </w:rPr>
        <w:t>Where a complaint about a product advertisement is received, the TGA will assess the validity of the complaint and, if necessary, ensure that</w:t>
      </w:r>
      <w:r>
        <w:rPr>
          <w:rFonts w:ascii="Arial" w:hAnsi="Arial" w:cs="Arial"/>
        </w:rPr>
        <w:t xml:space="preserve"> </w:t>
      </w:r>
      <w:r w:rsidRPr="0000730A">
        <w:rPr>
          <w:rFonts w:ascii="Arial" w:hAnsi="Arial" w:cs="Arial"/>
        </w:rPr>
        <w:t>a</w:t>
      </w:r>
      <w:r w:rsidRPr="008271A0">
        <w:rPr>
          <w:rFonts w:ascii="Arial" w:hAnsi="Arial" w:cs="Arial"/>
        </w:rPr>
        <w:t>ppropriate corrective and compliance action is taken</w:t>
      </w:r>
      <w:r w:rsidRPr="0000730A">
        <w:rPr>
          <w:rFonts w:ascii="Arial" w:hAnsi="Arial" w:cs="Arial"/>
        </w:rPr>
        <w:t>.</w:t>
      </w:r>
    </w:p>
    <w:p w14:paraId="301E055D" w14:textId="77777777" w:rsidR="0041115E" w:rsidRPr="00DF64AB" w:rsidRDefault="0041115E" w:rsidP="0041115E">
      <w:pPr>
        <w:pStyle w:val="Heading4"/>
        <w:spacing w:before="240"/>
        <w:rPr>
          <w:rFonts w:cs="Arial"/>
        </w:rPr>
      </w:pPr>
      <w:bookmarkStart w:id="46" w:name="_Toc233286937"/>
      <w:r w:rsidRPr="00DF64AB">
        <w:rPr>
          <w:rFonts w:cs="Arial"/>
        </w:rPr>
        <w:t>Advertising Education</w:t>
      </w:r>
      <w:bookmarkEnd w:id="46"/>
    </w:p>
    <w:p w14:paraId="549B5477" w14:textId="03828612" w:rsidR="008271A0" w:rsidRPr="001F3939" w:rsidRDefault="008271A0" w:rsidP="008271A0">
      <w:pPr>
        <w:rPr>
          <w:rFonts w:ascii="Arial" w:hAnsi="Arial" w:cs="Arial"/>
        </w:rPr>
      </w:pPr>
      <w:r w:rsidRPr="008271A0">
        <w:rPr>
          <w:rFonts w:ascii="Arial" w:hAnsi="Arial" w:cs="Arial"/>
        </w:rPr>
        <w:t>The TGA provides education to advertisers, consumers, health professionals and industry to promote voluntary compliance with advertising requirements</w:t>
      </w:r>
      <w:r w:rsidRPr="00A3087B">
        <w:rPr>
          <w:rFonts w:ascii="Arial" w:hAnsi="Arial" w:cs="Arial"/>
        </w:rPr>
        <w:t>.</w:t>
      </w:r>
      <w:r w:rsidRPr="001F3939">
        <w:rPr>
          <w:rFonts w:ascii="Segoe UI" w:eastAsia="Times New Roman" w:hAnsi="Segoe UI" w:cs="Segoe UI"/>
          <w:b/>
          <w:bCs/>
          <w:sz w:val="21"/>
          <w:szCs w:val="21"/>
          <w:lang w:eastAsia="en-AU"/>
        </w:rPr>
        <w:t xml:space="preserve"> </w:t>
      </w:r>
      <w:r w:rsidRPr="008271A0">
        <w:rPr>
          <w:rFonts w:ascii="Segoe UI" w:eastAsia="Times New Roman" w:hAnsi="Segoe UI" w:cs="Segoe UI"/>
          <w:sz w:val="21"/>
          <w:szCs w:val="21"/>
          <w:lang w:eastAsia="en-AU"/>
        </w:rPr>
        <w:t>T</w:t>
      </w:r>
      <w:r w:rsidRPr="008271A0">
        <w:rPr>
          <w:rFonts w:ascii="Arial" w:hAnsi="Arial" w:cs="Arial"/>
        </w:rPr>
        <w:t>hese activities support understanding of obligations and contribute to improved compliance outcomes</w:t>
      </w:r>
      <w:r w:rsidRPr="001F3939">
        <w:rPr>
          <w:rFonts w:ascii="Arial" w:hAnsi="Arial" w:cs="Arial"/>
        </w:rPr>
        <w:t>.</w:t>
      </w:r>
    </w:p>
    <w:p w14:paraId="4CEE0B44" w14:textId="77777777" w:rsidR="008271A0" w:rsidRPr="00DF64AB" w:rsidRDefault="008271A0" w:rsidP="008271A0">
      <w:pPr>
        <w:rPr>
          <w:rFonts w:ascii="Arial" w:hAnsi="Arial" w:cs="Arial"/>
        </w:rPr>
      </w:pPr>
      <w:r w:rsidRPr="00DF64AB">
        <w:rPr>
          <w:rFonts w:ascii="Arial" w:hAnsi="Arial" w:cs="Arial"/>
        </w:rPr>
        <w:t>Education activities assist advertisers to apply the advertising requirements by providing information that:</w:t>
      </w:r>
    </w:p>
    <w:p w14:paraId="63331B00" w14:textId="77777777"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raises awareness of their legal obligations</w:t>
      </w:r>
    </w:p>
    <w:p w14:paraId="3A9FAD09" w14:textId="6AEF43ED"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ab/>
        <w:t>helps advertisers understand how to comply and meet their obligations</w:t>
      </w:r>
      <w:r w:rsidR="0003541C">
        <w:rPr>
          <w:rFonts w:eastAsiaTheme="minorHAnsi" w:cs="Arial"/>
          <w:color w:val="auto"/>
        </w:rPr>
        <w:t>, and</w:t>
      </w:r>
    </w:p>
    <w:p w14:paraId="1ABE0A8A" w14:textId="77777777" w:rsidR="008271A0" w:rsidRPr="00DF64AB" w:rsidRDefault="008271A0" w:rsidP="008271A0">
      <w:pPr>
        <w:pStyle w:val="ListBullet"/>
        <w:spacing w:after="120"/>
        <w:ind w:left="709" w:hanging="425"/>
        <w:rPr>
          <w:rFonts w:eastAsiaTheme="minorHAnsi" w:cs="Arial"/>
          <w:color w:val="auto"/>
        </w:rPr>
      </w:pPr>
      <w:r w:rsidRPr="00DF64AB">
        <w:rPr>
          <w:rFonts w:eastAsiaTheme="minorHAnsi" w:cs="Arial"/>
          <w:color w:val="auto"/>
        </w:rPr>
        <w:tab/>
        <w:t>keeps advertisers updated on changes to the requirements.</w:t>
      </w:r>
    </w:p>
    <w:p w14:paraId="4F076F23" w14:textId="77777777" w:rsidR="009725BB" w:rsidRPr="00DF64AB" w:rsidRDefault="009725BB" w:rsidP="009725BB">
      <w:pPr>
        <w:pStyle w:val="Heading3"/>
        <w:spacing w:before="240"/>
        <w:rPr>
          <w:rFonts w:cs="Arial"/>
        </w:rPr>
      </w:pPr>
      <w:bookmarkStart w:id="47" w:name="_Toc169081974"/>
      <w:bookmarkStart w:id="48" w:name="_Toc233286938"/>
      <w:r w:rsidRPr="00DF64AB">
        <w:rPr>
          <w:rFonts w:cs="Arial"/>
        </w:rPr>
        <w:t>C: Regulation of manufacturers of therapeutic goods</w:t>
      </w:r>
      <w:bookmarkEnd w:id="47"/>
      <w:bookmarkEnd w:id="48"/>
    </w:p>
    <w:p w14:paraId="6B3F79A3" w14:textId="77777777" w:rsidR="009725BB" w:rsidRPr="00DF64AB" w:rsidRDefault="009725BB" w:rsidP="009725BB">
      <w:pPr>
        <w:pStyle w:val="Heading4"/>
        <w:spacing w:before="240"/>
        <w:rPr>
          <w:rFonts w:cs="Arial"/>
        </w:rPr>
      </w:pPr>
      <w:bookmarkStart w:id="49" w:name="_Toc233286939"/>
      <w:r w:rsidRPr="00DF64AB">
        <w:rPr>
          <w:rFonts w:cs="Arial"/>
        </w:rPr>
        <w:t>Good manufacturing practice</w:t>
      </w:r>
      <w:bookmarkEnd w:id="49"/>
    </w:p>
    <w:p w14:paraId="7A5B47A9" w14:textId="6D52D0E6" w:rsidR="00B12809" w:rsidRPr="00DF64AB" w:rsidRDefault="00B12809" w:rsidP="00B12809">
      <w:pPr>
        <w:rPr>
          <w:rFonts w:ascii="Arial" w:hAnsi="Arial" w:cs="Arial"/>
        </w:rPr>
      </w:pPr>
      <w:r w:rsidRPr="00DF64AB">
        <w:rPr>
          <w:rFonts w:ascii="Arial" w:hAnsi="Arial" w:cs="Arial"/>
        </w:rPr>
        <w:t xml:space="preserve">Australian manufacturers of medicines, blood and biological therapeutic goods are required to hold a GMP licence. To obtain the licence, a manufacturer must demonstrate that they </w:t>
      </w:r>
      <w:proofErr w:type="gramStart"/>
      <w:r w:rsidRPr="00DF64AB">
        <w:rPr>
          <w:rFonts w:ascii="Arial" w:hAnsi="Arial" w:cs="Arial"/>
        </w:rPr>
        <w:t>have the ability to</w:t>
      </w:r>
      <w:proofErr w:type="gramEnd"/>
      <w:r w:rsidRPr="00DF64AB">
        <w:rPr>
          <w:rFonts w:ascii="Arial" w:hAnsi="Arial" w:cs="Arial"/>
        </w:rPr>
        <w:t xml:space="preserve"> comply with the relevant Codes of GMP, and appropriate facilities to manufacture safely. Overseas manufacturers of therapeutic goods supplied to Australia must provide evidence of compliance with equivalent GMP standards or otherwise undergo on-site inspections in the same manner as manufacturers based in Australia.</w:t>
      </w:r>
    </w:p>
    <w:p w14:paraId="1AD90DF7" w14:textId="582250C5" w:rsidR="00B12809" w:rsidRPr="00DF64AB" w:rsidRDefault="00B12809" w:rsidP="00B12809">
      <w:pPr>
        <w:rPr>
          <w:rFonts w:ascii="Arial" w:hAnsi="Arial" w:cs="Arial"/>
        </w:rPr>
      </w:pPr>
      <w:r w:rsidRPr="00DF64AB">
        <w:rPr>
          <w:rFonts w:ascii="Arial" w:hAnsi="Arial" w:cs="Arial"/>
        </w:rPr>
        <w:t>GMP is a generally accepted term internationally</w:t>
      </w:r>
      <w:r w:rsidR="009B64C6">
        <w:rPr>
          <w:rFonts w:ascii="Arial" w:hAnsi="Arial" w:cs="Arial"/>
        </w:rPr>
        <w:t xml:space="preserve">, describing </w:t>
      </w:r>
      <w:r w:rsidRPr="00DF64AB">
        <w:rPr>
          <w:rFonts w:ascii="Arial" w:hAnsi="Arial" w:cs="Arial"/>
        </w:rPr>
        <w:t>a set of principles and procedures that, when followed by manufacturers of medicines and biologicals, helps to ensure that the products manufactured will possess the required quality.</w:t>
      </w:r>
    </w:p>
    <w:p w14:paraId="76CF1CA6" w14:textId="77777777" w:rsidR="009725BB" w:rsidRPr="00DF64AB" w:rsidRDefault="009725BB" w:rsidP="009725BB">
      <w:pPr>
        <w:pStyle w:val="Heading4"/>
        <w:spacing w:before="240"/>
        <w:rPr>
          <w:rFonts w:cs="Arial"/>
        </w:rPr>
      </w:pPr>
      <w:bookmarkStart w:id="50" w:name="_Toc233286940"/>
      <w:r w:rsidRPr="00DF64AB">
        <w:rPr>
          <w:rFonts w:cs="Arial"/>
        </w:rPr>
        <w:t>GMP related regulatory activities</w:t>
      </w:r>
      <w:bookmarkEnd w:id="50"/>
      <w:r w:rsidRPr="00DF64AB">
        <w:rPr>
          <w:rFonts w:cs="Arial"/>
        </w:rPr>
        <w:t xml:space="preserve"> </w:t>
      </w:r>
    </w:p>
    <w:p w14:paraId="09DB32DE" w14:textId="53A3E29D" w:rsidR="00853730" w:rsidRPr="00DF64AB" w:rsidRDefault="00853730" w:rsidP="00853730">
      <w:pPr>
        <w:pStyle w:val="Heading5"/>
        <w:rPr>
          <w:rFonts w:cs="Arial"/>
          <w:sz w:val="22"/>
          <w:szCs w:val="22"/>
        </w:rPr>
      </w:pPr>
      <w:r w:rsidRPr="00DF64AB">
        <w:rPr>
          <w:rFonts w:cs="Arial"/>
          <w:sz w:val="22"/>
          <w:szCs w:val="22"/>
        </w:rPr>
        <w:t>Licensing</w:t>
      </w:r>
    </w:p>
    <w:p w14:paraId="3A54F22E" w14:textId="77777777" w:rsidR="005B3DDA" w:rsidRPr="00DF64AB" w:rsidRDefault="005B3DDA" w:rsidP="005B3DDA">
      <w:pPr>
        <w:rPr>
          <w:rFonts w:ascii="Arial" w:hAnsi="Arial" w:cs="Arial"/>
        </w:rPr>
      </w:pPr>
      <w:r w:rsidRPr="00DF64AB">
        <w:rPr>
          <w:rFonts w:ascii="Arial" w:hAnsi="Arial" w:cs="Arial"/>
        </w:rPr>
        <w:t>The TGA usually undertakes inspections of Australian manufacturers prior to the issue of a licence to ensure that the manufacturer can comply with the manufacturing principles set under the Act and has suitable premises to undertake the proposed manufacturing steps. Inspections may be conducted on-site or remotely. The extent of the inspection depends on the size and complexity of the manufacturing processes.</w:t>
      </w:r>
    </w:p>
    <w:p w14:paraId="67DBAEB2" w14:textId="77777777" w:rsidR="005B3DDA" w:rsidRPr="00DF64AB" w:rsidRDefault="005B3DDA" w:rsidP="005B3DDA">
      <w:pPr>
        <w:rPr>
          <w:rFonts w:ascii="Arial" w:hAnsi="Arial" w:cs="Arial"/>
        </w:rPr>
      </w:pPr>
      <w:r w:rsidRPr="00DF64AB">
        <w:rPr>
          <w:rFonts w:ascii="Arial" w:hAnsi="Arial" w:cs="Arial"/>
        </w:rPr>
        <w:t>The TGA participates in international harmonisation activities to ensure that GMP requirements applied in Australia are best practice.</w:t>
      </w:r>
    </w:p>
    <w:p w14:paraId="2102E983" w14:textId="77777777" w:rsidR="00853730" w:rsidRPr="00DF64AB" w:rsidRDefault="00853730" w:rsidP="00853730">
      <w:pPr>
        <w:pStyle w:val="Heading5"/>
        <w:rPr>
          <w:rFonts w:cs="Arial"/>
          <w:sz w:val="22"/>
          <w:szCs w:val="22"/>
        </w:rPr>
      </w:pPr>
      <w:r w:rsidRPr="00DF64AB">
        <w:rPr>
          <w:rFonts w:cs="Arial"/>
          <w:sz w:val="22"/>
          <w:szCs w:val="22"/>
        </w:rPr>
        <w:lastRenderedPageBreak/>
        <w:t>Monitoring GMP compliance</w:t>
      </w:r>
    </w:p>
    <w:p w14:paraId="7ED99FC9" w14:textId="246F2797" w:rsidR="009B3347" w:rsidRPr="00DF64AB" w:rsidRDefault="009B3347" w:rsidP="009B3347">
      <w:pPr>
        <w:rPr>
          <w:rFonts w:ascii="Arial" w:hAnsi="Arial" w:cs="Arial"/>
        </w:rPr>
      </w:pPr>
      <w:bookmarkStart w:id="51" w:name="_Toc169081975"/>
      <w:r w:rsidRPr="00DF64AB">
        <w:rPr>
          <w:rFonts w:ascii="Arial" w:hAnsi="Arial" w:cs="Arial"/>
        </w:rPr>
        <w:t xml:space="preserve">The TGA has an ongoing program </w:t>
      </w:r>
      <w:r w:rsidR="009B64C6">
        <w:rPr>
          <w:rFonts w:ascii="Arial" w:hAnsi="Arial" w:cs="Arial"/>
        </w:rPr>
        <w:t>to verify</w:t>
      </w:r>
      <w:r w:rsidRPr="00DF64AB">
        <w:rPr>
          <w:rFonts w:ascii="Arial" w:hAnsi="Arial" w:cs="Arial"/>
        </w:rPr>
        <w:t xml:space="preserve"> the suitability of manufacturers to produce therapeutic goods for supply in Australia. The TGA undertakes periodic planned and unplanned inspections of manufacturers to assess the level of compliance with the applicable manufacturing standards, both domestically and overseas. The level and frequency of inspections for a particular manufacturer is influenced by its size and complexity but also by its compliance history. </w:t>
      </w:r>
      <w:proofErr w:type="gramStart"/>
      <w:r w:rsidRPr="00DF64AB">
        <w:rPr>
          <w:rFonts w:ascii="Arial" w:hAnsi="Arial" w:cs="Arial"/>
        </w:rPr>
        <w:t>In particular, manufacturers</w:t>
      </w:r>
      <w:proofErr w:type="gramEnd"/>
      <w:r w:rsidRPr="00DF64AB">
        <w:rPr>
          <w:rFonts w:ascii="Arial" w:hAnsi="Arial" w:cs="Arial"/>
        </w:rPr>
        <w:t xml:space="preserve"> with a history of lower levels of compliance are subject to a higher frequency of on-site inspections, compared with more compliant manufacturers</w:t>
      </w:r>
      <w:r w:rsidR="008A5B64" w:rsidRPr="00DF64AB">
        <w:rPr>
          <w:rFonts w:ascii="Arial" w:hAnsi="Arial" w:cs="Arial"/>
        </w:rPr>
        <w:t>.</w:t>
      </w:r>
      <w:r w:rsidRPr="00DF64AB">
        <w:rPr>
          <w:rFonts w:ascii="Arial" w:hAnsi="Arial" w:cs="Arial"/>
        </w:rPr>
        <w:t xml:space="preserve"> </w:t>
      </w:r>
      <w:r w:rsidR="00A7447F" w:rsidRPr="00DF64AB">
        <w:rPr>
          <w:rFonts w:ascii="Arial" w:hAnsi="Arial" w:cs="Arial"/>
        </w:rPr>
        <w:t xml:space="preserve">This </w:t>
      </w:r>
      <w:r w:rsidRPr="00DF64AB">
        <w:rPr>
          <w:rFonts w:ascii="Arial" w:hAnsi="Arial" w:cs="Arial"/>
        </w:rPr>
        <w:t>help</w:t>
      </w:r>
      <w:r w:rsidR="0075312B">
        <w:rPr>
          <w:rFonts w:ascii="Arial" w:hAnsi="Arial" w:cs="Arial"/>
        </w:rPr>
        <w:t>s to</w:t>
      </w:r>
      <w:r w:rsidRPr="00DF64AB">
        <w:rPr>
          <w:rFonts w:ascii="Arial" w:hAnsi="Arial" w:cs="Arial"/>
        </w:rPr>
        <w:t xml:space="preserve"> ensure that therapeutic goods supplied in Australia are of appropriate quality and allow</w:t>
      </w:r>
      <w:r w:rsidR="0075312B">
        <w:rPr>
          <w:rFonts w:ascii="Arial" w:hAnsi="Arial" w:cs="Arial"/>
        </w:rPr>
        <w:t>s</w:t>
      </w:r>
      <w:r w:rsidRPr="00DF64AB">
        <w:rPr>
          <w:rFonts w:ascii="Arial" w:hAnsi="Arial" w:cs="Arial"/>
        </w:rPr>
        <w:t xml:space="preserve"> TGA to take appropriate regulatory action where safety concerns are identified.</w:t>
      </w:r>
    </w:p>
    <w:p w14:paraId="1E8FC2BE" w14:textId="77777777" w:rsidR="00DE69AF" w:rsidRPr="00DF64AB" w:rsidRDefault="00DE69AF" w:rsidP="00DE69AF">
      <w:pPr>
        <w:pStyle w:val="Heading3"/>
        <w:rPr>
          <w:rFonts w:cs="Arial"/>
        </w:rPr>
      </w:pPr>
      <w:bookmarkStart w:id="52" w:name="_Toc233286941"/>
      <w:r w:rsidRPr="00DF64AB">
        <w:rPr>
          <w:rFonts w:cs="Arial"/>
        </w:rPr>
        <w:t>D: Clinical trials</w:t>
      </w:r>
      <w:bookmarkEnd w:id="51"/>
      <w:bookmarkEnd w:id="52"/>
    </w:p>
    <w:p w14:paraId="0C2EB87C" w14:textId="7CE749F9" w:rsidR="00DE69AF" w:rsidRPr="00DF64AB" w:rsidRDefault="00DE69AF" w:rsidP="00DE69AF">
      <w:pPr>
        <w:rPr>
          <w:rFonts w:ascii="Arial" w:hAnsi="Arial" w:cs="Arial"/>
        </w:rPr>
      </w:pPr>
      <w:r w:rsidRPr="00DF64AB">
        <w:rPr>
          <w:rFonts w:ascii="Arial" w:hAnsi="Arial" w:cs="Arial"/>
        </w:rPr>
        <w:t xml:space="preserve">The TGA is responsible for </w:t>
      </w:r>
      <w:r w:rsidR="003A1C84" w:rsidRPr="00DF64AB">
        <w:rPr>
          <w:rFonts w:ascii="Arial" w:hAnsi="Arial" w:cs="Arial"/>
        </w:rPr>
        <w:t xml:space="preserve">2 </w:t>
      </w:r>
      <w:r w:rsidRPr="00DF64AB">
        <w:rPr>
          <w:rFonts w:ascii="Arial" w:hAnsi="Arial" w:cs="Arial"/>
        </w:rPr>
        <w:t xml:space="preserve">schemes </w:t>
      </w:r>
      <w:r w:rsidR="009B64C6">
        <w:rPr>
          <w:rFonts w:ascii="Arial" w:hAnsi="Arial" w:cs="Arial"/>
        </w:rPr>
        <w:t>providing</w:t>
      </w:r>
      <w:r w:rsidR="00B25E12" w:rsidRPr="00DF64AB">
        <w:rPr>
          <w:rFonts w:ascii="Arial" w:hAnsi="Arial" w:cs="Arial"/>
        </w:rPr>
        <w:t xml:space="preserve"> </w:t>
      </w:r>
      <w:r w:rsidRPr="00DF64AB">
        <w:rPr>
          <w:rFonts w:ascii="Arial" w:hAnsi="Arial" w:cs="Arial"/>
        </w:rPr>
        <w:t>access to unapproved medicines, biologicals and medical devices for patients participating in a clinical trial:</w:t>
      </w:r>
    </w:p>
    <w:p w14:paraId="77682F21" w14:textId="438C442A" w:rsidR="00DE69AF" w:rsidRPr="00DF64AB" w:rsidRDefault="00DE69AF" w:rsidP="006D31C0">
      <w:pPr>
        <w:pStyle w:val="ListBullet"/>
        <w:numPr>
          <w:ilvl w:val="0"/>
          <w:numId w:val="8"/>
        </w:numPr>
        <w:spacing w:after="120"/>
        <w:rPr>
          <w:rFonts w:cs="Arial"/>
          <w:color w:val="auto"/>
        </w:rPr>
      </w:pPr>
      <w:r w:rsidRPr="00DF64AB">
        <w:rPr>
          <w:rFonts w:cs="Arial"/>
          <w:b/>
          <w:bCs/>
          <w:color w:val="auto"/>
        </w:rPr>
        <w:t>CTN Scheme</w:t>
      </w:r>
      <w:r w:rsidR="00FA6684" w:rsidRPr="00DF64AB">
        <w:rPr>
          <w:rFonts w:cs="Arial"/>
          <w:color w:val="auto"/>
        </w:rPr>
        <w:t xml:space="preserve"> </w:t>
      </w:r>
      <w:r w:rsidRPr="00DF64AB">
        <w:rPr>
          <w:rFonts w:cs="Arial"/>
          <w:color w:val="auto"/>
        </w:rPr>
        <w:t>involves a notification only with a notification fee</w:t>
      </w:r>
      <w:r w:rsidR="00B25E12">
        <w:rPr>
          <w:rFonts w:cs="Arial"/>
          <w:color w:val="auto"/>
        </w:rPr>
        <w:t>. No</w:t>
      </w:r>
      <w:r w:rsidRPr="00DF64AB">
        <w:rPr>
          <w:rFonts w:cs="Arial"/>
          <w:color w:val="auto"/>
        </w:rPr>
        <w:t xml:space="preserve"> approval or decision is made by the TGA</w:t>
      </w:r>
      <w:r w:rsidR="00B25E12">
        <w:rPr>
          <w:rFonts w:cs="Arial"/>
          <w:color w:val="auto"/>
        </w:rPr>
        <w:t xml:space="preserve"> under this scheme</w:t>
      </w:r>
    </w:p>
    <w:p w14:paraId="72E50D21" w14:textId="19D8BCC7" w:rsidR="00DE69AF" w:rsidRPr="00DF64AB" w:rsidRDefault="00DE69AF" w:rsidP="006D31C0">
      <w:pPr>
        <w:pStyle w:val="ListBullet"/>
        <w:numPr>
          <w:ilvl w:val="0"/>
          <w:numId w:val="8"/>
        </w:numPr>
        <w:rPr>
          <w:rFonts w:cs="Arial"/>
          <w:color w:val="auto"/>
        </w:rPr>
      </w:pPr>
      <w:r w:rsidRPr="00DF64AB">
        <w:rPr>
          <w:rFonts w:cs="Arial"/>
          <w:b/>
          <w:bCs/>
          <w:color w:val="auto"/>
        </w:rPr>
        <w:t>CTA Scheme</w:t>
      </w:r>
      <w:r w:rsidR="00FA6684" w:rsidRPr="00DF64AB">
        <w:rPr>
          <w:rFonts w:cs="Arial"/>
          <w:color w:val="auto"/>
        </w:rPr>
        <w:t xml:space="preserve"> </w:t>
      </w:r>
      <w:r w:rsidRPr="00DF64AB">
        <w:rPr>
          <w:rFonts w:cs="Arial"/>
          <w:color w:val="auto"/>
        </w:rPr>
        <w:t>involves a sponsor applying to seek approval to supply 'unapproved' therapeutic goods in a clinical trial. Where there are changes to approved clinical trials, the sponsor is required to seek approval for these variations. The applications must be accompanied by the prescribed fee.</w:t>
      </w:r>
    </w:p>
    <w:p w14:paraId="0B3F30EE" w14:textId="519C62F7" w:rsidR="00D02B90" w:rsidRPr="00DF64AB" w:rsidRDefault="00DE69AF" w:rsidP="00E77EA2">
      <w:pPr>
        <w:pStyle w:val="ListBullet"/>
        <w:numPr>
          <w:ilvl w:val="0"/>
          <w:numId w:val="0"/>
        </w:numPr>
        <w:rPr>
          <w:rFonts w:eastAsia="Times New Roman" w:cs="Arial"/>
          <w:b/>
          <w:bCs/>
          <w:color w:val="001871"/>
          <w:sz w:val="38"/>
          <w:szCs w:val="38"/>
        </w:rPr>
      </w:pPr>
      <w:r w:rsidRPr="00DF64AB">
        <w:rPr>
          <w:rFonts w:cs="Arial"/>
          <w:color w:val="auto"/>
        </w:rPr>
        <w:t>The routine Good Clinical Practice (GCP) inspection program was implemented for medicines and biologicals in the 2021-22 financial year. The GCP program allows the TGA to verify compliance of clinical trial sites with Australian legislation and guidelines.  The program aims to strengthen the TGA’s monitoring activities and protect the safety and wellbeing of clinical trial participants.</w:t>
      </w:r>
      <w:bookmarkStart w:id="53" w:name="_Toc169081976"/>
    </w:p>
    <w:p w14:paraId="53E65A41" w14:textId="77777777" w:rsidR="00174C6C" w:rsidRDefault="00174C6C">
      <w:pPr>
        <w:rPr>
          <w:rFonts w:ascii="Arial" w:eastAsia="Times New Roman" w:hAnsi="Arial" w:cs="Arial"/>
          <w:b/>
          <w:bCs/>
          <w:color w:val="001871"/>
          <w:sz w:val="38"/>
          <w:szCs w:val="38"/>
        </w:rPr>
      </w:pPr>
      <w:r>
        <w:rPr>
          <w:rFonts w:cs="Arial"/>
          <w:sz w:val="38"/>
          <w:szCs w:val="38"/>
        </w:rPr>
        <w:br w:type="page"/>
      </w:r>
    </w:p>
    <w:p w14:paraId="6B927394" w14:textId="7D80DE8A" w:rsidR="0070117D" w:rsidRPr="00DF64AB" w:rsidRDefault="0070117D" w:rsidP="00891D42">
      <w:pPr>
        <w:pStyle w:val="Heading3"/>
        <w:rPr>
          <w:rFonts w:cs="Arial"/>
          <w:sz w:val="38"/>
          <w:szCs w:val="38"/>
        </w:rPr>
      </w:pPr>
      <w:bookmarkStart w:id="54" w:name="_Toc233286942"/>
      <w:r w:rsidRPr="00DF64AB">
        <w:rPr>
          <w:rFonts w:cs="Arial"/>
          <w:sz w:val="38"/>
          <w:szCs w:val="38"/>
        </w:rPr>
        <w:lastRenderedPageBreak/>
        <w:t>Design of cost recovery charges</w:t>
      </w:r>
      <w:bookmarkEnd w:id="53"/>
      <w:bookmarkEnd w:id="54"/>
    </w:p>
    <w:p w14:paraId="6C68E3F5" w14:textId="77777777" w:rsidR="0070117D" w:rsidRPr="00DF64AB" w:rsidRDefault="0070117D" w:rsidP="0070117D">
      <w:pPr>
        <w:pStyle w:val="Heading3"/>
        <w:rPr>
          <w:rFonts w:cs="Arial"/>
        </w:rPr>
      </w:pPr>
      <w:bookmarkStart w:id="55" w:name="_Toc169081977"/>
      <w:bookmarkStart w:id="56" w:name="_Toc233286943"/>
      <w:r w:rsidRPr="00DF64AB">
        <w:rPr>
          <w:rFonts w:cs="Arial"/>
        </w:rPr>
        <w:t>Costs of TGA activities</w:t>
      </w:r>
      <w:bookmarkEnd w:id="55"/>
      <w:bookmarkEnd w:id="56"/>
    </w:p>
    <w:p w14:paraId="0EFE1D20" w14:textId="36CFF8B7" w:rsidR="0070117D" w:rsidRPr="00DF64AB" w:rsidRDefault="0070117D" w:rsidP="0070117D">
      <w:pPr>
        <w:rPr>
          <w:rFonts w:ascii="Arial" w:hAnsi="Arial" w:cs="Arial"/>
        </w:rPr>
      </w:pPr>
      <w:r w:rsidRPr="00DF64AB">
        <w:rPr>
          <w:rFonts w:ascii="Arial" w:hAnsi="Arial" w:cs="Arial"/>
        </w:rPr>
        <w:t xml:space="preserve">In line with the Australian Government Charging Framework </w:t>
      </w:r>
      <w:r w:rsidR="00866980" w:rsidRPr="00DF64AB">
        <w:rPr>
          <w:rFonts w:ascii="Arial" w:hAnsi="Arial" w:cs="Arial"/>
        </w:rPr>
        <w:t>(AGCF)</w:t>
      </w:r>
      <w:r w:rsidR="009B64C6">
        <w:rPr>
          <w:rFonts w:ascii="Arial" w:hAnsi="Arial" w:cs="Arial"/>
        </w:rPr>
        <w:t>,</w:t>
      </w:r>
      <w:r w:rsidR="00866980" w:rsidRPr="00DF64AB">
        <w:rPr>
          <w:rFonts w:ascii="Arial" w:hAnsi="Arial" w:cs="Arial"/>
        </w:rPr>
        <w:t xml:space="preserve"> </w:t>
      </w:r>
      <w:r w:rsidRPr="00DF64AB">
        <w:rPr>
          <w:rFonts w:ascii="Arial" w:hAnsi="Arial" w:cs="Arial"/>
        </w:rPr>
        <w:t>costs are categorised into the following groups for cost allocation:</w:t>
      </w:r>
    </w:p>
    <w:p w14:paraId="45B0167D" w14:textId="50257725" w:rsidR="0070117D" w:rsidRPr="00DF64AB" w:rsidRDefault="0070117D" w:rsidP="00642091">
      <w:pPr>
        <w:pStyle w:val="Numberbullet2"/>
        <w:rPr>
          <w:rFonts w:cs="Arial"/>
          <w:color w:val="auto"/>
        </w:rPr>
      </w:pPr>
      <w:r w:rsidRPr="00DF64AB">
        <w:rPr>
          <w:rFonts w:cs="Arial"/>
          <w:b/>
          <w:color w:val="auto"/>
        </w:rPr>
        <w:t>Direct costs</w:t>
      </w:r>
      <w:r w:rsidRPr="00DF64AB">
        <w:rPr>
          <w:rFonts w:cs="Arial"/>
          <w:color w:val="auto"/>
        </w:rPr>
        <w:t xml:space="preserve"> can be easily traced to a cost object</w:t>
      </w:r>
      <w:r w:rsidRPr="00DF64AB">
        <w:rPr>
          <w:rStyle w:val="FootnoteReference"/>
          <w:rFonts w:cs="Arial"/>
          <w:color w:val="auto"/>
        </w:rPr>
        <w:footnoteReference w:id="3"/>
      </w:r>
      <w:r w:rsidRPr="00DF64AB">
        <w:rPr>
          <w:rFonts w:cs="Arial"/>
          <w:color w:val="auto"/>
        </w:rPr>
        <w:t xml:space="preserve"> with a high degree of accuracy. The allocation of direct costs to a cost object is relatively straightforward. The most common direct costs are staff salaries</w:t>
      </w:r>
      <w:r w:rsidR="00B25E12">
        <w:rPr>
          <w:rFonts w:cs="Arial"/>
          <w:color w:val="auto"/>
        </w:rPr>
        <w:t xml:space="preserve"> which </w:t>
      </w:r>
      <w:r w:rsidRPr="00DF64AB">
        <w:rPr>
          <w:rFonts w:cs="Arial"/>
          <w:color w:val="auto"/>
        </w:rPr>
        <w:t>includ</w:t>
      </w:r>
      <w:r w:rsidR="00B25E12">
        <w:rPr>
          <w:rFonts w:cs="Arial"/>
          <w:color w:val="auto"/>
        </w:rPr>
        <w:t>es</w:t>
      </w:r>
      <w:r w:rsidRPr="00DF64AB">
        <w:rPr>
          <w:rFonts w:cs="Arial"/>
          <w:color w:val="auto"/>
        </w:rPr>
        <w:t xml:space="preserve"> </w:t>
      </w:r>
      <w:proofErr w:type="gramStart"/>
      <w:r w:rsidRPr="00DF64AB">
        <w:rPr>
          <w:rFonts w:cs="Arial"/>
          <w:color w:val="auto"/>
        </w:rPr>
        <w:t>on-costs</w:t>
      </w:r>
      <w:proofErr w:type="gramEnd"/>
      <w:r w:rsidRPr="00DF64AB">
        <w:rPr>
          <w:rFonts w:cs="Arial"/>
          <w:color w:val="auto"/>
        </w:rPr>
        <w:t xml:space="preserve"> such as training, superannuation and leave</w:t>
      </w:r>
      <w:r w:rsidR="00B25E12">
        <w:rPr>
          <w:rFonts w:cs="Arial"/>
          <w:color w:val="auto"/>
        </w:rPr>
        <w:t>,</w:t>
      </w:r>
      <w:r w:rsidRPr="00DF64AB">
        <w:rPr>
          <w:rFonts w:cs="Arial"/>
          <w:color w:val="auto"/>
        </w:rPr>
        <w:t xml:space="preserve"> and supplier costs </w:t>
      </w:r>
      <w:r w:rsidR="00B25E12">
        <w:rPr>
          <w:rFonts w:cs="Arial"/>
          <w:color w:val="auto"/>
        </w:rPr>
        <w:t>such as</w:t>
      </w:r>
      <w:r w:rsidRPr="00DF64AB">
        <w:rPr>
          <w:rFonts w:cs="Arial"/>
          <w:color w:val="auto"/>
        </w:rPr>
        <w:t xml:space="preserve"> contractor costs.</w:t>
      </w:r>
    </w:p>
    <w:p w14:paraId="1577BAE2" w14:textId="48589D22" w:rsidR="009B64C6" w:rsidRDefault="0070117D" w:rsidP="00642091">
      <w:pPr>
        <w:pStyle w:val="Numberbullet2"/>
        <w:rPr>
          <w:rFonts w:cs="Arial"/>
          <w:color w:val="auto"/>
        </w:rPr>
      </w:pPr>
      <w:r w:rsidRPr="00DF64AB">
        <w:rPr>
          <w:rFonts w:cs="Arial"/>
          <w:b/>
          <w:color w:val="auto"/>
        </w:rPr>
        <w:t>Indirect costs</w:t>
      </w:r>
      <w:r w:rsidRPr="00DF64AB">
        <w:rPr>
          <w:rFonts w:cs="Arial"/>
          <w:color w:val="auto"/>
        </w:rPr>
        <w:t xml:space="preserve"> are the costs that cannot be easily linked to a cost object or for which the costs of tracking outweigh the benefit. Indirect costs are apportioned to a cost object using the internal costing methodology. Common indirect costs include </w:t>
      </w:r>
    </w:p>
    <w:p w14:paraId="5EAB5F48" w14:textId="77EA2DFE" w:rsidR="009B64C6" w:rsidRDefault="0070117D" w:rsidP="009B64C6">
      <w:pPr>
        <w:pStyle w:val="Numberbullet2"/>
        <w:numPr>
          <w:ilvl w:val="2"/>
          <w:numId w:val="2"/>
        </w:numPr>
        <w:rPr>
          <w:rFonts w:cs="Arial"/>
          <w:color w:val="auto"/>
        </w:rPr>
      </w:pPr>
      <w:r w:rsidRPr="00DF64AB">
        <w:rPr>
          <w:rFonts w:cs="Arial"/>
          <w:color w:val="auto"/>
        </w:rPr>
        <w:t xml:space="preserve">overhead costs such as corporate costs </w:t>
      </w:r>
      <w:r w:rsidR="00124938">
        <w:rPr>
          <w:rFonts w:cs="Arial"/>
          <w:color w:val="auto"/>
        </w:rPr>
        <w:t>including</w:t>
      </w:r>
      <w:r w:rsidRPr="00DF64AB">
        <w:rPr>
          <w:rFonts w:cs="Arial"/>
          <w:color w:val="auto"/>
        </w:rPr>
        <w:t xml:space="preserve"> finance, human resources, IT, office accommodation</w:t>
      </w:r>
      <w:r w:rsidR="00124938">
        <w:rPr>
          <w:rFonts w:cs="Arial"/>
          <w:color w:val="auto"/>
        </w:rPr>
        <w:t>,</w:t>
      </w:r>
      <w:r w:rsidRPr="00DF64AB">
        <w:rPr>
          <w:rFonts w:cs="Arial"/>
          <w:color w:val="auto"/>
        </w:rPr>
        <w:t xml:space="preserve"> and </w:t>
      </w:r>
    </w:p>
    <w:p w14:paraId="0F5B864A" w14:textId="2FC8CC22" w:rsidR="0070117D" w:rsidRPr="00DF64AB" w:rsidRDefault="0070117D" w:rsidP="00FE457F">
      <w:pPr>
        <w:pStyle w:val="Numberbullet2"/>
        <w:numPr>
          <w:ilvl w:val="2"/>
          <w:numId w:val="2"/>
        </w:numPr>
        <w:rPr>
          <w:rFonts w:cs="Arial"/>
          <w:color w:val="auto"/>
        </w:rPr>
      </w:pPr>
      <w:r w:rsidRPr="00DF64AB">
        <w:rPr>
          <w:rFonts w:cs="Arial"/>
          <w:color w:val="auto"/>
        </w:rPr>
        <w:t xml:space="preserve">salaries of staff in support areas </w:t>
      </w:r>
      <w:r w:rsidR="00124938">
        <w:rPr>
          <w:rFonts w:cs="Arial"/>
          <w:color w:val="auto"/>
        </w:rPr>
        <w:t>such as</w:t>
      </w:r>
      <w:r w:rsidRPr="00DF64AB">
        <w:rPr>
          <w:rFonts w:cs="Arial"/>
          <w:color w:val="auto"/>
        </w:rPr>
        <w:t xml:space="preserve"> regulatory practice and support functions.</w:t>
      </w:r>
    </w:p>
    <w:p w14:paraId="453B864C" w14:textId="5A041B10" w:rsidR="0070117D" w:rsidRPr="00DF64AB" w:rsidRDefault="0070117D" w:rsidP="0070117D">
      <w:pPr>
        <w:rPr>
          <w:rFonts w:ascii="Arial" w:eastAsia="Cambria" w:hAnsi="Arial" w:cs="Arial"/>
        </w:rPr>
      </w:pPr>
      <w:r w:rsidRPr="00DF64AB">
        <w:rPr>
          <w:rFonts w:ascii="Arial" w:eastAsia="Cambria" w:hAnsi="Arial" w:cs="Arial"/>
        </w:rPr>
        <w:t>While most capital assets are funded through the TGA cash reserves, depreciation and amortisation costs are included in costing</w:t>
      </w:r>
      <w:r w:rsidR="0016365C" w:rsidRPr="00DF64AB">
        <w:rPr>
          <w:rFonts w:ascii="Arial" w:eastAsia="Cambria" w:hAnsi="Arial" w:cs="Arial"/>
        </w:rPr>
        <w:t>s</w:t>
      </w:r>
      <w:r w:rsidRPr="00DF64AB">
        <w:rPr>
          <w:rFonts w:ascii="Arial" w:eastAsia="Cambria" w:hAnsi="Arial" w:cs="Arial"/>
        </w:rPr>
        <w:t xml:space="preserve"> as indirect costs. This cost is also taken into consideration in the bottom-up costing for new items of fees and charges.</w:t>
      </w:r>
    </w:p>
    <w:p w14:paraId="179BDB0B" w14:textId="79CDDD89" w:rsidR="0070117D" w:rsidRPr="00DF64AB" w:rsidRDefault="0070117D" w:rsidP="0070117D">
      <w:pPr>
        <w:rPr>
          <w:rFonts w:ascii="Arial" w:eastAsia="Cambria" w:hAnsi="Arial" w:cs="Arial"/>
        </w:rPr>
      </w:pPr>
      <w:bookmarkStart w:id="57" w:name="_Hlk136693679"/>
      <w:r w:rsidRPr="00DF64AB">
        <w:rPr>
          <w:rFonts w:ascii="Arial" w:eastAsia="Cambria" w:hAnsi="Arial" w:cs="Arial"/>
        </w:rPr>
        <w:t>A software solution is used for activity-based costing (ABC). The staff work effort</w:t>
      </w:r>
      <w:r w:rsidR="008A5B64" w:rsidRPr="00DF64AB">
        <w:rPr>
          <w:rFonts w:ascii="Arial" w:eastAsia="Cambria" w:hAnsi="Arial" w:cs="Arial"/>
        </w:rPr>
        <w:t>,</w:t>
      </w:r>
      <w:r w:rsidRPr="00DF64AB">
        <w:rPr>
          <w:rFonts w:ascii="Arial" w:eastAsia="Cambria" w:hAnsi="Arial" w:cs="Arial"/>
        </w:rPr>
        <w:t xml:space="preserve"> captured through a work effort survey</w:t>
      </w:r>
      <w:r w:rsidR="00DA2A67">
        <w:rPr>
          <w:rFonts w:ascii="Arial" w:eastAsia="Cambria" w:hAnsi="Arial" w:cs="Arial"/>
        </w:rPr>
        <w:t>,</w:t>
      </w:r>
      <w:r w:rsidRPr="00DF64AB">
        <w:rPr>
          <w:rFonts w:ascii="Arial" w:eastAsia="Cambria" w:hAnsi="Arial" w:cs="Arial"/>
        </w:rPr>
        <w:t xml:space="preserve"> attributes the time of regulatory effort to each regulatory activity and determines the direct cost. Indirect costs are allocated to regulatory activities based on full-time equivalent (FTE) allocated to each cost object. </w:t>
      </w:r>
    </w:p>
    <w:bookmarkEnd w:id="57"/>
    <w:p w14:paraId="512EE8C5" w14:textId="0F455C72" w:rsidR="0070117D" w:rsidRPr="00DF64AB" w:rsidRDefault="0070117D" w:rsidP="0070117D">
      <w:pPr>
        <w:ind w:right="-144"/>
        <w:rPr>
          <w:rFonts w:ascii="Arial" w:eastAsia="Cambria" w:hAnsi="Arial" w:cs="Arial"/>
        </w:rPr>
      </w:pPr>
      <w:r w:rsidRPr="00DF64AB">
        <w:rPr>
          <w:rFonts w:ascii="Arial" w:eastAsia="Cambria" w:hAnsi="Arial" w:cs="Arial"/>
        </w:rPr>
        <w:t xml:space="preserve">The diagram below depicts the current cost model </w:t>
      </w:r>
      <w:r w:rsidR="009B64C6" w:rsidRPr="00DF64AB">
        <w:rPr>
          <w:rFonts w:ascii="Arial" w:eastAsia="Cambria" w:hAnsi="Arial" w:cs="Arial"/>
        </w:rPr>
        <w:t>attribut</w:t>
      </w:r>
      <w:r w:rsidR="009B64C6">
        <w:rPr>
          <w:rFonts w:ascii="Arial" w:eastAsia="Cambria" w:hAnsi="Arial" w:cs="Arial"/>
        </w:rPr>
        <w:t>ing</w:t>
      </w:r>
      <w:r w:rsidR="009B64C6" w:rsidRPr="00DF64AB">
        <w:rPr>
          <w:rFonts w:ascii="Arial" w:eastAsia="Cambria" w:hAnsi="Arial" w:cs="Arial"/>
        </w:rPr>
        <w:t xml:space="preserve"> </w:t>
      </w:r>
      <w:r w:rsidRPr="00DF64AB">
        <w:rPr>
          <w:rFonts w:ascii="Arial" w:eastAsia="Cambria" w:hAnsi="Arial" w:cs="Arial"/>
        </w:rPr>
        <w:t xml:space="preserve">direct and indirect costs to TGA activities. </w:t>
      </w:r>
    </w:p>
    <w:p w14:paraId="1E203869" w14:textId="07AA3E14" w:rsidR="0036536E" w:rsidRPr="00DF64AB" w:rsidRDefault="0036536E" w:rsidP="00E77EA2">
      <w:pPr>
        <w:ind w:right="-144"/>
        <w:jc w:val="center"/>
        <w:rPr>
          <w:rFonts w:ascii="Arial" w:hAnsi="Arial" w:cs="Arial"/>
        </w:rPr>
      </w:pPr>
      <w:r w:rsidRPr="00DF64AB">
        <w:rPr>
          <w:rFonts w:ascii="Arial" w:hAnsi="Arial" w:cs="Arial"/>
          <w:noProof/>
        </w:rPr>
        <w:drawing>
          <wp:inline distT="0" distB="0" distL="0" distR="0" wp14:anchorId="291C4196" wp14:editId="7673010F">
            <wp:extent cx="5400675" cy="3481560"/>
            <wp:effectExtent l="0" t="0" r="0" b="5080"/>
            <wp:docPr id="127733166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31669" name="Picture 1" descr="A diagram of a company&#10;&#10;Description automatically generated"/>
                    <pic:cNvPicPr/>
                  </pic:nvPicPr>
                  <pic:blipFill>
                    <a:blip r:embed="rId31"/>
                    <a:stretch>
                      <a:fillRect/>
                    </a:stretch>
                  </pic:blipFill>
                  <pic:spPr>
                    <a:xfrm>
                      <a:off x="0" y="0"/>
                      <a:ext cx="5404661" cy="3484129"/>
                    </a:xfrm>
                    <a:prstGeom prst="rect">
                      <a:avLst/>
                    </a:prstGeom>
                  </pic:spPr>
                </pic:pic>
              </a:graphicData>
            </a:graphic>
          </wp:inline>
        </w:drawing>
      </w:r>
    </w:p>
    <w:p w14:paraId="24D91CFC" w14:textId="77777777" w:rsidR="00DD7919" w:rsidRPr="00DF64AB" w:rsidRDefault="00DD7919" w:rsidP="00DD7919">
      <w:pPr>
        <w:pStyle w:val="Heading4"/>
        <w:spacing w:before="240"/>
        <w:rPr>
          <w:rFonts w:cs="Arial"/>
        </w:rPr>
      </w:pPr>
      <w:bookmarkStart w:id="58" w:name="_Toc233286944"/>
      <w:r w:rsidRPr="00DF64AB">
        <w:rPr>
          <w:rFonts w:cs="Arial"/>
        </w:rPr>
        <w:lastRenderedPageBreak/>
        <w:t>Fees and charges</w:t>
      </w:r>
      <w:bookmarkEnd w:id="58"/>
    </w:p>
    <w:p w14:paraId="3839B4EE" w14:textId="7DD53FBB" w:rsidR="00DD7919" w:rsidRPr="00DF64AB" w:rsidRDefault="00DD7919" w:rsidP="00DD7919">
      <w:pPr>
        <w:rPr>
          <w:rFonts w:ascii="Arial" w:hAnsi="Arial" w:cs="Arial"/>
        </w:rPr>
      </w:pPr>
      <w:r w:rsidRPr="00DF64AB">
        <w:rPr>
          <w:rFonts w:ascii="Arial" w:hAnsi="Arial" w:cs="Arial"/>
        </w:rPr>
        <w:t xml:space="preserve">The characteristics of a government activity determine the type of cost recovery charge used. There are </w:t>
      </w:r>
      <w:r w:rsidR="004D0100" w:rsidRPr="00DF64AB">
        <w:rPr>
          <w:rFonts w:ascii="Arial" w:hAnsi="Arial" w:cs="Arial"/>
        </w:rPr>
        <w:t xml:space="preserve">2 </w:t>
      </w:r>
      <w:r w:rsidRPr="00DF64AB">
        <w:rPr>
          <w:rFonts w:ascii="Arial" w:hAnsi="Arial" w:cs="Arial"/>
        </w:rPr>
        <w:t>types of cost recovery charges:</w:t>
      </w:r>
    </w:p>
    <w:p w14:paraId="18DEEFF2" w14:textId="375C9D23" w:rsidR="00DD7919" w:rsidRPr="00DF64AB" w:rsidRDefault="00DD7919" w:rsidP="00B84FCE">
      <w:pPr>
        <w:pStyle w:val="Numberbullet2"/>
        <w:numPr>
          <w:ilvl w:val="1"/>
          <w:numId w:val="31"/>
        </w:numPr>
        <w:rPr>
          <w:rFonts w:cs="Arial"/>
          <w:color w:val="auto"/>
        </w:rPr>
      </w:pPr>
      <w:r w:rsidRPr="00DF64AB">
        <w:rPr>
          <w:rFonts w:cs="Arial"/>
          <w:b/>
          <w:color w:val="auto"/>
        </w:rPr>
        <w:t>Cost recovery fees:</w:t>
      </w:r>
      <w:r w:rsidRPr="00DF64AB">
        <w:rPr>
          <w:rFonts w:cs="Arial"/>
          <w:color w:val="auto"/>
        </w:rPr>
        <w:t xml:space="preserve"> Fees are charged when a good, service or regulation</w:t>
      </w:r>
      <w:r w:rsidR="00DA2A67">
        <w:rPr>
          <w:rFonts w:cs="Arial"/>
          <w:color w:val="auto"/>
        </w:rPr>
        <w:t xml:space="preserve">, </w:t>
      </w:r>
      <w:r w:rsidRPr="00DF64AB">
        <w:rPr>
          <w:rFonts w:cs="Arial"/>
          <w:color w:val="auto"/>
        </w:rPr>
        <w:t>in certain circumstances</w:t>
      </w:r>
      <w:r w:rsidR="00DA2A67">
        <w:rPr>
          <w:rFonts w:cs="Arial"/>
          <w:color w:val="auto"/>
        </w:rPr>
        <w:t>,</w:t>
      </w:r>
      <w:r w:rsidRPr="00DF64AB">
        <w:rPr>
          <w:rFonts w:cs="Arial"/>
          <w:color w:val="auto"/>
        </w:rPr>
        <w:t xml:space="preserve"> is provided directly to a specific individual or organisation. Fees are used to recover the cost of the pre-market services performed. Fees are designed to reflect as closely as possible the underlying cost of service. TGA has limited authority under the Act to waive or reduce fees.</w:t>
      </w:r>
    </w:p>
    <w:p w14:paraId="28E1ABAE" w14:textId="1C048954" w:rsidR="00C26EBE" w:rsidRPr="00DF64AB" w:rsidRDefault="00DD7919" w:rsidP="00B84FCE">
      <w:pPr>
        <w:pStyle w:val="Numberbullet2"/>
        <w:numPr>
          <w:ilvl w:val="1"/>
          <w:numId w:val="31"/>
        </w:numPr>
        <w:rPr>
          <w:rFonts w:cs="Arial"/>
          <w:color w:val="auto"/>
        </w:rPr>
      </w:pPr>
      <w:r w:rsidRPr="00DF64AB">
        <w:rPr>
          <w:rFonts w:cs="Arial"/>
          <w:b/>
          <w:color w:val="auto"/>
        </w:rPr>
        <w:t>Cost recovery levies:</w:t>
      </w:r>
      <w:r w:rsidRPr="00DF64AB">
        <w:rPr>
          <w:rFonts w:cs="Arial"/>
          <w:color w:val="auto"/>
        </w:rPr>
        <w:t xml:space="preserve"> Charges are imposed when a good, service or regulation is provided to a group of individuals or organisations</w:t>
      </w:r>
      <w:r w:rsidR="00DA2A67">
        <w:rPr>
          <w:rFonts w:cs="Arial"/>
          <w:color w:val="auto"/>
        </w:rPr>
        <w:t xml:space="preserve">, such as </w:t>
      </w:r>
      <w:r w:rsidRPr="00DF64AB">
        <w:rPr>
          <w:rFonts w:cs="Arial"/>
          <w:color w:val="auto"/>
        </w:rPr>
        <w:t>an industry sector</w:t>
      </w:r>
      <w:r w:rsidR="00DA2A67">
        <w:rPr>
          <w:rFonts w:cs="Arial"/>
          <w:color w:val="auto"/>
        </w:rPr>
        <w:t>,</w:t>
      </w:r>
      <w:r w:rsidRPr="00DF64AB">
        <w:rPr>
          <w:rFonts w:cs="Arial"/>
          <w:color w:val="auto"/>
        </w:rPr>
        <w:t xml:space="preserve"> rather than to a specific individual or organisation. A cost recovery levy is a tax and is imposed via a separate taxation Act. It differs from general taxation as it is ‘earmarked’ to fund activities provided to the group </w:t>
      </w:r>
      <w:r w:rsidR="00A67252" w:rsidRPr="00DF64AB">
        <w:rPr>
          <w:rFonts w:cs="Arial"/>
          <w:color w:val="auto"/>
        </w:rPr>
        <w:t xml:space="preserve">which </w:t>
      </w:r>
      <w:r w:rsidRPr="00DF64AB">
        <w:rPr>
          <w:rFonts w:cs="Arial"/>
          <w:color w:val="auto"/>
        </w:rPr>
        <w:t>pays the levy.</w:t>
      </w:r>
    </w:p>
    <w:p w14:paraId="30DAFB2E" w14:textId="00AA816F" w:rsidR="00DD7919" w:rsidRPr="00DF64AB" w:rsidRDefault="00B33AAC" w:rsidP="00DD7919">
      <w:pPr>
        <w:rPr>
          <w:rFonts w:ascii="Arial" w:hAnsi="Arial" w:cs="Arial"/>
        </w:rPr>
      </w:pPr>
      <w:r>
        <w:rPr>
          <w:rFonts w:ascii="Arial" w:hAnsi="Arial" w:cs="Arial"/>
        </w:rPr>
        <w:t>Other than</w:t>
      </w:r>
      <w:r w:rsidRPr="00DF64AB">
        <w:rPr>
          <w:rFonts w:ascii="Arial" w:hAnsi="Arial" w:cs="Arial"/>
        </w:rPr>
        <w:t xml:space="preserve"> for export only products</w:t>
      </w:r>
      <w:r>
        <w:rPr>
          <w:rFonts w:ascii="Arial" w:hAnsi="Arial" w:cs="Arial"/>
        </w:rPr>
        <w:t>, a</w:t>
      </w:r>
      <w:r w:rsidR="00DD7919" w:rsidRPr="00DF64AB">
        <w:rPr>
          <w:rFonts w:ascii="Arial" w:hAnsi="Arial" w:cs="Arial"/>
        </w:rPr>
        <w:t>ll therapeutic goods registered, listed or included in the ARTG are subject to annual charges</w:t>
      </w:r>
      <w:r>
        <w:rPr>
          <w:rFonts w:ascii="Arial" w:hAnsi="Arial" w:cs="Arial"/>
        </w:rPr>
        <w:t>,</w:t>
      </w:r>
      <w:r w:rsidR="00DA2A67">
        <w:rPr>
          <w:rFonts w:ascii="Arial" w:hAnsi="Arial" w:cs="Arial"/>
        </w:rPr>
        <w:t xml:space="preserve"> </w:t>
      </w:r>
      <w:r w:rsidR="00DD7919" w:rsidRPr="00DF64AB">
        <w:rPr>
          <w:rFonts w:ascii="Arial" w:hAnsi="Arial" w:cs="Arial"/>
        </w:rPr>
        <w:t>a type of levy. Annual charges are used to recover the costs of pharmacovigilance and other post market monitoring and compliance activities</w:t>
      </w:r>
      <w:r>
        <w:rPr>
          <w:rFonts w:ascii="Arial" w:hAnsi="Arial" w:cs="Arial"/>
        </w:rPr>
        <w:t>,</w:t>
      </w:r>
      <w:r w:rsidR="00DD7919" w:rsidRPr="00DF64AB">
        <w:rPr>
          <w:rFonts w:ascii="Arial" w:hAnsi="Arial" w:cs="Arial"/>
        </w:rPr>
        <w:t xml:space="preserve"> where:</w:t>
      </w:r>
    </w:p>
    <w:p w14:paraId="5BE2E1C9" w14:textId="2834301B" w:rsidR="00DD7919" w:rsidRPr="00DF64AB" w:rsidRDefault="00DD7919" w:rsidP="00E77EA2">
      <w:pPr>
        <w:pStyle w:val="ListBullet"/>
        <w:spacing w:after="120"/>
        <w:ind w:left="709" w:hanging="425"/>
        <w:rPr>
          <w:rFonts w:eastAsiaTheme="minorHAnsi" w:cs="Arial"/>
          <w:color w:val="auto"/>
        </w:rPr>
      </w:pPr>
      <w:r w:rsidRPr="00DF64AB">
        <w:rPr>
          <w:rFonts w:eastAsiaTheme="minorHAnsi" w:cs="Arial"/>
          <w:color w:val="auto"/>
        </w:rPr>
        <w:t>they cannot be reasonably assigned to individual sponsors</w:t>
      </w:r>
      <w:r w:rsidR="00DA2A67">
        <w:rPr>
          <w:rFonts w:eastAsiaTheme="minorHAnsi" w:cs="Arial"/>
          <w:color w:val="auto"/>
        </w:rPr>
        <w:t>,</w:t>
      </w:r>
      <w:r w:rsidRPr="00DF64AB">
        <w:rPr>
          <w:rFonts w:eastAsiaTheme="minorHAnsi" w:cs="Arial"/>
          <w:color w:val="auto"/>
        </w:rPr>
        <w:t xml:space="preserve"> and </w:t>
      </w:r>
    </w:p>
    <w:p w14:paraId="29FCC033" w14:textId="6092EAA2" w:rsidR="00DD7919" w:rsidRPr="00DF64AB" w:rsidRDefault="00DD7919" w:rsidP="006D31C0">
      <w:pPr>
        <w:pStyle w:val="ListBullet"/>
        <w:spacing w:after="120"/>
        <w:ind w:left="709" w:hanging="425"/>
        <w:rPr>
          <w:rFonts w:eastAsiaTheme="minorHAnsi" w:cs="Arial"/>
          <w:color w:val="auto"/>
        </w:rPr>
      </w:pPr>
      <w:r w:rsidRPr="00DF64AB">
        <w:rPr>
          <w:rFonts w:eastAsiaTheme="minorHAnsi" w:cs="Arial"/>
          <w:color w:val="auto"/>
        </w:rPr>
        <w:t>revenue generated through levies is earmarked to the activity provided to the group of levy payers.</w:t>
      </w:r>
    </w:p>
    <w:p w14:paraId="38FD8B75" w14:textId="6C5EABAE" w:rsidR="00D1601F" w:rsidRPr="00DF64AB" w:rsidRDefault="00D1601F" w:rsidP="00713C37">
      <w:pPr>
        <w:rPr>
          <w:rFonts w:ascii="Arial" w:hAnsi="Arial" w:cs="Arial"/>
        </w:rPr>
      </w:pPr>
      <w:bookmarkStart w:id="59" w:name="_Toc169081978"/>
      <w:r w:rsidRPr="00DF64AB">
        <w:rPr>
          <w:rFonts w:ascii="Arial" w:hAnsi="Arial" w:cs="Arial"/>
        </w:rPr>
        <w:t xml:space="preserve">Different levels of </w:t>
      </w:r>
      <w:r w:rsidR="00740CAC" w:rsidRPr="00DF64AB">
        <w:rPr>
          <w:rFonts w:ascii="Arial" w:hAnsi="Arial" w:cs="Arial"/>
        </w:rPr>
        <w:t xml:space="preserve">post-market monitoring </w:t>
      </w:r>
      <w:r w:rsidRPr="00DF64AB">
        <w:rPr>
          <w:rFonts w:ascii="Arial" w:hAnsi="Arial" w:cs="Arial"/>
        </w:rPr>
        <w:t>are required for different classes of therapeutic goods depending on the level of risk the good could pose. Annual charges have been set to reflect the level of post-market and associated costs</w:t>
      </w:r>
      <w:r w:rsidR="00DA2A67" w:rsidRPr="00DA2A67">
        <w:rPr>
          <w:rFonts w:ascii="Arial" w:hAnsi="Arial" w:cs="Arial"/>
        </w:rPr>
        <w:t xml:space="preserve"> </w:t>
      </w:r>
      <w:r w:rsidR="00DA2A67" w:rsidRPr="00DF64AB">
        <w:rPr>
          <w:rFonts w:ascii="Arial" w:hAnsi="Arial" w:cs="Arial"/>
        </w:rPr>
        <w:t>required</w:t>
      </w:r>
      <w:r w:rsidRPr="00DF64AB">
        <w:rPr>
          <w:rFonts w:ascii="Arial" w:hAnsi="Arial" w:cs="Arial"/>
        </w:rPr>
        <w:t xml:space="preserve"> for the regulated good</w:t>
      </w:r>
      <w:r w:rsidR="00B33AAC">
        <w:rPr>
          <w:rFonts w:ascii="Arial" w:hAnsi="Arial" w:cs="Arial"/>
        </w:rPr>
        <w:t>,</w:t>
      </w:r>
      <w:r w:rsidRPr="00DF64AB">
        <w:rPr>
          <w:rFonts w:ascii="Arial" w:hAnsi="Arial" w:cs="Arial"/>
        </w:rPr>
        <w:t xml:space="preserve"> rather than the size of the individual business. For example, the </w:t>
      </w:r>
      <w:r w:rsidR="00C90EFC" w:rsidRPr="00DF64AB">
        <w:rPr>
          <w:rFonts w:ascii="Arial" w:hAnsi="Arial" w:cs="Arial"/>
        </w:rPr>
        <w:t>2026</w:t>
      </w:r>
      <w:r w:rsidRPr="00DF64AB">
        <w:rPr>
          <w:rFonts w:ascii="Arial" w:hAnsi="Arial" w:cs="Arial"/>
        </w:rPr>
        <w:t>-</w:t>
      </w:r>
      <w:r w:rsidR="00C90EFC" w:rsidRPr="00DF64AB">
        <w:rPr>
          <w:rFonts w:ascii="Arial" w:hAnsi="Arial" w:cs="Arial"/>
        </w:rPr>
        <w:t xml:space="preserve">27 </w:t>
      </w:r>
      <w:r w:rsidRPr="00DF64AB">
        <w:rPr>
          <w:rFonts w:ascii="Arial" w:hAnsi="Arial" w:cs="Arial"/>
        </w:rPr>
        <w:t>annual charge for a Class I medical device is $</w:t>
      </w:r>
      <w:r w:rsidR="00866980" w:rsidRPr="00DF64AB">
        <w:rPr>
          <w:rFonts w:ascii="Arial" w:hAnsi="Arial" w:cs="Arial"/>
        </w:rPr>
        <w:t>121</w:t>
      </w:r>
      <w:r w:rsidR="00B33AAC">
        <w:rPr>
          <w:rFonts w:ascii="Arial" w:hAnsi="Arial" w:cs="Arial"/>
        </w:rPr>
        <w:t>,</w:t>
      </w:r>
      <w:r w:rsidR="00866980" w:rsidRPr="00DF64AB">
        <w:rPr>
          <w:rFonts w:ascii="Arial" w:hAnsi="Arial" w:cs="Arial"/>
        </w:rPr>
        <w:t xml:space="preserve"> </w:t>
      </w:r>
      <w:r w:rsidRPr="00DF64AB">
        <w:rPr>
          <w:rFonts w:ascii="Arial" w:hAnsi="Arial" w:cs="Arial"/>
        </w:rPr>
        <w:t>whereas a high-risk biologic</w:t>
      </w:r>
      <w:r w:rsidR="0049783C">
        <w:rPr>
          <w:rFonts w:ascii="Arial" w:hAnsi="Arial" w:cs="Arial"/>
        </w:rPr>
        <w:t>al</w:t>
      </w:r>
      <w:r w:rsidRPr="00DF64AB">
        <w:rPr>
          <w:rFonts w:ascii="Arial" w:hAnsi="Arial" w:cs="Arial"/>
        </w:rPr>
        <w:t xml:space="preserve"> </w:t>
      </w:r>
      <w:r w:rsidR="00DA2A67">
        <w:rPr>
          <w:rFonts w:ascii="Arial" w:hAnsi="Arial" w:cs="Arial"/>
        </w:rPr>
        <w:t>has an</w:t>
      </w:r>
      <w:r w:rsidR="00C90EFC" w:rsidRPr="00DF64AB">
        <w:rPr>
          <w:rFonts w:ascii="Arial" w:hAnsi="Arial" w:cs="Arial"/>
        </w:rPr>
        <w:t xml:space="preserve"> </w:t>
      </w:r>
      <w:r w:rsidRPr="00DF64AB">
        <w:rPr>
          <w:rFonts w:ascii="Arial" w:hAnsi="Arial" w:cs="Arial"/>
        </w:rPr>
        <w:t xml:space="preserve">annual charge </w:t>
      </w:r>
      <w:r w:rsidR="00DA2A67">
        <w:rPr>
          <w:rFonts w:ascii="Arial" w:hAnsi="Arial" w:cs="Arial"/>
        </w:rPr>
        <w:t>of</w:t>
      </w:r>
      <w:r w:rsidRPr="00DF64AB">
        <w:rPr>
          <w:rFonts w:ascii="Arial" w:hAnsi="Arial" w:cs="Arial"/>
        </w:rPr>
        <w:t xml:space="preserve"> $</w:t>
      </w:r>
      <w:r w:rsidR="00866980" w:rsidRPr="00DF64AB">
        <w:rPr>
          <w:rFonts w:ascii="Arial" w:hAnsi="Arial" w:cs="Arial"/>
        </w:rPr>
        <w:t>10,022</w:t>
      </w:r>
      <w:r w:rsidRPr="00DF64AB">
        <w:rPr>
          <w:rFonts w:ascii="Arial" w:hAnsi="Arial" w:cs="Arial"/>
        </w:rPr>
        <w:t xml:space="preserve">. </w:t>
      </w:r>
    </w:p>
    <w:p w14:paraId="5460B1D9" w14:textId="4C0423A6" w:rsidR="00EF02A8" w:rsidRPr="00DF64AB" w:rsidRDefault="00EF02A8" w:rsidP="00EF02A8">
      <w:pPr>
        <w:pStyle w:val="Heading3"/>
        <w:rPr>
          <w:rFonts w:cs="Arial"/>
        </w:rPr>
      </w:pPr>
      <w:bookmarkStart w:id="60" w:name="_Toc233286945"/>
      <w:r w:rsidRPr="00DF64AB">
        <w:rPr>
          <w:rFonts w:cs="Arial"/>
        </w:rPr>
        <w:t>202</w:t>
      </w:r>
      <w:r w:rsidR="00631059" w:rsidRPr="00DF64AB">
        <w:rPr>
          <w:rFonts w:cs="Arial"/>
        </w:rPr>
        <w:t>6</w:t>
      </w:r>
      <w:r w:rsidR="00FA6684" w:rsidRPr="00DF64AB">
        <w:rPr>
          <w:rFonts w:cs="Arial"/>
        </w:rPr>
        <w:t>-</w:t>
      </w:r>
      <w:r w:rsidRPr="00DF64AB">
        <w:rPr>
          <w:rFonts w:cs="Arial"/>
        </w:rPr>
        <w:t>2</w:t>
      </w:r>
      <w:r w:rsidR="00631059" w:rsidRPr="00DF64AB">
        <w:rPr>
          <w:rFonts w:cs="Arial"/>
        </w:rPr>
        <w:t>7</w:t>
      </w:r>
      <w:r w:rsidRPr="00DF64AB">
        <w:rPr>
          <w:rFonts w:cs="Arial"/>
        </w:rPr>
        <w:t xml:space="preserve"> Fees and Charges</w:t>
      </w:r>
      <w:bookmarkEnd w:id="60"/>
      <w:r w:rsidRPr="00DF64AB">
        <w:rPr>
          <w:rFonts w:cs="Arial"/>
        </w:rPr>
        <w:t xml:space="preserve"> </w:t>
      </w:r>
      <w:bookmarkEnd w:id="59"/>
    </w:p>
    <w:p w14:paraId="22473C04" w14:textId="06ED2CA6" w:rsidR="005B0E12" w:rsidRPr="00DF64AB" w:rsidRDefault="005B0E12" w:rsidP="00E77EA2">
      <w:pPr>
        <w:rPr>
          <w:rFonts w:ascii="Arial" w:hAnsi="Arial" w:cs="Arial"/>
        </w:rPr>
      </w:pPr>
      <w:r w:rsidRPr="00DF64AB">
        <w:rPr>
          <w:rFonts w:ascii="Arial" w:hAnsi="Arial" w:cs="Arial"/>
        </w:rPr>
        <w:t xml:space="preserve">Every year, the TGA reviews its budget outlook and considers possible changes to fees and charges for the following financial year. Over the past decade, increases have generally been limited to a composite indexation factor based on the Wage Price Index (WPI) and Consumer Price Index (CPI). While this has provided consistency and predictability for industry, it has not kept pace with the TGA’s underlying </w:t>
      </w:r>
      <w:r w:rsidR="00B33AAC">
        <w:rPr>
          <w:rFonts w:ascii="Arial" w:hAnsi="Arial" w:cs="Arial"/>
        </w:rPr>
        <w:t xml:space="preserve">and increasing </w:t>
      </w:r>
      <w:r w:rsidRPr="00DF64AB">
        <w:rPr>
          <w:rFonts w:ascii="Arial" w:hAnsi="Arial" w:cs="Arial"/>
        </w:rPr>
        <w:t xml:space="preserve">cost </w:t>
      </w:r>
      <w:r w:rsidR="00B33AAC">
        <w:rPr>
          <w:rFonts w:ascii="Arial" w:hAnsi="Arial" w:cs="Arial"/>
        </w:rPr>
        <w:t>pressures</w:t>
      </w:r>
      <w:r w:rsidRPr="00DF64AB">
        <w:rPr>
          <w:rFonts w:ascii="Arial" w:hAnsi="Arial" w:cs="Arial"/>
        </w:rPr>
        <w:t>.</w:t>
      </w:r>
    </w:p>
    <w:p w14:paraId="0A4A8AB3" w14:textId="4693CE84" w:rsidR="005C753B" w:rsidRPr="00DF64AB" w:rsidRDefault="005B0E12" w:rsidP="005B0E12">
      <w:pPr>
        <w:rPr>
          <w:rFonts w:ascii="Arial" w:hAnsi="Arial" w:cs="Arial"/>
        </w:rPr>
      </w:pPr>
      <w:r w:rsidRPr="00DF64AB">
        <w:rPr>
          <w:rFonts w:ascii="Arial" w:hAnsi="Arial" w:cs="Arial"/>
        </w:rPr>
        <w:t xml:space="preserve">As a result, revenue has not kept </w:t>
      </w:r>
      <w:r w:rsidR="001F5C8B">
        <w:rPr>
          <w:rFonts w:ascii="Arial" w:hAnsi="Arial" w:cs="Arial"/>
        </w:rPr>
        <w:t>pace</w:t>
      </w:r>
      <w:r w:rsidR="001F5C8B" w:rsidRPr="00DF64AB">
        <w:rPr>
          <w:rFonts w:ascii="Arial" w:hAnsi="Arial" w:cs="Arial"/>
        </w:rPr>
        <w:t xml:space="preserve"> </w:t>
      </w:r>
      <w:r w:rsidRPr="00DF64AB">
        <w:rPr>
          <w:rFonts w:ascii="Arial" w:hAnsi="Arial" w:cs="Arial"/>
        </w:rPr>
        <w:t xml:space="preserve">with known and growing cost pressures. </w:t>
      </w:r>
      <w:r w:rsidR="005C753B" w:rsidRPr="00DF64AB">
        <w:rPr>
          <w:rFonts w:ascii="Arial" w:hAnsi="Arial" w:cs="Arial"/>
        </w:rPr>
        <w:t xml:space="preserve">Over time, this has led to ongoing deficits and a steady reduction in cash reserves. </w:t>
      </w:r>
      <w:r w:rsidR="001F5C8B">
        <w:rPr>
          <w:rFonts w:ascii="Arial" w:hAnsi="Arial" w:cs="Arial"/>
        </w:rPr>
        <w:t xml:space="preserve">While the </w:t>
      </w:r>
      <w:r w:rsidR="005C753B" w:rsidRPr="00DF64AB">
        <w:rPr>
          <w:rFonts w:ascii="Arial" w:hAnsi="Arial" w:cs="Arial"/>
        </w:rPr>
        <w:t xml:space="preserve">TGA has </w:t>
      </w:r>
      <w:r w:rsidR="001F5C8B">
        <w:rPr>
          <w:rFonts w:ascii="Arial" w:hAnsi="Arial" w:cs="Arial"/>
        </w:rPr>
        <w:t>mitigated</w:t>
      </w:r>
      <w:r w:rsidR="001F5C8B" w:rsidRPr="00DF64AB">
        <w:rPr>
          <w:rFonts w:ascii="Arial" w:hAnsi="Arial" w:cs="Arial"/>
        </w:rPr>
        <w:t xml:space="preserve"> </w:t>
      </w:r>
      <w:r w:rsidR="005C753B" w:rsidRPr="00DF64AB">
        <w:rPr>
          <w:rFonts w:ascii="Arial" w:hAnsi="Arial" w:cs="Arial"/>
        </w:rPr>
        <w:t xml:space="preserve">this through efficiencies and cost savings, these measures alone are no longer sustainable as a long-term solution. This reflects a broader issue where </w:t>
      </w:r>
      <w:r w:rsidR="001F5C8B">
        <w:rPr>
          <w:rFonts w:ascii="Arial" w:hAnsi="Arial" w:cs="Arial"/>
        </w:rPr>
        <w:t xml:space="preserve">cost-recovered </w:t>
      </w:r>
      <w:r w:rsidR="005C753B" w:rsidRPr="00DF64AB">
        <w:rPr>
          <w:rFonts w:ascii="Arial" w:hAnsi="Arial" w:cs="Arial"/>
        </w:rPr>
        <w:t>revenue is not keeping pace with the true cost of delivering regulatory services.</w:t>
      </w:r>
    </w:p>
    <w:p w14:paraId="50CC371E" w14:textId="292FC7C8" w:rsidR="00A153DE" w:rsidRPr="00DF64AB" w:rsidRDefault="00A153DE" w:rsidP="00A153DE">
      <w:pPr>
        <w:pStyle w:val="Heading4"/>
        <w:rPr>
          <w:rFonts w:cs="Arial"/>
        </w:rPr>
      </w:pPr>
      <w:bookmarkStart w:id="61" w:name="_Toc233286946"/>
      <w:r w:rsidRPr="00DF64AB">
        <w:rPr>
          <w:rFonts w:cs="Arial"/>
        </w:rPr>
        <w:t>2026-27 cost pressures</w:t>
      </w:r>
      <w:bookmarkEnd w:id="61"/>
      <w:r w:rsidRPr="00DF64AB">
        <w:rPr>
          <w:rFonts w:cs="Arial"/>
        </w:rPr>
        <w:t xml:space="preserve"> </w:t>
      </w:r>
    </w:p>
    <w:p w14:paraId="65B6EBA5" w14:textId="3BC9955F" w:rsidR="00AB33E5" w:rsidRPr="00DF64AB" w:rsidRDefault="00CD1027" w:rsidP="00713C37">
      <w:pPr>
        <w:rPr>
          <w:rFonts w:ascii="Arial" w:hAnsi="Arial" w:cs="Arial"/>
        </w:rPr>
      </w:pPr>
      <w:r w:rsidRPr="00DF64AB">
        <w:rPr>
          <w:rFonts w:ascii="Arial" w:hAnsi="Arial" w:cs="Arial"/>
        </w:rPr>
        <w:t xml:space="preserve">At the time of development of </w:t>
      </w:r>
      <w:r w:rsidR="00C62CFA" w:rsidRPr="00DF64AB">
        <w:rPr>
          <w:rFonts w:ascii="Arial" w:hAnsi="Arial" w:cs="Arial"/>
        </w:rPr>
        <w:t>the 202</w:t>
      </w:r>
      <w:r w:rsidR="003A46E8" w:rsidRPr="00DF64AB">
        <w:rPr>
          <w:rFonts w:ascii="Arial" w:hAnsi="Arial" w:cs="Arial"/>
        </w:rPr>
        <w:t>6</w:t>
      </w:r>
      <w:r w:rsidR="00C55FD7" w:rsidRPr="00DF64AB">
        <w:rPr>
          <w:rFonts w:ascii="Arial" w:hAnsi="Arial" w:cs="Arial"/>
        </w:rPr>
        <w:t>-2</w:t>
      </w:r>
      <w:r w:rsidR="00985992" w:rsidRPr="00DF64AB">
        <w:rPr>
          <w:rFonts w:ascii="Arial" w:hAnsi="Arial" w:cs="Arial"/>
        </w:rPr>
        <w:t>7</w:t>
      </w:r>
      <w:r w:rsidRPr="00DF64AB">
        <w:rPr>
          <w:rFonts w:ascii="Arial" w:hAnsi="Arial" w:cs="Arial"/>
        </w:rPr>
        <w:t xml:space="preserve"> fees and charges proposal</w:t>
      </w:r>
      <w:r w:rsidR="00C55FD7" w:rsidRPr="00DF64AB">
        <w:rPr>
          <w:rFonts w:ascii="Arial" w:hAnsi="Arial" w:cs="Arial"/>
        </w:rPr>
        <w:t xml:space="preserve">, overall costs </w:t>
      </w:r>
      <w:r w:rsidRPr="00DF64AB">
        <w:rPr>
          <w:rFonts w:ascii="Arial" w:hAnsi="Arial" w:cs="Arial"/>
        </w:rPr>
        <w:t xml:space="preserve">were </w:t>
      </w:r>
      <w:r w:rsidR="00C55FD7" w:rsidRPr="00DF64AB">
        <w:rPr>
          <w:rFonts w:ascii="Arial" w:hAnsi="Arial" w:cs="Arial"/>
        </w:rPr>
        <w:t>estimated to increase by $</w:t>
      </w:r>
      <w:r w:rsidR="00471130" w:rsidRPr="00DF64AB">
        <w:rPr>
          <w:rFonts w:ascii="Arial" w:hAnsi="Arial" w:cs="Arial"/>
        </w:rPr>
        <w:t>13.6</w:t>
      </w:r>
      <w:r w:rsidR="00C55FD7" w:rsidRPr="00DF64AB">
        <w:rPr>
          <w:rFonts w:ascii="Arial" w:hAnsi="Arial" w:cs="Arial"/>
        </w:rPr>
        <w:t xml:space="preserve"> million, </w:t>
      </w:r>
      <w:r w:rsidR="00C90E4E" w:rsidRPr="00DF64AB">
        <w:rPr>
          <w:rFonts w:ascii="Arial" w:hAnsi="Arial" w:cs="Arial"/>
        </w:rPr>
        <w:t xml:space="preserve">of which $11.3 million relates to cost recovered activities and $2.3 million to government </w:t>
      </w:r>
      <w:r w:rsidR="00135D6D" w:rsidRPr="00DF64AB">
        <w:rPr>
          <w:rFonts w:ascii="Arial" w:hAnsi="Arial" w:cs="Arial"/>
        </w:rPr>
        <w:t>funded activities</w:t>
      </w:r>
      <w:r w:rsidR="00C55FD7" w:rsidRPr="00DF64AB">
        <w:rPr>
          <w:rFonts w:ascii="Arial" w:hAnsi="Arial" w:cs="Arial"/>
        </w:rPr>
        <w:t>. Th</w:t>
      </w:r>
      <w:r w:rsidR="0049783C">
        <w:rPr>
          <w:rFonts w:ascii="Arial" w:hAnsi="Arial" w:cs="Arial"/>
        </w:rPr>
        <w:t>is</w:t>
      </w:r>
      <w:r w:rsidR="00C55FD7" w:rsidRPr="00DF64AB">
        <w:rPr>
          <w:rFonts w:ascii="Arial" w:hAnsi="Arial" w:cs="Arial"/>
        </w:rPr>
        <w:t xml:space="preserve"> include</w:t>
      </w:r>
      <w:r w:rsidR="0049783C">
        <w:rPr>
          <w:rFonts w:ascii="Arial" w:hAnsi="Arial" w:cs="Arial"/>
        </w:rPr>
        <w:t>s</w:t>
      </w:r>
      <w:r w:rsidR="00C55FD7" w:rsidRPr="00DF64AB">
        <w:rPr>
          <w:rFonts w:ascii="Arial" w:hAnsi="Arial" w:cs="Arial"/>
        </w:rPr>
        <w:t xml:space="preserve"> increase in salary and staff</w:t>
      </w:r>
      <w:r w:rsidR="0057489C">
        <w:rPr>
          <w:rFonts w:ascii="Arial" w:hAnsi="Arial" w:cs="Arial"/>
        </w:rPr>
        <w:t>-</w:t>
      </w:r>
      <w:r w:rsidR="00C55FD7" w:rsidRPr="00DF64AB">
        <w:rPr>
          <w:rFonts w:ascii="Arial" w:hAnsi="Arial" w:cs="Arial"/>
        </w:rPr>
        <w:t>related costs</w:t>
      </w:r>
      <w:r w:rsidR="007C1DE6" w:rsidRPr="00DF64AB">
        <w:rPr>
          <w:rFonts w:ascii="Arial" w:hAnsi="Arial" w:cs="Arial"/>
        </w:rPr>
        <w:t>,</w:t>
      </w:r>
      <w:r w:rsidR="00C55FD7" w:rsidRPr="00DF64AB">
        <w:rPr>
          <w:rFonts w:ascii="Arial" w:hAnsi="Arial" w:cs="Arial"/>
        </w:rPr>
        <w:t xml:space="preserve"> and corporate costs. </w:t>
      </w:r>
      <w:r w:rsidR="00AB33E5" w:rsidRPr="00DF64AB">
        <w:rPr>
          <w:rFonts w:ascii="Arial" w:hAnsi="Arial" w:cs="Arial"/>
        </w:rPr>
        <w:t>The single largest component of the TGA costs is salary, contractor and other staff</w:t>
      </w:r>
      <w:r w:rsidR="0057489C">
        <w:rPr>
          <w:rFonts w:ascii="Arial" w:hAnsi="Arial" w:cs="Arial"/>
        </w:rPr>
        <w:t>-</w:t>
      </w:r>
      <w:r w:rsidR="00AB33E5" w:rsidRPr="00DF64AB">
        <w:rPr>
          <w:rFonts w:ascii="Arial" w:hAnsi="Arial" w:cs="Arial"/>
        </w:rPr>
        <w:t>related costs. Employee costs were estimated to increase by $</w:t>
      </w:r>
      <w:r w:rsidR="00135D6D" w:rsidRPr="00DF64AB">
        <w:rPr>
          <w:rFonts w:ascii="Arial" w:hAnsi="Arial" w:cs="Arial"/>
        </w:rPr>
        <w:t>6.9</w:t>
      </w:r>
      <w:r w:rsidR="00AB33E5" w:rsidRPr="00DF64AB">
        <w:rPr>
          <w:rFonts w:ascii="Arial" w:hAnsi="Arial" w:cs="Arial"/>
        </w:rPr>
        <w:t xml:space="preserve"> million for the 202</w:t>
      </w:r>
      <w:r w:rsidR="00135D6D" w:rsidRPr="00DF64AB">
        <w:rPr>
          <w:rFonts w:ascii="Arial" w:hAnsi="Arial" w:cs="Arial"/>
        </w:rPr>
        <w:t>6</w:t>
      </w:r>
      <w:r w:rsidR="00AB33E5" w:rsidRPr="00DF64AB">
        <w:rPr>
          <w:rFonts w:ascii="Arial" w:hAnsi="Arial" w:cs="Arial"/>
        </w:rPr>
        <w:t>-2</w:t>
      </w:r>
      <w:r w:rsidR="00135D6D" w:rsidRPr="00DF64AB">
        <w:rPr>
          <w:rFonts w:ascii="Arial" w:hAnsi="Arial" w:cs="Arial"/>
        </w:rPr>
        <w:t>7</w:t>
      </w:r>
      <w:r w:rsidR="00AB33E5" w:rsidRPr="00DF64AB">
        <w:rPr>
          <w:rFonts w:ascii="Arial" w:hAnsi="Arial" w:cs="Arial"/>
        </w:rPr>
        <w:t xml:space="preserve"> financial year, mainly related to the 3.</w:t>
      </w:r>
      <w:r w:rsidR="005E4099" w:rsidRPr="00DF64AB">
        <w:rPr>
          <w:rFonts w:ascii="Arial" w:hAnsi="Arial" w:cs="Arial"/>
        </w:rPr>
        <w:t>4</w:t>
      </w:r>
      <w:r w:rsidR="00AB33E5" w:rsidRPr="00DF64AB">
        <w:rPr>
          <w:rFonts w:ascii="Arial" w:hAnsi="Arial" w:cs="Arial"/>
        </w:rPr>
        <w:t xml:space="preserve">% </w:t>
      </w:r>
      <w:r w:rsidR="00C62CFA" w:rsidRPr="00DF64AB">
        <w:rPr>
          <w:rFonts w:ascii="Arial" w:hAnsi="Arial" w:cs="Arial"/>
        </w:rPr>
        <w:t xml:space="preserve">pay increase </w:t>
      </w:r>
      <w:r w:rsidR="00AB33E5" w:rsidRPr="00DF64AB">
        <w:rPr>
          <w:rFonts w:ascii="Arial" w:hAnsi="Arial" w:cs="Arial"/>
        </w:rPr>
        <w:t>from March 202</w:t>
      </w:r>
      <w:r w:rsidR="00B82A88" w:rsidRPr="00DF64AB">
        <w:rPr>
          <w:rFonts w:ascii="Arial" w:hAnsi="Arial" w:cs="Arial"/>
        </w:rPr>
        <w:t>6</w:t>
      </w:r>
      <w:r w:rsidR="00AB33E5" w:rsidRPr="00DF64AB">
        <w:rPr>
          <w:rFonts w:ascii="Arial" w:hAnsi="Arial" w:cs="Arial"/>
        </w:rPr>
        <w:t xml:space="preserve"> </w:t>
      </w:r>
      <w:r w:rsidR="0057489C">
        <w:rPr>
          <w:rFonts w:ascii="Arial" w:hAnsi="Arial" w:cs="Arial"/>
        </w:rPr>
        <w:t>through</w:t>
      </w:r>
      <w:r w:rsidR="00AB33E5" w:rsidRPr="00DF64AB">
        <w:rPr>
          <w:rFonts w:ascii="Arial" w:hAnsi="Arial" w:cs="Arial"/>
        </w:rPr>
        <w:t xml:space="preserve"> the Department’s Enterprise Agreement. This also include</w:t>
      </w:r>
      <w:r w:rsidR="0049783C">
        <w:rPr>
          <w:rFonts w:ascii="Arial" w:hAnsi="Arial" w:cs="Arial"/>
        </w:rPr>
        <w:t>s</w:t>
      </w:r>
      <w:r w:rsidR="00AB33E5" w:rsidRPr="00DF64AB">
        <w:rPr>
          <w:rFonts w:ascii="Arial" w:hAnsi="Arial" w:cs="Arial"/>
        </w:rPr>
        <w:t xml:space="preserve"> leave provision increases, and staff pay increments which </w:t>
      </w:r>
      <w:r w:rsidR="00D53847" w:rsidRPr="00DF64AB">
        <w:rPr>
          <w:rFonts w:ascii="Arial" w:hAnsi="Arial" w:cs="Arial"/>
        </w:rPr>
        <w:t>are</w:t>
      </w:r>
      <w:r w:rsidR="00AB33E5" w:rsidRPr="00DF64AB">
        <w:rPr>
          <w:rFonts w:ascii="Arial" w:hAnsi="Arial" w:cs="Arial"/>
        </w:rPr>
        <w:t xml:space="preserve"> due in </w:t>
      </w:r>
      <w:r w:rsidR="00B82A88" w:rsidRPr="00DF64AB">
        <w:rPr>
          <w:rFonts w:ascii="Arial" w:hAnsi="Arial" w:cs="Arial"/>
        </w:rPr>
        <w:t xml:space="preserve">July </w:t>
      </w:r>
      <w:r w:rsidR="00AB33E5" w:rsidRPr="00DF64AB">
        <w:rPr>
          <w:rFonts w:ascii="Arial" w:hAnsi="Arial" w:cs="Arial"/>
        </w:rPr>
        <w:t>202</w:t>
      </w:r>
      <w:r w:rsidR="00B82A88" w:rsidRPr="00DF64AB">
        <w:rPr>
          <w:rFonts w:ascii="Arial" w:hAnsi="Arial" w:cs="Arial"/>
        </w:rPr>
        <w:t>6</w:t>
      </w:r>
      <w:r w:rsidR="00AB33E5" w:rsidRPr="00DF64AB">
        <w:rPr>
          <w:rFonts w:ascii="Arial" w:hAnsi="Arial" w:cs="Arial"/>
        </w:rPr>
        <w:t>.</w:t>
      </w:r>
    </w:p>
    <w:p w14:paraId="658B6D26" w14:textId="272F81FE" w:rsidR="00131B2F" w:rsidRPr="00DF64AB" w:rsidRDefault="00AB33E5" w:rsidP="00AB33E5">
      <w:pPr>
        <w:rPr>
          <w:rFonts w:ascii="Arial" w:hAnsi="Arial" w:cs="Arial"/>
          <w:szCs w:val="22"/>
        </w:rPr>
      </w:pPr>
      <w:r w:rsidRPr="00DF64AB">
        <w:rPr>
          <w:rFonts w:ascii="Arial" w:hAnsi="Arial" w:cs="Arial"/>
          <w:szCs w:val="22"/>
        </w:rPr>
        <w:t xml:space="preserve">Corporate costs </w:t>
      </w:r>
      <w:r w:rsidR="00CD1027" w:rsidRPr="00DF64AB">
        <w:rPr>
          <w:rFonts w:ascii="Arial" w:hAnsi="Arial" w:cs="Arial"/>
          <w:szCs w:val="22"/>
        </w:rPr>
        <w:t xml:space="preserve">were </w:t>
      </w:r>
      <w:r w:rsidRPr="00DF64AB">
        <w:rPr>
          <w:rFonts w:ascii="Arial" w:hAnsi="Arial" w:cs="Arial"/>
          <w:szCs w:val="22"/>
        </w:rPr>
        <w:t>estimated to increase by $</w:t>
      </w:r>
      <w:r w:rsidR="00722D81" w:rsidRPr="00DF64AB">
        <w:rPr>
          <w:rFonts w:ascii="Arial" w:hAnsi="Arial" w:cs="Arial"/>
          <w:szCs w:val="22"/>
        </w:rPr>
        <w:t>6.6</w:t>
      </w:r>
      <w:r w:rsidRPr="00DF64AB">
        <w:rPr>
          <w:rFonts w:ascii="Arial" w:hAnsi="Arial" w:cs="Arial"/>
          <w:szCs w:val="22"/>
        </w:rPr>
        <w:t xml:space="preserve"> million, due to </w:t>
      </w:r>
      <w:r w:rsidR="0016365C" w:rsidRPr="00DF64AB">
        <w:rPr>
          <w:rFonts w:ascii="Arial" w:hAnsi="Arial" w:cs="Arial"/>
          <w:szCs w:val="22"/>
        </w:rPr>
        <w:t xml:space="preserve">an </w:t>
      </w:r>
      <w:r w:rsidR="00131B2F" w:rsidRPr="00DF64AB">
        <w:rPr>
          <w:rFonts w:ascii="Arial" w:hAnsi="Arial" w:cs="Arial"/>
          <w:szCs w:val="22"/>
        </w:rPr>
        <w:t>indexation-based increase to the chargeback payment and an increase in the proportion of departmental staff who work at the TGA.</w:t>
      </w:r>
    </w:p>
    <w:p w14:paraId="2C064896" w14:textId="651B104B" w:rsidR="00D90EB4" w:rsidRPr="00DF64AB" w:rsidRDefault="00D90EB4" w:rsidP="00D90EB4">
      <w:pPr>
        <w:pStyle w:val="ListBullet"/>
        <w:numPr>
          <w:ilvl w:val="0"/>
          <w:numId w:val="0"/>
        </w:numPr>
        <w:rPr>
          <w:rFonts w:cs="Arial"/>
          <w:color w:val="auto"/>
          <w:szCs w:val="22"/>
        </w:rPr>
      </w:pPr>
      <w:r w:rsidRPr="00DF64AB">
        <w:rPr>
          <w:rFonts w:cs="Arial"/>
          <w:color w:val="auto"/>
          <w:szCs w:val="22"/>
        </w:rPr>
        <w:lastRenderedPageBreak/>
        <w:t xml:space="preserve">Laboratory maintenance costs are projected to rise by $0.1 million. Ongoing investment in laboratory infrastructure is critical, including equipment servicing, calibration and upgrades. This is essential to ensuring compliance with advancing scientific and regulatory requirements </w:t>
      </w:r>
      <w:r w:rsidR="0057489C">
        <w:rPr>
          <w:rFonts w:cs="Arial"/>
          <w:color w:val="auto"/>
          <w:szCs w:val="22"/>
        </w:rPr>
        <w:t xml:space="preserve">and </w:t>
      </w:r>
      <w:r w:rsidRPr="00DF64AB">
        <w:rPr>
          <w:rFonts w:cs="Arial"/>
          <w:color w:val="auto"/>
          <w:szCs w:val="22"/>
        </w:rPr>
        <w:t>maintaining our capability to uphold regulatory integrity and public safety</w:t>
      </w:r>
      <w:r w:rsidR="00A153DE" w:rsidRPr="00DF64AB">
        <w:rPr>
          <w:rFonts w:cs="Arial"/>
          <w:color w:val="auto"/>
          <w:szCs w:val="22"/>
        </w:rPr>
        <w:t>.</w:t>
      </w:r>
    </w:p>
    <w:p w14:paraId="7AECAD70" w14:textId="2681590E" w:rsidR="00A153DE" w:rsidRPr="00DF64AB" w:rsidRDefault="00A153DE" w:rsidP="00A153DE">
      <w:pPr>
        <w:pStyle w:val="Heading4"/>
        <w:rPr>
          <w:rFonts w:cs="Arial"/>
        </w:rPr>
      </w:pPr>
      <w:bookmarkStart w:id="62" w:name="_Toc233286947"/>
      <w:r w:rsidRPr="00DF64AB">
        <w:rPr>
          <w:rFonts w:cs="Arial"/>
        </w:rPr>
        <w:t>Indexation factor</w:t>
      </w:r>
      <w:bookmarkEnd w:id="62"/>
    </w:p>
    <w:p w14:paraId="5BB86296" w14:textId="77777777" w:rsidR="00A153DE" w:rsidRPr="00DF64AB" w:rsidRDefault="00A153DE" w:rsidP="00A153DE">
      <w:pPr>
        <w:rPr>
          <w:rFonts w:ascii="Arial" w:hAnsi="Arial" w:cs="Arial"/>
        </w:rPr>
      </w:pPr>
      <w:r w:rsidRPr="00DF64AB">
        <w:rPr>
          <w:rFonts w:ascii="Arial" w:hAnsi="Arial" w:cs="Arial"/>
        </w:rPr>
        <w:t>The indexation factor for 2026-27, based on the previously used formula of the average (composite indexation) of the CPI and the WPI, was 3.3%:</w:t>
      </w:r>
    </w:p>
    <w:p w14:paraId="4BAB05EF" w14:textId="77777777" w:rsidR="00A153DE" w:rsidRPr="00DF64AB" w:rsidRDefault="00A153DE" w:rsidP="00A153DE">
      <w:pPr>
        <w:pStyle w:val="ListBullet"/>
        <w:spacing w:after="120"/>
        <w:ind w:hanging="76"/>
        <w:rPr>
          <w:rFonts w:eastAsiaTheme="minorHAnsi" w:cs="Arial"/>
          <w:color w:val="auto"/>
        </w:rPr>
      </w:pPr>
      <w:r w:rsidRPr="00DF64AB">
        <w:rPr>
          <w:rFonts w:eastAsiaTheme="minorHAnsi" w:cs="Arial"/>
          <w:color w:val="auto"/>
        </w:rPr>
        <w:t>50% of CPI Sep 2024 to Sep 2025: 3.2%: 1.6%</w:t>
      </w:r>
    </w:p>
    <w:p w14:paraId="7B0F7BCF" w14:textId="77777777" w:rsidR="00A153DE" w:rsidRPr="00DF64AB" w:rsidRDefault="00A153DE" w:rsidP="00A153DE">
      <w:pPr>
        <w:pStyle w:val="ListBullet"/>
        <w:spacing w:after="120"/>
        <w:ind w:hanging="76"/>
        <w:rPr>
          <w:rFonts w:eastAsiaTheme="minorHAnsi" w:cs="Arial"/>
          <w:color w:val="auto"/>
        </w:rPr>
      </w:pPr>
      <w:r w:rsidRPr="00DF64AB">
        <w:rPr>
          <w:rFonts w:eastAsiaTheme="minorHAnsi" w:cs="Arial"/>
          <w:color w:val="auto"/>
        </w:rPr>
        <w:t>50% of WPI Sep 2024 to Sep 2025: 3.4%: 1.7%</w:t>
      </w:r>
    </w:p>
    <w:p w14:paraId="288CA892" w14:textId="79FDD50F" w:rsidR="00A153DE" w:rsidRPr="00DF64AB" w:rsidRDefault="00A153DE" w:rsidP="00A153DE">
      <w:pPr>
        <w:pStyle w:val="Heading4"/>
        <w:rPr>
          <w:rFonts w:cs="Arial"/>
        </w:rPr>
      </w:pPr>
      <w:bookmarkStart w:id="63" w:name="_Toc233286948"/>
      <w:r w:rsidRPr="00DF64AB">
        <w:rPr>
          <w:rFonts w:cs="Arial"/>
        </w:rPr>
        <w:t>Options for changes to fees and charges</w:t>
      </w:r>
      <w:bookmarkEnd w:id="63"/>
    </w:p>
    <w:p w14:paraId="346542AC" w14:textId="201991EF" w:rsidR="00A153DE" w:rsidRPr="00DF64AB" w:rsidRDefault="00A153DE" w:rsidP="00A153DE">
      <w:pPr>
        <w:rPr>
          <w:rFonts w:ascii="Arial" w:hAnsi="Arial" w:cs="Arial"/>
          <w:szCs w:val="22"/>
        </w:rPr>
      </w:pPr>
      <w:r w:rsidRPr="00DF64AB">
        <w:rPr>
          <w:rFonts w:ascii="Arial" w:hAnsi="Arial" w:cs="Arial"/>
          <w:szCs w:val="22"/>
        </w:rPr>
        <w:t>The approach to indexation</w:t>
      </w:r>
      <w:r w:rsidR="0057489C">
        <w:rPr>
          <w:rFonts w:ascii="Arial" w:hAnsi="Arial" w:cs="Arial"/>
          <w:szCs w:val="22"/>
        </w:rPr>
        <w:t>-only</w:t>
      </w:r>
      <w:r w:rsidRPr="00DF64AB">
        <w:rPr>
          <w:rFonts w:ascii="Arial" w:hAnsi="Arial" w:cs="Arial"/>
          <w:szCs w:val="22"/>
        </w:rPr>
        <w:t xml:space="preserve"> increases is now considered financially unsustainable for the TGA. In this context, </w:t>
      </w:r>
      <w:r w:rsidR="003A1C84" w:rsidRPr="00DF64AB">
        <w:rPr>
          <w:rFonts w:ascii="Arial" w:hAnsi="Arial" w:cs="Arial"/>
          <w:szCs w:val="22"/>
        </w:rPr>
        <w:t xml:space="preserve">2 </w:t>
      </w:r>
      <w:r w:rsidRPr="00DF64AB">
        <w:rPr>
          <w:rFonts w:ascii="Arial" w:hAnsi="Arial" w:cs="Arial"/>
          <w:szCs w:val="22"/>
        </w:rPr>
        <w:t>options were developed and presented during stakeholder consultation for changes to TGA fees and charges for 2026</w:t>
      </w:r>
      <w:r w:rsidR="00EF7AE2" w:rsidRPr="00DF64AB">
        <w:rPr>
          <w:rFonts w:ascii="Arial" w:hAnsi="Arial" w:cs="Arial"/>
          <w:szCs w:val="22"/>
        </w:rPr>
        <w:t>-</w:t>
      </w:r>
      <w:r w:rsidRPr="00DF64AB">
        <w:rPr>
          <w:rFonts w:ascii="Arial" w:hAnsi="Arial" w:cs="Arial"/>
          <w:szCs w:val="22"/>
        </w:rPr>
        <w:t xml:space="preserve">27. The options were designed to balance financial sustainability with the need to manage impacts on industry, and to provide transparency on the trade-offs between full cost recovery and more moderate increases. </w:t>
      </w:r>
    </w:p>
    <w:p w14:paraId="2BBB8366" w14:textId="6D9D7B1B" w:rsidR="00A153DE" w:rsidRPr="00DF64AB" w:rsidRDefault="00A153DE" w:rsidP="00A153DE">
      <w:pPr>
        <w:rPr>
          <w:rFonts w:ascii="Arial" w:hAnsi="Arial" w:cs="Arial"/>
          <w:szCs w:val="22"/>
        </w:rPr>
      </w:pPr>
      <w:r w:rsidRPr="00DF64AB">
        <w:rPr>
          <w:rFonts w:ascii="Arial" w:hAnsi="Arial" w:cs="Arial"/>
          <w:b/>
          <w:bCs/>
          <w:szCs w:val="22"/>
        </w:rPr>
        <w:t>Option 1</w:t>
      </w:r>
      <w:r w:rsidRPr="00DF64AB">
        <w:rPr>
          <w:rFonts w:ascii="Arial" w:hAnsi="Arial" w:cs="Arial"/>
          <w:szCs w:val="22"/>
        </w:rPr>
        <w:t xml:space="preserve"> proposed full recovery of known cost increases for 2026</w:t>
      </w:r>
      <w:r w:rsidR="00EF7AE2" w:rsidRPr="00DF64AB">
        <w:rPr>
          <w:rFonts w:ascii="Arial" w:hAnsi="Arial" w:cs="Arial"/>
          <w:szCs w:val="22"/>
        </w:rPr>
        <w:t>-</w:t>
      </w:r>
      <w:r w:rsidRPr="00DF64AB">
        <w:rPr>
          <w:rFonts w:ascii="Arial" w:hAnsi="Arial" w:cs="Arial"/>
          <w:szCs w:val="22"/>
        </w:rPr>
        <w:t>27, requiring increases of 4.8% in fees and approximately 6.1</w:t>
      </w:r>
      <w:r w:rsidR="0057489C">
        <w:rPr>
          <w:rFonts w:ascii="Arial" w:hAnsi="Arial" w:cs="Arial"/>
          <w:szCs w:val="22"/>
        </w:rPr>
        <w:t>-</w:t>
      </w:r>
      <w:r w:rsidRPr="00DF64AB">
        <w:rPr>
          <w:rFonts w:ascii="Arial" w:hAnsi="Arial" w:cs="Arial"/>
          <w:szCs w:val="22"/>
        </w:rPr>
        <w:t xml:space="preserve">6.3% in annual charges. This comprised </w:t>
      </w:r>
      <w:r w:rsidR="0057489C">
        <w:rPr>
          <w:rFonts w:ascii="Arial" w:hAnsi="Arial" w:cs="Arial"/>
          <w:szCs w:val="22"/>
        </w:rPr>
        <w:t xml:space="preserve">the </w:t>
      </w:r>
      <w:r w:rsidRPr="00DF64AB">
        <w:rPr>
          <w:rFonts w:ascii="Arial" w:hAnsi="Arial" w:cs="Arial"/>
          <w:szCs w:val="22"/>
        </w:rPr>
        <w:t>standard indexation of 3.3%</w:t>
      </w:r>
      <w:r w:rsidR="0057489C">
        <w:rPr>
          <w:rFonts w:ascii="Arial" w:hAnsi="Arial" w:cs="Arial"/>
          <w:szCs w:val="22"/>
        </w:rPr>
        <w:t xml:space="preserve">, alongside </w:t>
      </w:r>
      <w:r w:rsidRPr="00DF64AB">
        <w:rPr>
          <w:rFonts w:ascii="Arial" w:hAnsi="Arial" w:cs="Arial"/>
          <w:szCs w:val="22"/>
        </w:rPr>
        <w:t>an additional increase</w:t>
      </w:r>
      <w:r w:rsidR="0057489C">
        <w:rPr>
          <w:rFonts w:ascii="Arial" w:hAnsi="Arial" w:cs="Arial"/>
          <w:szCs w:val="22"/>
        </w:rPr>
        <w:t>,</w:t>
      </w:r>
      <w:r w:rsidRPr="00DF64AB">
        <w:rPr>
          <w:rFonts w:ascii="Arial" w:hAnsi="Arial" w:cs="Arial"/>
          <w:szCs w:val="22"/>
        </w:rPr>
        <w:t xml:space="preserve"> to fully recover identified cost pressures. Under this option, the TGA’s fees and charges were more closely aligned with the efficient cost of delivering regulatory activities. While this option results in higher increases for sponsors and manufacturers, it will prevent further deterioration of the structural deficit, maintain cash reserves, and support the TGA’s ability to deliver timely and effective regulatory services.</w:t>
      </w:r>
    </w:p>
    <w:p w14:paraId="53AC9B66" w14:textId="41220BCE" w:rsidR="00A153DE" w:rsidRPr="00DF64AB" w:rsidRDefault="00A153DE" w:rsidP="00A153DE">
      <w:pPr>
        <w:rPr>
          <w:rFonts w:ascii="Arial" w:hAnsi="Arial" w:cs="Arial"/>
          <w:szCs w:val="22"/>
        </w:rPr>
      </w:pPr>
      <w:r w:rsidRPr="00DF64AB">
        <w:rPr>
          <w:rFonts w:ascii="Arial" w:hAnsi="Arial" w:cs="Arial"/>
          <w:b/>
          <w:bCs/>
          <w:szCs w:val="22"/>
        </w:rPr>
        <w:t>Option 2</w:t>
      </w:r>
      <w:r w:rsidRPr="00DF64AB">
        <w:rPr>
          <w:rFonts w:ascii="Arial" w:hAnsi="Arial" w:cs="Arial"/>
          <w:szCs w:val="22"/>
        </w:rPr>
        <w:t xml:space="preserve"> proposed </w:t>
      </w:r>
      <w:r w:rsidR="0057489C">
        <w:rPr>
          <w:rFonts w:ascii="Arial" w:hAnsi="Arial" w:cs="Arial"/>
          <w:szCs w:val="22"/>
        </w:rPr>
        <w:t xml:space="preserve">partial </w:t>
      </w:r>
      <w:r w:rsidR="0057489C" w:rsidRPr="00DF64AB">
        <w:rPr>
          <w:rFonts w:ascii="Arial" w:hAnsi="Arial" w:cs="Arial"/>
          <w:szCs w:val="22"/>
        </w:rPr>
        <w:t>recovery of known cost increases for 2026-27</w:t>
      </w:r>
      <w:r w:rsidR="0057489C">
        <w:rPr>
          <w:rFonts w:ascii="Arial" w:hAnsi="Arial" w:cs="Arial"/>
          <w:szCs w:val="22"/>
        </w:rPr>
        <w:t xml:space="preserve">, requiring </w:t>
      </w:r>
      <w:r w:rsidRPr="00DF64AB">
        <w:rPr>
          <w:rFonts w:ascii="Arial" w:hAnsi="Arial" w:cs="Arial"/>
          <w:szCs w:val="22"/>
        </w:rPr>
        <w:t>a 4.3% increase to fees and charges in 2026</w:t>
      </w:r>
      <w:r w:rsidR="00EF7AE2" w:rsidRPr="00DF64AB">
        <w:rPr>
          <w:rFonts w:ascii="Arial" w:hAnsi="Arial" w:cs="Arial"/>
          <w:szCs w:val="22"/>
        </w:rPr>
        <w:t>-</w:t>
      </w:r>
      <w:r w:rsidRPr="00DF64AB">
        <w:rPr>
          <w:rFonts w:ascii="Arial" w:hAnsi="Arial" w:cs="Arial"/>
          <w:szCs w:val="22"/>
        </w:rPr>
        <w:t>27</w:t>
      </w:r>
      <w:r w:rsidR="0057489C">
        <w:rPr>
          <w:rFonts w:ascii="Arial" w:hAnsi="Arial" w:cs="Arial"/>
          <w:szCs w:val="22"/>
        </w:rPr>
        <w:t xml:space="preserve">. This </w:t>
      </w:r>
      <w:r w:rsidRPr="00DF64AB">
        <w:rPr>
          <w:rFonts w:ascii="Arial" w:hAnsi="Arial" w:cs="Arial"/>
          <w:szCs w:val="22"/>
        </w:rPr>
        <w:t>compris</w:t>
      </w:r>
      <w:r w:rsidR="0057489C">
        <w:rPr>
          <w:rFonts w:ascii="Arial" w:hAnsi="Arial" w:cs="Arial"/>
          <w:szCs w:val="22"/>
        </w:rPr>
        <w:t>ed</w:t>
      </w:r>
      <w:r w:rsidRPr="00DF64AB">
        <w:rPr>
          <w:rFonts w:ascii="Arial" w:hAnsi="Arial" w:cs="Arial"/>
          <w:szCs w:val="22"/>
        </w:rPr>
        <w:t xml:space="preserve"> </w:t>
      </w:r>
      <w:r w:rsidR="0057489C">
        <w:rPr>
          <w:rFonts w:ascii="Arial" w:hAnsi="Arial" w:cs="Arial"/>
          <w:szCs w:val="22"/>
        </w:rPr>
        <w:t xml:space="preserve">the </w:t>
      </w:r>
      <w:r w:rsidRPr="00DF64AB">
        <w:rPr>
          <w:rFonts w:ascii="Arial" w:hAnsi="Arial" w:cs="Arial"/>
          <w:szCs w:val="22"/>
        </w:rPr>
        <w:t>standard indexation of 3.3%</w:t>
      </w:r>
      <w:r w:rsidR="0057489C">
        <w:rPr>
          <w:rFonts w:ascii="Arial" w:hAnsi="Arial" w:cs="Arial"/>
          <w:szCs w:val="22"/>
        </w:rPr>
        <w:t>, alongside</w:t>
      </w:r>
      <w:r w:rsidRPr="00DF64AB">
        <w:rPr>
          <w:rFonts w:ascii="Arial" w:hAnsi="Arial" w:cs="Arial"/>
          <w:szCs w:val="22"/>
        </w:rPr>
        <w:t xml:space="preserve"> an additional increase of 1% applied across both fees and annual charges. Under, this option, the TGA would have only partially recovered known cost increases, leaving a projected shortfall of $2.3 million in 2026</w:t>
      </w:r>
      <w:r w:rsidR="00EF7AE2" w:rsidRPr="00DF64AB">
        <w:rPr>
          <w:rFonts w:ascii="Arial" w:hAnsi="Arial" w:cs="Arial"/>
          <w:szCs w:val="22"/>
        </w:rPr>
        <w:t>-</w:t>
      </w:r>
      <w:r w:rsidRPr="00DF64AB">
        <w:rPr>
          <w:rFonts w:ascii="Arial" w:hAnsi="Arial" w:cs="Arial"/>
          <w:szCs w:val="22"/>
        </w:rPr>
        <w:t>27. While</w:t>
      </w:r>
      <w:r w:rsidR="0057489C">
        <w:rPr>
          <w:rFonts w:ascii="Arial" w:hAnsi="Arial" w:cs="Arial"/>
          <w:szCs w:val="22"/>
        </w:rPr>
        <w:t xml:space="preserve"> it is recognised that</w:t>
      </w:r>
      <w:r w:rsidRPr="00DF64AB">
        <w:rPr>
          <w:rFonts w:ascii="Arial" w:hAnsi="Arial" w:cs="Arial"/>
          <w:szCs w:val="22"/>
        </w:rPr>
        <w:t xml:space="preserve"> this reduces the immediate financial impact on industry, it would have resulted in an ongoing funding gap, requiring further savings and efficiencies. Over time, this would worsen the structural </w:t>
      </w:r>
      <w:proofErr w:type="gramStart"/>
      <w:r w:rsidRPr="00DF64AB">
        <w:rPr>
          <w:rFonts w:ascii="Arial" w:hAnsi="Arial" w:cs="Arial"/>
          <w:szCs w:val="22"/>
        </w:rPr>
        <w:t>deficit, and</w:t>
      </w:r>
      <w:proofErr w:type="gramEnd"/>
      <w:r w:rsidRPr="00DF64AB">
        <w:rPr>
          <w:rFonts w:ascii="Arial" w:hAnsi="Arial" w:cs="Arial"/>
          <w:szCs w:val="22"/>
        </w:rPr>
        <w:t xml:space="preserve"> constrain the TGA’s ability to sustain regulatory capability and deliver services in line with legislated and expected standards.</w:t>
      </w:r>
    </w:p>
    <w:p w14:paraId="0FE988A8" w14:textId="6BBEF2D1" w:rsidR="00A153DE" w:rsidRPr="00DF64AB" w:rsidRDefault="00A153DE" w:rsidP="00A153DE">
      <w:pPr>
        <w:rPr>
          <w:rFonts w:ascii="Arial" w:hAnsi="Arial" w:cs="Arial"/>
          <w:szCs w:val="22"/>
        </w:rPr>
      </w:pPr>
      <w:r w:rsidRPr="00DF64AB">
        <w:rPr>
          <w:rFonts w:ascii="Arial" w:hAnsi="Arial" w:cs="Arial"/>
          <w:szCs w:val="22"/>
        </w:rPr>
        <w:t>Stakeholder feedback acknowledged the financial pressures facing the TGA and the need to maintain a well-functioning regulatory system, while also highlighting concerns about affordability and cumulative increases in fees</w:t>
      </w:r>
      <w:r w:rsidR="003C1CD0" w:rsidRPr="00DF64AB">
        <w:rPr>
          <w:rFonts w:ascii="Arial" w:hAnsi="Arial" w:cs="Arial"/>
          <w:szCs w:val="22"/>
        </w:rPr>
        <w:t xml:space="preserve"> and charges</w:t>
      </w:r>
      <w:r w:rsidRPr="00DF64AB">
        <w:rPr>
          <w:rFonts w:ascii="Arial" w:hAnsi="Arial" w:cs="Arial"/>
          <w:szCs w:val="22"/>
        </w:rPr>
        <w:t xml:space="preserve"> over time.</w:t>
      </w:r>
    </w:p>
    <w:p w14:paraId="1FD26C80" w14:textId="2F0EEF8D" w:rsidR="00A153DE" w:rsidRPr="00DF64AB" w:rsidRDefault="00A153DE" w:rsidP="00A153DE">
      <w:pPr>
        <w:rPr>
          <w:rFonts w:ascii="Arial" w:hAnsi="Arial" w:cs="Arial"/>
          <w:szCs w:val="22"/>
        </w:rPr>
      </w:pPr>
      <w:r w:rsidRPr="00DF64AB">
        <w:rPr>
          <w:rFonts w:ascii="Arial" w:hAnsi="Arial" w:cs="Arial"/>
          <w:szCs w:val="22"/>
        </w:rPr>
        <w:t>Both options were provided to Government to allow a clear choice between fully addressing the funding gap now or continuing with a more gradual approach. Option 1 showed what was required to bring revenue back in line with costs and stabilise the TGA’s financial position</w:t>
      </w:r>
      <w:r w:rsidR="00A63572" w:rsidRPr="00DF64AB">
        <w:rPr>
          <w:rFonts w:ascii="Arial" w:hAnsi="Arial" w:cs="Arial"/>
          <w:szCs w:val="22"/>
        </w:rPr>
        <w:t xml:space="preserve"> in 2026-27</w:t>
      </w:r>
      <w:r w:rsidRPr="00DF64AB">
        <w:rPr>
          <w:rFonts w:ascii="Arial" w:hAnsi="Arial" w:cs="Arial"/>
          <w:szCs w:val="22"/>
        </w:rPr>
        <w:t xml:space="preserve">. Option 2 showed the impact of keeping increases lower, including the remaining shortfall and pressure on cash reserves. </w:t>
      </w:r>
    </w:p>
    <w:p w14:paraId="60699D8A" w14:textId="70AA0D32" w:rsidR="003C3825" w:rsidRPr="00DF64AB" w:rsidRDefault="003C3825" w:rsidP="00E77EA2">
      <w:pPr>
        <w:pStyle w:val="Heading4"/>
        <w:rPr>
          <w:rFonts w:cs="Arial"/>
        </w:rPr>
      </w:pPr>
      <w:bookmarkStart w:id="64" w:name="_Toc233286949"/>
      <w:r w:rsidRPr="00DF64AB">
        <w:rPr>
          <w:rFonts w:cs="Arial"/>
        </w:rPr>
        <w:t>Government decision</w:t>
      </w:r>
      <w:bookmarkEnd w:id="64"/>
    </w:p>
    <w:p w14:paraId="6E6EACCC" w14:textId="72F5B0B9" w:rsidR="001142FF" w:rsidRPr="00DF64AB" w:rsidRDefault="00A153DE" w:rsidP="001142FF">
      <w:pPr>
        <w:rPr>
          <w:rFonts w:ascii="Arial" w:hAnsi="Arial" w:cs="Arial"/>
          <w:szCs w:val="22"/>
        </w:rPr>
      </w:pPr>
      <w:r w:rsidRPr="00DF64AB">
        <w:rPr>
          <w:rFonts w:ascii="Arial" w:hAnsi="Arial" w:cs="Arial"/>
          <w:szCs w:val="22"/>
        </w:rPr>
        <w:t>A Government decision was made to implement Option 1 for 2026</w:t>
      </w:r>
      <w:r w:rsidR="00CE65C6" w:rsidRPr="00DF64AB">
        <w:rPr>
          <w:rFonts w:ascii="Arial" w:hAnsi="Arial" w:cs="Arial"/>
          <w:szCs w:val="22"/>
        </w:rPr>
        <w:t>-</w:t>
      </w:r>
      <w:r w:rsidRPr="00DF64AB">
        <w:rPr>
          <w:rFonts w:ascii="Arial" w:hAnsi="Arial" w:cs="Arial"/>
          <w:szCs w:val="22"/>
        </w:rPr>
        <w:t>27. This approach fully recover</w:t>
      </w:r>
      <w:r w:rsidR="003C3825" w:rsidRPr="00DF64AB">
        <w:rPr>
          <w:rFonts w:ascii="Arial" w:hAnsi="Arial" w:cs="Arial"/>
          <w:szCs w:val="22"/>
        </w:rPr>
        <w:t>s</w:t>
      </w:r>
      <w:r w:rsidRPr="00DF64AB">
        <w:rPr>
          <w:rFonts w:ascii="Arial" w:hAnsi="Arial" w:cs="Arial"/>
          <w:szCs w:val="22"/>
        </w:rPr>
        <w:t xml:space="preserve"> identified cost pressures in accordance with the AGCF and </w:t>
      </w:r>
      <w:r w:rsidR="00A63572" w:rsidRPr="00DF64AB">
        <w:rPr>
          <w:rFonts w:ascii="Arial" w:hAnsi="Arial" w:cs="Arial"/>
          <w:szCs w:val="22"/>
        </w:rPr>
        <w:t>prevents</w:t>
      </w:r>
      <w:r w:rsidRPr="00DF64AB">
        <w:rPr>
          <w:rFonts w:ascii="Arial" w:hAnsi="Arial" w:cs="Arial"/>
          <w:szCs w:val="22"/>
        </w:rPr>
        <w:t xml:space="preserve"> further deterioration of the structural deficit. The decision also supports the maintenance of cash reserves and ongoing delivery of regulatory activities. </w:t>
      </w:r>
      <w:r w:rsidR="003C3825" w:rsidRPr="00DF64AB">
        <w:rPr>
          <w:rFonts w:ascii="Arial" w:hAnsi="Arial" w:cs="Arial"/>
          <w:szCs w:val="22"/>
        </w:rPr>
        <w:t>In summary, t</w:t>
      </w:r>
      <w:r w:rsidR="001142FF" w:rsidRPr="00DF64AB">
        <w:rPr>
          <w:rFonts w:ascii="Arial" w:hAnsi="Arial" w:cs="Arial"/>
          <w:szCs w:val="22"/>
        </w:rPr>
        <w:t xml:space="preserve">o </w:t>
      </w:r>
      <w:r w:rsidR="003C1CD0" w:rsidRPr="00DF64AB">
        <w:rPr>
          <w:rFonts w:ascii="Arial" w:hAnsi="Arial" w:cs="Arial"/>
          <w:szCs w:val="22"/>
        </w:rPr>
        <w:t>fully cost recover the</w:t>
      </w:r>
      <w:r w:rsidR="001142FF" w:rsidRPr="00DF64AB">
        <w:rPr>
          <w:rFonts w:ascii="Arial" w:hAnsi="Arial" w:cs="Arial"/>
          <w:szCs w:val="22"/>
        </w:rPr>
        <w:t xml:space="preserve"> $11.3 million of projected additional costs for cost recovered activities in 2026-27, the increases </w:t>
      </w:r>
      <w:r w:rsidR="003C3825" w:rsidRPr="00DF64AB">
        <w:rPr>
          <w:rFonts w:ascii="Arial" w:hAnsi="Arial" w:cs="Arial"/>
          <w:szCs w:val="22"/>
        </w:rPr>
        <w:t>to fees and charges are</w:t>
      </w:r>
      <w:r w:rsidR="001142FF" w:rsidRPr="00DF64AB">
        <w:rPr>
          <w:rFonts w:ascii="Arial" w:hAnsi="Arial" w:cs="Arial"/>
          <w:szCs w:val="22"/>
        </w:rPr>
        <w:t>:</w:t>
      </w:r>
    </w:p>
    <w:p w14:paraId="26E8120F" w14:textId="64AE61BB" w:rsidR="001142FF" w:rsidRPr="00DF64AB" w:rsidRDefault="001142FF" w:rsidP="001142FF">
      <w:pPr>
        <w:pStyle w:val="ListParagraph"/>
        <w:numPr>
          <w:ilvl w:val="0"/>
          <w:numId w:val="35"/>
        </w:numPr>
        <w:rPr>
          <w:rFonts w:ascii="Arial" w:hAnsi="Arial" w:cs="Arial"/>
          <w:sz w:val="20"/>
        </w:rPr>
      </w:pPr>
      <w:r w:rsidRPr="00DF64AB">
        <w:rPr>
          <w:rFonts w:ascii="Arial" w:hAnsi="Arial" w:cs="Arial"/>
          <w:sz w:val="20"/>
        </w:rPr>
        <w:t xml:space="preserve">All fees </w:t>
      </w:r>
      <w:r w:rsidR="00CE65C6" w:rsidRPr="00DF64AB">
        <w:rPr>
          <w:rFonts w:ascii="Arial" w:hAnsi="Arial" w:cs="Arial"/>
          <w:sz w:val="20"/>
        </w:rPr>
        <w:t>-</w:t>
      </w:r>
      <w:r w:rsidRPr="00DF64AB">
        <w:rPr>
          <w:rFonts w:ascii="Arial" w:hAnsi="Arial" w:cs="Arial"/>
          <w:sz w:val="20"/>
        </w:rPr>
        <w:t xml:space="preserve"> 4.8%, comprising 3.3% relating to indexation, and an additional 1.5% increase</w:t>
      </w:r>
    </w:p>
    <w:p w14:paraId="30099E58" w14:textId="4B030516" w:rsidR="001142FF" w:rsidRPr="00DF64AB" w:rsidRDefault="001142FF" w:rsidP="001142FF">
      <w:pPr>
        <w:pStyle w:val="ListParagraph"/>
        <w:numPr>
          <w:ilvl w:val="0"/>
          <w:numId w:val="35"/>
        </w:numPr>
        <w:rPr>
          <w:rFonts w:ascii="Arial" w:hAnsi="Arial" w:cs="Arial"/>
          <w:sz w:val="20"/>
        </w:rPr>
      </w:pPr>
      <w:r w:rsidRPr="00DF64AB">
        <w:rPr>
          <w:rFonts w:ascii="Arial" w:hAnsi="Arial" w:cs="Arial"/>
          <w:sz w:val="20"/>
        </w:rPr>
        <w:t xml:space="preserve">All annual charges </w:t>
      </w:r>
      <w:r w:rsidR="00CE65C6" w:rsidRPr="00DF64AB">
        <w:rPr>
          <w:rFonts w:ascii="Arial" w:hAnsi="Arial" w:cs="Arial"/>
          <w:sz w:val="20"/>
        </w:rPr>
        <w:t>-</w:t>
      </w:r>
      <w:r w:rsidRPr="00DF64AB">
        <w:rPr>
          <w:rFonts w:ascii="Arial" w:hAnsi="Arial" w:cs="Arial"/>
          <w:sz w:val="20"/>
        </w:rPr>
        <w:t xml:space="preserve"> 6.4%, comprising 3.3% relating to indexation, and an additional 3.1% increase.</w:t>
      </w:r>
    </w:p>
    <w:p w14:paraId="7D828F3C" w14:textId="56899D45" w:rsidR="00870B31" w:rsidRPr="00DF64AB" w:rsidRDefault="0057489C" w:rsidP="00821F47">
      <w:pPr>
        <w:rPr>
          <w:rFonts w:ascii="Arial" w:hAnsi="Arial" w:cs="Arial"/>
          <w:szCs w:val="22"/>
        </w:rPr>
      </w:pPr>
      <w:r>
        <w:rPr>
          <w:rFonts w:ascii="Arial" w:hAnsi="Arial" w:cs="Arial"/>
          <w:szCs w:val="22"/>
        </w:rPr>
        <w:lastRenderedPageBreak/>
        <w:t>I</w:t>
      </w:r>
      <w:r w:rsidR="00821F47" w:rsidRPr="00DF64AB">
        <w:rPr>
          <w:rFonts w:ascii="Arial" w:hAnsi="Arial" w:cs="Arial"/>
          <w:szCs w:val="22"/>
        </w:rPr>
        <w:t xml:space="preserve">n applying the indexation factor to annual charges, additional increases included in 2023-24 and 2024-25 for cost recovery of the TGA’s digital transformation program and </w:t>
      </w:r>
      <w:r w:rsidR="00C62CFA" w:rsidRPr="00DF64AB">
        <w:rPr>
          <w:rFonts w:ascii="Arial" w:hAnsi="Arial" w:cs="Arial"/>
          <w:szCs w:val="22"/>
        </w:rPr>
        <w:t xml:space="preserve">the </w:t>
      </w:r>
      <w:r w:rsidR="00BE2126" w:rsidRPr="00DF64AB">
        <w:rPr>
          <w:rFonts w:ascii="Arial" w:hAnsi="Arial" w:cs="Arial"/>
          <w:szCs w:val="22"/>
        </w:rPr>
        <w:t>Unique Device Identification (</w:t>
      </w:r>
      <w:r w:rsidR="00821F47" w:rsidRPr="00DF64AB">
        <w:rPr>
          <w:rFonts w:ascii="Arial" w:hAnsi="Arial" w:cs="Arial"/>
          <w:szCs w:val="22"/>
        </w:rPr>
        <w:t>UDI</w:t>
      </w:r>
      <w:r w:rsidR="00BE2126" w:rsidRPr="00DF64AB">
        <w:rPr>
          <w:rFonts w:ascii="Arial" w:hAnsi="Arial" w:cs="Arial"/>
          <w:szCs w:val="22"/>
        </w:rPr>
        <w:t>)</w:t>
      </w:r>
      <w:r w:rsidR="00C62CFA" w:rsidRPr="00DF64AB">
        <w:rPr>
          <w:rFonts w:ascii="Arial" w:hAnsi="Arial" w:cs="Arial"/>
          <w:szCs w:val="22"/>
        </w:rPr>
        <w:t xml:space="preserve"> system</w:t>
      </w:r>
      <w:r w:rsidR="00821F47" w:rsidRPr="00DF64AB">
        <w:rPr>
          <w:rFonts w:ascii="Arial" w:hAnsi="Arial" w:cs="Arial"/>
          <w:szCs w:val="22"/>
        </w:rPr>
        <w:t xml:space="preserve"> </w:t>
      </w:r>
      <w:r w:rsidR="00EE5643" w:rsidRPr="00DF64AB">
        <w:rPr>
          <w:rFonts w:ascii="Arial" w:hAnsi="Arial" w:cs="Arial"/>
          <w:szCs w:val="22"/>
        </w:rPr>
        <w:t>were</w:t>
      </w:r>
      <w:r w:rsidR="00821F47" w:rsidRPr="00DF64AB">
        <w:rPr>
          <w:rFonts w:ascii="Arial" w:hAnsi="Arial" w:cs="Arial"/>
          <w:szCs w:val="22"/>
        </w:rPr>
        <w:t xml:space="preserve"> excluded from the base. As a result of this, effective indexation </w:t>
      </w:r>
      <w:r w:rsidR="00BE2126" w:rsidRPr="00DF64AB">
        <w:rPr>
          <w:rFonts w:ascii="Arial" w:hAnsi="Arial" w:cs="Arial"/>
          <w:szCs w:val="22"/>
        </w:rPr>
        <w:t>increases</w:t>
      </w:r>
      <w:r w:rsidR="00821F47" w:rsidRPr="00DF64AB">
        <w:rPr>
          <w:rFonts w:ascii="Arial" w:hAnsi="Arial" w:cs="Arial"/>
          <w:szCs w:val="22"/>
        </w:rPr>
        <w:t xml:space="preserve"> to annual charges </w:t>
      </w:r>
      <w:r w:rsidR="000D5069" w:rsidRPr="00DF64AB">
        <w:rPr>
          <w:rFonts w:ascii="Arial" w:hAnsi="Arial" w:cs="Arial"/>
          <w:szCs w:val="22"/>
        </w:rPr>
        <w:t xml:space="preserve">are slightly </w:t>
      </w:r>
      <w:r w:rsidR="00821F47" w:rsidRPr="00DF64AB">
        <w:rPr>
          <w:rFonts w:ascii="Arial" w:hAnsi="Arial" w:cs="Arial"/>
          <w:szCs w:val="22"/>
        </w:rPr>
        <w:t>lower than the indexation factor.</w:t>
      </w:r>
    </w:p>
    <w:p w14:paraId="173740E6" w14:textId="39C55FC0" w:rsidR="005C4312" w:rsidRPr="00DF64AB" w:rsidRDefault="008713F5" w:rsidP="005C4312">
      <w:pPr>
        <w:rPr>
          <w:rFonts w:ascii="Arial" w:hAnsi="Arial" w:cs="Arial"/>
          <w:szCs w:val="22"/>
        </w:rPr>
      </w:pPr>
      <w:r>
        <w:rPr>
          <w:rFonts w:ascii="Arial" w:hAnsi="Arial" w:cs="Arial"/>
          <w:szCs w:val="22"/>
        </w:rPr>
        <w:t>T</w:t>
      </w:r>
      <w:r w:rsidR="00821F47" w:rsidRPr="00DF64AB">
        <w:rPr>
          <w:rFonts w:ascii="Arial" w:hAnsi="Arial" w:cs="Arial"/>
          <w:szCs w:val="22"/>
        </w:rPr>
        <w:t xml:space="preserve">he table below summarises </w:t>
      </w:r>
      <w:r w:rsidR="00BA7FD9" w:rsidRPr="00DF64AB">
        <w:rPr>
          <w:rFonts w:ascii="Arial" w:hAnsi="Arial" w:cs="Arial"/>
          <w:szCs w:val="22"/>
        </w:rPr>
        <w:t>the increase</w:t>
      </w:r>
      <w:r w:rsidR="00821F47" w:rsidRPr="00DF64AB">
        <w:rPr>
          <w:rFonts w:ascii="Arial" w:hAnsi="Arial" w:cs="Arial"/>
          <w:szCs w:val="22"/>
        </w:rPr>
        <w:t xml:space="preserve"> to TGA fees and charges for 202</w:t>
      </w:r>
      <w:r w:rsidR="001845E6" w:rsidRPr="00DF64AB">
        <w:rPr>
          <w:rFonts w:ascii="Arial" w:hAnsi="Arial" w:cs="Arial"/>
          <w:szCs w:val="22"/>
        </w:rPr>
        <w:t>6</w:t>
      </w:r>
      <w:r w:rsidR="00821F47" w:rsidRPr="00DF64AB">
        <w:rPr>
          <w:rFonts w:ascii="Arial" w:hAnsi="Arial" w:cs="Arial"/>
          <w:szCs w:val="22"/>
        </w:rPr>
        <w:t>-2</w:t>
      </w:r>
      <w:r w:rsidR="001845E6" w:rsidRPr="00DF64AB">
        <w:rPr>
          <w:rFonts w:ascii="Arial" w:hAnsi="Arial" w:cs="Arial"/>
          <w:szCs w:val="22"/>
        </w:rPr>
        <w:t>7</w:t>
      </w:r>
      <w:r w:rsidR="00821F47" w:rsidRPr="00DF64AB">
        <w:rPr>
          <w:rFonts w:ascii="Arial" w:hAnsi="Arial" w:cs="Arial"/>
          <w:szCs w:val="22"/>
        </w:rPr>
        <w:t>:</w:t>
      </w:r>
    </w:p>
    <w:tbl>
      <w:tblPr>
        <w:tblStyle w:val="TableTGAblue"/>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5670"/>
        <w:gridCol w:w="2410"/>
      </w:tblGrid>
      <w:tr w:rsidR="005C4312" w:rsidRPr="00DF64AB" w14:paraId="448618D7" w14:textId="77777777" w:rsidTr="00E77EA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93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hemeFill="accent5" w:themeFillTint="33"/>
            <w:vAlign w:val="center"/>
          </w:tcPr>
          <w:p w14:paraId="3DC1833C" w14:textId="50B761EE" w:rsidR="005C4312" w:rsidRPr="00DF64AB" w:rsidRDefault="00BA7FD9" w:rsidP="00E77EA2">
            <w:pPr>
              <w:spacing w:before="80" w:after="40" w:line="264" w:lineRule="auto"/>
              <w:jc w:val="center"/>
              <w:rPr>
                <w:rFonts w:ascii="Arial" w:hAnsi="Arial" w:cs="Arial"/>
                <w:color w:val="263287"/>
                <w:sz w:val="20"/>
                <w:szCs w:val="20"/>
              </w:rPr>
            </w:pPr>
            <w:r w:rsidRPr="00DF64AB">
              <w:rPr>
                <w:rFonts w:ascii="Arial" w:hAnsi="Arial" w:cs="Arial"/>
                <w:color w:val="263287"/>
                <w:sz w:val="20"/>
                <w:szCs w:val="20"/>
              </w:rPr>
              <w:t>Changes to fees and charges in 202</w:t>
            </w:r>
            <w:r w:rsidR="001845E6" w:rsidRPr="00DF64AB">
              <w:rPr>
                <w:rFonts w:ascii="Arial" w:hAnsi="Arial" w:cs="Arial"/>
                <w:color w:val="263287"/>
                <w:sz w:val="20"/>
                <w:szCs w:val="20"/>
              </w:rPr>
              <w:t>6</w:t>
            </w:r>
            <w:r w:rsidRPr="00DF64AB">
              <w:rPr>
                <w:rFonts w:ascii="Arial" w:hAnsi="Arial" w:cs="Arial"/>
                <w:color w:val="263287"/>
                <w:sz w:val="20"/>
                <w:szCs w:val="20"/>
              </w:rPr>
              <w:t>-2</w:t>
            </w:r>
            <w:r w:rsidR="001845E6" w:rsidRPr="00DF64AB">
              <w:rPr>
                <w:rFonts w:ascii="Arial" w:hAnsi="Arial" w:cs="Arial"/>
                <w:color w:val="263287"/>
                <w:sz w:val="20"/>
                <w:szCs w:val="20"/>
              </w:rPr>
              <w:t>7</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hemeFill="accent5" w:themeFillTint="33"/>
            <w:vAlign w:val="center"/>
          </w:tcPr>
          <w:p w14:paraId="43D459CE" w14:textId="64AF1BD1" w:rsidR="005C4312" w:rsidRPr="00DF64AB" w:rsidRDefault="00BA7FD9" w:rsidP="006B4794">
            <w:pPr>
              <w:spacing w:before="80" w:after="40" w:line="264" w:lineRule="auto"/>
              <w:ind w:left="113"/>
              <w:cnfStyle w:val="100000000000" w:firstRow="1" w:lastRow="0" w:firstColumn="0" w:lastColumn="0" w:oddVBand="0" w:evenVBand="0" w:oddHBand="0" w:evenHBand="0" w:firstRowFirstColumn="0" w:firstRowLastColumn="0" w:lastRowFirstColumn="0" w:lastRowLastColumn="0"/>
              <w:rPr>
                <w:rFonts w:ascii="Arial" w:hAnsi="Arial" w:cs="Arial"/>
                <w:color w:val="263287"/>
                <w:sz w:val="20"/>
                <w:szCs w:val="20"/>
              </w:rPr>
            </w:pPr>
            <w:r w:rsidRPr="00DF64AB">
              <w:rPr>
                <w:rFonts w:ascii="Arial" w:hAnsi="Arial" w:cs="Arial"/>
                <w:color w:val="263287"/>
                <w:sz w:val="20"/>
                <w:szCs w:val="20"/>
              </w:rPr>
              <w:t xml:space="preserve">         </w:t>
            </w:r>
            <w:r w:rsidR="005C4312" w:rsidRPr="00DF64AB">
              <w:rPr>
                <w:rFonts w:ascii="Arial" w:hAnsi="Arial" w:cs="Arial"/>
                <w:color w:val="263287"/>
                <w:sz w:val="20"/>
                <w:szCs w:val="20"/>
              </w:rPr>
              <w:t>Increase</w:t>
            </w:r>
          </w:p>
        </w:tc>
      </w:tr>
      <w:tr w:rsidR="005C4312" w:rsidRPr="00DF64AB" w14:paraId="347C5631"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6936" w:type="dxa"/>
            <w:gridSpan w:val="2"/>
            <w:vAlign w:val="center"/>
          </w:tcPr>
          <w:p w14:paraId="6773C43F" w14:textId="2CCB2028" w:rsidR="005C4312" w:rsidRPr="00DF64AB" w:rsidRDefault="005C4312" w:rsidP="006B4794">
            <w:pPr>
              <w:rPr>
                <w:rFonts w:ascii="Arial" w:hAnsi="Arial" w:cs="Arial"/>
                <w:sz w:val="20"/>
                <w:szCs w:val="20"/>
              </w:rPr>
            </w:pPr>
            <w:r w:rsidRPr="00DF64AB">
              <w:rPr>
                <w:rFonts w:ascii="Arial" w:hAnsi="Arial" w:cs="Arial"/>
                <w:sz w:val="20"/>
                <w:szCs w:val="20"/>
              </w:rPr>
              <w:t xml:space="preserve">All TGA </w:t>
            </w:r>
            <w:r w:rsidR="00BA7FD9" w:rsidRPr="00DF64AB">
              <w:rPr>
                <w:rFonts w:ascii="Arial" w:hAnsi="Arial" w:cs="Arial"/>
                <w:sz w:val="20"/>
                <w:szCs w:val="20"/>
              </w:rPr>
              <w:t>f</w:t>
            </w:r>
            <w:r w:rsidRPr="00DF64AB">
              <w:rPr>
                <w:rFonts w:ascii="Arial" w:hAnsi="Arial" w:cs="Arial"/>
                <w:sz w:val="20"/>
                <w:szCs w:val="20"/>
              </w:rPr>
              <w:t>ees</w:t>
            </w:r>
          </w:p>
        </w:tc>
        <w:tc>
          <w:tcPr>
            <w:tcW w:w="2410" w:type="dxa"/>
            <w:vAlign w:val="center"/>
          </w:tcPr>
          <w:p w14:paraId="5F3CA46A" w14:textId="2634D04A" w:rsidR="005C4312" w:rsidRPr="00DF64AB" w:rsidRDefault="001845E6"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4.8</w:t>
            </w:r>
            <w:r w:rsidR="0056372D" w:rsidRPr="00DF64AB">
              <w:rPr>
                <w:rFonts w:ascii="Arial" w:hAnsi="Arial" w:cs="Arial"/>
                <w:sz w:val="20"/>
                <w:szCs w:val="20"/>
              </w:rPr>
              <w:t>0</w:t>
            </w:r>
            <w:r w:rsidR="005C4312" w:rsidRPr="00DF64AB">
              <w:rPr>
                <w:rFonts w:ascii="Arial" w:hAnsi="Arial" w:cs="Arial"/>
                <w:sz w:val="20"/>
                <w:szCs w:val="20"/>
              </w:rPr>
              <w:t>%</w:t>
            </w:r>
          </w:p>
        </w:tc>
      </w:tr>
      <w:tr w:rsidR="00BA7FD9" w:rsidRPr="00DF64AB" w14:paraId="041A161B"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restart"/>
            <w:vAlign w:val="center"/>
          </w:tcPr>
          <w:p w14:paraId="21036DEB" w14:textId="77777777" w:rsidR="005C4312" w:rsidRPr="00DF64AB" w:rsidRDefault="005C4312" w:rsidP="006B4794">
            <w:pPr>
              <w:keepNext/>
              <w:spacing w:line="480" w:lineRule="auto"/>
              <w:rPr>
                <w:rFonts w:ascii="Arial" w:hAnsi="Arial" w:cs="Arial"/>
                <w:sz w:val="20"/>
                <w:szCs w:val="20"/>
              </w:rPr>
            </w:pPr>
          </w:p>
          <w:p w14:paraId="1B9C9B3A" w14:textId="685DD519" w:rsidR="005C4312" w:rsidRPr="00DF64AB" w:rsidRDefault="005C4312" w:rsidP="006B4794">
            <w:pPr>
              <w:keepNext/>
              <w:spacing w:line="480" w:lineRule="auto"/>
              <w:rPr>
                <w:rFonts w:ascii="Arial" w:hAnsi="Arial" w:cs="Arial"/>
                <w:sz w:val="20"/>
                <w:szCs w:val="20"/>
              </w:rPr>
            </w:pPr>
            <w:r w:rsidRPr="00DF64AB">
              <w:rPr>
                <w:rFonts w:ascii="Arial" w:hAnsi="Arial" w:cs="Arial"/>
                <w:sz w:val="20"/>
                <w:szCs w:val="20"/>
              </w:rPr>
              <w:t>Charges</w:t>
            </w:r>
          </w:p>
        </w:tc>
        <w:tc>
          <w:tcPr>
            <w:tcW w:w="5670" w:type="dxa"/>
            <w:vAlign w:val="center"/>
          </w:tcPr>
          <w:p w14:paraId="61FBC527" w14:textId="77777777" w:rsidR="005C4312" w:rsidRPr="00DF64AB"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Medicines and Biologicals Annual Charges</w:t>
            </w:r>
          </w:p>
        </w:tc>
        <w:tc>
          <w:tcPr>
            <w:tcW w:w="2410" w:type="dxa"/>
            <w:vAlign w:val="center"/>
          </w:tcPr>
          <w:p w14:paraId="12C75525" w14:textId="53275EC7" w:rsidR="005C4312" w:rsidRPr="00DF64AB" w:rsidRDefault="0056372D"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6.30</w:t>
            </w:r>
            <w:r w:rsidR="005C4312" w:rsidRPr="00DF64AB">
              <w:rPr>
                <w:rFonts w:ascii="Arial" w:hAnsi="Arial" w:cs="Arial"/>
                <w:sz w:val="20"/>
                <w:szCs w:val="20"/>
              </w:rPr>
              <w:t>%</w:t>
            </w:r>
          </w:p>
        </w:tc>
      </w:tr>
      <w:tr w:rsidR="00BA7FD9" w:rsidRPr="00DF64AB" w14:paraId="131774F6"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77CEBCFB" w14:textId="77777777" w:rsidR="005C4312" w:rsidRPr="00DF64AB" w:rsidRDefault="005C4312" w:rsidP="006B4794">
            <w:pPr>
              <w:keepNext/>
              <w:rPr>
                <w:rFonts w:ascii="Arial" w:hAnsi="Arial" w:cs="Arial"/>
                <w:sz w:val="20"/>
                <w:szCs w:val="20"/>
              </w:rPr>
            </w:pPr>
          </w:p>
        </w:tc>
        <w:tc>
          <w:tcPr>
            <w:tcW w:w="5670" w:type="dxa"/>
            <w:vAlign w:val="center"/>
          </w:tcPr>
          <w:p w14:paraId="5134EBB5" w14:textId="77777777" w:rsidR="005C4312" w:rsidRPr="00DF64AB"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Medical Devices Class II and above</w:t>
            </w:r>
          </w:p>
        </w:tc>
        <w:tc>
          <w:tcPr>
            <w:tcW w:w="2410" w:type="dxa"/>
            <w:vAlign w:val="center"/>
          </w:tcPr>
          <w:p w14:paraId="764368C6" w14:textId="286BE577" w:rsidR="005C4312" w:rsidRPr="00DF64AB" w:rsidRDefault="0056372D"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6.10</w:t>
            </w:r>
            <w:r w:rsidR="005C4312" w:rsidRPr="00DF64AB">
              <w:rPr>
                <w:rFonts w:ascii="Arial" w:hAnsi="Arial" w:cs="Arial"/>
                <w:sz w:val="20"/>
                <w:szCs w:val="20"/>
              </w:rPr>
              <w:t>%</w:t>
            </w:r>
          </w:p>
        </w:tc>
      </w:tr>
      <w:tr w:rsidR="00BA7FD9" w:rsidRPr="00DF64AB" w14:paraId="3AF5ADEC"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05EEACC1" w14:textId="77777777" w:rsidR="005C4312" w:rsidRPr="00DF64AB" w:rsidRDefault="005C4312" w:rsidP="006B4794">
            <w:pPr>
              <w:keepNext/>
              <w:rPr>
                <w:rFonts w:ascii="Arial" w:hAnsi="Arial" w:cs="Arial"/>
                <w:sz w:val="20"/>
                <w:szCs w:val="20"/>
              </w:rPr>
            </w:pPr>
          </w:p>
        </w:tc>
        <w:tc>
          <w:tcPr>
            <w:tcW w:w="5670" w:type="dxa"/>
            <w:vAlign w:val="center"/>
          </w:tcPr>
          <w:p w14:paraId="3066221C" w14:textId="77777777" w:rsidR="005C4312" w:rsidRPr="00DF64AB"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Other Medical Devices and IVD annual charges</w:t>
            </w:r>
          </w:p>
        </w:tc>
        <w:tc>
          <w:tcPr>
            <w:tcW w:w="2410" w:type="dxa"/>
            <w:vAlign w:val="center"/>
          </w:tcPr>
          <w:p w14:paraId="59375646" w14:textId="4E4ED2A8" w:rsidR="005C4312" w:rsidRPr="00DF64AB" w:rsidRDefault="0056372D"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6.20</w:t>
            </w:r>
            <w:r w:rsidR="005C4312" w:rsidRPr="00DF64AB">
              <w:rPr>
                <w:rFonts w:ascii="Arial" w:hAnsi="Arial" w:cs="Arial"/>
                <w:sz w:val="20"/>
                <w:szCs w:val="20"/>
              </w:rPr>
              <w:t>%</w:t>
            </w:r>
          </w:p>
        </w:tc>
      </w:tr>
      <w:tr w:rsidR="00BA7FD9" w:rsidRPr="00DF64AB" w14:paraId="59BC772B"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7E1DFF30" w14:textId="77777777" w:rsidR="005C4312" w:rsidRPr="00DF64AB" w:rsidRDefault="005C4312" w:rsidP="006B4794">
            <w:pPr>
              <w:keepNext/>
              <w:rPr>
                <w:rFonts w:ascii="Arial" w:hAnsi="Arial" w:cs="Arial"/>
                <w:sz w:val="20"/>
                <w:szCs w:val="20"/>
              </w:rPr>
            </w:pPr>
          </w:p>
        </w:tc>
        <w:tc>
          <w:tcPr>
            <w:tcW w:w="5670" w:type="dxa"/>
            <w:vAlign w:val="center"/>
          </w:tcPr>
          <w:p w14:paraId="5FD3C714" w14:textId="40F45B5C" w:rsidR="005C4312" w:rsidRPr="00DF64AB" w:rsidRDefault="00D53847"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M</w:t>
            </w:r>
            <w:r w:rsidR="005C4312" w:rsidRPr="00DF64AB">
              <w:rPr>
                <w:rFonts w:ascii="Arial" w:hAnsi="Arial" w:cs="Arial"/>
                <w:sz w:val="20"/>
                <w:szCs w:val="20"/>
              </w:rPr>
              <w:t>anufacturing licences and Other therapeutic goods (OTG)</w:t>
            </w:r>
          </w:p>
        </w:tc>
        <w:tc>
          <w:tcPr>
            <w:tcW w:w="2410" w:type="dxa"/>
            <w:vAlign w:val="center"/>
          </w:tcPr>
          <w:p w14:paraId="5A8920CE" w14:textId="7961BA93" w:rsidR="005C4312" w:rsidRPr="00DF64AB" w:rsidRDefault="0056372D"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64AB">
              <w:rPr>
                <w:rFonts w:ascii="Arial" w:hAnsi="Arial" w:cs="Arial"/>
                <w:sz w:val="20"/>
                <w:szCs w:val="20"/>
              </w:rPr>
              <w:t>6.30</w:t>
            </w:r>
            <w:r w:rsidR="005C4312" w:rsidRPr="00DF64AB">
              <w:rPr>
                <w:rFonts w:ascii="Arial" w:hAnsi="Arial" w:cs="Arial"/>
                <w:sz w:val="20"/>
                <w:szCs w:val="20"/>
              </w:rPr>
              <w:t>%</w:t>
            </w:r>
          </w:p>
        </w:tc>
      </w:tr>
    </w:tbl>
    <w:p w14:paraId="6DD2F6F4" w14:textId="12287D16" w:rsidR="00FB1354" w:rsidRPr="00DF64AB" w:rsidRDefault="00E52579" w:rsidP="00FB1354">
      <w:pPr>
        <w:pStyle w:val="Heading4"/>
        <w:rPr>
          <w:rFonts w:cs="Arial"/>
        </w:rPr>
      </w:pPr>
      <w:bookmarkStart w:id="65" w:name="_Toc233286950"/>
      <w:r w:rsidRPr="00DF64AB">
        <w:rPr>
          <w:rFonts w:cs="Arial"/>
        </w:rPr>
        <w:t>Reduced fees for UDI-specific Consents to Supply applications</w:t>
      </w:r>
      <w:bookmarkEnd w:id="65"/>
      <w:r w:rsidR="00945AF1" w:rsidRPr="00DF64AB" w:rsidDel="00945AF1">
        <w:rPr>
          <w:rFonts w:cs="Arial"/>
        </w:rPr>
        <w:t xml:space="preserve"> </w:t>
      </w:r>
    </w:p>
    <w:p w14:paraId="15803CCA" w14:textId="13C7F2E7" w:rsidR="003C3825" w:rsidRPr="00DF64AB" w:rsidRDefault="003C3825" w:rsidP="003C3825">
      <w:pPr>
        <w:rPr>
          <w:rFonts w:ascii="Arial" w:hAnsi="Arial" w:cs="Arial"/>
          <w:color w:val="000000"/>
        </w:rPr>
      </w:pPr>
      <w:r w:rsidRPr="00DF64AB">
        <w:rPr>
          <w:rFonts w:ascii="Arial" w:hAnsi="Arial" w:cs="Arial"/>
          <w:color w:val="000000"/>
        </w:rPr>
        <w:t xml:space="preserve">In addition, the Government approved a reduction in </w:t>
      </w:r>
      <w:r w:rsidR="00A63572" w:rsidRPr="00DF64AB">
        <w:rPr>
          <w:rFonts w:ascii="Arial" w:hAnsi="Arial" w:cs="Arial"/>
          <w:color w:val="000000"/>
        </w:rPr>
        <w:t xml:space="preserve">the </w:t>
      </w:r>
      <w:r w:rsidRPr="00DF64AB">
        <w:rPr>
          <w:rFonts w:ascii="Arial" w:hAnsi="Arial" w:cs="Arial"/>
          <w:color w:val="000000"/>
        </w:rPr>
        <w:t>fee for Unique Device Identification (UDI)</w:t>
      </w:r>
      <w:r w:rsidRPr="00DF64AB">
        <w:rPr>
          <w:rFonts w:ascii="Arial" w:hAnsi="Arial" w:cs="Arial"/>
          <w:color w:val="000000"/>
        </w:rPr>
        <w:noBreakHyphen/>
        <w:t>specific Consent to Supply applications</w:t>
      </w:r>
      <w:r w:rsidR="00487543">
        <w:rPr>
          <w:rFonts w:ascii="Arial" w:hAnsi="Arial" w:cs="Arial"/>
          <w:color w:val="000000"/>
        </w:rPr>
        <w:t>. This</w:t>
      </w:r>
      <w:r w:rsidRPr="00DF64AB">
        <w:rPr>
          <w:rFonts w:ascii="Arial" w:hAnsi="Arial" w:cs="Arial"/>
          <w:color w:val="000000"/>
        </w:rPr>
        <w:t xml:space="preserve"> better align</w:t>
      </w:r>
      <w:r w:rsidR="00487543">
        <w:rPr>
          <w:rFonts w:ascii="Arial" w:hAnsi="Arial" w:cs="Arial"/>
          <w:color w:val="000000"/>
        </w:rPr>
        <w:t>s</w:t>
      </w:r>
      <w:r w:rsidRPr="00DF64AB">
        <w:rPr>
          <w:rFonts w:ascii="Arial" w:hAnsi="Arial" w:cs="Arial"/>
          <w:color w:val="000000"/>
        </w:rPr>
        <w:t xml:space="preserve"> the fee with the efficient cost of </w:t>
      </w:r>
      <w:proofErr w:type="gramStart"/>
      <w:r w:rsidRPr="00DF64AB">
        <w:rPr>
          <w:rFonts w:ascii="Arial" w:hAnsi="Arial" w:cs="Arial"/>
          <w:color w:val="000000"/>
        </w:rPr>
        <w:t>assessment</w:t>
      </w:r>
      <w:r w:rsidR="00487543">
        <w:rPr>
          <w:rFonts w:ascii="Arial" w:hAnsi="Arial" w:cs="Arial"/>
          <w:color w:val="000000"/>
        </w:rPr>
        <w:t>,</w:t>
      </w:r>
      <w:r w:rsidRPr="00DF64AB">
        <w:rPr>
          <w:rFonts w:ascii="Arial" w:hAnsi="Arial" w:cs="Arial"/>
          <w:color w:val="000000"/>
        </w:rPr>
        <w:t xml:space="preserve"> and</w:t>
      </w:r>
      <w:proofErr w:type="gramEnd"/>
      <w:r w:rsidRPr="00DF64AB">
        <w:rPr>
          <w:rFonts w:ascii="Arial" w:hAnsi="Arial" w:cs="Arial"/>
          <w:color w:val="000000"/>
        </w:rPr>
        <w:t xml:space="preserve"> support</w:t>
      </w:r>
      <w:r w:rsidR="00487543">
        <w:rPr>
          <w:rFonts w:ascii="Arial" w:hAnsi="Arial" w:cs="Arial"/>
          <w:color w:val="000000"/>
        </w:rPr>
        <w:t>s</w:t>
      </w:r>
      <w:r w:rsidRPr="00DF64AB">
        <w:rPr>
          <w:rFonts w:ascii="Arial" w:hAnsi="Arial" w:cs="Arial"/>
          <w:color w:val="000000"/>
        </w:rPr>
        <w:t xml:space="preserve"> implementation of the UDI framework.</w:t>
      </w:r>
    </w:p>
    <w:p w14:paraId="7791C922" w14:textId="06608FE0" w:rsidR="00F06850" w:rsidRPr="00DF64AB" w:rsidRDefault="00F06850" w:rsidP="00C90219">
      <w:pPr>
        <w:spacing w:after="160" w:line="256" w:lineRule="auto"/>
        <w:rPr>
          <w:rFonts w:ascii="Arial" w:hAnsi="Arial" w:cs="Arial"/>
          <w:color w:val="000000"/>
        </w:rPr>
      </w:pPr>
      <w:r w:rsidRPr="00DF64AB">
        <w:rPr>
          <w:rFonts w:ascii="Arial" w:hAnsi="Arial" w:cs="Arial"/>
          <w:color w:val="000000"/>
        </w:rPr>
        <w:t xml:space="preserve">Compliance with the </w:t>
      </w:r>
      <w:r w:rsidRPr="00DF64AB">
        <w:rPr>
          <w:rFonts w:ascii="Arial" w:hAnsi="Arial" w:cs="Arial"/>
          <w:i/>
          <w:iCs/>
          <w:color w:val="000000"/>
        </w:rPr>
        <w:t>Therapeutic Goods (Medical Devices) Regulations 2002</w:t>
      </w:r>
      <w:r w:rsidRPr="00DF64AB">
        <w:rPr>
          <w:rFonts w:ascii="Arial" w:hAnsi="Arial" w:cs="Arial"/>
          <w:color w:val="000000"/>
        </w:rPr>
        <w:t xml:space="preserve"> Unique Device Identification (UDI) requirements commences on 1 July 2026 for Class III and IIb medical devices, with compliance for lower device classes required in the following years. Compliance with UDI requirements will impact manufacturing processes, quality management systems, information technology infrastructure, and overall business operations of medical device manufacturers and sponsors. The risk</w:t>
      </w:r>
      <w:r w:rsidR="0049783C">
        <w:rPr>
          <w:rFonts w:ascii="Arial" w:hAnsi="Arial" w:cs="Arial"/>
          <w:color w:val="000000"/>
        </w:rPr>
        <w:t>s</w:t>
      </w:r>
      <w:r w:rsidRPr="00DF64AB">
        <w:rPr>
          <w:rFonts w:ascii="Arial" w:hAnsi="Arial" w:cs="Arial"/>
          <w:color w:val="000000"/>
        </w:rPr>
        <w:t xml:space="preserve"> associated with non-compliance for medical devices already on the market has been assessed by the TGA as minimal</w:t>
      </w:r>
      <w:r w:rsidR="00487543">
        <w:rPr>
          <w:rFonts w:ascii="Arial" w:hAnsi="Arial" w:cs="Arial"/>
          <w:color w:val="000000"/>
        </w:rPr>
        <w:t>,</w:t>
      </w:r>
      <w:r w:rsidRPr="00DF64AB">
        <w:rPr>
          <w:rFonts w:ascii="Arial" w:hAnsi="Arial" w:cs="Arial"/>
          <w:color w:val="000000"/>
        </w:rPr>
        <w:t xml:space="preserve"> as it is unlikely to affect medical device safety or performance. Manufacturers or sponsors unable to meet the UDI obligations may apply to the TGA for </w:t>
      </w:r>
      <w:r w:rsidRPr="00DF64AB">
        <w:rPr>
          <w:rFonts w:ascii="Arial" w:hAnsi="Arial" w:cs="Arial"/>
          <w:i/>
          <w:iCs/>
          <w:color w:val="000000"/>
        </w:rPr>
        <w:t>Consent to import, supply, or export medical devices that do not meet the Essential Principles</w:t>
      </w:r>
      <w:r w:rsidRPr="00DF64AB">
        <w:rPr>
          <w:rFonts w:ascii="Arial" w:hAnsi="Arial" w:cs="Arial"/>
          <w:color w:val="000000"/>
        </w:rPr>
        <w:t>. The TGA’s process for UDI-specific Consent to Supply applications is expected to require less effort and therefore a reduced fee will be payable to assess and approve each application. Use of the Consent to Supply process supports continued supply of medical devices as manufacturers and sponsors work towards full UDI compliance.</w:t>
      </w:r>
    </w:p>
    <w:p w14:paraId="2EDE1B4F" w14:textId="77777777" w:rsidR="00F06850" w:rsidRPr="00DF64AB" w:rsidRDefault="00F06850" w:rsidP="00C90219">
      <w:pPr>
        <w:spacing w:after="160" w:line="256" w:lineRule="auto"/>
        <w:rPr>
          <w:rFonts w:ascii="Arial" w:hAnsi="Arial" w:cs="Arial"/>
          <w:color w:val="000000"/>
        </w:rPr>
      </w:pPr>
      <w:r w:rsidRPr="00DF64AB">
        <w:rPr>
          <w:rFonts w:ascii="Arial" w:hAnsi="Arial" w:cs="Arial"/>
          <w:color w:val="000000"/>
        </w:rPr>
        <w:t xml:space="preserve">A UDI Consent to Supply is an application that only includes non-compliance with one or more of the following UDI-related Essential Principles: </w:t>
      </w:r>
    </w:p>
    <w:p w14:paraId="47912C15" w14:textId="23049D6F"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13A.2 </w:t>
      </w:r>
      <w:r w:rsidR="00F42546" w:rsidRPr="00DF64AB">
        <w:rPr>
          <w:rFonts w:ascii="Arial" w:hAnsi="Arial" w:cs="Arial"/>
          <w:color w:val="000000"/>
        </w:rPr>
        <w:t>-</w:t>
      </w:r>
      <w:r w:rsidRPr="00DF64AB">
        <w:rPr>
          <w:rFonts w:ascii="Arial" w:hAnsi="Arial" w:cs="Arial"/>
          <w:color w:val="000000"/>
        </w:rPr>
        <w:t xml:space="preserve"> Patient Implant Cards</w:t>
      </w:r>
    </w:p>
    <w:p w14:paraId="27550C54" w14:textId="7AB1A89B"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13.5 </w:t>
      </w:r>
      <w:r w:rsidR="00F42546" w:rsidRPr="00DF64AB">
        <w:rPr>
          <w:rFonts w:ascii="Arial" w:hAnsi="Arial" w:cs="Arial"/>
          <w:color w:val="000000"/>
        </w:rPr>
        <w:t>-</w:t>
      </w:r>
      <w:r w:rsidRPr="00DF64AB">
        <w:rPr>
          <w:rFonts w:ascii="Arial" w:hAnsi="Arial" w:cs="Arial"/>
          <w:color w:val="000000"/>
        </w:rPr>
        <w:t xml:space="preserve"> Device identifier and production identifier are provided with the device</w:t>
      </w:r>
    </w:p>
    <w:p w14:paraId="04C6BF2C" w14:textId="338234CE"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13.6 </w:t>
      </w:r>
      <w:r w:rsidR="00F42546" w:rsidRPr="00DF64AB">
        <w:rPr>
          <w:rFonts w:ascii="Arial" w:hAnsi="Arial" w:cs="Arial"/>
          <w:color w:val="000000"/>
        </w:rPr>
        <w:t>-</w:t>
      </w:r>
      <w:r w:rsidRPr="00DF64AB">
        <w:rPr>
          <w:rFonts w:ascii="Arial" w:hAnsi="Arial" w:cs="Arial"/>
          <w:color w:val="000000"/>
        </w:rPr>
        <w:t xml:space="preserve"> Packaging identifiers are provided with the device</w:t>
      </w:r>
    </w:p>
    <w:p w14:paraId="57A0A77E" w14:textId="681995B1"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13C.1 </w:t>
      </w:r>
      <w:r w:rsidR="00F42546" w:rsidRPr="00DF64AB">
        <w:rPr>
          <w:rFonts w:ascii="Arial" w:hAnsi="Arial" w:cs="Arial"/>
          <w:color w:val="000000"/>
        </w:rPr>
        <w:t>-</w:t>
      </w:r>
      <w:r w:rsidRPr="00DF64AB">
        <w:rPr>
          <w:rFonts w:ascii="Arial" w:hAnsi="Arial" w:cs="Arial"/>
          <w:color w:val="000000"/>
        </w:rPr>
        <w:t xml:space="preserve"> Identifiers are issued by recognised Issuing Agencies</w:t>
      </w:r>
    </w:p>
    <w:p w14:paraId="49466291" w14:textId="1B557762"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13C.2</w:t>
      </w:r>
      <w:r w:rsidR="00F42546" w:rsidRPr="00DF64AB">
        <w:rPr>
          <w:rFonts w:ascii="Arial" w:hAnsi="Arial" w:cs="Arial"/>
          <w:color w:val="000000"/>
        </w:rPr>
        <w:t xml:space="preserve"> -</w:t>
      </w:r>
      <w:r w:rsidRPr="00DF64AB">
        <w:rPr>
          <w:rFonts w:ascii="Arial" w:hAnsi="Arial" w:cs="Arial"/>
          <w:color w:val="000000"/>
        </w:rPr>
        <w:t xml:space="preserve"> Identifiers are in the Australian Unique Device Identification Database</w:t>
      </w:r>
    </w:p>
    <w:p w14:paraId="2C402DB1" w14:textId="5C000FD6"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13C.3 </w:t>
      </w:r>
      <w:r w:rsidR="00F42546" w:rsidRPr="00DF64AB">
        <w:rPr>
          <w:rFonts w:ascii="Arial" w:hAnsi="Arial" w:cs="Arial"/>
          <w:color w:val="000000"/>
        </w:rPr>
        <w:t>-</w:t>
      </w:r>
      <w:r w:rsidRPr="00DF64AB">
        <w:rPr>
          <w:rFonts w:ascii="Arial" w:hAnsi="Arial" w:cs="Arial"/>
          <w:color w:val="000000"/>
        </w:rPr>
        <w:t xml:space="preserve"> Other device-related data is in the Australian Unique Device Identification Database</w:t>
      </w:r>
    </w:p>
    <w:p w14:paraId="3525B10C" w14:textId="1EF3734D"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13C.4 </w:t>
      </w:r>
      <w:r w:rsidR="00F42546" w:rsidRPr="00DF64AB">
        <w:rPr>
          <w:rFonts w:ascii="Arial" w:hAnsi="Arial" w:cs="Arial"/>
          <w:color w:val="000000"/>
        </w:rPr>
        <w:t>-</w:t>
      </w:r>
      <w:r w:rsidRPr="00DF64AB">
        <w:rPr>
          <w:rFonts w:ascii="Arial" w:hAnsi="Arial" w:cs="Arial"/>
          <w:color w:val="000000"/>
        </w:rPr>
        <w:t xml:space="preserve"> Australian Unique Device Identification Database information is accurate and up to date</w:t>
      </w:r>
    </w:p>
    <w:p w14:paraId="0205F9B9" w14:textId="004D7A56" w:rsidR="00C90219" w:rsidRPr="00DF64AB" w:rsidRDefault="00C90219" w:rsidP="00C90219">
      <w:pPr>
        <w:numPr>
          <w:ilvl w:val="0"/>
          <w:numId w:val="40"/>
        </w:numPr>
        <w:spacing w:after="160" w:line="256" w:lineRule="auto"/>
        <w:rPr>
          <w:rFonts w:ascii="Arial" w:hAnsi="Arial" w:cs="Arial"/>
          <w:color w:val="000000"/>
        </w:rPr>
      </w:pPr>
      <w:r w:rsidRPr="00DF64AB">
        <w:rPr>
          <w:rFonts w:ascii="Arial" w:hAnsi="Arial" w:cs="Arial"/>
          <w:color w:val="000000"/>
        </w:rPr>
        <w:t xml:space="preserve">13C.5 </w:t>
      </w:r>
      <w:r w:rsidR="00F42546" w:rsidRPr="00DF64AB">
        <w:rPr>
          <w:rFonts w:ascii="Arial" w:hAnsi="Arial" w:cs="Arial"/>
          <w:color w:val="000000"/>
        </w:rPr>
        <w:t>-</w:t>
      </w:r>
      <w:r w:rsidRPr="00DF64AB">
        <w:rPr>
          <w:rFonts w:ascii="Arial" w:hAnsi="Arial" w:cs="Arial"/>
          <w:color w:val="000000"/>
        </w:rPr>
        <w:t xml:space="preserve"> Device identifier and production identifier are direct marked on the device.</w:t>
      </w:r>
    </w:p>
    <w:p w14:paraId="19CA6637" w14:textId="77777777" w:rsidR="00F06850" w:rsidRPr="00DF64AB" w:rsidRDefault="00F06850" w:rsidP="00C90219">
      <w:pPr>
        <w:spacing w:after="160" w:line="256" w:lineRule="auto"/>
        <w:rPr>
          <w:rFonts w:ascii="Arial" w:hAnsi="Arial" w:cs="Arial"/>
          <w:color w:val="000000"/>
        </w:rPr>
      </w:pPr>
      <w:r w:rsidRPr="00DF64AB">
        <w:rPr>
          <w:rFonts w:ascii="Arial" w:hAnsi="Arial" w:cs="Arial"/>
          <w:color w:val="000000"/>
        </w:rPr>
        <w:t>Non-compliance with the UDI related Essential Principles can be included on a Consent to Supply application for non-UDI Essential Principles, however this will follow one of the existing Consent to Supply pathways.</w:t>
      </w:r>
    </w:p>
    <w:p w14:paraId="48C8B13E" w14:textId="21B850D5" w:rsidR="00E375A7" w:rsidRPr="00DF64AB" w:rsidRDefault="00AB4D64" w:rsidP="00E77EA2">
      <w:pPr>
        <w:rPr>
          <w:rFonts w:ascii="Arial" w:hAnsi="Arial" w:cs="Arial"/>
        </w:rPr>
      </w:pPr>
      <w:r w:rsidRPr="00DF64AB">
        <w:rPr>
          <w:rFonts w:ascii="Arial" w:hAnsi="Arial" w:cs="Arial"/>
        </w:rPr>
        <w:t xml:space="preserve">The table below </w:t>
      </w:r>
      <w:r w:rsidR="00D86435" w:rsidRPr="00DF64AB">
        <w:rPr>
          <w:rFonts w:ascii="Arial" w:hAnsi="Arial" w:cs="Arial"/>
        </w:rPr>
        <w:t xml:space="preserve">shows the reduced fee </w:t>
      </w:r>
      <w:r w:rsidR="003A46E7" w:rsidRPr="00DF64AB">
        <w:rPr>
          <w:rFonts w:ascii="Arial" w:hAnsi="Arial" w:cs="Arial"/>
        </w:rPr>
        <w:t xml:space="preserve">of UDI Consent to Supply applications.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984"/>
        <w:gridCol w:w="1843"/>
        <w:gridCol w:w="1984"/>
      </w:tblGrid>
      <w:tr w:rsidR="006C0FC4" w:rsidRPr="00DF64AB" w14:paraId="27AFF581" w14:textId="77777777" w:rsidTr="00E77EA2">
        <w:tc>
          <w:tcPr>
            <w:tcW w:w="3823" w:type="dxa"/>
            <w:shd w:val="clear" w:color="auto" w:fill="DEEAF6" w:themeFill="accent5" w:themeFillTint="33"/>
            <w:tcMar>
              <w:top w:w="0" w:type="dxa"/>
              <w:left w:w="108" w:type="dxa"/>
              <w:bottom w:w="0" w:type="dxa"/>
              <w:right w:w="108" w:type="dxa"/>
            </w:tcMar>
            <w:vAlign w:val="center"/>
            <w:hideMark/>
          </w:tcPr>
          <w:p w14:paraId="51396F84" w14:textId="79DDA974" w:rsidR="001976FE" w:rsidRPr="00DF64AB" w:rsidRDefault="001976FE" w:rsidP="00E77EA2">
            <w:pPr>
              <w:keepNext/>
              <w:spacing w:before="80" w:after="40" w:line="264" w:lineRule="auto"/>
              <w:ind w:left="113"/>
              <w:jc w:val="center"/>
              <w:rPr>
                <w:rFonts w:ascii="Arial" w:eastAsia="Cambria" w:hAnsi="Arial" w:cs="Arial"/>
                <w:color w:val="263287"/>
                <w:lang w:eastAsia="en-AU"/>
              </w:rPr>
            </w:pPr>
            <w:r w:rsidRPr="00DF64AB">
              <w:rPr>
                <w:rFonts w:ascii="Arial" w:eastAsia="Cambria" w:hAnsi="Arial" w:cs="Arial"/>
                <w:b/>
                <w:color w:val="263287"/>
                <w:lang w:eastAsia="en-AU"/>
              </w:rPr>
              <w:lastRenderedPageBreak/>
              <w:t xml:space="preserve">Type of </w:t>
            </w:r>
            <w:r w:rsidR="00B85B10" w:rsidRPr="00DF64AB">
              <w:rPr>
                <w:rFonts w:ascii="Arial" w:eastAsia="Cambria" w:hAnsi="Arial" w:cs="Arial"/>
                <w:b/>
                <w:color w:val="263287"/>
                <w:lang w:eastAsia="en-AU"/>
              </w:rPr>
              <w:t>application</w:t>
            </w:r>
          </w:p>
        </w:tc>
        <w:tc>
          <w:tcPr>
            <w:tcW w:w="1984" w:type="dxa"/>
            <w:shd w:val="clear" w:color="auto" w:fill="DEEAF6" w:themeFill="accent5" w:themeFillTint="33"/>
            <w:tcMar>
              <w:top w:w="0" w:type="dxa"/>
              <w:left w:w="108" w:type="dxa"/>
              <w:bottom w:w="0" w:type="dxa"/>
              <w:right w:w="108" w:type="dxa"/>
            </w:tcMar>
            <w:vAlign w:val="center"/>
            <w:hideMark/>
          </w:tcPr>
          <w:p w14:paraId="2377F877" w14:textId="77777777" w:rsidR="001976FE" w:rsidRPr="00DF64AB" w:rsidRDefault="001976FE" w:rsidP="00E77EA2">
            <w:pPr>
              <w:keepNext/>
              <w:spacing w:before="80" w:after="40" w:line="264" w:lineRule="auto"/>
              <w:ind w:left="113"/>
              <w:jc w:val="center"/>
              <w:rPr>
                <w:rFonts w:ascii="Arial" w:eastAsia="Cambria" w:hAnsi="Arial" w:cs="Arial"/>
                <w:color w:val="263287"/>
                <w:lang w:eastAsia="en-AU"/>
              </w:rPr>
            </w:pPr>
            <w:r w:rsidRPr="00DF64AB">
              <w:rPr>
                <w:rFonts w:ascii="Arial" w:eastAsia="Cambria" w:hAnsi="Arial" w:cs="Arial"/>
                <w:b/>
                <w:color w:val="263287"/>
                <w:lang w:eastAsia="en-AU"/>
              </w:rPr>
              <w:t>Fee Schedule</w:t>
            </w:r>
          </w:p>
        </w:tc>
        <w:tc>
          <w:tcPr>
            <w:tcW w:w="1843" w:type="dxa"/>
            <w:shd w:val="clear" w:color="auto" w:fill="DEEAF6" w:themeFill="accent5" w:themeFillTint="33"/>
            <w:tcMar>
              <w:top w:w="0" w:type="dxa"/>
              <w:left w:w="108" w:type="dxa"/>
              <w:bottom w:w="0" w:type="dxa"/>
              <w:right w:w="108" w:type="dxa"/>
            </w:tcMar>
            <w:vAlign w:val="center"/>
            <w:hideMark/>
          </w:tcPr>
          <w:p w14:paraId="4C83BB15" w14:textId="77777777" w:rsidR="001976FE" w:rsidRPr="00DF64AB" w:rsidRDefault="001976FE" w:rsidP="00E77EA2">
            <w:pPr>
              <w:keepNext/>
              <w:spacing w:before="80" w:after="40" w:line="264" w:lineRule="auto"/>
              <w:ind w:left="113"/>
              <w:jc w:val="center"/>
              <w:rPr>
                <w:rFonts w:ascii="Arial" w:eastAsia="Cambria" w:hAnsi="Arial" w:cs="Arial"/>
                <w:color w:val="263287"/>
                <w:lang w:eastAsia="en-AU"/>
              </w:rPr>
            </w:pPr>
            <w:r w:rsidRPr="00DF64AB">
              <w:rPr>
                <w:rFonts w:ascii="Arial" w:eastAsia="Cambria" w:hAnsi="Arial" w:cs="Arial"/>
                <w:b/>
                <w:color w:val="263287"/>
                <w:lang w:eastAsia="en-AU"/>
              </w:rPr>
              <w:t>Current fee ($)</w:t>
            </w:r>
          </w:p>
        </w:tc>
        <w:tc>
          <w:tcPr>
            <w:tcW w:w="1984" w:type="dxa"/>
            <w:shd w:val="clear" w:color="auto" w:fill="DEEAF6" w:themeFill="accent5" w:themeFillTint="33"/>
            <w:tcMar>
              <w:top w:w="0" w:type="dxa"/>
              <w:left w:w="108" w:type="dxa"/>
              <w:bottom w:w="0" w:type="dxa"/>
              <w:right w:w="108" w:type="dxa"/>
            </w:tcMar>
            <w:vAlign w:val="center"/>
            <w:hideMark/>
          </w:tcPr>
          <w:p w14:paraId="74ACE3E6" w14:textId="77777777" w:rsidR="001976FE" w:rsidRPr="00DF64AB" w:rsidRDefault="001976FE" w:rsidP="00E77EA2">
            <w:pPr>
              <w:keepNext/>
              <w:spacing w:before="80" w:after="40" w:line="264" w:lineRule="auto"/>
              <w:ind w:left="113"/>
              <w:jc w:val="center"/>
              <w:rPr>
                <w:rFonts w:ascii="Arial" w:eastAsia="Cambria" w:hAnsi="Arial" w:cs="Arial"/>
                <w:color w:val="263287"/>
                <w:lang w:eastAsia="en-AU"/>
              </w:rPr>
            </w:pPr>
            <w:r w:rsidRPr="00DF64AB">
              <w:rPr>
                <w:rFonts w:ascii="Arial" w:eastAsia="Cambria" w:hAnsi="Arial" w:cs="Arial"/>
                <w:b/>
                <w:color w:val="263287"/>
                <w:lang w:eastAsia="en-AU"/>
              </w:rPr>
              <w:t>Reduced fee ($)</w:t>
            </w:r>
          </w:p>
        </w:tc>
      </w:tr>
      <w:tr w:rsidR="006C0FC4" w:rsidRPr="00DF64AB" w14:paraId="5302D38E" w14:textId="77777777" w:rsidTr="00E77EA2">
        <w:trPr>
          <w:trHeight w:val="397"/>
        </w:trPr>
        <w:tc>
          <w:tcPr>
            <w:tcW w:w="3823" w:type="dxa"/>
            <w:tcMar>
              <w:top w:w="0" w:type="dxa"/>
              <w:left w:w="108" w:type="dxa"/>
              <w:bottom w:w="0" w:type="dxa"/>
              <w:right w:w="108" w:type="dxa"/>
            </w:tcMar>
            <w:vAlign w:val="center"/>
            <w:hideMark/>
          </w:tcPr>
          <w:p w14:paraId="246A0E96" w14:textId="6C921C5D" w:rsidR="001976FE" w:rsidRPr="00DF64AB" w:rsidRDefault="00C90219" w:rsidP="00B5577D">
            <w:pPr>
              <w:rPr>
                <w:rFonts w:ascii="Arial" w:hAnsi="Arial" w:cs="Arial"/>
              </w:rPr>
            </w:pPr>
            <w:r w:rsidRPr="00DF64AB">
              <w:rPr>
                <w:rFonts w:ascii="Arial" w:hAnsi="Arial" w:cs="Arial"/>
              </w:rPr>
              <w:t>Application for consent to export, supply, or import a medical device, including an IVD medical device, for a single entry in the ARTG or an application for inclusion in the ARTG, that does not comply with the Essential Principles</w:t>
            </w:r>
          </w:p>
        </w:tc>
        <w:tc>
          <w:tcPr>
            <w:tcW w:w="1984" w:type="dxa"/>
            <w:tcMar>
              <w:top w:w="0" w:type="dxa"/>
              <w:left w:w="108" w:type="dxa"/>
              <w:bottom w:w="0" w:type="dxa"/>
              <w:right w:w="108" w:type="dxa"/>
            </w:tcMar>
            <w:vAlign w:val="center"/>
            <w:hideMark/>
          </w:tcPr>
          <w:p w14:paraId="13BE573A" w14:textId="383FE82A" w:rsidR="001976FE" w:rsidRPr="00DF64AB" w:rsidRDefault="00C90219" w:rsidP="00B5577D">
            <w:pPr>
              <w:rPr>
                <w:rFonts w:ascii="Arial" w:hAnsi="Arial" w:cs="Arial"/>
              </w:rPr>
            </w:pPr>
            <w:r w:rsidRPr="00DF64AB">
              <w:rPr>
                <w:rFonts w:ascii="Arial" w:hAnsi="Arial" w:cs="Arial"/>
              </w:rPr>
              <w:t>Part 1 of Schedule 5 Item 1.15(a)</w:t>
            </w:r>
          </w:p>
        </w:tc>
        <w:tc>
          <w:tcPr>
            <w:tcW w:w="1843" w:type="dxa"/>
            <w:tcMar>
              <w:top w:w="0" w:type="dxa"/>
              <w:left w:w="108" w:type="dxa"/>
              <w:bottom w:w="0" w:type="dxa"/>
              <w:right w:w="108" w:type="dxa"/>
            </w:tcMar>
            <w:vAlign w:val="center"/>
            <w:hideMark/>
          </w:tcPr>
          <w:p w14:paraId="08251188" w14:textId="2DC17EBB" w:rsidR="001976FE" w:rsidRPr="00DF64AB" w:rsidRDefault="00C90219" w:rsidP="00E77EA2">
            <w:pPr>
              <w:rPr>
                <w:rFonts w:ascii="Arial" w:hAnsi="Arial" w:cs="Arial"/>
              </w:rPr>
            </w:pPr>
            <w:r w:rsidRPr="00DF64AB">
              <w:rPr>
                <w:rFonts w:ascii="Arial" w:hAnsi="Arial" w:cs="Arial"/>
              </w:rPr>
              <w:t>$583 (for all the devices to which the application relates)</w:t>
            </w:r>
          </w:p>
        </w:tc>
        <w:tc>
          <w:tcPr>
            <w:tcW w:w="1984" w:type="dxa"/>
            <w:tcMar>
              <w:top w:w="0" w:type="dxa"/>
              <w:left w:w="108" w:type="dxa"/>
              <w:bottom w:w="0" w:type="dxa"/>
              <w:right w:w="108" w:type="dxa"/>
            </w:tcMar>
            <w:vAlign w:val="center"/>
            <w:hideMark/>
          </w:tcPr>
          <w:p w14:paraId="111E507F" w14:textId="17E9C420" w:rsidR="001976FE" w:rsidRPr="00DF64AB" w:rsidRDefault="00C90219" w:rsidP="00E77EA2">
            <w:pPr>
              <w:rPr>
                <w:rFonts w:ascii="Arial" w:hAnsi="Arial" w:cs="Arial"/>
              </w:rPr>
            </w:pPr>
            <w:r w:rsidRPr="00DF64AB">
              <w:rPr>
                <w:rFonts w:ascii="Arial" w:hAnsi="Arial" w:cs="Arial"/>
              </w:rPr>
              <w:t>$80 (for all the devices to which the application relates)</w:t>
            </w:r>
          </w:p>
        </w:tc>
      </w:tr>
      <w:tr w:rsidR="006C0FC4" w:rsidRPr="00DF64AB" w14:paraId="00877570" w14:textId="77777777" w:rsidTr="00E77EA2">
        <w:trPr>
          <w:trHeight w:val="397"/>
        </w:trPr>
        <w:tc>
          <w:tcPr>
            <w:tcW w:w="3823" w:type="dxa"/>
            <w:tcMar>
              <w:top w:w="0" w:type="dxa"/>
              <w:left w:w="108" w:type="dxa"/>
              <w:bottom w:w="0" w:type="dxa"/>
              <w:right w:w="108" w:type="dxa"/>
            </w:tcMar>
            <w:vAlign w:val="center"/>
            <w:hideMark/>
          </w:tcPr>
          <w:p w14:paraId="2E7ACA00" w14:textId="131D1EE1" w:rsidR="001976FE" w:rsidRPr="00DF64AB" w:rsidRDefault="00C90219" w:rsidP="00B5577D">
            <w:pPr>
              <w:rPr>
                <w:rFonts w:ascii="Arial" w:hAnsi="Arial" w:cs="Arial"/>
              </w:rPr>
            </w:pPr>
            <w:r w:rsidRPr="00DF64AB">
              <w:rPr>
                <w:rFonts w:ascii="Arial" w:hAnsi="Arial" w:cs="Arial"/>
              </w:rPr>
              <w:t xml:space="preserve">Application for consent to export, supply, or import a medical device, including an IVD medical device, for </w:t>
            </w:r>
            <w:r w:rsidR="003A1C84" w:rsidRPr="00DF64AB">
              <w:rPr>
                <w:rFonts w:ascii="Arial" w:hAnsi="Arial" w:cs="Arial"/>
              </w:rPr>
              <w:t xml:space="preserve">2 </w:t>
            </w:r>
            <w:r w:rsidRPr="00DF64AB">
              <w:rPr>
                <w:rFonts w:ascii="Arial" w:hAnsi="Arial" w:cs="Arial"/>
              </w:rPr>
              <w:t>or more entries in the ARTG or applications for inclusion in the ARTG, that do not comply with the Essential Principles</w:t>
            </w:r>
          </w:p>
        </w:tc>
        <w:tc>
          <w:tcPr>
            <w:tcW w:w="1984" w:type="dxa"/>
            <w:tcMar>
              <w:top w:w="0" w:type="dxa"/>
              <w:left w:w="108" w:type="dxa"/>
              <w:bottom w:w="0" w:type="dxa"/>
              <w:right w:w="108" w:type="dxa"/>
            </w:tcMar>
            <w:vAlign w:val="center"/>
            <w:hideMark/>
          </w:tcPr>
          <w:p w14:paraId="717FDF85" w14:textId="77777777" w:rsidR="00C90219" w:rsidRPr="00DF64AB" w:rsidRDefault="00C90219" w:rsidP="00C90219">
            <w:pPr>
              <w:rPr>
                <w:rFonts w:ascii="Arial" w:hAnsi="Arial" w:cs="Arial"/>
              </w:rPr>
            </w:pPr>
            <w:r w:rsidRPr="00DF64AB">
              <w:rPr>
                <w:rFonts w:ascii="Arial" w:hAnsi="Arial" w:cs="Arial"/>
              </w:rPr>
              <w:t>Part 1 of Schedule 5 Item 1.15(a)</w:t>
            </w:r>
          </w:p>
          <w:p w14:paraId="51AEEEF8" w14:textId="77777777" w:rsidR="00C90219" w:rsidRPr="00DF64AB" w:rsidRDefault="00C90219" w:rsidP="00C90219">
            <w:pPr>
              <w:rPr>
                <w:rFonts w:ascii="Arial" w:hAnsi="Arial" w:cs="Arial"/>
              </w:rPr>
            </w:pPr>
            <w:r w:rsidRPr="00DF64AB">
              <w:rPr>
                <w:rFonts w:ascii="Arial" w:hAnsi="Arial" w:cs="Arial"/>
              </w:rPr>
              <w:t>Additional entry</w:t>
            </w:r>
          </w:p>
          <w:p w14:paraId="37A42C8E" w14:textId="3F129176" w:rsidR="00CB25B8" w:rsidRPr="00DF64AB" w:rsidRDefault="00C90219" w:rsidP="00C90219">
            <w:pPr>
              <w:rPr>
                <w:rFonts w:ascii="Arial" w:hAnsi="Arial" w:cs="Arial"/>
              </w:rPr>
            </w:pPr>
            <w:r w:rsidRPr="00DF64AB">
              <w:rPr>
                <w:rFonts w:ascii="Arial" w:hAnsi="Arial" w:cs="Arial"/>
              </w:rPr>
              <w:t>Item 1.15(b)</w:t>
            </w:r>
          </w:p>
        </w:tc>
        <w:tc>
          <w:tcPr>
            <w:tcW w:w="1843" w:type="dxa"/>
            <w:tcMar>
              <w:top w:w="0" w:type="dxa"/>
              <w:left w:w="108" w:type="dxa"/>
              <w:bottom w:w="0" w:type="dxa"/>
              <w:right w:w="108" w:type="dxa"/>
            </w:tcMar>
            <w:vAlign w:val="center"/>
            <w:hideMark/>
          </w:tcPr>
          <w:p w14:paraId="4A781A28" w14:textId="77777777" w:rsidR="00C90219" w:rsidRPr="00DF64AB" w:rsidRDefault="00C90219" w:rsidP="00C90219">
            <w:pPr>
              <w:rPr>
                <w:rFonts w:ascii="Arial" w:hAnsi="Arial" w:cs="Arial"/>
              </w:rPr>
            </w:pPr>
            <w:r w:rsidRPr="00DF64AB">
              <w:rPr>
                <w:rFonts w:ascii="Arial" w:hAnsi="Arial" w:cs="Arial"/>
              </w:rPr>
              <w:t>$583 for the first entry,</w:t>
            </w:r>
          </w:p>
          <w:p w14:paraId="304E1329" w14:textId="7C904CD7" w:rsidR="001976FE" w:rsidRPr="00DF64AB" w:rsidRDefault="00C90219" w:rsidP="00E77EA2">
            <w:pPr>
              <w:rPr>
                <w:rFonts w:ascii="Arial" w:hAnsi="Arial" w:cs="Arial"/>
              </w:rPr>
            </w:pPr>
            <w:r w:rsidRPr="00DF64AB">
              <w:rPr>
                <w:rFonts w:ascii="Arial" w:hAnsi="Arial" w:cs="Arial"/>
              </w:rPr>
              <w:t>plus $117 for each additional entry</w:t>
            </w:r>
          </w:p>
        </w:tc>
        <w:tc>
          <w:tcPr>
            <w:tcW w:w="1984" w:type="dxa"/>
            <w:tcMar>
              <w:top w:w="0" w:type="dxa"/>
              <w:left w:w="108" w:type="dxa"/>
              <w:bottom w:w="0" w:type="dxa"/>
              <w:right w:w="108" w:type="dxa"/>
            </w:tcMar>
            <w:vAlign w:val="center"/>
            <w:hideMark/>
          </w:tcPr>
          <w:p w14:paraId="392B9F94" w14:textId="77777777" w:rsidR="00C90219" w:rsidRPr="00DF64AB" w:rsidRDefault="00C90219" w:rsidP="00C90219">
            <w:pPr>
              <w:rPr>
                <w:rFonts w:ascii="Arial" w:hAnsi="Arial" w:cs="Arial"/>
              </w:rPr>
            </w:pPr>
            <w:r w:rsidRPr="00DF64AB">
              <w:rPr>
                <w:rFonts w:ascii="Arial" w:hAnsi="Arial" w:cs="Arial"/>
              </w:rPr>
              <w:t>$80 for the first entry,</w:t>
            </w:r>
          </w:p>
          <w:p w14:paraId="3E41E1FD" w14:textId="5995D2B2" w:rsidR="001976FE" w:rsidRPr="00DF64AB" w:rsidRDefault="00C90219" w:rsidP="00E77EA2">
            <w:pPr>
              <w:rPr>
                <w:rFonts w:ascii="Arial" w:hAnsi="Arial" w:cs="Arial"/>
              </w:rPr>
            </w:pPr>
            <w:r w:rsidRPr="00DF64AB">
              <w:rPr>
                <w:rFonts w:ascii="Arial" w:hAnsi="Arial" w:cs="Arial"/>
              </w:rPr>
              <w:t>plus $10 for each additional entry</w:t>
            </w:r>
          </w:p>
        </w:tc>
      </w:tr>
    </w:tbl>
    <w:p w14:paraId="46CC5744" w14:textId="047590F3" w:rsidR="0029262F" w:rsidRPr="00DF64AB" w:rsidRDefault="0029262F" w:rsidP="0029262F">
      <w:pPr>
        <w:pStyle w:val="ListParagraph"/>
        <w:ind w:left="0"/>
        <w:contextualSpacing w:val="0"/>
        <w:rPr>
          <w:rFonts w:ascii="Arial" w:hAnsi="Arial" w:cs="Arial"/>
          <w:sz w:val="20"/>
        </w:rPr>
      </w:pPr>
      <w:r w:rsidRPr="00DF64AB">
        <w:rPr>
          <w:rFonts w:ascii="Arial" w:hAnsi="Arial" w:cs="Arial"/>
          <w:sz w:val="20"/>
        </w:rPr>
        <w:t>The summary of</w:t>
      </w:r>
      <w:r w:rsidR="000D5069" w:rsidRPr="00DF64AB">
        <w:rPr>
          <w:rFonts w:ascii="Arial" w:hAnsi="Arial" w:cs="Arial"/>
          <w:sz w:val="20"/>
        </w:rPr>
        <w:t xml:space="preserve"> TGA</w:t>
      </w:r>
      <w:r w:rsidRPr="00DF64AB">
        <w:rPr>
          <w:rFonts w:ascii="Arial" w:hAnsi="Arial" w:cs="Arial"/>
          <w:sz w:val="20"/>
        </w:rPr>
        <w:t xml:space="preserve"> fees and charges </w:t>
      </w:r>
      <w:r w:rsidR="000D5069" w:rsidRPr="00DF64AB">
        <w:rPr>
          <w:rFonts w:ascii="Arial" w:hAnsi="Arial" w:cs="Arial"/>
          <w:sz w:val="20"/>
        </w:rPr>
        <w:t xml:space="preserve">for 2026-27 </w:t>
      </w:r>
      <w:r w:rsidRPr="00DF64AB">
        <w:rPr>
          <w:rFonts w:ascii="Arial" w:hAnsi="Arial" w:cs="Arial"/>
          <w:sz w:val="20"/>
        </w:rPr>
        <w:t>can be found on the TGA website.</w:t>
      </w:r>
    </w:p>
    <w:p w14:paraId="258B0634" w14:textId="4E24FF20" w:rsidR="00E97E11" w:rsidRPr="00DF64AB" w:rsidRDefault="00E97E11" w:rsidP="00E97E11">
      <w:pPr>
        <w:pStyle w:val="Heading2"/>
        <w:rPr>
          <w:rFonts w:cs="Arial"/>
        </w:rPr>
      </w:pPr>
      <w:bookmarkStart w:id="66" w:name="_Toc169081981"/>
      <w:bookmarkStart w:id="67" w:name="_Toc233286951"/>
      <w:r w:rsidRPr="00DF64AB">
        <w:rPr>
          <w:rFonts w:cs="Arial"/>
        </w:rPr>
        <w:t>Risk Assessment</w:t>
      </w:r>
      <w:bookmarkEnd w:id="66"/>
      <w:bookmarkEnd w:id="67"/>
    </w:p>
    <w:p w14:paraId="3B938C63" w14:textId="78BE3BB1" w:rsidR="00926E1B" w:rsidRPr="00DF64AB" w:rsidRDefault="00926E1B" w:rsidP="00926E1B">
      <w:pPr>
        <w:spacing w:after="0" w:line="240" w:lineRule="auto"/>
        <w:rPr>
          <w:rFonts w:ascii="Arial" w:eastAsia="Cambria" w:hAnsi="Arial" w:cs="Arial"/>
        </w:rPr>
      </w:pPr>
      <w:r w:rsidRPr="00DF64AB">
        <w:rPr>
          <w:rFonts w:ascii="Arial" w:eastAsia="Cambria" w:hAnsi="Arial" w:cs="Arial"/>
        </w:rPr>
        <w:t>A cost recovery risk assessment for the annual increases to fees and charges was undertaken in April 202</w:t>
      </w:r>
      <w:r w:rsidR="0004793A" w:rsidRPr="00DF64AB">
        <w:rPr>
          <w:rFonts w:ascii="Arial" w:eastAsia="Cambria" w:hAnsi="Arial" w:cs="Arial"/>
        </w:rPr>
        <w:t>6</w:t>
      </w:r>
      <w:r w:rsidRPr="00DF64AB">
        <w:rPr>
          <w:rFonts w:ascii="Arial" w:eastAsia="Cambria" w:hAnsi="Arial" w:cs="Arial"/>
        </w:rPr>
        <w:t xml:space="preserve">, resulting in an overall medium risk rating for TGA’s cost recovery arrangements. The cost recovery risk rating is based on assessment of the criteria using the Charging Risk Assessment template for existing charging activity. </w:t>
      </w:r>
      <w:r w:rsidR="005E1C7E" w:rsidRPr="00DF64AB">
        <w:rPr>
          <w:rFonts w:ascii="Arial" w:eastAsia="Cambria" w:hAnsi="Arial" w:cs="Arial"/>
        </w:rPr>
        <w:t>The medium</w:t>
      </w:r>
      <w:r w:rsidR="00B16935">
        <w:rPr>
          <w:rFonts w:ascii="Arial" w:eastAsia="Cambria" w:hAnsi="Arial" w:cs="Arial"/>
        </w:rPr>
        <w:t>-</w:t>
      </w:r>
      <w:r w:rsidR="005E1C7E" w:rsidRPr="00DF64AB">
        <w:rPr>
          <w:rFonts w:ascii="Arial" w:eastAsia="Cambria" w:hAnsi="Arial" w:cs="Arial"/>
        </w:rPr>
        <w:t>risk components relate to the expected change in total annual revenue following the proposed increases, the highest percentage increase in individual fees</w:t>
      </w:r>
      <w:r w:rsidR="00B16935">
        <w:rPr>
          <w:rFonts w:ascii="Arial" w:eastAsia="Cambria" w:hAnsi="Arial" w:cs="Arial"/>
        </w:rPr>
        <w:t>,</w:t>
      </w:r>
      <w:r w:rsidR="005E1C7E" w:rsidRPr="00DF64AB">
        <w:rPr>
          <w:rFonts w:ascii="Arial" w:eastAsia="Cambria" w:hAnsi="Arial" w:cs="Arial"/>
        </w:rPr>
        <w:t xml:space="preserve"> and </w:t>
      </w:r>
      <w:r w:rsidRPr="00DF64AB">
        <w:rPr>
          <w:rFonts w:ascii="Arial" w:eastAsia="Cambria" w:hAnsi="Arial" w:cs="Arial"/>
        </w:rPr>
        <w:t>the source of recovery being through fees and levies. All other risk factors render a low-risk rating.</w:t>
      </w:r>
    </w:p>
    <w:p w14:paraId="267D7960" w14:textId="77777777" w:rsidR="00926E1B" w:rsidRPr="00DF64AB" w:rsidRDefault="00926E1B" w:rsidP="00926E1B">
      <w:pPr>
        <w:spacing w:after="0" w:line="240" w:lineRule="auto"/>
        <w:rPr>
          <w:rFonts w:ascii="Arial" w:hAnsi="Arial" w:cs="Arial"/>
        </w:rPr>
      </w:pPr>
    </w:p>
    <w:p w14:paraId="36A60F53" w14:textId="77777777" w:rsidR="00926E1B" w:rsidRPr="00DF64AB" w:rsidRDefault="00926E1B" w:rsidP="00926E1B">
      <w:pPr>
        <w:rPr>
          <w:rFonts w:ascii="Arial" w:hAnsi="Arial" w:cs="Arial"/>
        </w:rPr>
      </w:pPr>
      <w:r w:rsidRPr="00DF64AB">
        <w:rPr>
          <w:rFonts w:ascii="Arial" w:hAnsi="Arial" w:cs="Arial"/>
        </w:rPr>
        <w:t>The most likely risks identified for any ongoing changes to cost recovery arrangements were:</w:t>
      </w:r>
    </w:p>
    <w:p w14:paraId="1BA6A684" w14:textId="77777777"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cost recovery fees creating a disincentive to products entering the market</w:t>
      </w:r>
    </w:p>
    <w:p w14:paraId="634ED4BE" w14:textId="77B0EC15"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inherent risks in implementing diverse cost recovery arrangements</w:t>
      </w:r>
      <w:r w:rsidR="00276312" w:rsidRPr="00DF64AB">
        <w:rPr>
          <w:rFonts w:eastAsiaTheme="minorHAnsi" w:cs="Arial"/>
          <w:color w:val="auto"/>
        </w:rPr>
        <w:t>, and</w:t>
      </w:r>
    </w:p>
    <w:p w14:paraId="62445F1A" w14:textId="77777777"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potential for misunderstanding of how fees and charges are calculated.</w:t>
      </w:r>
    </w:p>
    <w:p w14:paraId="74015FBA" w14:textId="77777777" w:rsidR="00926E1B" w:rsidRPr="00DF64AB" w:rsidRDefault="00926E1B" w:rsidP="00926E1B">
      <w:pPr>
        <w:rPr>
          <w:rFonts w:ascii="Arial" w:hAnsi="Arial" w:cs="Arial"/>
        </w:rPr>
      </w:pPr>
      <w:r w:rsidRPr="00DF64AB">
        <w:rPr>
          <w:rFonts w:ascii="Arial" w:hAnsi="Arial" w:cs="Arial"/>
        </w:rPr>
        <w:t>These risks are addressed by:</w:t>
      </w:r>
    </w:p>
    <w:p w14:paraId="73C2695D" w14:textId="77777777"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continued improvements in regulatory and administrative functions</w:t>
      </w:r>
    </w:p>
    <w:p w14:paraId="04510C4D" w14:textId="77777777"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implementing best practice in ABC methodology</w:t>
      </w:r>
    </w:p>
    <w:p w14:paraId="4F3D33C2" w14:textId="77777777" w:rsidR="008A7F6D" w:rsidRDefault="00926E1B" w:rsidP="00926E1B">
      <w:pPr>
        <w:pStyle w:val="ListBullet"/>
        <w:spacing w:after="120"/>
        <w:ind w:left="709" w:hanging="425"/>
        <w:rPr>
          <w:rFonts w:eastAsiaTheme="minorHAnsi" w:cs="Arial"/>
          <w:color w:val="auto"/>
        </w:rPr>
      </w:pPr>
      <w:r w:rsidRPr="00DF64AB">
        <w:rPr>
          <w:rFonts w:eastAsiaTheme="minorHAnsi" w:cs="Arial"/>
          <w:color w:val="auto"/>
        </w:rPr>
        <w:t>working closely with stakeholders and industry representatives to mitigate the cost impact to business</w:t>
      </w:r>
    </w:p>
    <w:p w14:paraId="34518EA9" w14:textId="6A03B7C0" w:rsidR="00926E1B" w:rsidRPr="00DF64AB" w:rsidRDefault="008A7F6D" w:rsidP="00926E1B">
      <w:pPr>
        <w:pStyle w:val="ListBullet"/>
        <w:spacing w:after="120"/>
        <w:ind w:left="709" w:hanging="425"/>
        <w:rPr>
          <w:rFonts w:eastAsiaTheme="minorHAnsi" w:cs="Arial"/>
          <w:color w:val="auto"/>
        </w:rPr>
      </w:pPr>
      <w:r>
        <w:rPr>
          <w:rFonts w:eastAsiaTheme="minorHAnsi" w:cs="Arial"/>
          <w:color w:val="auto"/>
        </w:rPr>
        <w:t>providing clear education and communication on out costing and charging arrangements</w:t>
      </w:r>
      <w:r w:rsidR="00276312" w:rsidRPr="00DF64AB">
        <w:rPr>
          <w:rFonts w:eastAsiaTheme="minorHAnsi" w:cs="Arial"/>
          <w:color w:val="auto"/>
        </w:rPr>
        <w:t>, and</w:t>
      </w:r>
    </w:p>
    <w:p w14:paraId="37DAB513" w14:textId="77777777" w:rsidR="00926E1B" w:rsidRPr="00DF64AB" w:rsidRDefault="00926E1B" w:rsidP="00926E1B">
      <w:pPr>
        <w:pStyle w:val="ListBullet"/>
        <w:spacing w:after="120"/>
        <w:ind w:left="709" w:hanging="425"/>
        <w:rPr>
          <w:rFonts w:eastAsiaTheme="minorHAnsi" w:cs="Arial"/>
          <w:color w:val="auto"/>
        </w:rPr>
      </w:pPr>
      <w:r w:rsidRPr="00DF64AB">
        <w:rPr>
          <w:rFonts w:eastAsiaTheme="minorHAnsi" w:cs="Arial"/>
          <w:color w:val="auto"/>
        </w:rPr>
        <w:t>ensuring charging practices are aligned to our services and are transparent and defensible.</w:t>
      </w:r>
    </w:p>
    <w:p w14:paraId="5C615EE9" w14:textId="5C43B5B9" w:rsidR="00926E1B" w:rsidRPr="00DF64AB" w:rsidRDefault="00926E1B" w:rsidP="00926E1B">
      <w:pPr>
        <w:rPr>
          <w:rFonts w:ascii="Arial" w:hAnsi="Arial" w:cs="Arial"/>
        </w:rPr>
      </w:pPr>
      <w:r w:rsidRPr="00DF64AB">
        <w:rPr>
          <w:rFonts w:ascii="Arial" w:hAnsi="Arial" w:cs="Arial"/>
        </w:rPr>
        <w:t>From a regulatory perspective, risk management is applied to regulating therapeutic goods by</w:t>
      </w:r>
      <w:r w:rsidR="008A7F6D">
        <w:rPr>
          <w:rFonts w:ascii="Arial" w:hAnsi="Arial" w:cs="Arial"/>
        </w:rPr>
        <w:t xml:space="preserve"> </w:t>
      </w:r>
      <w:r w:rsidR="008A7F6D" w:rsidRPr="008A7F6D">
        <w:rPr>
          <w:rFonts w:ascii="Arial" w:hAnsi="Arial" w:cs="Arial"/>
        </w:rPr>
        <w:t>identifying, assessing, and evaluating the risks</w:t>
      </w:r>
      <w:r w:rsidRPr="00DF64AB">
        <w:rPr>
          <w:rFonts w:ascii="Arial" w:hAnsi="Arial" w:cs="Arial"/>
        </w:rPr>
        <w:t>:</w:t>
      </w:r>
    </w:p>
    <w:p w14:paraId="4E14E62A" w14:textId="3504E2D9" w:rsidR="007477C7" w:rsidRPr="00DF64AB" w:rsidRDefault="00926E1B" w:rsidP="00E77EA2">
      <w:pPr>
        <w:pStyle w:val="ListBullet"/>
        <w:ind w:left="709" w:hanging="425"/>
        <w:rPr>
          <w:rFonts w:eastAsiaTheme="minorHAnsi" w:cs="Arial"/>
          <w:color w:val="auto"/>
        </w:rPr>
      </w:pPr>
      <w:r w:rsidRPr="00DF64AB">
        <w:rPr>
          <w:rFonts w:eastAsiaTheme="minorHAnsi" w:cs="Arial"/>
          <w:color w:val="auto"/>
        </w:rPr>
        <w:t>posed by therapeutic goods before they can be approved for use in Australia (pre-market assessment or evaluation)</w:t>
      </w:r>
    </w:p>
    <w:p w14:paraId="71B16559" w14:textId="177F67E4" w:rsidR="007477C7" w:rsidRPr="00DF64AB" w:rsidRDefault="00926E1B" w:rsidP="00E77EA2">
      <w:pPr>
        <w:pStyle w:val="ListBullet"/>
        <w:ind w:left="709" w:hanging="425"/>
        <w:rPr>
          <w:rFonts w:eastAsiaTheme="minorHAnsi" w:cs="Arial"/>
          <w:color w:val="auto"/>
        </w:rPr>
      </w:pPr>
      <w:r w:rsidRPr="00DF64AB">
        <w:rPr>
          <w:rFonts w:eastAsiaTheme="minorHAnsi" w:cs="Arial"/>
          <w:color w:val="auto"/>
        </w:rPr>
        <w:t>posed by manufacturing processes before a manufacturer is issued with a licence to manufacture therapeutic goods (licensing of manufacturers)</w:t>
      </w:r>
      <w:r w:rsidR="003C14D3" w:rsidRPr="00DF64AB">
        <w:rPr>
          <w:rFonts w:eastAsiaTheme="minorHAnsi" w:cs="Arial"/>
          <w:color w:val="auto"/>
        </w:rPr>
        <w:t>, and</w:t>
      </w:r>
    </w:p>
    <w:p w14:paraId="4AA0E98F" w14:textId="0DC14D21" w:rsidR="00CC7E97" w:rsidRPr="00DF64AB" w:rsidRDefault="00926E1B" w:rsidP="00E77EA2">
      <w:pPr>
        <w:pStyle w:val="ListBullet"/>
        <w:ind w:left="709" w:hanging="425"/>
        <w:rPr>
          <w:rFonts w:cs="Arial"/>
          <w:b/>
          <w:bCs/>
          <w:color w:val="001871"/>
          <w:sz w:val="38"/>
          <w:szCs w:val="38"/>
        </w:rPr>
      </w:pPr>
      <w:r w:rsidRPr="00DF64AB">
        <w:rPr>
          <w:rFonts w:eastAsiaTheme="minorHAnsi" w:cs="Arial"/>
          <w:color w:val="auto"/>
        </w:rPr>
        <w:t>that may arise following approval of the product and licensing of the manufacturer (post-market surveillance).</w:t>
      </w:r>
      <w:r w:rsidR="00CC7E97" w:rsidRPr="00DF64AB">
        <w:rPr>
          <w:rFonts w:cs="Arial"/>
        </w:rPr>
        <w:br w:type="page"/>
      </w:r>
    </w:p>
    <w:p w14:paraId="6C571EE8" w14:textId="03254A3A" w:rsidR="008938F3" w:rsidRPr="00DF64AB" w:rsidRDefault="008938F3" w:rsidP="00A2064C">
      <w:pPr>
        <w:pStyle w:val="Heading2"/>
        <w:spacing w:before="100" w:beforeAutospacing="1"/>
        <w:rPr>
          <w:rFonts w:cs="Arial"/>
        </w:rPr>
      </w:pPr>
      <w:bookmarkStart w:id="68" w:name="_Toc169081982"/>
      <w:bookmarkStart w:id="69" w:name="_Toc233286952"/>
      <w:r w:rsidRPr="00DF64AB">
        <w:rPr>
          <w:rFonts w:cs="Arial"/>
        </w:rPr>
        <w:lastRenderedPageBreak/>
        <w:t xml:space="preserve">Stakeholder consultation on setting of </w:t>
      </w:r>
      <w:r w:rsidR="008B11D3" w:rsidRPr="00DF64AB">
        <w:rPr>
          <w:rFonts w:cs="Arial"/>
        </w:rPr>
        <w:t xml:space="preserve">fees </w:t>
      </w:r>
      <w:r w:rsidRPr="00DF64AB">
        <w:rPr>
          <w:rFonts w:cs="Arial"/>
        </w:rPr>
        <w:t xml:space="preserve">and </w:t>
      </w:r>
      <w:bookmarkEnd w:id="68"/>
      <w:r w:rsidR="008B11D3" w:rsidRPr="00DF64AB">
        <w:rPr>
          <w:rFonts w:cs="Arial"/>
        </w:rPr>
        <w:t>charges</w:t>
      </w:r>
      <w:bookmarkEnd w:id="69"/>
    </w:p>
    <w:p w14:paraId="65499414" w14:textId="77777777" w:rsidR="008938F3" w:rsidRPr="00DF64AB" w:rsidRDefault="008938F3" w:rsidP="008938F3">
      <w:pPr>
        <w:pStyle w:val="Heading3"/>
        <w:rPr>
          <w:rFonts w:cs="Arial"/>
        </w:rPr>
      </w:pPr>
      <w:bookmarkStart w:id="70" w:name="_Toc169081983"/>
      <w:bookmarkStart w:id="71" w:name="_Toc233286953"/>
      <w:r w:rsidRPr="00DF64AB">
        <w:rPr>
          <w:rFonts w:cs="Arial"/>
        </w:rPr>
        <w:t>Stakeholder engagement strategy</w:t>
      </w:r>
      <w:bookmarkEnd w:id="70"/>
      <w:bookmarkEnd w:id="71"/>
    </w:p>
    <w:p w14:paraId="2AA8EB6D" w14:textId="04EEC98B" w:rsidR="0026269F" w:rsidRPr="00DF64AB" w:rsidRDefault="0026269F" w:rsidP="00A66967">
      <w:pPr>
        <w:rPr>
          <w:rFonts w:ascii="Arial" w:hAnsi="Arial" w:cs="Arial"/>
        </w:rPr>
      </w:pPr>
      <w:r w:rsidRPr="00DF64AB">
        <w:rPr>
          <w:rFonts w:ascii="Arial" w:hAnsi="Arial" w:cs="Arial"/>
        </w:rPr>
        <w:t xml:space="preserve">The TGA has a longstanding practice of undertaking targeted consultation with peak industry bodies regarding fees and charges. Bilateral meetings are conducted each year to discuss the detailed financial performance and changes to fees and charges with a focus on the forthcoming financial year. The TGA asks peak bodies to bring </w:t>
      </w:r>
      <w:r w:rsidR="00D53847" w:rsidRPr="00DF64AB">
        <w:rPr>
          <w:rFonts w:ascii="Arial" w:hAnsi="Arial" w:cs="Arial"/>
        </w:rPr>
        <w:t xml:space="preserve">the </w:t>
      </w:r>
      <w:r w:rsidRPr="00DF64AB">
        <w:rPr>
          <w:rFonts w:ascii="Arial" w:hAnsi="Arial" w:cs="Arial"/>
        </w:rPr>
        <w:t>propos</w:t>
      </w:r>
      <w:r w:rsidR="00D53847" w:rsidRPr="00DF64AB">
        <w:rPr>
          <w:rFonts w:ascii="Arial" w:hAnsi="Arial" w:cs="Arial"/>
        </w:rPr>
        <w:t xml:space="preserve">ed changes to </w:t>
      </w:r>
      <w:r w:rsidRPr="00DF64AB">
        <w:rPr>
          <w:rFonts w:ascii="Arial" w:hAnsi="Arial" w:cs="Arial"/>
        </w:rPr>
        <w:t xml:space="preserve">fees and charges to the attention of their members. </w:t>
      </w:r>
      <w:r w:rsidR="008A7F6D">
        <w:rPr>
          <w:rFonts w:ascii="Arial" w:hAnsi="Arial" w:cs="Arial"/>
        </w:rPr>
        <w:t>T</w:t>
      </w:r>
      <w:r w:rsidRPr="00DF64AB">
        <w:rPr>
          <w:rFonts w:ascii="Arial" w:hAnsi="Arial" w:cs="Arial"/>
        </w:rPr>
        <w:t xml:space="preserve">he TGA </w:t>
      </w:r>
      <w:r w:rsidR="008A7F6D">
        <w:rPr>
          <w:rFonts w:ascii="Arial" w:hAnsi="Arial" w:cs="Arial"/>
        </w:rPr>
        <w:t xml:space="preserve">simultaneously </w:t>
      </w:r>
      <w:r w:rsidRPr="00DF64AB">
        <w:rPr>
          <w:rFonts w:ascii="Arial" w:hAnsi="Arial" w:cs="Arial"/>
        </w:rPr>
        <w:t>publishes a public consultation paper on fees and charges to provide an opportunity for wider industry and other stakeholders to comment on the proposed fees and charges.</w:t>
      </w:r>
    </w:p>
    <w:p w14:paraId="2D5C872C" w14:textId="126A7133" w:rsidR="0026269F" w:rsidRPr="00DF64AB" w:rsidRDefault="0026269F" w:rsidP="00A66967">
      <w:pPr>
        <w:rPr>
          <w:rFonts w:ascii="Arial" w:hAnsi="Arial" w:cs="Arial"/>
        </w:rPr>
      </w:pPr>
      <w:r w:rsidRPr="00DF64AB">
        <w:rPr>
          <w:rFonts w:ascii="Arial" w:hAnsi="Arial" w:cs="Arial"/>
        </w:rPr>
        <w:t xml:space="preserve">Industry associations are also regularly consulted in the process of regulation development and reform, and feedback is </w:t>
      </w:r>
      <w:r w:rsidR="002E13F6" w:rsidRPr="00DF64AB">
        <w:rPr>
          <w:rFonts w:ascii="Arial" w:hAnsi="Arial" w:cs="Arial"/>
        </w:rPr>
        <w:t>considered</w:t>
      </w:r>
      <w:r w:rsidRPr="00DF64AB">
        <w:rPr>
          <w:rFonts w:ascii="Arial" w:hAnsi="Arial" w:cs="Arial"/>
        </w:rPr>
        <w:t xml:space="preserve"> in developing impact analyses and any relevant cost recovery arrangements. The TGA uses </w:t>
      </w:r>
      <w:r w:rsidR="002E13F6" w:rsidRPr="00DF64AB">
        <w:rPr>
          <w:rFonts w:ascii="Arial" w:hAnsi="Arial" w:cs="Arial"/>
        </w:rPr>
        <w:t>several</w:t>
      </w:r>
      <w:r w:rsidRPr="00DF64AB">
        <w:rPr>
          <w:rFonts w:ascii="Arial" w:hAnsi="Arial" w:cs="Arial"/>
        </w:rPr>
        <w:t xml:space="preserve"> </w:t>
      </w:r>
      <w:r w:rsidR="008A7F6D">
        <w:rPr>
          <w:rFonts w:ascii="Arial" w:hAnsi="Arial" w:cs="Arial"/>
        </w:rPr>
        <w:t>fora</w:t>
      </w:r>
      <w:r w:rsidR="008A7F6D" w:rsidRPr="00DF64AB">
        <w:rPr>
          <w:rFonts w:ascii="Arial" w:hAnsi="Arial" w:cs="Arial"/>
        </w:rPr>
        <w:t xml:space="preserve"> </w:t>
      </w:r>
      <w:r w:rsidRPr="00DF64AB">
        <w:rPr>
          <w:rFonts w:ascii="Arial" w:hAnsi="Arial" w:cs="Arial"/>
        </w:rPr>
        <w:t>to consult and disseminate information regarding the TGA cost recovery, including:</w:t>
      </w:r>
    </w:p>
    <w:p w14:paraId="51BA5CE7" w14:textId="678967D7" w:rsidR="0026269F" w:rsidRPr="00DF64AB" w:rsidRDefault="0026269F" w:rsidP="0026269F">
      <w:pPr>
        <w:pStyle w:val="ListBullet"/>
        <w:spacing w:after="120"/>
        <w:ind w:left="709" w:hanging="425"/>
        <w:rPr>
          <w:rFonts w:eastAsiaTheme="minorHAnsi" w:cs="Arial"/>
          <w:color w:val="auto"/>
        </w:rPr>
      </w:pPr>
      <w:r w:rsidRPr="00DF64AB">
        <w:rPr>
          <w:rFonts w:eastAsiaTheme="minorHAnsi" w:cs="Arial"/>
          <w:color w:val="auto"/>
        </w:rPr>
        <w:t xml:space="preserve">the TGA Consultative Committee </w:t>
      </w:r>
      <w:r w:rsidR="00045CE9">
        <w:rPr>
          <w:rFonts w:eastAsiaTheme="minorHAnsi" w:cs="Arial"/>
          <w:color w:val="auto"/>
        </w:rPr>
        <w:t xml:space="preserve">which is </w:t>
      </w:r>
      <w:r w:rsidR="006F538D">
        <w:rPr>
          <w:rFonts w:eastAsiaTheme="minorHAnsi" w:cs="Arial"/>
          <w:color w:val="auto"/>
        </w:rPr>
        <w:t xml:space="preserve">a </w:t>
      </w:r>
      <w:r w:rsidRPr="00DF64AB">
        <w:rPr>
          <w:rFonts w:eastAsiaTheme="minorHAnsi" w:cs="Arial"/>
          <w:color w:val="auto"/>
        </w:rPr>
        <w:t>consultation forum with industry and non-industry bodies involved in the manufacture, use and consumption of therapeutic goods</w:t>
      </w:r>
    </w:p>
    <w:p w14:paraId="6EA9201E" w14:textId="77777777" w:rsidR="0026269F" w:rsidRPr="00DF64AB" w:rsidRDefault="0026269F" w:rsidP="0026269F">
      <w:pPr>
        <w:pStyle w:val="ListBullet"/>
        <w:spacing w:after="120"/>
        <w:ind w:left="709" w:hanging="425"/>
        <w:rPr>
          <w:rFonts w:eastAsiaTheme="minorHAnsi" w:cs="Arial"/>
          <w:color w:val="auto"/>
        </w:rPr>
      </w:pPr>
      <w:r w:rsidRPr="00DF64AB">
        <w:rPr>
          <w:rFonts w:eastAsiaTheme="minorHAnsi" w:cs="Arial"/>
          <w:color w:val="auto"/>
        </w:rPr>
        <w:t>industry working groups for prescription and non-prescription medicines</w:t>
      </w:r>
    </w:p>
    <w:p w14:paraId="69420D6A" w14:textId="18856E72" w:rsidR="0026269F" w:rsidRPr="00DF64AB" w:rsidRDefault="0026269F" w:rsidP="0026269F">
      <w:pPr>
        <w:pStyle w:val="ListBullet"/>
        <w:spacing w:after="120"/>
        <w:ind w:left="709" w:hanging="425"/>
        <w:rPr>
          <w:rFonts w:eastAsiaTheme="minorHAnsi" w:cs="Arial"/>
          <w:color w:val="auto"/>
        </w:rPr>
      </w:pPr>
      <w:r w:rsidRPr="00DF64AB">
        <w:rPr>
          <w:rFonts w:eastAsiaTheme="minorHAnsi" w:cs="Arial"/>
          <w:color w:val="auto"/>
        </w:rPr>
        <w:t xml:space="preserve">the TGA-Industry Working Group on Good Manufacturing Practice which facilitates consultation between TGA and the industry on matters relating to </w:t>
      </w:r>
      <w:r w:rsidR="008A7F6D">
        <w:rPr>
          <w:rFonts w:eastAsiaTheme="minorHAnsi" w:cs="Arial"/>
          <w:color w:val="auto"/>
        </w:rPr>
        <w:t>GMP,</w:t>
      </w:r>
      <w:r w:rsidRPr="00DF64AB">
        <w:rPr>
          <w:rFonts w:eastAsiaTheme="minorHAnsi" w:cs="Arial"/>
          <w:color w:val="auto"/>
        </w:rPr>
        <w:t xml:space="preserve"> and</w:t>
      </w:r>
    </w:p>
    <w:p w14:paraId="260998B7" w14:textId="3989B5E2" w:rsidR="0026269F" w:rsidRPr="00DF64AB" w:rsidRDefault="0026269F" w:rsidP="0026269F">
      <w:pPr>
        <w:pStyle w:val="ListBullet"/>
        <w:spacing w:after="120"/>
        <w:ind w:left="709" w:hanging="425"/>
        <w:rPr>
          <w:rFonts w:eastAsiaTheme="minorHAnsi" w:cs="Arial"/>
          <w:color w:val="auto"/>
        </w:rPr>
      </w:pPr>
      <w:r w:rsidRPr="00DF64AB">
        <w:rPr>
          <w:rFonts w:eastAsiaTheme="minorHAnsi" w:cs="Arial"/>
          <w:color w:val="auto"/>
        </w:rPr>
        <w:t xml:space="preserve">the </w:t>
      </w:r>
      <w:r w:rsidR="000A73BA" w:rsidRPr="00DF64AB">
        <w:rPr>
          <w:rFonts w:eastAsiaTheme="minorHAnsi" w:cs="Arial"/>
          <w:color w:val="auto"/>
        </w:rPr>
        <w:t>r</w:t>
      </w:r>
      <w:r w:rsidRPr="00DF64AB">
        <w:rPr>
          <w:rFonts w:eastAsiaTheme="minorHAnsi" w:cs="Arial"/>
          <w:color w:val="auto"/>
        </w:rPr>
        <w:t xml:space="preserve">egulatory and </w:t>
      </w:r>
      <w:r w:rsidR="000A73BA" w:rsidRPr="00DF64AB">
        <w:rPr>
          <w:rFonts w:eastAsiaTheme="minorHAnsi" w:cs="Arial"/>
          <w:color w:val="auto"/>
        </w:rPr>
        <w:t>t</w:t>
      </w:r>
      <w:r w:rsidRPr="00DF64AB">
        <w:rPr>
          <w:rFonts w:eastAsiaTheme="minorHAnsi" w:cs="Arial"/>
          <w:color w:val="auto"/>
        </w:rPr>
        <w:t xml:space="preserve">echnical </w:t>
      </w:r>
      <w:r w:rsidR="000A73BA" w:rsidRPr="00DF64AB">
        <w:rPr>
          <w:rFonts w:eastAsiaTheme="minorHAnsi" w:cs="Arial"/>
          <w:color w:val="auto"/>
        </w:rPr>
        <w:t>c</w:t>
      </w:r>
      <w:r w:rsidRPr="00DF64AB">
        <w:rPr>
          <w:rFonts w:eastAsiaTheme="minorHAnsi" w:cs="Arial"/>
          <w:color w:val="auto"/>
        </w:rPr>
        <w:t xml:space="preserve">onsultative </w:t>
      </w:r>
      <w:r w:rsidR="008A7F6D">
        <w:rPr>
          <w:rFonts w:eastAsiaTheme="minorHAnsi" w:cs="Arial"/>
          <w:color w:val="auto"/>
        </w:rPr>
        <w:t>fora</w:t>
      </w:r>
      <w:r w:rsidR="008A7F6D" w:rsidRPr="00DF64AB">
        <w:rPr>
          <w:rFonts w:eastAsiaTheme="minorHAnsi" w:cs="Arial"/>
          <w:color w:val="auto"/>
        </w:rPr>
        <w:t xml:space="preserve"> </w:t>
      </w:r>
      <w:r w:rsidRPr="00DF64AB">
        <w:rPr>
          <w:rFonts w:eastAsiaTheme="minorHAnsi" w:cs="Arial"/>
          <w:color w:val="auto"/>
        </w:rPr>
        <w:t>for medical devices and for complementary medicines.</w:t>
      </w:r>
    </w:p>
    <w:p w14:paraId="2DDEF534" w14:textId="77777777" w:rsidR="00487FAD" w:rsidRPr="00DF64AB" w:rsidRDefault="00487FAD" w:rsidP="00A66967">
      <w:pPr>
        <w:rPr>
          <w:rFonts w:ascii="Arial" w:hAnsi="Arial" w:cs="Arial"/>
        </w:rPr>
      </w:pPr>
      <w:r w:rsidRPr="00DF64AB">
        <w:rPr>
          <w:rFonts w:ascii="Arial" w:hAnsi="Arial" w:cs="Arial"/>
        </w:rPr>
        <w:t>The TGA uses additional means of consultation to ensure that stakeholders have been provided sufficient opportunity to comment on more significant changes in cost recovery policy or where more complex changes to fees are being considered or where there are multiple options for setting fees and charges.</w:t>
      </w:r>
    </w:p>
    <w:p w14:paraId="5D71A069" w14:textId="7313762A" w:rsidR="00487FAD" w:rsidRPr="00DF64AB" w:rsidRDefault="00487FAD" w:rsidP="00A66967">
      <w:pPr>
        <w:rPr>
          <w:rFonts w:ascii="Arial" w:hAnsi="Arial" w:cs="Arial"/>
        </w:rPr>
      </w:pPr>
      <w:r w:rsidRPr="00DF64AB">
        <w:rPr>
          <w:rFonts w:ascii="Arial" w:hAnsi="Arial" w:cs="Arial"/>
        </w:rPr>
        <w:t>Under the Government’s guide to policy impact analysis, direct financial costs such as fees and charges attached to a regulation are excluded from the Regulatory Burden Measurement Framework. Accordingly, the TGA does not prepare an Impact Analysis for amendments to fees and charges for therapeutic goods and manufacturing licen</w:t>
      </w:r>
      <w:r w:rsidR="00045CE9">
        <w:rPr>
          <w:rFonts w:ascii="Arial" w:hAnsi="Arial" w:cs="Arial"/>
        </w:rPr>
        <w:t>c</w:t>
      </w:r>
      <w:r w:rsidRPr="00DF64AB">
        <w:rPr>
          <w:rFonts w:ascii="Arial" w:hAnsi="Arial" w:cs="Arial"/>
        </w:rPr>
        <w:t xml:space="preserve">es. This is consistent with advice from the Office of Impact Analysis. Activity-based costing is the well-established mechanism for setting fees and </w:t>
      </w:r>
      <w:r w:rsidR="0029262F" w:rsidRPr="00DF64AB">
        <w:rPr>
          <w:rFonts w:ascii="Arial" w:hAnsi="Arial" w:cs="Arial"/>
        </w:rPr>
        <w:t>charges,</w:t>
      </w:r>
      <w:r w:rsidRPr="00DF64AB">
        <w:rPr>
          <w:rFonts w:ascii="Arial" w:hAnsi="Arial" w:cs="Arial"/>
        </w:rPr>
        <w:t xml:space="preserve"> and a comprehensive targeted communication strategy is TGA’s established consultation approach.</w:t>
      </w:r>
    </w:p>
    <w:p w14:paraId="6B23B1C9" w14:textId="5F365CC0" w:rsidR="00487FAD" w:rsidRPr="00DF64AB" w:rsidRDefault="00487FAD" w:rsidP="00A66967">
      <w:pPr>
        <w:rPr>
          <w:rFonts w:ascii="Arial" w:hAnsi="Arial" w:cs="Arial"/>
        </w:rPr>
      </w:pPr>
      <w:r w:rsidRPr="00DF64AB">
        <w:rPr>
          <w:rFonts w:ascii="Arial" w:hAnsi="Arial" w:cs="Arial"/>
        </w:rPr>
        <w:t xml:space="preserve">Based on stakeholder feedback, the TGA enhanced its consultation process for fees and charges from 2019-20 onwards. In addition to inviting the </w:t>
      </w:r>
      <w:r w:rsidR="003A1C84" w:rsidRPr="00DF64AB">
        <w:rPr>
          <w:rFonts w:ascii="Arial" w:hAnsi="Arial" w:cs="Arial"/>
        </w:rPr>
        <w:t xml:space="preserve">3 </w:t>
      </w:r>
      <w:r w:rsidRPr="00DF64AB">
        <w:rPr>
          <w:rFonts w:ascii="Arial" w:hAnsi="Arial" w:cs="Arial"/>
        </w:rPr>
        <w:t xml:space="preserve">additional medical </w:t>
      </w:r>
      <w:r w:rsidR="00F06850" w:rsidRPr="00DF64AB">
        <w:rPr>
          <w:rFonts w:ascii="Arial" w:hAnsi="Arial" w:cs="Arial"/>
        </w:rPr>
        <w:t xml:space="preserve">device </w:t>
      </w:r>
      <w:r w:rsidRPr="00DF64AB">
        <w:rPr>
          <w:rFonts w:ascii="Arial" w:hAnsi="Arial" w:cs="Arial"/>
        </w:rPr>
        <w:t xml:space="preserve">industry bodies, the TGA also brought forward the bilateral meetings to </w:t>
      </w:r>
      <w:r w:rsidR="00F06850" w:rsidRPr="00DF64AB">
        <w:rPr>
          <w:rFonts w:ascii="Arial" w:hAnsi="Arial" w:cs="Arial"/>
        </w:rPr>
        <w:t>November/</w:t>
      </w:r>
      <w:r w:rsidRPr="00DF64AB">
        <w:rPr>
          <w:rFonts w:ascii="Arial" w:hAnsi="Arial" w:cs="Arial"/>
        </w:rPr>
        <w:t>December each year to provide more notice of changes to sponsors.</w:t>
      </w:r>
    </w:p>
    <w:p w14:paraId="53685D76" w14:textId="4CA92C02" w:rsidR="00487FAD" w:rsidRPr="00DF64AB" w:rsidRDefault="00487FAD" w:rsidP="00487FAD">
      <w:pPr>
        <w:rPr>
          <w:rFonts w:ascii="Arial" w:hAnsi="Arial" w:cs="Arial"/>
        </w:rPr>
      </w:pPr>
      <w:r w:rsidRPr="00DF64AB">
        <w:rPr>
          <w:rFonts w:ascii="Arial" w:hAnsi="Arial" w:cs="Arial"/>
          <w:bCs/>
          <w:iCs/>
        </w:rPr>
        <w:t>The TGA’s stakeholder</w:t>
      </w:r>
      <w:r w:rsidRPr="00DF64AB">
        <w:rPr>
          <w:rFonts w:ascii="Arial" w:hAnsi="Arial" w:cs="Arial"/>
        </w:rPr>
        <w:t xml:space="preserve"> engagement strategy was included in the </w:t>
      </w:r>
      <w:hyperlink r:id="rId32" w:history="1">
        <w:r w:rsidRPr="00DF64AB">
          <w:rPr>
            <w:rStyle w:val="Hyperlink"/>
            <w:rFonts w:cs="Arial"/>
          </w:rPr>
          <w:t>consultation paper on the 202</w:t>
        </w:r>
        <w:r w:rsidR="002E5D3F" w:rsidRPr="00DF64AB">
          <w:rPr>
            <w:rStyle w:val="Hyperlink"/>
            <w:rFonts w:cs="Arial"/>
          </w:rPr>
          <w:t>6-27</w:t>
        </w:r>
        <w:r w:rsidRPr="00DF64AB">
          <w:rPr>
            <w:rStyle w:val="Hyperlink"/>
            <w:rFonts w:cs="Arial"/>
          </w:rPr>
          <w:t xml:space="preserve"> fees and charges proposal</w:t>
        </w:r>
      </w:hyperlink>
      <w:r w:rsidRPr="00DF64AB">
        <w:rPr>
          <w:rFonts w:ascii="Arial" w:hAnsi="Arial" w:cs="Arial"/>
        </w:rPr>
        <w:t xml:space="preserve"> to seek comments from stakeholders with a view to further improve the strategy.</w:t>
      </w:r>
      <w:r w:rsidR="00BE0C4A" w:rsidRPr="00DF64AB">
        <w:rPr>
          <w:rFonts w:ascii="Arial" w:hAnsi="Arial" w:cs="Arial"/>
        </w:rPr>
        <w:t xml:space="preserve"> One peak body raised concerns regarding the design of the consultation through the Consultation Hub. The TGA has noted this feedback and will consider refinements to </w:t>
      </w:r>
      <w:r w:rsidR="00F06850" w:rsidRPr="00DF64AB">
        <w:rPr>
          <w:rFonts w:ascii="Arial" w:hAnsi="Arial" w:cs="Arial"/>
        </w:rPr>
        <w:t>it</w:t>
      </w:r>
      <w:r w:rsidR="000D5069" w:rsidRPr="00DF64AB">
        <w:rPr>
          <w:rFonts w:ascii="Arial" w:hAnsi="Arial" w:cs="Arial"/>
        </w:rPr>
        <w:t>s</w:t>
      </w:r>
      <w:r w:rsidR="00F06850" w:rsidRPr="00DF64AB">
        <w:rPr>
          <w:rFonts w:ascii="Arial" w:hAnsi="Arial" w:cs="Arial"/>
        </w:rPr>
        <w:t xml:space="preserve"> </w:t>
      </w:r>
      <w:r w:rsidR="00BE0C4A" w:rsidRPr="00DF64AB">
        <w:rPr>
          <w:rFonts w:ascii="Arial" w:hAnsi="Arial" w:cs="Arial"/>
        </w:rPr>
        <w:t>consultation</w:t>
      </w:r>
      <w:r w:rsidR="00F06850" w:rsidRPr="00DF64AB">
        <w:rPr>
          <w:rFonts w:ascii="Arial" w:hAnsi="Arial" w:cs="Arial"/>
        </w:rPr>
        <w:t xml:space="preserve">s in </w:t>
      </w:r>
      <w:r w:rsidR="00BE0C4A" w:rsidRPr="00DF64AB">
        <w:rPr>
          <w:rFonts w:ascii="Arial" w:hAnsi="Arial" w:cs="Arial"/>
        </w:rPr>
        <w:t>future.</w:t>
      </w:r>
    </w:p>
    <w:p w14:paraId="1B410FFE" w14:textId="678F83AE" w:rsidR="001B597D" w:rsidRPr="00DF64AB" w:rsidRDefault="001B597D">
      <w:pPr>
        <w:rPr>
          <w:rFonts w:ascii="Arial" w:eastAsia="Cambria" w:hAnsi="Arial" w:cs="Arial"/>
          <w:b/>
          <w:bCs/>
          <w:color w:val="001871"/>
          <w:sz w:val="28"/>
          <w:szCs w:val="26"/>
        </w:rPr>
      </w:pPr>
      <w:r w:rsidRPr="00DF64AB">
        <w:rPr>
          <w:rFonts w:ascii="Arial" w:hAnsi="Arial" w:cs="Arial"/>
        </w:rPr>
        <w:br w:type="page"/>
      </w:r>
    </w:p>
    <w:p w14:paraId="3F270522" w14:textId="1C34695A" w:rsidR="001B597D" w:rsidRPr="00DF64AB" w:rsidRDefault="001B597D" w:rsidP="00A0616E">
      <w:pPr>
        <w:pStyle w:val="Heading3"/>
        <w:rPr>
          <w:rFonts w:cs="Arial"/>
        </w:rPr>
      </w:pPr>
      <w:bookmarkStart w:id="72" w:name="_Toc169081984"/>
      <w:bookmarkStart w:id="73" w:name="_Toc233286954"/>
      <w:r w:rsidRPr="00DF64AB">
        <w:rPr>
          <w:rFonts w:cs="Arial"/>
        </w:rPr>
        <w:lastRenderedPageBreak/>
        <w:t>Consultation on the 202</w:t>
      </w:r>
      <w:r w:rsidR="003C2B92" w:rsidRPr="00DF64AB">
        <w:rPr>
          <w:rFonts w:cs="Arial"/>
        </w:rPr>
        <w:t>6</w:t>
      </w:r>
      <w:r w:rsidRPr="00DF64AB">
        <w:rPr>
          <w:rFonts w:cs="Arial"/>
        </w:rPr>
        <w:t>-2</w:t>
      </w:r>
      <w:r w:rsidR="003C2B92" w:rsidRPr="00DF64AB">
        <w:rPr>
          <w:rFonts w:cs="Arial"/>
        </w:rPr>
        <w:t>7</w:t>
      </w:r>
      <w:r w:rsidRPr="00DF64AB">
        <w:rPr>
          <w:rFonts w:cs="Arial"/>
        </w:rPr>
        <w:t xml:space="preserve"> fees and charges</w:t>
      </w:r>
      <w:bookmarkEnd w:id="72"/>
      <w:bookmarkEnd w:id="73"/>
    </w:p>
    <w:p w14:paraId="56FCB8B3" w14:textId="07D4C2F5" w:rsidR="001B597D" w:rsidRPr="00DF64AB" w:rsidRDefault="001B597D" w:rsidP="001B597D">
      <w:pPr>
        <w:rPr>
          <w:rFonts w:ascii="Arial" w:hAnsi="Arial" w:cs="Arial"/>
        </w:rPr>
      </w:pPr>
      <w:r w:rsidRPr="00DF64AB">
        <w:rPr>
          <w:rFonts w:ascii="Arial" w:hAnsi="Arial" w:cs="Arial"/>
        </w:rPr>
        <w:t xml:space="preserve">Consistent with previous practice, the TGA consulted with the following </w:t>
      </w:r>
      <w:r w:rsidR="008B11D3" w:rsidRPr="00DF64AB">
        <w:rPr>
          <w:rFonts w:ascii="Arial" w:hAnsi="Arial" w:cs="Arial"/>
        </w:rPr>
        <w:t xml:space="preserve">13 </w:t>
      </w:r>
      <w:r w:rsidRPr="00DF64AB">
        <w:rPr>
          <w:rFonts w:ascii="Arial" w:hAnsi="Arial" w:cs="Arial"/>
        </w:rPr>
        <w:t>industry representative groups in Novembe</w:t>
      </w:r>
      <w:r w:rsidR="007E0771" w:rsidRPr="00DF64AB">
        <w:rPr>
          <w:rFonts w:ascii="Arial" w:hAnsi="Arial" w:cs="Arial"/>
        </w:rPr>
        <w:t>r</w:t>
      </w:r>
      <w:r w:rsidR="003C2B92" w:rsidRPr="00DF64AB">
        <w:rPr>
          <w:rFonts w:ascii="Arial" w:hAnsi="Arial" w:cs="Arial"/>
        </w:rPr>
        <w:t xml:space="preserve"> and December</w:t>
      </w:r>
      <w:r w:rsidR="007E0771" w:rsidRPr="00DF64AB">
        <w:rPr>
          <w:rFonts w:ascii="Arial" w:hAnsi="Arial" w:cs="Arial"/>
        </w:rPr>
        <w:t xml:space="preserve"> </w:t>
      </w:r>
      <w:r w:rsidR="00F06850" w:rsidRPr="00DF64AB">
        <w:rPr>
          <w:rFonts w:ascii="Arial" w:hAnsi="Arial" w:cs="Arial"/>
        </w:rPr>
        <w:t xml:space="preserve">2025 </w:t>
      </w:r>
      <w:r w:rsidRPr="00DF64AB">
        <w:rPr>
          <w:rFonts w:ascii="Arial" w:hAnsi="Arial" w:cs="Arial"/>
        </w:rPr>
        <w:t>through a series of bilateral meetings:</w:t>
      </w:r>
    </w:p>
    <w:p w14:paraId="0B544358" w14:textId="77777777" w:rsidR="008A7F6D" w:rsidRPr="00DF64AB" w:rsidRDefault="008A7F6D" w:rsidP="008A7F6D">
      <w:pPr>
        <w:pStyle w:val="ListBullet"/>
        <w:spacing w:after="120"/>
        <w:ind w:left="709" w:hanging="425"/>
        <w:rPr>
          <w:rFonts w:eastAsiaTheme="minorHAnsi" w:cs="Arial"/>
          <w:color w:val="auto"/>
        </w:rPr>
      </w:pPr>
      <w:bookmarkStart w:id="74" w:name="_Hlk104529291"/>
      <w:r w:rsidRPr="00DF64AB">
        <w:rPr>
          <w:rFonts w:eastAsiaTheme="minorHAnsi" w:cs="Arial"/>
          <w:color w:val="auto"/>
        </w:rPr>
        <w:t>Accord Australasia</w:t>
      </w:r>
    </w:p>
    <w:p w14:paraId="27D1C062" w14:textId="1636D424" w:rsidR="00412D35" w:rsidRDefault="00412D35" w:rsidP="008A7F6D">
      <w:pPr>
        <w:pStyle w:val="ListBullet"/>
        <w:spacing w:after="120"/>
        <w:ind w:left="709" w:hanging="425"/>
        <w:rPr>
          <w:rFonts w:eastAsiaTheme="minorHAnsi" w:cs="Arial"/>
          <w:color w:val="auto"/>
        </w:rPr>
      </w:pPr>
      <w:r w:rsidRPr="00DF64AB">
        <w:rPr>
          <w:rFonts w:eastAsiaTheme="minorHAnsi" w:cs="Arial"/>
          <w:color w:val="auto"/>
        </w:rPr>
        <w:t xml:space="preserve">Assistive Technology Suppliers Australasia </w:t>
      </w:r>
    </w:p>
    <w:p w14:paraId="2EBF390C" w14:textId="010494EC" w:rsidR="008A7F6D" w:rsidRPr="00DF64AB" w:rsidRDefault="008A7F6D" w:rsidP="008A7F6D">
      <w:pPr>
        <w:pStyle w:val="ListBullet"/>
        <w:spacing w:after="120"/>
        <w:ind w:left="709" w:hanging="425"/>
        <w:rPr>
          <w:rFonts w:eastAsiaTheme="minorHAnsi" w:cs="Arial"/>
          <w:color w:val="auto"/>
        </w:rPr>
      </w:pPr>
      <w:r w:rsidRPr="00DF64AB">
        <w:rPr>
          <w:rFonts w:eastAsiaTheme="minorHAnsi" w:cs="Arial"/>
          <w:color w:val="auto"/>
        </w:rPr>
        <w:t>AusBiotech</w:t>
      </w:r>
    </w:p>
    <w:p w14:paraId="42D4C77D" w14:textId="0253F8E4" w:rsidR="00412D35" w:rsidRPr="00DF64AB" w:rsidRDefault="00412D35" w:rsidP="00412D35">
      <w:pPr>
        <w:pStyle w:val="ListBullet"/>
        <w:spacing w:after="120"/>
        <w:ind w:left="709" w:hanging="425"/>
        <w:rPr>
          <w:rFonts w:eastAsiaTheme="minorHAnsi" w:cs="Arial"/>
          <w:color w:val="auto"/>
        </w:rPr>
      </w:pPr>
      <w:proofErr w:type="spellStart"/>
      <w:r>
        <w:rPr>
          <w:rFonts w:eastAsiaTheme="minorHAnsi" w:cs="Arial"/>
          <w:color w:val="auto"/>
        </w:rPr>
        <w:t>AUScelerate</w:t>
      </w:r>
      <w:proofErr w:type="spellEnd"/>
      <w:r>
        <w:rPr>
          <w:rFonts w:eastAsiaTheme="minorHAnsi" w:cs="Arial"/>
          <w:color w:val="auto"/>
        </w:rPr>
        <w:t xml:space="preserve"> (Formerly </w:t>
      </w:r>
      <w:r w:rsidRPr="00DF64AB">
        <w:rPr>
          <w:rFonts w:eastAsiaTheme="minorHAnsi" w:cs="Arial"/>
          <w:color w:val="auto"/>
        </w:rPr>
        <w:t>MTP Connect</w:t>
      </w:r>
      <w:r>
        <w:rPr>
          <w:rFonts w:eastAsiaTheme="minorHAnsi" w:cs="Arial"/>
          <w:color w:val="auto"/>
        </w:rPr>
        <w:t>)</w:t>
      </w:r>
    </w:p>
    <w:p w14:paraId="462F65B9" w14:textId="77777777" w:rsidR="008A7F6D" w:rsidRPr="00DF64AB" w:rsidRDefault="008A7F6D" w:rsidP="008A7F6D">
      <w:pPr>
        <w:pStyle w:val="ListBullet"/>
        <w:spacing w:after="120"/>
        <w:ind w:left="709" w:hanging="425"/>
        <w:rPr>
          <w:rFonts w:eastAsiaTheme="minorHAnsi" w:cs="Arial"/>
          <w:color w:val="auto"/>
        </w:rPr>
      </w:pPr>
      <w:r w:rsidRPr="00DF64AB">
        <w:rPr>
          <w:rFonts w:eastAsiaTheme="minorHAnsi" w:cs="Arial"/>
          <w:color w:val="auto"/>
        </w:rPr>
        <w:t>Australian Dental Industry Association</w:t>
      </w:r>
    </w:p>
    <w:p w14:paraId="3AA84A1C" w14:textId="77777777" w:rsidR="008A7F6D" w:rsidRPr="00DF64AB" w:rsidRDefault="008A7F6D" w:rsidP="008A7F6D">
      <w:pPr>
        <w:pStyle w:val="ListBullet"/>
        <w:spacing w:after="120"/>
        <w:ind w:left="709" w:hanging="425"/>
        <w:rPr>
          <w:rFonts w:eastAsiaTheme="minorHAnsi" w:cs="Arial"/>
          <w:color w:val="auto"/>
        </w:rPr>
      </w:pPr>
      <w:r w:rsidRPr="00DF64AB">
        <w:rPr>
          <w:rFonts w:eastAsiaTheme="minorHAnsi" w:cs="Arial"/>
          <w:color w:val="auto"/>
        </w:rPr>
        <w:t>Australian Medical Manufacturers and Distribution Association</w:t>
      </w:r>
      <w:r w:rsidRPr="00DF64AB">
        <w:rPr>
          <w:rFonts w:eastAsiaTheme="minorHAnsi" w:cs="Arial"/>
          <w:vertAlign w:val="superscript"/>
        </w:rPr>
        <w:footnoteReference w:id="4"/>
      </w:r>
    </w:p>
    <w:p w14:paraId="120D2EB4" w14:textId="77777777" w:rsidR="00412D35" w:rsidRPr="00DF64AB" w:rsidRDefault="00412D35" w:rsidP="00412D35">
      <w:pPr>
        <w:pStyle w:val="ListBullet"/>
        <w:spacing w:after="120"/>
        <w:ind w:left="709" w:hanging="425"/>
        <w:rPr>
          <w:rFonts w:eastAsiaTheme="minorHAnsi" w:cs="Arial"/>
          <w:color w:val="auto"/>
        </w:rPr>
      </w:pPr>
      <w:r w:rsidRPr="00DF64AB">
        <w:rPr>
          <w:rFonts w:eastAsiaTheme="minorHAnsi" w:cs="Arial"/>
          <w:color w:val="auto"/>
        </w:rPr>
        <w:t>Complementary Medicines Australia</w:t>
      </w:r>
    </w:p>
    <w:p w14:paraId="39849B5F" w14:textId="77777777" w:rsidR="00412D35" w:rsidRPr="00DF64AB" w:rsidRDefault="00412D35" w:rsidP="00412D35">
      <w:pPr>
        <w:pStyle w:val="ListBullet"/>
        <w:spacing w:after="120"/>
        <w:ind w:left="709" w:hanging="425"/>
        <w:rPr>
          <w:rFonts w:eastAsiaTheme="minorHAnsi" w:cs="Arial"/>
          <w:color w:val="auto"/>
        </w:rPr>
      </w:pPr>
      <w:r w:rsidRPr="00DF64AB">
        <w:rPr>
          <w:rFonts w:eastAsiaTheme="minorHAnsi" w:cs="Arial"/>
          <w:color w:val="auto"/>
        </w:rPr>
        <w:t>Consumer Healthcare Products Australia</w:t>
      </w:r>
    </w:p>
    <w:p w14:paraId="00F7EE3E" w14:textId="77777777" w:rsidR="008A7F6D" w:rsidRPr="00DF64AB" w:rsidRDefault="008A7F6D" w:rsidP="008A7F6D">
      <w:pPr>
        <w:pStyle w:val="ListBullet"/>
        <w:spacing w:after="120"/>
        <w:ind w:left="709" w:hanging="425"/>
        <w:rPr>
          <w:rFonts w:eastAsiaTheme="minorHAnsi" w:cs="Arial"/>
          <w:color w:val="auto"/>
        </w:rPr>
      </w:pPr>
      <w:r w:rsidRPr="00DF64AB">
        <w:rPr>
          <w:rFonts w:eastAsiaTheme="minorHAnsi" w:cs="Arial"/>
          <w:color w:val="auto"/>
        </w:rPr>
        <w:t>Generic and Biosimilar Medicines Association</w:t>
      </w:r>
    </w:p>
    <w:p w14:paraId="6A47B3E8" w14:textId="77777777" w:rsidR="008A7F6D" w:rsidRPr="00DF64AB" w:rsidRDefault="008A7F6D" w:rsidP="008A7F6D">
      <w:pPr>
        <w:pStyle w:val="ListBullet"/>
        <w:spacing w:after="120"/>
        <w:ind w:left="709" w:hanging="425"/>
        <w:rPr>
          <w:rFonts w:eastAsiaTheme="minorHAnsi" w:cs="Arial"/>
          <w:color w:val="auto"/>
        </w:rPr>
      </w:pPr>
      <w:r w:rsidRPr="00DF64AB">
        <w:rPr>
          <w:rFonts w:eastAsiaTheme="minorHAnsi" w:cs="Arial"/>
          <w:color w:val="auto"/>
        </w:rPr>
        <w:t>Medical Technology Association of Australia</w:t>
      </w:r>
    </w:p>
    <w:p w14:paraId="38469294" w14:textId="77777777" w:rsidR="001B597D" w:rsidRPr="00DF64AB" w:rsidRDefault="001B597D" w:rsidP="006D31C0">
      <w:pPr>
        <w:pStyle w:val="ListBullet"/>
        <w:spacing w:after="120"/>
        <w:ind w:left="709" w:hanging="425"/>
        <w:rPr>
          <w:rFonts w:eastAsiaTheme="minorHAnsi" w:cs="Arial"/>
          <w:color w:val="auto"/>
        </w:rPr>
      </w:pPr>
      <w:r w:rsidRPr="00DF64AB">
        <w:rPr>
          <w:rFonts w:eastAsiaTheme="minorHAnsi" w:cs="Arial"/>
          <w:color w:val="auto"/>
        </w:rPr>
        <w:t>Medicines Australia</w:t>
      </w:r>
    </w:p>
    <w:p w14:paraId="50BF17AD" w14:textId="06FF9343" w:rsidR="00412D35" w:rsidRPr="00DF64AB" w:rsidRDefault="00412D35" w:rsidP="00412D35">
      <w:pPr>
        <w:pStyle w:val="ListBullet"/>
        <w:spacing w:after="120"/>
        <w:ind w:left="709" w:hanging="425"/>
        <w:rPr>
          <w:rFonts w:eastAsiaTheme="minorHAnsi" w:cs="Arial"/>
          <w:color w:val="auto"/>
        </w:rPr>
      </w:pPr>
      <w:r w:rsidRPr="00DF64AB">
        <w:rPr>
          <w:rFonts w:eastAsiaTheme="minorHAnsi" w:cs="Arial"/>
          <w:color w:val="auto"/>
        </w:rPr>
        <w:t>Optical Distributors &amp; Manufacturers Association of Australia</w:t>
      </w:r>
      <w:r>
        <w:rPr>
          <w:rFonts w:eastAsiaTheme="minorHAnsi" w:cs="Arial"/>
          <w:color w:val="auto"/>
        </w:rPr>
        <w:t>, and</w:t>
      </w:r>
    </w:p>
    <w:p w14:paraId="09160E78" w14:textId="77777777" w:rsidR="001B597D" w:rsidRPr="00DF64AB" w:rsidRDefault="001B597D" w:rsidP="006D31C0">
      <w:pPr>
        <w:pStyle w:val="ListBullet"/>
        <w:spacing w:after="120"/>
        <w:ind w:left="709" w:hanging="425"/>
        <w:rPr>
          <w:rFonts w:eastAsiaTheme="minorHAnsi" w:cs="Arial"/>
          <w:color w:val="auto"/>
        </w:rPr>
      </w:pPr>
      <w:r w:rsidRPr="00DF64AB">
        <w:rPr>
          <w:rFonts w:eastAsiaTheme="minorHAnsi" w:cs="Arial"/>
          <w:color w:val="auto"/>
        </w:rPr>
        <w:t>Pathology Technology Australia</w:t>
      </w:r>
    </w:p>
    <w:bookmarkEnd w:id="74"/>
    <w:p w14:paraId="5E5E27C3" w14:textId="1FAD99BE" w:rsidR="002A5D27" w:rsidRPr="00DF64AB" w:rsidRDefault="00F06850" w:rsidP="002A5D27">
      <w:pPr>
        <w:rPr>
          <w:rFonts w:ascii="Arial" w:hAnsi="Arial" w:cs="Arial"/>
        </w:rPr>
      </w:pPr>
      <w:r w:rsidRPr="00DF64AB">
        <w:rPr>
          <w:rFonts w:ascii="Arial" w:hAnsi="Arial" w:cs="Arial"/>
        </w:rPr>
        <w:t>To</w:t>
      </w:r>
      <w:r w:rsidR="002A5D27" w:rsidRPr="00DF64AB">
        <w:rPr>
          <w:rFonts w:ascii="Arial" w:hAnsi="Arial" w:cs="Arial"/>
        </w:rPr>
        <w:t xml:space="preserve"> obtain broader feedback from industry and other stakeholders, the TGA </w:t>
      </w:r>
      <w:r w:rsidR="00412D35">
        <w:rPr>
          <w:rFonts w:ascii="Arial" w:hAnsi="Arial" w:cs="Arial"/>
        </w:rPr>
        <w:t xml:space="preserve">also </w:t>
      </w:r>
      <w:r w:rsidR="002A5D27" w:rsidRPr="00DF64AB">
        <w:rPr>
          <w:rFonts w:ascii="Arial" w:hAnsi="Arial" w:cs="Arial"/>
        </w:rPr>
        <w:t xml:space="preserve">undertook a </w:t>
      </w:r>
      <w:hyperlink r:id="rId33" w:history="1">
        <w:r w:rsidR="002A5D27" w:rsidRPr="00DF64AB">
          <w:rPr>
            <w:rStyle w:val="Hyperlink"/>
            <w:rFonts w:cs="Arial"/>
          </w:rPr>
          <w:t>public consultation</w:t>
        </w:r>
      </w:hyperlink>
      <w:r w:rsidR="002A5D27" w:rsidRPr="00DF64AB">
        <w:rPr>
          <w:rFonts w:ascii="Arial" w:hAnsi="Arial" w:cs="Arial"/>
        </w:rPr>
        <w:t xml:space="preserve"> of its fees and charges. The </w:t>
      </w:r>
      <w:r w:rsidR="00B61ABB" w:rsidRPr="00DF64AB">
        <w:rPr>
          <w:rFonts w:ascii="Arial" w:hAnsi="Arial" w:cs="Arial"/>
        </w:rPr>
        <w:t>4</w:t>
      </w:r>
      <w:r w:rsidR="006437EF" w:rsidRPr="00DF64AB">
        <w:rPr>
          <w:rFonts w:ascii="Arial" w:hAnsi="Arial" w:cs="Arial"/>
        </w:rPr>
        <w:t>-</w:t>
      </w:r>
      <w:r w:rsidR="002A5D27" w:rsidRPr="00DF64AB">
        <w:rPr>
          <w:rFonts w:ascii="Arial" w:hAnsi="Arial" w:cs="Arial"/>
        </w:rPr>
        <w:t>week consultation ended on 2</w:t>
      </w:r>
      <w:r w:rsidR="00386F10" w:rsidRPr="00DF64AB">
        <w:rPr>
          <w:rFonts w:ascii="Arial" w:hAnsi="Arial" w:cs="Arial"/>
        </w:rPr>
        <w:t>7</w:t>
      </w:r>
      <w:r w:rsidR="002A5D27" w:rsidRPr="00DF64AB">
        <w:rPr>
          <w:rFonts w:ascii="Arial" w:hAnsi="Arial" w:cs="Arial"/>
        </w:rPr>
        <w:t xml:space="preserve"> February 202</w:t>
      </w:r>
      <w:r w:rsidR="00386F10" w:rsidRPr="00DF64AB">
        <w:rPr>
          <w:rFonts w:ascii="Arial" w:hAnsi="Arial" w:cs="Arial"/>
        </w:rPr>
        <w:t>6</w:t>
      </w:r>
      <w:r w:rsidR="002A5D27" w:rsidRPr="00DF64AB">
        <w:rPr>
          <w:rFonts w:ascii="Arial" w:hAnsi="Arial" w:cs="Arial"/>
        </w:rPr>
        <w:t>.</w:t>
      </w:r>
    </w:p>
    <w:p w14:paraId="1C0FFC10" w14:textId="3B88D6D4" w:rsidR="00704521" w:rsidRPr="00DF64AB" w:rsidRDefault="00704521" w:rsidP="002A5D27">
      <w:pPr>
        <w:rPr>
          <w:rFonts w:ascii="Arial" w:hAnsi="Arial" w:cs="Arial"/>
        </w:rPr>
      </w:pPr>
      <w:r w:rsidRPr="00DF64AB">
        <w:rPr>
          <w:rFonts w:ascii="Arial" w:hAnsi="Arial" w:cs="Arial"/>
        </w:rPr>
        <w:t xml:space="preserve">The TGA received </w:t>
      </w:r>
      <w:r w:rsidR="00003E6D" w:rsidRPr="00DF64AB">
        <w:rPr>
          <w:rFonts w:ascii="Arial" w:hAnsi="Arial" w:cs="Arial"/>
        </w:rPr>
        <w:t>21</w:t>
      </w:r>
      <w:r w:rsidRPr="00DF64AB">
        <w:rPr>
          <w:rFonts w:ascii="Arial" w:hAnsi="Arial" w:cs="Arial"/>
        </w:rPr>
        <w:t xml:space="preserve"> submissions</w:t>
      </w:r>
      <w:r w:rsidR="00412D35">
        <w:rPr>
          <w:rFonts w:ascii="Arial" w:hAnsi="Arial" w:cs="Arial"/>
        </w:rPr>
        <w:t xml:space="preserve">, </w:t>
      </w:r>
      <w:r w:rsidR="00952C02">
        <w:rPr>
          <w:rFonts w:ascii="Arial" w:hAnsi="Arial" w:cs="Arial"/>
        </w:rPr>
        <w:t>includ</w:t>
      </w:r>
      <w:r w:rsidR="00412D35">
        <w:rPr>
          <w:rFonts w:ascii="Arial" w:hAnsi="Arial" w:cs="Arial"/>
        </w:rPr>
        <w:t>ing</w:t>
      </w:r>
      <w:r w:rsidRPr="00DF64AB">
        <w:rPr>
          <w:rFonts w:ascii="Arial" w:hAnsi="Arial" w:cs="Arial"/>
        </w:rPr>
        <w:t xml:space="preserve"> </w:t>
      </w:r>
      <w:r w:rsidR="00003E6D" w:rsidRPr="00DF64AB">
        <w:rPr>
          <w:rFonts w:ascii="Arial" w:hAnsi="Arial" w:cs="Arial"/>
        </w:rPr>
        <w:t>10</w:t>
      </w:r>
      <w:r w:rsidRPr="00DF64AB">
        <w:rPr>
          <w:rFonts w:ascii="Arial" w:hAnsi="Arial" w:cs="Arial"/>
        </w:rPr>
        <w:t xml:space="preserve"> from peak industry bodies, </w:t>
      </w:r>
      <w:r w:rsidR="00003E6D" w:rsidRPr="00DF64AB">
        <w:rPr>
          <w:rFonts w:ascii="Arial" w:hAnsi="Arial" w:cs="Arial"/>
        </w:rPr>
        <w:t>10</w:t>
      </w:r>
      <w:r w:rsidRPr="00DF64AB">
        <w:rPr>
          <w:rFonts w:ascii="Arial" w:hAnsi="Arial" w:cs="Arial"/>
        </w:rPr>
        <w:t xml:space="preserve"> from sponsors and manufacturers of therapeutic goods</w:t>
      </w:r>
      <w:r w:rsidR="00412D35">
        <w:rPr>
          <w:rFonts w:ascii="Arial" w:hAnsi="Arial" w:cs="Arial"/>
        </w:rPr>
        <w:t>,</w:t>
      </w:r>
      <w:r w:rsidRPr="00DF64AB">
        <w:rPr>
          <w:rFonts w:ascii="Arial" w:hAnsi="Arial" w:cs="Arial"/>
        </w:rPr>
        <w:t xml:space="preserve"> and </w:t>
      </w:r>
      <w:r w:rsidR="006437EF" w:rsidRPr="00DF64AB">
        <w:rPr>
          <w:rFonts w:ascii="Arial" w:hAnsi="Arial" w:cs="Arial"/>
        </w:rPr>
        <w:t>one</w:t>
      </w:r>
      <w:r w:rsidRPr="00DF64AB">
        <w:rPr>
          <w:rFonts w:ascii="Arial" w:hAnsi="Arial" w:cs="Arial"/>
        </w:rPr>
        <w:t xml:space="preserve"> </w:t>
      </w:r>
      <w:r w:rsidR="004B0998" w:rsidRPr="00DF64AB">
        <w:rPr>
          <w:rFonts w:ascii="Arial" w:hAnsi="Arial" w:cs="Arial"/>
        </w:rPr>
        <w:t>from a health care services institution</w:t>
      </w:r>
      <w:r w:rsidRPr="00DF64AB">
        <w:rPr>
          <w:rFonts w:ascii="Arial" w:hAnsi="Arial" w:cs="Arial"/>
        </w:rPr>
        <w:t xml:space="preserve">. Of these submissions, </w:t>
      </w:r>
      <w:r w:rsidR="004B0998" w:rsidRPr="00DF64AB">
        <w:rPr>
          <w:rFonts w:ascii="Arial" w:hAnsi="Arial" w:cs="Arial"/>
        </w:rPr>
        <w:t>11</w:t>
      </w:r>
      <w:r w:rsidRPr="00DF64AB">
        <w:rPr>
          <w:rFonts w:ascii="Arial" w:hAnsi="Arial" w:cs="Arial"/>
        </w:rPr>
        <w:t xml:space="preserve"> relate to medical devices and IVDs, </w:t>
      </w:r>
      <w:r w:rsidR="003A1C84" w:rsidRPr="00DF64AB">
        <w:rPr>
          <w:rFonts w:ascii="Arial" w:hAnsi="Arial" w:cs="Arial"/>
        </w:rPr>
        <w:t xml:space="preserve">6 </w:t>
      </w:r>
      <w:r w:rsidRPr="00DF64AB">
        <w:rPr>
          <w:rFonts w:ascii="Arial" w:hAnsi="Arial" w:cs="Arial"/>
        </w:rPr>
        <w:t xml:space="preserve">to medicines, and </w:t>
      </w:r>
      <w:r w:rsidR="006F0C99" w:rsidRPr="00DF64AB">
        <w:rPr>
          <w:rFonts w:ascii="Arial" w:hAnsi="Arial" w:cs="Arial"/>
        </w:rPr>
        <w:t xml:space="preserve">one </w:t>
      </w:r>
      <w:r w:rsidRPr="00DF64AB">
        <w:rPr>
          <w:rFonts w:ascii="Arial" w:hAnsi="Arial" w:cs="Arial"/>
        </w:rPr>
        <w:t>each to personal hygiene, biotechnology</w:t>
      </w:r>
      <w:r w:rsidR="00181323" w:rsidRPr="00DF64AB">
        <w:rPr>
          <w:rFonts w:ascii="Arial" w:hAnsi="Arial" w:cs="Arial"/>
        </w:rPr>
        <w:t>, rehabili</w:t>
      </w:r>
      <w:r w:rsidR="008F347B" w:rsidRPr="00DF64AB">
        <w:rPr>
          <w:rFonts w:ascii="Arial" w:hAnsi="Arial" w:cs="Arial"/>
        </w:rPr>
        <w:t>tation equipment</w:t>
      </w:r>
      <w:r w:rsidR="00412D35">
        <w:rPr>
          <w:rFonts w:ascii="Arial" w:hAnsi="Arial" w:cs="Arial"/>
        </w:rPr>
        <w:t>,</w:t>
      </w:r>
      <w:r w:rsidR="008F347B" w:rsidRPr="00DF64AB">
        <w:rPr>
          <w:rFonts w:ascii="Arial" w:hAnsi="Arial" w:cs="Arial"/>
        </w:rPr>
        <w:t xml:space="preserve"> and clinical trials</w:t>
      </w:r>
      <w:r w:rsidRPr="00DF64AB">
        <w:rPr>
          <w:rFonts w:ascii="Arial" w:hAnsi="Arial" w:cs="Arial"/>
        </w:rPr>
        <w:t>.</w:t>
      </w:r>
    </w:p>
    <w:p w14:paraId="1451655D" w14:textId="0338654E" w:rsidR="00704521" w:rsidRPr="00DF64AB" w:rsidRDefault="006F538D" w:rsidP="002A5D27">
      <w:pPr>
        <w:rPr>
          <w:rFonts w:ascii="Arial" w:hAnsi="Arial" w:cs="Arial"/>
        </w:rPr>
      </w:pPr>
      <w:r>
        <w:rPr>
          <w:rFonts w:ascii="Arial" w:hAnsi="Arial" w:cs="Arial"/>
        </w:rPr>
        <w:t xml:space="preserve">12 </w:t>
      </w:r>
      <w:r w:rsidR="002C6DCA" w:rsidRPr="00DF64AB">
        <w:rPr>
          <w:rFonts w:ascii="Arial" w:hAnsi="Arial" w:cs="Arial"/>
        </w:rPr>
        <w:t>submissions</w:t>
      </w:r>
      <w:r w:rsidR="00227B56" w:rsidRPr="00DF64AB">
        <w:rPr>
          <w:rFonts w:ascii="Arial" w:hAnsi="Arial" w:cs="Arial"/>
        </w:rPr>
        <w:t>, including 5 industry bodies</w:t>
      </w:r>
      <w:r w:rsidR="006B1E25" w:rsidRPr="00DF64AB">
        <w:rPr>
          <w:rFonts w:ascii="Arial" w:hAnsi="Arial" w:cs="Arial"/>
        </w:rPr>
        <w:t>,</w:t>
      </w:r>
      <w:r w:rsidR="002C6DCA" w:rsidRPr="00DF64AB">
        <w:rPr>
          <w:rFonts w:ascii="Arial" w:hAnsi="Arial" w:cs="Arial"/>
        </w:rPr>
        <w:t xml:space="preserve"> </w:t>
      </w:r>
      <w:r w:rsidR="006B1E25" w:rsidRPr="00DF64AB">
        <w:rPr>
          <w:rFonts w:ascii="Arial" w:hAnsi="Arial" w:cs="Arial"/>
        </w:rPr>
        <w:t>favoured</w:t>
      </w:r>
      <w:r w:rsidR="000008F8" w:rsidRPr="00DF64AB">
        <w:rPr>
          <w:rFonts w:ascii="Arial" w:hAnsi="Arial" w:cs="Arial"/>
        </w:rPr>
        <w:t xml:space="preserve"> </w:t>
      </w:r>
      <w:r w:rsidR="00DF6CA5" w:rsidRPr="00DF64AB">
        <w:rPr>
          <w:rFonts w:ascii="Arial" w:hAnsi="Arial" w:cs="Arial"/>
        </w:rPr>
        <w:t xml:space="preserve">partial </w:t>
      </w:r>
      <w:r w:rsidR="001C6A01" w:rsidRPr="00DF64AB">
        <w:rPr>
          <w:rFonts w:ascii="Arial" w:hAnsi="Arial" w:cs="Arial"/>
        </w:rPr>
        <w:t>cost recovery</w:t>
      </w:r>
      <w:r w:rsidR="006B1E25" w:rsidRPr="00DF64AB">
        <w:rPr>
          <w:rFonts w:ascii="Arial" w:hAnsi="Arial" w:cs="Arial"/>
        </w:rPr>
        <w:t xml:space="preserve"> </w:t>
      </w:r>
      <w:r w:rsidR="00E63C21" w:rsidRPr="00DF64AB">
        <w:rPr>
          <w:rFonts w:ascii="Arial" w:hAnsi="Arial" w:cs="Arial"/>
        </w:rPr>
        <w:t>(Option 2)</w:t>
      </w:r>
      <w:r w:rsidR="000D5069" w:rsidRPr="00DF64AB">
        <w:rPr>
          <w:rFonts w:ascii="Arial" w:hAnsi="Arial" w:cs="Arial"/>
        </w:rPr>
        <w:t>,</w:t>
      </w:r>
      <w:r w:rsidR="00E63C21" w:rsidRPr="00DF64AB">
        <w:rPr>
          <w:rFonts w:ascii="Arial" w:hAnsi="Arial" w:cs="Arial"/>
        </w:rPr>
        <w:t xml:space="preserve"> </w:t>
      </w:r>
      <w:r w:rsidR="00756708" w:rsidRPr="00DF64AB">
        <w:rPr>
          <w:rFonts w:ascii="Arial" w:hAnsi="Arial" w:cs="Arial"/>
        </w:rPr>
        <w:t xml:space="preserve">while 3 submissions from sponsors </w:t>
      </w:r>
      <w:r w:rsidR="006B1E25" w:rsidRPr="00DF64AB">
        <w:rPr>
          <w:rFonts w:ascii="Arial" w:hAnsi="Arial" w:cs="Arial"/>
        </w:rPr>
        <w:t>advocated for full</w:t>
      </w:r>
      <w:r w:rsidR="001C6A01" w:rsidRPr="00DF64AB">
        <w:rPr>
          <w:rFonts w:ascii="Arial" w:hAnsi="Arial" w:cs="Arial"/>
        </w:rPr>
        <w:t xml:space="preserve"> cost recovery</w:t>
      </w:r>
      <w:r w:rsidR="00E63C21" w:rsidRPr="00DF64AB">
        <w:rPr>
          <w:rFonts w:ascii="Arial" w:hAnsi="Arial" w:cs="Arial"/>
        </w:rPr>
        <w:t xml:space="preserve"> (</w:t>
      </w:r>
      <w:r w:rsidR="00A63572" w:rsidRPr="00DF64AB">
        <w:rPr>
          <w:rFonts w:ascii="Arial" w:hAnsi="Arial" w:cs="Arial"/>
        </w:rPr>
        <w:t>O</w:t>
      </w:r>
      <w:r w:rsidR="00E63C21" w:rsidRPr="00DF64AB">
        <w:rPr>
          <w:rFonts w:ascii="Arial" w:hAnsi="Arial" w:cs="Arial"/>
        </w:rPr>
        <w:t>ption 1)</w:t>
      </w:r>
      <w:r w:rsidR="001C6A01" w:rsidRPr="00DF64AB">
        <w:rPr>
          <w:rFonts w:ascii="Arial" w:hAnsi="Arial" w:cs="Arial"/>
        </w:rPr>
        <w:t xml:space="preserve">. </w:t>
      </w:r>
    </w:p>
    <w:p w14:paraId="13917E89" w14:textId="07C3B50E" w:rsidR="001F76DA" w:rsidRPr="00DF64AB" w:rsidRDefault="001F76DA" w:rsidP="001F76DA">
      <w:pPr>
        <w:rPr>
          <w:rFonts w:ascii="Arial" w:hAnsi="Arial" w:cs="Arial"/>
        </w:rPr>
      </w:pPr>
      <w:r w:rsidRPr="00DF64AB">
        <w:rPr>
          <w:rFonts w:ascii="Arial" w:hAnsi="Arial" w:cs="Arial"/>
        </w:rPr>
        <w:t xml:space="preserve">Several submissions </w:t>
      </w:r>
      <w:r w:rsidR="00E63C21" w:rsidRPr="00DF64AB">
        <w:rPr>
          <w:rFonts w:ascii="Arial" w:hAnsi="Arial" w:cs="Arial"/>
        </w:rPr>
        <w:t xml:space="preserve">raised </w:t>
      </w:r>
      <w:r w:rsidRPr="00DF64AB">
        <w:rPr>
          <w:rFonts w:ascii="Arial" w:hAnsi="Arial" w:cs="Arial"/>
        </w:rPr>
        <w:t>concerns that current and proposed fees do not reflect regulatory risk or workload</w:t>
      </w:r>
      <w:r w:rsidR="00952C02">
        <w:rPr>
          <w:rFonts w:ascii="Arial" w:hAnsi="Arial" w:cs="Arial"/>
        </w:rPr>
        <w:t>. This was</w:t>
      </w:r>
      <w:r w:rsidRPr="00DF64AB">
        <w:rPr>
          <w:rFonts w:ascii="Arial" w:hAnsi="Arial" w:cs="Arial"/>
        </w:rPr>
        <w:t xml:space="preserve"> particularly</w:t>
      </w:r>
      <w:r w:rsidR="00952C02">
        <w:rPr>
          <w:rFonts w:ascii="Arial" w:hAnsi="Arial" w:cs="Arial"/>
        </w:rPr>
        <w:t xml:space="preserve"> raised</w:t>
      </w:r>
      <w:r w:rsidRPr="00DF64AB">
        <w:rPr>
          <w:rFonts w:ascii="Arial" w:hAnsi="Arial" w:cs="Arial"/>
        </w:rPr>
        <w:t xml:space="preserve"> for low-risk therapeutic goods and sponsors holding multiple </w:t>
      </w:r>
      <w:r w:rsidR="008D1898" w:rsidRPr="00DF64AB">
        <w:rPr>
          <w:rFonts w:ascii="Arial" w:hAnsi="Arial" w:cs="Arial"/>
        </w:rPr>
        <w:t>ARTG</w:t>
      </w:r>
      <w:r w:rsidRPr="00DF64AB">
        <w:rPr>
          <w:rFonts w:ascii="Arial" w:hAnsi="Arial" w:cs="Arial"/>
        </w:rPr>
        <w:t xml:space="preserve"> entries with limited ongoing regulatory engagement. </w:t>
      </w:r>
      <w:r w:rsidR="00A6301A" w:rsidRPr="00DF64AB">
        <w:rPr>
          <w:rFonts w:ascii="Arial" w:hAnsi="Arial" w:cs="Arial"/>
        </w:rPr>
        <w:t>Stakeholders contended that these groups receive comparatively less regulatory benefit yet bear an equal or increasing fee burden. Many submissions recommended a shift towards more risk-based and activity-based fee models that align fees with actual regulatory effort, required oversight, and benefits accrued to enhance proportionality, equity and regulatory efficiency.</w:t>
      </w:r>
    </w:p>
    <w:p w14:paraId="3F800756" w14:textId="7A0586BD" w:rsidR="00726ADF" w:rsidRPr="00DF64AB" w:rsidRDefault="00726ADF" w:rsidP="00EC166C">
      <w:pPr>
        <w:rPr>
          <w:rFonts w:ascii="Arial" w:hAnsi="Arial" w:cs="Arial"/>
        </w:rPr>
      </w:pPr>
      <w:r w:rsidRPr="00DF64AB">
        <w:rPr>
          <w:rFonts w:ascii="Arial" w:hAnsi="Arial" w:cs="Arial"/>
        </w:rPr>
        <w:t xml:space="preserve">Stakeholders sought clarity regarding efficiency gains resulting from prior industry-funded initiatives, especially those related to digital transformation and the UDI system implementation. Concerns </w:t>
      </w:r>
      <w:r w:rsidR="00412D35">
        <w:rPr>
          <w:rFonts w:ascii="Arial" w:hAnsi="Arial" w:cs="Arial"/>
        </w:rPr>
        <w:t>were raised</w:t>
      </w:r>
      <w:r w:rsidR="00412D35" w:rsidRPr="00DF64AB">
        <w:rPr>
          <w:rFonts w:ascii="Arial" w:hAnsi="Arial" w:cs="Arial"/>
        </w:rPr>
        <w:t xml:space="preserve"> </w:t>
      </w:r>
      <w:r w:rsidRPr="00DF64AB">
        <w:rPr>
          <w:rFonts w:ascii="Arial" w:hAnsi="Arial" w:cs="Arial"/>
        </w:rPr>
        <w:t>that these investments have not sufficiently delivered productivity or cost savings to counterbalance rising fees.</w:t>
      </w:r>
    </w:p>
    <w:p w14:paraId="1040D127" w14:textId="410F0AC1" w:rsidR="007F66DE" w:rsidRPr="00DF64AB" w:rsidRDefault="00212BFD" w:rsidP="00B77BA4">
      <w:pPr>
        <w:rPr>
          <w:rFonts w:ascii="Arial" w:hAnsi="Arial" w:cs="Arial"/>
        </w:rPr>
      </w:pPr>
      <w:r w:rsidRPr="00DF64AB">
        <w:rPr>
          <w:rFonts w:ascii="Arial" w:hAnsi="Arial" w:cs="Arial"/>
        </w:rPr>
        <w:t>C</w:t>
      </w:r>
      <w:r w:rsidR="007F66DE" w:rsidRPr="00DF64AB">
        <w:rPr>
          <w:rFonts w:ascii="Arial" w:hAnsi="Arial" w:cs="Arial"/>
        </w:rPr>
        <w:t>ertain industry bodies highlighted concerns about ongoing cross-subsidisation of public good activities using cost-recovered funds. They called for full government funding for such undertakings and urged increased allocation of this funding towards public-interest regulatory activities to ensure fees and charges remain equitable, proportionate and consistent with public interest outcomes.</w:t>
      </w:r>
    </w:p>
    <w:p w14:paraId="4DABA7F6" w14:textId="774E0AC6" w:rsidR="004824D1" w:rsidRPr="00DF64AB" w:rsidRDefault="004824D1" w:rsidP="002A5D27">
      <w:pPr>
        <w:rPr>
          <w:rFonts w:ascii="Arial" w:hAnsi="Arial" w:cs="Arial"/>
        </w:rPr>
      </w:pPr>
      <w:r w:rsidRPr="00DF64AB">
        <w:rPr>
          <w:rFonts w:ascii="Arial" w:hAnsi="Arial" w:cs="Arial"/>
        </w:rPr>
        <w:t xml:space="preserve">Further, </w:t>
      </w:r>
      <w:r w:rsidR="00997446">
        <w:rPr>
          <w:rFonts w:ascii="Arial" w:hAnsi="Arial" w:cs="Arial"/>
        </w:rPr>
        <w:t xml:space="preserve">there </w:t>
      </w:r>
      <w:r w:rsidR="00952C02">
        <w:rPr>
          <w:rFonts w:ascii="Arial" w:hAnsi="Arial" w:cs="Arial"/>
        </w:rPr>
        <w:t>were</w:t>
      </w:r>
      <w:r w:rsidR="00997446">
        <w:rPr>
          <w:rFonts w:ascii="Arial" w:hAnsi="Arial" w:cs="Arial"/>
        </w:rPr>
        <w:t xml:space="preserve"> request</w:t>
      </w:r>
      <w:r w:rsidR="00952C02">
        <w:rPr>
          <w:rFonts w:ascii="Arial" w:hAnsi="Arial" w:cs="Arial"/>
        </w:rPr>
        <w:t>s</w:t>
      </w:r>
      <w:r w:rsidR="00997446">
        <w:rPr>
          <w:rFonts w:ascii="Arial" w:hAnsi="Arial" w:cs="Arial"/>
        </w:rPr>
        <w:t xml:space="preserve"> </w:t>
      </w:r>
      <w:r w:rsidRPr="00DF64AB">
        <w:rPr>
          <w:rFonts w:ascii="Arial" w:hAnsi="Arial" w:cs="Arial"/>
        </w:rPr>
        <w:t xml:space="preserve">for greater transparency regarding the utilisation of additional fee and charge revenue, emphasising the need for clear communication about expected stakeholder outcomes. It is strongly anticipated that any increases in fees </w:t>
      </w:r>
      <w:r w:rsidR="00952C02">
        <w:rPr>
          <w:rFonts w:ascii="Arial" w:hAnsi="Arial" w:cs="Arial"/>
        </w:rPr>
        <w:t>will</w:t>
      </w:r>
      <w:r w:rsidR="00952C02" w:rsidRPr="00DF64AB">
        <w:rPr>
          <w:rFonts w:ascii="Arial" w:hAnsi="Arial" w:cs="Arial"/>
        </w:rPr>
        <w:t xml:space="preserve"> </w:t>
      </w:r>
      <w:r w:rsidRPr="00DF64AB">
        <w:rPr>
          <w:rFonts w:ascii="Arial" w:hAnsi="Arial" w:cs="Arial"/>
        </w:rPr>
        <w:t>be directly linked to measurable enhancements in regulatory performance, including assessment timeliness, service quality, and overall system efficiency.</w:t>
      </w:r>
    </w:p>
    <w:p w14:paraId="1F9739DC" w14:textId="67A2E4BB" w:rsidR="00174C6C" w:rsidRDefault="00113086">
      <w:pPr>
        <w:rPr>
          <w:rFonts w:ascii="Arial" w:eastAsia="Times New Roman" w:hAnsi="Arial" w:cs="Arial"/>
          <w:b/>
          <w:bCs/>
          <w:color w:val="001871"/>
          <w:sz w:val="38"/>
          <w:szCs w:val="38"/>
        </w:rPr>
      </w:pPr>
      <w:r w:rsidRPr="00DF64AB">
        <w:rPr>
          <w:rFonts w:ascii="Arial" w:hAnsi="Arial" w:cs="Arial"/>
        </w:rPr>
        <w:lastRenderedPageBreak/>
        <w:t xml:space="preserve">The feedback from the </w:t>
      </w:r>
      <w:hyperlink r:id="rId34" w:history="1">
        <w:r w:rsidR="0029262F" w:rsidRPr="001040DD">
          <w:rPr>
            <w:rStyle w:val="Hyperlink"/>
            <w:rFonts w:cs="Arial"/>
          </w:rPr>
          <w:t>submissions</w:t>
        </w:r>
      </w:hyperlink>
      <w:r w:rsidRPr="00DF64AB">
        <w:rPr>
          <w:rFonts w:ascii="Arial" w:hAnsi="Arial" w:cs="Arial"/>
        </w:rPr>
        <w:t xml:space="preserve"> was put forward to the </w:t>
      </w:r>
      <w:r w:rsidR="00531A96" w:rsidRPr="00DF64AB">
        <w:rPr>
          <w:rFonts w:ascii="Arial" w:hAnsi="Arial" w:cs="Arial"/>
        </w:rPr>
        <w:t xml:space="preserve">Government </w:t>
      </w:r>
      <w:r w:rsidRPr="00DF64AB">
        <w:rPr>
          <w:rFonts w:ascii="Arial" w:hAnsi="Arial" w:cs="Arial"/>
        </w:rPr>
        <w:t xml:space="preserve">for consideration along with the proposed </w:t>
      </w:r>
      <w:r w:rsidR="00005B74" w:rsidRPr="00DF64AB">
        <w:rPr>
          <w:rFonts w:ascii="Arial" w:hAnsi="Arial" w:cs="Arial"/>
        </w:rPr>
        <w:t xml:space="preserve">changes to </w:t>
      </w:r>
      <w:r w:rsidRPr="00DF64AB">
        <w:rPr>
          <w:rFonts w:ascii="Arial" w:hAnsi="Arial" w:cs="Arial"/>
        </w:rPr>
        <w:t>fees and charges for 202</w:t>
      </w:r>
      <w:r w:rsidR="00B77BA4" w:rsidRPr="00DF64AB">
        <w:rPr>
          <w:rFonts w:ascii="Arial" w:hAnsi="Arial" w:cs="Arial"/>
        </w:rPr>
        <w:t>6</w:t>
      </w:r>
      <w:r w:rsidRPr="00DF64AB">
        <w:rPr>
          <w:rFonts w:ascii="Arial" w:hAnsi="Arial" w:cs="Arial"/>
        </w:rPr>
        <w:t>-2</w:t>
      </w:r>
      <w:r w:rsidR="00B77BA4" w:rsidRPr="00DF64AB">
        <w:rPr>
          <w:rFonts w:ascii="Arial" w:hAnsi="Arial" w:cs="Arial"/>
        </w:rPr>
        <w:t>7</w:t>
      </w:r>
      <w:r w:rsidRPr="00DF64AB">
        <w:rPr>
          <w:rFonts w:ascii="Arial" w:hAnsi="Arial" w:cs="Arial"/>
        </w:rPr>
        <w:t xml:space="preserve">. The </w:t>
      </w:r>
      <w:r w:rsidR="00005B74" w:rsidRPr="00DF64AB">
        <w:rPr>
          <w:rFonts w:ascii="Arial" w:hAnsi="Arial" w:cs="Arial"/>
        </w:rPr>
        <w:t xml:space="preserve">Government </w:t>
      </w:r>
      <w:r w:rsidRPr="00DF64AB">
        <w:rPr>
          <w:rFonts w:ascii="Arial" w:hAnsi="Arial" w:cs="Arial"/>
        </w:rPr>
        <w:t xml:space="preserve">approved the above changes to the </w:t>
      </w:r>
      <w:hyperlink r:id="rId35" w:history="1">
        <w:r w:rsidRPr="00BD47D4">
          <w:rPr>
            <w:rStyle w:val="Hyperlink"/>
            <w:rFonts w:cs="Arial"/>
          </w:rPr>
          <w:t>TGA fees a</w:t>
        </w:r>
        <w:r w:rsidRPr="00BD47D4">
          <w:rPr>
            <w:rStyle w:val="Hyperlink"/>
            <w:rFonts w:cs="Arial"/>
          </w:rPr>
          <w:t>nd charges for 202</w:t>
        </w:r>
        <w:r w:rsidR="00B77BA4" w:rsidRPr="00BD47D4">
          <w:rPr>
            <w:rStyle w:val="Hyperlink"/>
            <w:rFonts w:cs="Arial"/>
          </w:rPr>
          <w:t>6</w:t>
        </w:r>
        <w:r w:rsidRPr="00BD47D4">
          <w:rPr>
            <w:rStyle w:val="Hyperlink"/>
            <w:rFonts w:cs="Arial"/>
          </w:rPr>
          <w:t>-2</w:t>
        </w:r>
        <w:r w:rsidR="00B77BA4" w:rsidRPr="00BD47D4">
          <w:rPr>
            <w:rStyle w:val="Hyperlink"/>
            <w:rFonts w:cs="Arial"/>
          </w:rPr>
          <w:t>7</w:t>
        </w:r>
      </w:hyperlink>
      <w:r w:rsidRPr="00DF64AB">
        <w:rPr>
          <w:rFonts w:ascii="Arial" w:hAnsi="Arial" w:cs="Arial"/>
        </w:rPr>
        <w:t>, commencing from 1 July 202</w:t>
      </w:r>
      <w:r w:rsidR="00B77BA4" w:rsidRPr="00DF64AB">
        <w:rPr>
          <w:rFonts w:ascii="Arial" w:hAnsi="Arial" w:cs="Arial"/>
        </w:rPr>
        <w:t>6</w:t>
      </w:r>
      <w:r w:rsidRPr="00DF64AB">
        <w:rPr>
          <w:rFonts w:ascii="Arial" w:hAnsi="Arial" w:cs="Arial"/>
        </w:rPr>
        <w:t>.</w:t>
      </w:r>
      <w:r w:rsidR="00174C6C">
        <w:rPr>
          <w:rFonts w:cs="Arial"/>
        </w:rPr>
        <w:br w:type="page"/>
      </w:r>
    </w:p>
    <w:p w14:paraId="0E23EE60" w14:textId="2402EEFE" w:rsidR="009F45F8" w:rsidRPr="006F538D" w:rsidRDefault="009F45F8" w:rsidP="006F538D">
      <w:pPr>
        <w:pStyle w:val="Heading2"/>
        <w:spacing w:before="100" w:beforeAutospacing="1"/>
        <w:rPr>
          <w:rFonts w:cs="Arial"/>
        </w:rPr>
      </w:pPr>
      <w:bookmarkStart w:id="75" w:name="_Toc233286955"/>
      <w:r w:rsidRPr="006F538D">
        <w:rPr>
          <w:rFonts w:cs="Arial"/>
        </w:rPr>
        <w:lastRenderedPageBreak/>
        <w:t>Financial and non-financial performance</w:t>
      </w:r>
      <w:bookmarkEnd w:id="75"/>
    </w:p>
    <w:p w14:paraId="5FE322A9" w14:textId="4742088A" w:rsidR="005D087F" w:rsidRPr="00DF64AB" w:rsidRDefault="003904B5" w:rsidP="00E77EA2">
      <w:pPr>
        <w:pStyle w:val="Heading3"/>
        <w:rPr>
          <w:rFonts w:cs="Arial"/>
        </w:rPr>
      </w:pPr>
      <w:bookmarkStart w:id="76" w:name="_Toc233286956"/>
      <w:bookmarkStart w:id="77" w:name="_Toc88467509"/>
      <w:r w:rsidRPr="00DF64AB">
        <w:rPr>
          <w:rFonts w:cs="Arial"/>
        </w:rPr>
        <w:t xml:space="preserve">a) </w:t>
      </w:r>
      <w:proofErr w:type="gramStart"/>
      <w:r w:rsidRPr="00DF64AB">
        <w:rPr>
          <w:rFonts w:cs="Arial"/>
        </w:rPr>
        <w:t>Financial</w:t>
      </w:r>
      <w:proofErr w:type="gramEnd"/>
      <w:r w:rsidRPr="00DF64AB">
        <w:rPr>
          <w:rFonts w:cs="Arial"/>
        </w:rPr>
        <w:t xml:space="preserve"> performance</w:t>
      </w:r>
      <w:bookmarkEnd w:id="76"/>
    </w:p>
    <w:p w14:paraId="4266CB94" w14:textId="7E62D612" w:rsidR="00E5580E" w:rsidRPr="00DF64AB" w:rsidRDefault="00EB2FE8" w:rsidP="00E77EA2">
      <w:pPr>
        <w:rPr>
          <w:rFonts w:ascii="Arial" w:hAnsi="Arial" w:cs="Arial"/>
        </w:rPr>
      </w:pPr>
      <w:r w:rsidRPr="00DF64AB">
        <w:rPr>
          <w:rFonts w:ascii="Arial" w:hAnsi="Arial" w:cs="Arial"/>
          <w:b/>
        </w:rPr>
        <w:t xml:space="preserve">Financial </w:t>
      </w:r>
      <w:r w:rsidR="00855E1B" w:rsidRPr="00DF64AB">
        <w:rPr>
          <w:rFonts w:ascii="Arial" w:hAnsi="Arial" w:cs="Arial"/>
          <w:b/>
        </w:rPr>
        <w:t>E</w:t>
      </w:r>
      <w:r w:rsidRPr="00DF64AB">
        <w:rPr>
          <w:rFonts w:ascii="Arial" w:hAnsi="Arial" w:cs="Arial"/>
          <w:b/>
        </w:rPr>
        <w:t xml:space="preserve">stimates </w:t>
      </w:r>
      <w:r w:rsidR="00855E1B" w:rsidRPr="00DF64AB">
        <w:rPr>
          <w:rFonts w:ascii="Arial" w:hAnsi="Arial" w:cs="Arial"/>
          <w:b/>
        </w:rPr>
        <w:t xml:space="preserve">- </w:t>
      </w:r>
      <w:r w:rsidRPr="00DF64AB">
        <w:rPr>
          <w:rFonts w:ascii="Arial" w:hAnsi="Arial" w:cs="Arial"/>
          <w:b/>
        </w:rPr>
        <w:t xml:space="preserve">budget and </w:t>
      </w:r>
      <w:r w:rsidR="003A1C84" w:rsidRPr="00DF64AB">
        <w:rPr>
          <w:rFonts w:ascii="Arial" w:hAnsi="Arial" w:cs="Arial"/>
          <w:b/>
        </w:rPr>
        <w:t xml:space="preserve">3 </w:t>
      </w:r>
      <w:r w:rsidRPr="00DF64AB">
        <w:rPr>
          <w:rFonts w:ascii="Arial" w:hAnsi="Arial" w:cs="Arial"/>
          <w:b/>
        </w:rPr>
        <w:t>forward years as published in the PBS</w:t>
      </w:r>
      <w:r w:rsidRPr="00DF64AB" w:rsidDel="00EB2FE8">
        <w:rPr>
          <w:rFonts w:ascii="Arial" w:hAnsi="Arial" w:cs="Arial"/>
          <w:b/>
        </w:rPr>
        <w:t xml:space="preserve"> </w:t>
      </w:r>
      <w:bookmarkEnd w:id="77"/>
    </w:p>
    <w:p w14:paraId="2380D005" w14:textId="4393BBCC" w:rsidR="00EB2FE8" w:rsidRPr="006F538D" w:rsidRDefault="00591C0B" w:rsidP="00E77EA2">
      <w:pPr>
        <w:rPr>
          <w:rFonts w:ascii="Arial" w:hAnsi="Arial" w:cs="Arial"/>
        </w:rPr>
      </w:pPr>
      <w:r w:rsidRPr="00DF64AB">
        <w:rPr>
          <w:rFonts w:ascii="Arial" w:hAnsi="Arial" w:cs="Arial"/>
        </w:rPr>
        <w:t xml:space="preserve">The below table reflects the TGA’s 2026-27 Budget as published in the </w:t>
      </w:r>
      <w:hyperlink r:id="rId36" w:history="1">
        <w:r w:rsidR="00DB300E" w:rsidRPr="00DF64AB">
          <w:rPr>
            <w:rStyle w:val="Hyperlink"/>
            <w:rFonts w:cs="Arial"/>
          </w:rPr>
          <w:t>Budget 2026-27: Health, Disability and Ageing Portfolio Budget Statements</w:t>
        </w:r>
      </w:hyperlink>
      <w:r w:rsidR="00DB300E" w:rsidRPr="00DF64AB">
        <w:rPr>
          <w:rFonts w:ascii="Arial" w:hAnsi="Arial" w:cs="Arial"/>
        </w:rPr>
        <w:t xml:space="preserve"> Table 3.1.1: Estimates of Special Accounts Cash Flows and Balances</w:t>
      </w:r>
      <w:r w:rsidRPr="00DF64AB">
        <w:rPr>
          <w:rFonts w:ascii="Arial" w:hAnsi="Arial" w:cs="Arial"/>
        </w:rPr>
        <w:t xml:space="preserve">. </w:t>
      </w:r>
    </w:p>
    <w:tbl>
      <w:tblPr>
        <w:tblStyle w:val="TableTGAblue2023"/>
        <w:tblW w:w="9371" w:type="dxa"/>
        <w:jc w:val="center"/>
        <w:tblLayout w:type="fixed"/>
        <w:tblLook w:val="04A0" w:firstRow="1" w:lastRow="0" w:firstColumn="1" w:lastColumn="0" w:noHBand="0" w:noVBand="1"/>
      </w:tblPr>
      <w:tblGrid>
        <w:gridCol w:w="3114"/>
        <w:gridCol w:w="1564"/>
        <w:gridCol w:w="1564"/>
        <w:gridCol w:w="1564"/>
        <w:gridCol w:w="1565"/>
      </w:tblGrid>
      <w:tr w:rsidR="00E02718" w:rsidRPr="00DF64AB" w14:paraId="7FC3E646" w14:textId="77777777" w:rsidTr="006F538D">
        <w:trPr>
          <w:cnfStyle w:val="100000000000" w:firstRow="1" w:lastRow="0" w:firstColumn="0" w:lastColumn="0" w:oddVBand="0" w:evenVBand="0" w:oddHBand="0"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3114" w:type="dxa"/>
          </w:tcPr>
          <w:p w14:paraId="1211182F" w14:textId="77777777" w:rsidR="006E0FF2" w:rsidRPr="00DF64AB" w:rsidRDefault="006E0FF2" w:rsidP="00B5577D">
            <w:pPr>
              <w:ind w:left="0"/>
              <w:jc w:val="center"/>
              <w:rPr>
                <w:rFonts w:cs="Arial"/>
                <w:b w:val="0"/>
                <w:sz w:val="20"/>
                <w:szCs w:val="20"/>
              </w:rPr>
            </w:pPr>
          </w:p>
          <w:p w14:paraId="34D9720E" w14:textId="77777777" w:rsidR="006E0FF2" w:rsidRPr="00DF64AB" w:rsidRDefault="006E0FF2" w:rsidP="00B5577D">
            <w:pPr>
              <w:ind w:left="0"/>
              <w:rPr>
                <w:rFonts w:cs="Arial"/>
                <w:sz w:val="20"/>
                <w:szCs w:val="20"/>
              </w:rPr>
            </w:pPr>
            <w:r w:rsidRPr="00DF64AB">
              <w:rPr>
                <w:rFonts w:cs="Arial"/>
                <w:sz w:val="20"/>
                <w:szCs w:val="20"/>
              </w:rPr>
              <w:t>Financial Estimates</w:t>
            </w:r>
          </w:p>
        </w:tc>
        <w:tc>
          <w:tcPr>
            <w:tcW w:w="1564" w:type="dxa"/>
            <w:vAlign w:val="center"/>
          </w:tcPr>
          <w:p w14:paraId="14F958A8" w14:textId="0E060F0F"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F64AB">
              <w:rPr>
                <w:rFonts w:cs="Arial"/>
                <w:sz w:val="20"/>
                <w:szCs w:val="20"/>
              </w:rPr>
              <w:t>202</w:t>
            </w:r>
            <w:r w:rsidR="002C33A6" w:rsidRPr="00DF64AB">
              <w:rPr>
                <w:rFonts w:cs="Arial"/>
                <w:sz w:val="20"/>
                <w:szCs w:val="20"/>
              </w:rPr>
              <w:t>6</w:t>
            </w:r>
            <w:r w:rsidRPr="00DF64AB">
              <w:rPr>
                <w:rFonts w:cs="Arial"/>
                <w:sz w:val="20"/>
                <w:szCs w:val="20"/>
              </w:rPr>
              <w:t>-2</w:t>
            </w:r>
            <w:r w:rsidR="002C33A6" w:rsidRPr="00DF64AB">
              <w:rPr>
                <w:rFonts w:cs="Arial"/>
                <w:sz w:val="20"/>
                <w:szCs w:val="20"/>
              </w:rPr>
              <w:t>7</w:t>
            </w:r>
            <w:r w:rsidRPr="00DF64AB">
              <w:rPr>
                <w:rFonts w:cs="Arial"/>
                <w:sz w:val="20"/>
                <w:szCs w:val="20"/>
              </w:rPr>
              <w:t xml:space="preserve"> Budget</w:t>
            </w:r>
          </w:p>
          <w:p w14:paraId="3CCAE924" w14:textId="77777777"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564" w:type="dxa"/>
            <w:vAlign w:val="center"/>
          </w:tcPr>
          <w:p w14:paraId="4F5EE830" w14:textId="572DA670"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F64AB">
              <w:rPr>
                <w:rFonts w:cs="Arial"/>
                <w:sz w:val="20"/>
                <w:szCs w:val="20"/>
              </w:rPr>
              <w:t>202</w:t>
            </w:r>
            <w:r w:rsidR="002C33A6" w:rsidRPr="00DF64AB">
              <w:rPr>
                <w:rFonts w:cs="Arial"/>
                <w:sz w:val="20"/>
                <w:szCs w:val="20"/>
              </w:rPr>
              <w:t>7</w:t>
            </w:r>
            <w:r w:rsidRPr="00DF64AB">
              <w:rPr>
                <w:rFonts w:cs="Arial"/>
                <w:sz w:val="20"/>
                <w:szCs w:val="20"/>
              </w:rPr>
              <w:t>-2</w:t>
            </w:r>
            <w:r w:rsidR="002C33A6" w:rsidRPr="00DF64AB">
              <w:rPr>
                <w:rFonts w:cs="Arial"/>
                <w:sz w:val="20"/>
                <w:szCs w:val="20"/>
              </w:rPr>
              <w:t>8</w:t>
            </w:r>
            <w:r w:rsidRPr="00DF64AB">
              <w:rPr>
                <w:rFonts w:cs="Arial"/>
                <w:sz w:val="20"/>
                <w:szCs w:val="20"/>
              </w:rPr>
              <w:t xml:space="preserve"> Estimate</w:t>
            </w:r>
          </w:p>
          <w:p w14:paraId="06FE58AD" w14:textId="77777777"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564" w:type="dxa"/>
            <w:vAlign w:val="center"/>
          </w:tcPr>
          <w:p w14:paraId="669C9327" w14:textId="5C19B3EB"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F64AB">
              <w:rPr>
                <w:rFonts w:cs="Arial"/>
                <w:sz w:val="20"/>
                <w:szCs w:val="20"/>
              </w:rPr>
              <w:t>202</w:t>
            </w:r>
            <w:r w:rsidR="002C33A6" w:rsidRPr="00DF64AB">
              <w:rPr>
                <w:rFonts w:cs="Arial"/>
                <w:sz w:val="20"/>
                <w:szCs w:val="20"/>
              </w:rPr>
              <w:t>8</w:t>
            </w:r>
            <w:r w:rsidRPr="00DF64AB">
              <w:rPr>
                <w:rFonts w:cs="Arial"/>
                <w:sz w:val="20"/>
                <w:szCs w:val="20"/>
              </w:rPr>
              <w:t>-2</w:t>
            </w:r>
            <w:r w:rsidR="002C33A6" w:rsidRPr="00DF64AB">
              <w:rPr>
                <w:rFonts w:cs="Arial"/>
                <w:sz w:val="20"/>
                <w:szCs w:val="20"/>
              </w:rPr>
              <w:t>9</w:t>
            </w:r>
            <w:r w:rsidRPr="00DF64AB">
              <w:rPr>
                <w:rFonts w:cs="Arial"/>
                <w:sz w:val="20"/>
                <w:szCs w:val="20"/>
              </w:rPr>
              <w:t xml:space="preserve"> Estimate</w:t>
            </w:r>
          </w:p>
          <w:p w14:paraId="1FC622C0" w14:textId="77777777" w:rsidR="006E0FF2" w:rsidRPr="00DF64AB" w:rsidRDefault="006E0FF2" w:rsidP="00B5577D">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c>
          <w:tcPr>
            <w:tcW w:w="1565" w:type="dxa"/>
            <w:vAlign w:val="center"/>
          </w:tcPr>
          <w:p w14:paraId="05137A5B" w14:textId="671B9ECA" w:rsidR="002366BA" w:rsidRPr="00DF64AB" w:rsidRDefault="002366BA" w:rsidP="002366B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F64AB">
              <w:rPr>
                <w:rFonts w:cs="Arial"/>
                <w:sz w:val="20"/>
                <w:szCs w:val="20"/>
              </w:rPr>
              <w:t>2029-30 Estimate</w:t>
            </w:r>
          </w:p>
          <w:p w14:paraId="3B146F3B" w14:textId="2772164B" w:rsidR="006E0FF2" w:rsidRPr="00DF64AB" w:rsidRDefault="002366BA" w:rsidP="00B5577D">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$’m</w:t>
            </w:r>
          </w:p>
        </w:tc>
      </w:tr>
      <w:tr w:rsidR="0009152D" w:rsidRPr="00DF64AB" w14:paraId="037F977F" w14:textId="77777777" w:rsidTr="006F538D">
        <w:trPr>
          <w:trHeight w:val="54"/>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40BE54C" w14:textId="77777777" w:rsidR="0009152D" w:rsidRPr="00DF64AB" w:rsidRDefault="0009152D" w:rsidP="0009152D">
            <w:pPr>
              <w:ind w:left="0"/>
              <w:rPr>
                <w:rFonts w:cs="Arial"/>
                <w:sz w:val="20"/>
                <w:szCs w:val="20"/>
              </w:rPr>
            </w:pPr>
            <w:r w:rsidRPr="00DF64AB">
              <w:rPr>
                <w:rFonts w:eastAsia="Times New Roman" w:cs="Arial"/>
              </w:rPr>
              <w:t xml:space="preserve">Cost Recovery and Other Revenue </w:t>
            </w:r>
          </w:p>
        </w:tc>
        <w:tc>
          <w:tcPr>
            <w:tcW w:w="1564" w:type="dxa"/>
            <w:vAlign w:val="center"/>
          </w:tcPr>
          <w:p w14:paraId="07688DB3" w14:textId="25412CAA"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219.52</w:t>
            </w:r>
          </w:p>
        </w:tc>
        <w:tc>
          <w:tcPr>
            <w:tcW w:w="1564" w:type="dxa"/>
            <w:vAlign w:val="center"/>
          </w:tcPr>
          <w:p w14:paraId="5110AD85" w14:textId="74F4023A"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225.95</w:t>
            </w:r>
          </w:p>
        </w:tc>
        <w:tc>
          <w:tcPr>
            <w:tcW w:w="1564" w:type="dxa"/>
            <w:vAlign w:val="center"/>
          </w:tcPr>
          <w:p w14:paraId="07DDA894" w14:textId="57E2CDD1"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232.58</w:t>
            </w:r>
          </w:p>
        </w:tc>
        <w:tc>
          <w:tcPr>
            <w:tcW w:w="1565" w:type="dxa"/>
            <w:vAlign w:val="center"/>
          </w:tcPr>
          <w:p w14:paraId="5D98E066" w14:textId="0A173F5C" w:rsidR="0009152D" w:rsidRPr="00DF64AB" w:rsidRDefault="0009152D" w:rsidP="0009152D">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DF64AB">
              <w:rPr>
                <w:rFonts w:eastAsia="Times New Roman" w:cs="Arial"/>
                <w:sz w:val="20"/>
                <w:szCs w:val="20"/>
              </w:rPr>
              <w:t>244.23</w:t>
            </w:r>
          </w:p>
        </w:tc>
      </w:tr>
      <w:tr w:rsidR="0009152D" w:rsidRPr="00DF64AB" w14:paraId="2D13F2CB" w14:textId="77777777" w:rsidTr="006F538D">
        <w:trPr>
          <w:trHeight w:val="22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DE3A575" w14:textId="77777777" w:rsidR="0009152D" w:rsidRPr="00DF64AB" w:rsidRDefault="0009152D" w:rsidP="0009152D">
            <w:pPr>
              <w:ind w:left="0"/>
              <w:rPr>
                <w:rFonts w:cs="Arial"/>
                <w:sz w:val="20"/>
                <w:szCs w:val="20"/>
              </w:rPr>
            </w:pPr>
            <w:r w:rsidRPr="00DF64AB">
              <w:rPr>
                <w:rFonts w:eastAsia="Times New Roman" w:cs="Arial"/>
              </w:rPr>
              <w:t>Government Appropriation</w:t>
            </w:r>
          </w:p>
        </w:tc>
        <w:tc>
          <w:tcPr>
            <w:tcW w:w="1564" w:type="dxa"/>
            <w:vAlign w:val="center"/>
          </w:tcPr>
          <w:p w14:paraId="414F41E3" w14:textId="62D1DE47"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77.46</w:t>
            </w:r>
          </w:p>
        </w:tc>
        <w:tc>
          <w:tcPr>
            <w:tcW w:w="1564" w:type="dxa"/>
            <w:vAlign w:val="center"/>
          </w:tcPr>
          <w:p w14:paraId="189F66C7" w14:textId="16C8BCFB"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16.78</w:t>
            </w:r>
          </w:p>
        </w:tc>
        <w:tc>
          <w:tcPr>
            <w:tcW w:w="1564" w:type="dxa"/>
            <w:vAlign w:val="center"/>
          </w:tcPr>
          <w:p w14:paraId="36369472" w14:textId="26E8410F"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16.08</w:t>
            </w:r>
          </w:p>
        </w:tc>
        <w:tc>
          <w:tcPr>
            <w:tcW w:w="1565" w:type="dxa"/>
            <w:vAlign w:val="center"/>
          </w:tcPr>
          <w:p w14:paraId="66E99D12" w14:textId="06474A5A"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rPr>
              <w:t>16.31</w:t>
            </w:r>
          </w:p>
        </w:tc>
      </w:tr>
      <w:tr w:rsidR="0009152D" w:rsidRPr="00DF64AB" w14:paraId="5ACB387A" w14:textId="77777777" w:rsidTr="006F538D">
        <w:trPr>
          <w:trHeight w:val="22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DBDD846" w14:textId="77777777" w:rsidR="0009152D" w:rsidRPr="00DF64AB" w:rsidRDefault="0009152D" w:rsidP="0009152D">
            <w:pPr>
              <w:ind w:left="0"/>
              <w:rPr>
                <w:rFonts w:cs="Arial"/>
                <w:sz w:val="20"/>
                <w:szCs w:val="20"/>
              </w:rPr>
            </w:pPr>
            <w:r w:rsidRPr="00DF64AB">
              <w:rPr>
                <w:rFonts w:eastAsia="Times New Roman" w:cs="Arial"/>
              </w:rPr>
              <w:t>Expenses</w:t>
            </w:r>
          </w:p>
        </w:tc>
        <w:tc>
          <w:tcPr>
            <w:tcW w:w="1564" w:type="dxa"/>
            <w:vAlign w:val="center"/>
          </w:tcPr>
          <w:p w14:paraId="671EC7D9" w14:textId="5827E151"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297.61</w:t>
            </w:r>
          </w:p>
        </w:tc>
        <w:tc>
          <w:tcPr>
            <w:tcW w:w="1564" w:type="dxa"/>
            <w:vAlign w:val="center"/>
          </w:tcPr>
          <w:p w14:paraId="22E5C88B" w14:textId="7F28CE30"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242.73</w:t>
            </w:r>
          </w:p>
        </w:tc>
        <w:tc>
          <w:tcPr>
            <w:tcW w:w="1564" w:type="dxa"/>
            <w:vAlign w:val="center"/>
          </w:tcPr>
          <w:p w14:paraId="644B47DF" w14:textId="3024A114"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248.66</w:t>
            </w:r>
          </w:p>
        </w:tc>
        <w:tc>
          <w:tcPr>
            <w:tcW w:w="1565" w:type="dxa"/>
          </w:tcPr>
          <w:p w14:paraId="37112BE0" w14:textId="332954AC"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sz w:val="20"/>
                <w:szCs w:val="20"/>
              </w:rPr>
              <w:t>260.54</w:t>
            </w:r>
          </w:p>
        </w:tc>
      </w:tr>
      <w:tr w:rsidR="0009152D" w:rsidRPr="00DF64AB" w14:paraId="13B37D6D" w14:textId="77777777" w:rsidTr="006F538D">
        <w:trPr>
          <w:trHeight w:val="22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B72A425" w14:textId="77777777" w:rsidR="0009152D" w:rsidRPr="00DF64AB" w:rsidRDefault="0009152D" w:rsidP="0009152D">
            <w:pPr>
              <w:ind w:left="0"/>
              <w:rPr>
                <w:rFonts w:cs="Arial"/>
                <w:sz w:val="20"/>
                <w:szCs w:val="20"/>
              </w:rPr>
            </w:pPr>
            <w:r w:rsidRPr="00DF64AB">
              <w:rPr>
                <w:rFonts w:eastAsia="Times New Roman" w:cs="Arial"/>
              </w:rPr>
              <w:t>Surplus (Deficit)</w:t>
            </w:r>
          </w:p>
        </w:tc>
        <w:tc>
          <w:tcPr>
            <w:tcW w:w="1564" w:type="dxa"/>
            <w:vAlign w:val="center"/>
          </w:tcPr>
          <w:p w14:paraId="581006B1" w14:textId="741279A8"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eastAsia="Times New Roman" w:cs="Arial"/>
                <w:b/>
                <w:bCs/>
                <w:color w:val="FF0000"/>
                <w:sz w:val="20"/>
                <w:szCs w:val="20"/>
              </w:rPr>
              <w:t>(0.63)</w:t>
            </w:r>
          </w:p>
        </w:tc>
        <w:tc>
          <w:tcPr>
            <w:tcW w:w="1564" w:type="dxa"/>
            <w:vAlign w:val="center"/>
          </w:tcPr>
          <w:p w14:paraId="79DD99AD" w14:textId="23D6D011"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DF64AB">
              <w:rPr>
                <w:rFonts w:eastAsia="Times New Roman" w:cs="Arial"/>
                <w:b/>
                <w:bCs/>
              </w:rPr>
              <w:t>0</w:t>
            </w:r>
          </w:p>
        </w:tc>
        <w:tc>
          <w:tcPr>
            <w:tcW w:w="1564" w:type="dxa"/>
            <w:vAlign w:val="center"/>
          </w:tcPr>
          <w:p w14:paraId="455D78D5" w14:textId="0C5C335C"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DF64AB">
              <w:rPr>
                <w:rFonts w:eastAsia="Times New Roman" w:cs="Arial"/>
                <w:b/>
                <w:bCs/>
              </w:rPr>
              <w:t>0</w:t>
            </w:r>
          </w:p>
        </w:tc>
        <w:tc>
          <w:tcPr>
            <w:tcW w:w="1565" w:type="dxa"/>
          </w:tcPr>
          <w:p w14:paraId="2DF16E4E" w14:textId="6AEFC08E"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DF64AB">
              <w:rPr>
                <w:rFonts w:eastAsia="Times New Roman" w:cs="Arial"/>
                <w:b/>
                <w:bCs/>
                <w:color w:val="auto"/>
                <w:sz w:val="20"/>
                <w:szCs w:val="20"/>
              </w:rPr>
              <w:t>0</w:t>
            </w:r>
          </w:p>
        </w:tc>
      </w:tr>
      <w:tr w:rsidR="0009152D" w:rsidRPr="00DF64AB" w14:paraId="1003D569" w14:textId="77777777" w:rsidTr="006F538D">
        <w:trPr>
          <w:trHeight w:val="22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5A764E9" w14:textId="77777777" w:rsidR="0009152D" w:rsidRPr="00DF64AB" w:rsidRDefault="0009152D" w:rsidP="0009152D">
            <w:pPr>
              <w:ind w:left="0"/>
              <w:rPr>
                <w:rFonts w:eastAsia="Times New Roman" w:cs="Arial"/>
                <w:sz w:val="20"/>
                <w:szCs w:val="20"/>
              </w:rPr>
            </w:pPr>
            <w:r w:rsidRPr="00DF64AB">
              <w:rPr>
                <w:rFonts w:eastAsia="Times New Roman" w:cs="Arial"/>
              </w:rPr>
              <w:t>Cumulative Balance</w:t>
            </w:r>
          </w:p>
        </w:tc>
        <w:tc>
          <w:tcPr>
            <w:tcW w:w="1564" w:type="dxa"/>
            <w:vAlign w:val="center"/>
          </w:tcPr>
          <w:p w14:paraId="31D73BED" w14:textId="15F755A0"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DF64AB">
              <w:rPr>
                <w:rFonts w:eastAsia="Times New Roman" w:cs="Arial"/>
                <w:b/>
                <w:bCs/>
                <w:sz w:val="20"/>
                <w:szCs w:val="20"/>
              </w:rPr>
              <w:t>81.70</w:t>
            </w:r>
          </w:p>
        </w:tc>
        <w:tc>
          <w:tcPr>
            <w:tcW w:w="1564" w:type="dxa"/>
            <w:vAlign w:val="center"/>
          </w:tcPr>
          <w:p w14:paraId="2922C18D" w14:textId="02326FE6"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DF64AB">
              <w:rPr>
                <w:rFonts w:eastAsia="Times New Roman" w:cs="Arial"/>
                <w:b/>
                <w:bCs/>
                <w:sz w:val="20"/>
                <w:szCs w:val="20"/>
              </w:rPr>
              <w:t>81.70</w:t>
            </w:r>
          </w:p>
        </w:tc>
        <w:tc>
          <w:tcPr>
            <w:tcW w:w="1564" w:type="dxa"/>
            <w:vAlign w:val="center"/>
          </w:tcPr>
          <w:p w14:paraId="3567F885" w14:textId="75862D92"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DF64AB">
              <w:rPr>
                <w:rFonts w:eastAsia="Times New Roman" w:cs="Arial"/>
                <w:b/>
                <w:bCs/>
                <w:sz w:val="20"/>
                <w:szCs w:val="20"/>
              </w:rPr>
              <w:t>81.70</w:t>
            </w:r>
          </w:p>
        </w:tc>
        <w:tc>
          <w:tcPr>
            <w:tcW w:w="1565" w:type="dxa"/>
          </w:tcPr>
          <w:p w14:paraId="70B5C5EE" w14:textId="63649697" w:rsidR="0009152D" w:rsidRPr="00DF64AB" w:rsidRDefault="0009152D" w:rsidP="0009152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DF64AB">
              <w:rPr>
                <w:rFonts w:eastAsia="Times New Roman" w:cs="Arial"/>
                <w:b/>
                <w:bCs/>
              </w:rPr>
              <w:t>81.70</w:t>
            </w:r>
          </w:p>
        </w:tc>
      </w:tr>
    </w:tbl>
    <w:p w14:paraId="10385E1C" w14:textId="77777777" w:rsidR="001745B7" w:rsidRPr="00DF64AB" w:rsidRDefault="001745B7" w:rsidP="00DB601D">
      <w:pPr>
        <w:rPr>
          <w:rFonts w:ascii="Arial" w:hAnsi="Arial" w:cs="Arial"/>
          <w:bCs/>
          <w:i/>
          <w:iCs/>
        </w:rPr>
      </w:pPr>
      <w:bookmarkStart w:id="78" w:name="_Toc88467510"/>
    </w:p>
    <w:p w14:paraId="26468520" w14:textId="077A8CFF" w:rsidR="00855E1B" w:rsidRPr="00DF64AB" w:rsidRDefault="00855E1B" w:rsidP="00855E1B">
      <w:pPr>
        <w:rPr>
          <w:rFonts w:ascii="Arial" w:hAnsi="Arial" w:cs="Arial"/>
          <w:b/>
        </w:rPr>
      </w:pPr>
      <w:r w:rsidRPr="00DF64AB">
        <w:rPr>
          <w:rFonts w:ascii="Arial" w:hAnsi="Arial" w:cs="Arial"/>
          <w:b/>
        </w:rPr>
        <w:t>Financial Outcomes - financial performance in previous financial years</w:t>
      </w:r>
    </w:p>
    <w:p w14:paraId="3072DE75" w14:textId="3AF53291" w:rsidR="00DB601D" w:rsidRPr="00DF64AB" w:rsidRDefault="00DB601D" w:rsidP="00DB601D">
      <w:pPr>
        <w:rPr>
          <w:rFonts w:ascii="Arial" w:hAnsi="Arial" w:cs="Arial"/>
          <w:b/>
          <w:i/>
          <w:iCs/>
        </w:rPr>
      </w:pPr>
      <w:r w:rsidRPr="00DF64AB">
        <w:rPr>
          <w:rFonts w:ascii="Arial" w:hAnsi="Arial" w:cs="Arial"/>
          <w:b/>
          <w:i/>
          <w:iCs/>
        </w:rPr>
        <w:t>Estimate</w:t>
      </w:r>
    </w:p>
    <w:tbl>
      <w:tblPr>
        <w:tblW w:w="9351" w:type="dxa"/>
        <w:jc w:val="center"/>
        <w:tblLayout w:type="fixed"/>
        <w:tblLook w:val="04A0" w:firstRow="1" w:lastRow="0" w:firstColumn="1" w:lastColumn="0" w:noHBand="0" w:noVBand="1"/>
      </w:tblPr>
      <w:tblGrid>
        <w:gridCol w:w="3114"/>
        <w:gridCol w:w="1559"/>
        <w:gridCol w:w="1559"/>
        <w:gridCol w:w="1559"/>
        <w:gridCol w:w="1560"/>
      </w:tblGrid>
      <w:tr w:rsidR="00DB601D" w:rsidRPr="00DF64AB" w14:paraId="5AFFBBC7" w14:textId="77777777" w:rsidTr="006F538D">
        <w:trPr>
          <w:cantSplit/>
          <w:tblHeader/>
          <w:jc w:val="center"/>
        </w:trPr>
        <w:tc>
          <w:tcPr>
            <w:tcW w:w="3114"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41CD0532" w14:textId="732614A7" w:rsidR="001C6533" w:rsidRPr="00DF64AB" w:rsidRDefault="00DB601D" w:rsidP="00E77EA2">
            <w:pPr>
              <w:pStyle w:val="Numberbullet2"/>
              <w:keepNext/>
              <w:numPr>
                <w:ilvl w:val="0"/>
                <w:numId w:val="0"/>
              </w:numPr>
              <w:rPr>
                <w:rFonts w:cs="Arial"/>
                <w:b/>
                <w:color w:val="002060"/>
              </w:rPr>
            </w:pPr>
            <w:r w:rsidRPr="00DF64AB">
              <w:rPr>
                <w:rFonts w:cs="Arial"/>
                <w:b/>
                <w:color w:val="002060"/>
              </w:rPr>
              <w:t>Details</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714D2F12" w14:textId="77777777" w:rsidR="00DB601D" w:rsidRPr="00DF64AB" w:rsidRDefault="00DB601D" w:rsidP="00E77EA2">
            <w:pPr>
              <w:pStyle w:val="Numberbullet2"/>
              <w:keepNext/>
              <w:numPr>
                <w:ilvl w:val="0"/>
                <w:numId w:val="0"/>
              </w:numPr>
              <w:jc w:val="center"/>
              <w:rPr>
                <w:rFonts w:cs="Arial"/>
                <w:color w:val="002060"/>
              </w:rPr>
            </w:pPr>
            <w:r w:rsidRPr="00DF64AB">
              <w:rPr>
                <w:rFonts w:cs="Arial"/>
                <w:b/>
                <w:color w:val="002060"/>
              </w:rPr>
              <w:t>2022-23 Estimate</w:t>
            </w:r>
          </w:p>
          <w:p w14:paraId="3913B28F" w14:textId="77777777" w:rsidR="00DB601D" w:rsidRPr="00DF64AB" w:rsidRDefault="00DB601D" w:rsidP="00E77EA2">
            <w:pPr>
              <w:pStyle w:val="Numberbullet2"/>
              <w:keepNext/>
              <w:numPr>
                <w:ilvl w:val="0"/>
                <w:numId w:val="0"/>
              </w:numPr>
              <w:jc w:val="center"/>
              <w:rPr>
                <w:rFonts w:cs="Arial"/>
                <w:b/>
                <w:color w:val="002060"/>
              </w:rPr>
            </w:pPr>
            <w:r w:rsidRPr="00DF64AB">
              <w:rPr>
                <w:rFonts w:cs="Arial"/>
                <w:b/>
                <w:color w:val="002060"/>
              </w:rPr>
              <w:t>$’m</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43B5FCE1" w14:textId="77777777" w:rsidR="00DB601D" w:rsidRPr="00DF64AB" w:rsidRDefault="00DB601D" w:rsidP="00E77EA2">
            <w:pPr>
              <w:pStyle w:val="Numberbullet2"/>
              <w:keepNext/>
              <w:numPr>
                <w:ilvl w:val="0"/>
                <w:numId w:val="0"/>
              </w:numPr>
              <w:jc w:val="center"/>
              <w:rPr>
                <w:rFonts w:cs="Arial"/>
                <w:color w:val="002060"/>
              </w:rPr>
            </w:pPr>
            <w:r w:rsidRPr="00DF64AB">
              <w:rPr>
                <w:rFonts w:cs="Arial"/>
                <w:b/>
                <w:color w:val="002060"/>
              </w:rPr>
              <w:t>2023-24 Estimate</w:t>
            </w:r>
          </w:p>
          <w:p w14:paraId="37B310EA" w14:textId="77777777" w:rsidR="00DB601D" w:rsidRPr="00DF64AB" w:rsidRDefault="00DB601D" w:rsidP="00E77EA2">
            <w:pPr>
              <w:pStyle w:val="Numberbullet2"/>
              <w:keepNext/>
              <w:numPr>
                <w:ilvl w:val="0"/>
                <w:numId w:val="0"/>
              </w:numPr>
              <w:jc w:val="center"/>
              <w:rPr>
                <w:rFonts w:cs="Arial"/>
                <w:b/>
                <w:color w:val="002060"/>
              </w:rPr>
            </w:pPr>
            <w:r w:rsidRPr="00DF64AB">
              <w:rPr>
                <w:rFonts w:cs="Arial"/>
                <w:b/>
                <w:color w:val="002060"/>
              </w:rPr>
              <w:t>$’m</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hideMark/>
          </w:tcPr>
          <w:p w14:paraId="6B9CBE4B" w14:textId="77777777" w:rsidR="00DB601D" w:rsidRPr="00DF64AB" w:rsidRDefault="00DB601D" w:rsidP="00E77EA2">
            <w:pPr>
              <w:pStyle w:val="Numberbullet2"/>
              <w:keepNext/>
              <w:numPr>
                <w:ilvl w:val="0"/>
                <w:numId w:val="0"/>
              </w:numPr>
              <w:jc w:val="center"/>
              <w:rPr>
                <w:rFonts w:cs="Arial"/>
                <w:color w:val="002060"/>
              </w:rPr>
            </w:pPr>
            <w:r w:rsidRPr="00DF64AB">
              <w:rPr>
                <w:rFonts w:cs="Arial"/>
                <w:b/>
                <w:color w:val="002060"/>
              </w:rPr>
              <w:t>2024-25 Estimate</w:t>
            </w:r>
          </w:p>
          <w:p w14:paraId="773D228D" w14:textId="13EAC238" w:rsidR="00DB601D" w:rsidRPr="00DF64AB" w:rsidRDefault="00DB601D" w:rsidP="00E77EA2">
            <w:pPr>
              <w:pStyle w:val="Numberbullet2"/>
              <w:keepNext/>
              <w:numPr>
                <w:ilvl w:val="0"/>
                <w:numId w:val="0"/>
              </w:numPr>
              <w:jc w:val="center"/>
              <w:rPr>
                <w:rFonts w:cs="Arial"/>
                <w:b/>
                <w:color w:val="002060"/>
              </w:rPr>
            </w:pPr>
            <w:r w:rsidRPr="00DF64AB">
              <w:rPr>
                <w:rFonts w:cs="Arial"/>
                <w:b/>
                <w:color w:val="002060"/>
              </w:rPr>
              <w:t>$’m</w:t>
            </w:r>
          </w:p>
        </w:tc>
        <w:tc>
          <w:tcPr>
            <w:tcW w:w="1560"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hideMark/>
          </w:tcPr>
          <w:p w14:paraId="7F637D38" w14:textId="77777777" w:rsidR="00DB601D" w:rsidRPr="00DF64AB" w:rsidRDefault="00DB601D" w:rsidP="00E77EA2">
            <w:pPr>
              <w:pStyle w:val="Numberbullet2"/>
              <w:keepNext/>
              <w:numPr>
                <w:ilvl w:val="0"/>
                <w:numId w:val="0"/>
              </w:numPr>
              <w:jc w:val="center"/>
              <w:rPr>
                <w:rFonts w:cs="Arial"/>
                <w:color w:val="002060"/>
              </w:rPr>
            </w:pPr>
            <w:r w:rsidRPr="00DF64AB">
              <w:rPr>
                <w:rFonts w:cs="Arial"/>
                <w:b/>
                <w:color w:val="002060"/>
              </w:rPr>
              <w:t>2025-26 Estimate</w:t>
            </w:r>
          </w:p>
          <w:p w14:paraId="26C7D33E" w14:textId="302989BB" w:rsidR="00DB601D" w:rsidRPr="00DF64AB" w:rsidRDefault="00DB601D" w:rsidP="00E77EA2">
            <w:pPr>
              <w:pStyle w:val="Numberbullet2"/>
              <w:keepNext/>
              <w:numPr>
                <w:ilvl w:val="0"/>
                <w:numId w:val="0"/>
              </w:numPr>
              <w:jc w:val="center"/>
              <w:rPr>
                <w:rFonts w:cs="Arial"/>
                <w:b/>
                <w:color w:val="002060"/>
              </w:rPr>
            </w:pPr>
            <w:r w:rsidRPr="00DF64AB">
              <w:rPr>
                <w:rFonts w:cs="Arial"/>
                <w:b/>
                <w:color w:val="002060"/>
              </w:rPr>
              <w:t>$’m</w:t>
            </w:r>
          </w:p>
        </w:tc>
      </w:tr>
      <w:tr w:rsidR="00DB601D" w:rsidRPr="00DF64AB" w14:paraId="267E5434"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1FD39B5C" w14:textId="77777777" w:rsidR="00DB601D" w:rsidRPr="00DF64AB" w:rsidRDefault="00DB601D" w:rsidP="00DB601D">
            <w:pPr>
              <w:rPr>
                <w:rFonts w:ascii="Arial" w:hAnsi="Arial" w:cs="Arial"/>
                <w:bCs/>
              </w:rPr>
            </w:pPr>
            <w:r w:rsidRPr="00DF64AB">
              <w:rPr>
                <w:rFonts w:ascii="Arial" w:hAnsi="Arial" w:cs="Arial"/>
                <w:bCs/>
              </w:rPr>
              <w:t>Revenue from Government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3FBD8A3" w14:textId="5CC4256D" w:rsidR="00DB601D" w:rsidRPr="00DF64AB" w:rsidRDefault="00DB601D" w:rsidP="00E77EA2">
            <w:pPr>
              <w:jc w:val="center"/>
              <w:rPr>
                <w:rFonts w:ascii="Arial" w:hAnsi="Arial" w:cs="Arial"/>
                <w:bCs/>
              </w:rPr>
            </w:pPr>
            <w:r w:rsidRPr="00DF64AB">
              <w:rPr>
                <w:rFonts w:ascii="Arial" w:hAnsi="Arial" w:cs="Arial"/>
                <w:bCs/>
              </w:rPr>
              <w:t>2</w:t>
            </w:r>
            <w:r w:rsidR="00A027BD" w:rsidRPr="00DF64AB">
              <w:rPr>
                <w:rFonts w:ascii="Arial" w:hAnsi="Arial" w:cs="Arial"/>
                <w:bCs/>
              </w:rPr>
              <w:t>2.53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FB2B23E" w14:textId="291E0C23" w:rsidR="00DB601D" w:rsidRPr="00DF64AB" w:rsidRDefault="00A027BD" w:rsidP="00E77EA2">
            <w:pPr>
              <w:jc w:val="center"/>
              <w:rPr>
                <w:rFonts w:ascii="Arial" w:hAnsi="Arial" w:cs="Arial"/>
                <w:bCs/>
              </w:rPr>
            </w:pPr>
            <w:r w:rsidRPr="00DF64AB">
              <w:rPr>
                <w:rFonts w:ascii="Arial" w:hAnsi="Arial" w:cs="Arial"/>
                <w:bCs/>
              </w:rPr>
              <w:t>34.78</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56CC3DF" w14:textId="77777777" w:rsidR="00DB601D" w:rsidRPr="00DF64AB" w:rsidRDefault="00DB601D" w:rsidP="00E77EA2">
            <w:pPr>
              <w:jc w:val="center"/>
              <w:rPr>
                <w:rFonts w:ascii="Arial" w:hAnsi="Arial" w:cs="Arial"/>
                <w:bCs/>
              </w:rPr>
            </w:pPr>
            <w:r w:rsidRPr="00DF64AB">
              <w:rPr>
                <w:rFonts w:ascii="Arial" w:hAnsi="Arial" w:cs="Arial"/>
                <w:bCs/>
              </w:rPr>
              <w:t>74.33</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78A3298F" w14:textId="429EB0EF" w:rsidR="00DB601D" w:rsidRPr="00DF64AB" w:rsidRDefault="00CB5590" w:rsidP="00E77EA2">
            <w:pPr>
              <w:jc w:val="center"/>
              <w:rPr>
                <w:rFonts w:ascii="Arial" w:hAnsi="Arial" w:cs="Arial"/>
                <w:bCs/>
              </w:rPr>
            </w:pPr>
            <w:r w:rsidRPr="00DF64AB">
              <w:rPr>
                <w:rFonts w:ascii="Arial" w:hAnsi="Arial" w:cs="Arial"/>
                <w:bCs/>
              </w:rPr>
              <w:t>70.30</w:t>
            </w:r>
          </w:p>
        </w:tc>
      </w:tr>
      <w:tr w:rsidR="00DB601D" w:rsidRPr="00DF64AB" w14:paraId="5C849C1F"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57710F1A" w14:textId="77777777" w:rsidR="00DB601D" w:rsidRPr="00DF64AB" w:rsidRDefault="00DB601D" w:rsidP="00DB601D">
            <w:pPr>
              <w:rPr>
                <w:rFonts w:ascii="Arial" w:hAnsi="Arial" w:cs="Arial"/>
                <w:bCs/>
              </w:rPr>
            </w:pPr>
            <w:r w:rsidRPr="00DF64AB">
              <w:rPr>
                <w:rFonts w:ascii="Arial" w:hAnsi="Arial" w:cs="Arial"/>
                <w:bCs/>
              </w:rPr>
              <w:t>Sale of goods and services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75D4BD6" w14:textId="36F3092C" w:rsidR="00DB601D" w:rsidRPr="00DF64AB" w:rsidRDefault="00DB601D" w:rsidP="00E77EA2">
            <w:pPr>
              <w:jc w:val="center"/>
              <w:rPr>
                <w:rFonts w:ascii="Arial" w:hAnsi="Arial" w:cs="Arial"/>
                <w:bCs/>
              </w:rPr>
            </w:pPr>
            <w:r w:rsidRPr="00DF64AB">
              <w:rPr>
                <w:rFonts w:ascii="Arial" w:hAnsi="Arial" w:cs="Arial"/>
                <w:bCs/>
              </w:rPr>
              <w:t>1</w:t>
            </w:r>
            <w:r w:rsidR="00A027BD" w:rsidRPr="00DF64AB">
              <w:rPr>
                <w:rFonts w:ascii="Arial" w:hAnsi="Arial" w:cs="Arial"/>
                <w:bCs/>
              </w:rPr>
              <w:t>87.52</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1332017" w14:textId="0FB3EB9E" w:rsidR="00DB601D" w:rsidRPr="00DF64AB" w:rsidRDefault="00DB601D" w:rsidP="00E77EA2">
            <w:pPr>
              <w:jc w:val="center"/>
              <w:rPr>
                <w:rFonts w:ascii="Arial" w:hAnsi="Arial" w:cs="Arial"/>
                <w:bCs/>
              </w:rPr>
            </w:pPr>
            <w:r w:rsidRPr="00DF64AB">
              <w:rPr>
                <w:rFonts w:ascii="Arial" w:hAnsi="Arial" w:cs="Arial"/>
                <w:bCs/>
              </w:rPr>
              <w:t>1</w:t>
            </w:r>
            <w:r w:rsidR="00A027BD" w:rsidRPr="00DF64AB">
              <w:rPr>
                <w:rFonts w:ascii="Arial" w:hAnsi="Arial" w:cs="Arial"/>
                <w:bCs/>
              </w:rPr>
              <w:t>87.50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162F9E8" w14:textId="77777777" w:rsidR="00DB601D" w:rsidRPr="00DF64AB" w:rsidRDefault="00DB601D" w:rsidP="00E77EA2">
            <w:pPr>
              <w:jc w:val="center"/>
              <w:rPr>
                <w:rFonts w:ascii="Arial" w:hAnsi="Arial" w:cs="Arial"/>
                <w:bCs/>
              </w:rPr>
            </w:pPr>
            <w:r w:rsidRPr="00DF64AB">
              <w:rPr>
                <w:rFonts w:ascii="Arial" w:hAnsi="Arial" w:cs="Arial"/>
                <w:bCs/>
              </w:rPr>
              <w:t>196.99</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2D1A142C" w14:textId="1E4DF7F5" w:rsidR="00DB601D" w:rsidRPr="00DF64AB" w:rsidRDefault="00CB5590" w:rsidP="00E77EA2">
            <w:pPr>
              <w:jc w:val="center"/>
              <w:rPr>
                <w:rFonts w:ascii="Arial" w:hAnsi="Arial" w:cs="Arial"/>
                <w:bCs/>
              </w:rPr>
            </w:pPr>
            <w:r w:rsidRPr="00DF64AB">
              <w:rPr>
                <w:rFonts w:ascii="Arial" w:hAnsi="Arial" w:cs="Arial"/>
                <w:bCs/>
              </w:rPr>
              <w:t>198.70</w:t>
            </w:r>
          </w:p>
        </w:tc>
      </w:tr>
      <w:tr w:rsidR="00DB601D" w:rsidRPr="00DF64AB" w14:paraId="289C2EC4"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66663DAE" w14:textId="77777777" w:rsidR="00DB601D" w:rsidRPr="00DF64AB" w:rsidRDefault="00DB601D" w:rsidP="00DB601D">
            <w:pPr>
              <w:rPr>
                <w:rFonts w:ascii="Arial" w:hAnsi="Arial" w:cs="Arial"/>
                <w:bCs/>
              </w:rPr>
            </w:pPr>
            <w:r w:rsidRPr="00DF64AB">
              <w:rPr>
                <w:rFonts w:ascii="Arial" w:hAnsi="Arial" w:cs="Arial"/>
                <w:bCs/>
              </w:rPr>
              <w:t>Other revenue and gains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B59360B" w14:textId="399F302A" w:rsidR="00DB601D" w:rsidRPr="00DF64AB" w:rsidRDefault="00A027BD" w:rsidP="00E77EA2">
            <w:pPr>
              <w:jc w:val="center"/>
              <w:rPr>
                <w:rFonts w:ascii="Arial" w:hAnsi="Arial" w:cs="Arial"/>
                <w:bCs/>
              </w:rPr>
            </w:pPr>
            <w:r w:rsidRPr="00DF64AB">
              <w:rPr>
                <w:rFonts w:ascii="Arial" w:hAnsi="Arial" w:cs="Arial"/>
                <w:bCs/>
              </w:rPr>
              <w:t>8.01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87B2B2D" w14:textId="232776A7" w:rsidR="00DB601D" w:rsidRPr="00DF64AB" w:rsidRDefault="00A027BD" w:rsidP="00E77EA2">
            <w:pPr>
              <w:jc w:val="center"/>
              <w:rPr>
                <w:rFonts w:ascii="Arial" w:hAnsi="Arial" w:cs="Arial"/>
                <w:bCs/>
              </w:rPr>
            </w:pPr>
            <w:r w:rsidRPr="00DF64AB">
              <w:rPr>
                <w:rFonts w:ascii="Arial" w:hAnsi="Arial" w:cs="Arial"/>
                <w:bCs/>
              </w:rPr>
              <w:t>8.04</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8341579" w14:textId="77777777" w:rsidR="00DB601D" w:rsidRPr="00DF64AB" w:rsidRDefault="00DB601D" w:rsidP="00E77EA2">
            <w:pPr>
              <w:jc w:val="center"/>
              <w:rPr>
                <w:rFonts w:ascii="Arial" w:hAnsi="Arial" w:cs="Arial"/>
                <w:bCs/>
              </w:rPr>
            </w:pPr>
            <w:r w:rsidRPr="00DF64AB">
              <w:rPr>
                <w:rFonts w:ascii="Arial" w:hAnsi="Arial" w:cs="Arial"/>
                <w:bCs/>
              </w:rPr>
              <w:t>5.41</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2128784F" w14:textId="61E54AC6" w:rsidR="00DB601D" w:rsidRPr="00DF64AB" w:rsidRDefault="00DB601D" w:rsidP="00E77EA2">
            <w:pPr>
              <w:jc w:val="center"/>
              <w:rPr>
                <w:rFonts w:ascii="Arial" w:hAnsi="Arial" w:cs="Arial"/>
                <w:bCs/>
              </w:rPr>
            </w:pPr>
            <w:r w:rsidRPr="00DF64AB">
              <w:rPr>
                <w:rFonts w:ascii="Arial" w:hAnsi="Arial" w:cs="Arial"/>
                <w:bCs/>
              </w:rPr>
              <w:t>7.</w:t>
            </w:r>
            <w:r w:rsidR="00CB5590" w:rsidRPr="00DF64AB">
              <w:rPr>
                <w:rFonts w:ascii="Arial" w:hAnsi="Arial" w:cs="Arial"/>
                <w:bCs/>
              </w:rPr>
              <w:t>52</w:t>
            </w:r>
          </w:p>
        </w:tc>
      </w:tr>
      <w:tr w:rsidR="00DB601D" w:rsidRPr="00DF64AB" w14:paraId="61D60896"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0ABAD44C" w14:textId="77777777" w:rsidR="00DB601D" w:rsidRPr="00DF64AB" w:rsidRDefault="00DB601D" w:rsidP="00DB601D">
            <w:pPr>
              <w:rPr>
                <w:rFonts w:ascii="Arial" w:hAnsi="Arial" w:cs="Arial"/>
                <w:b/>
                <w:bCs/>
              </w:rPr>
            </w:pPr>
            <w:r w:rsidRPr="00DF64AB">
              <w:rPr>
                <w:rFonts w:ascii="Arial" w:hAnsi="Arial" w:cs="Arial"/>
                <w:b/>
                <w:bCs/>
              </w:rPr>
              <w:t>Total A</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C6F18D6" w14:textId="298C030F" w:rsidR="00DB601D" w:rsidRPr="00DF64AB" w:rsidRDefault="00DB601D" w:rsidP="00E77EA2">
            <w:pPr>
              <w:jc w:val="center"/>
              <w:rPr>
                <w:rFonts w:ascii="Arial" w:hAnsi="Arial" w:cs="Arial"/>
                <w:b/>
                <w:bCs/>
              </w:rPr>
            </w:pPr>
            <w:r w:rsidRPr="00DF64AB">
              <w:rPr>
                <w:rFonts w:ascii="Arial" w:hAnsi="Arial" w:cs="Arial"/>
                <w:b/>
                <w:bCs/>
              </w:rPr>
              <w:t>21</w:t>
            </w:r>
            <w:r w:rsidR="00A027BD" w:rsidRPr="00DF64AB">
              <w:rPr>
                <w:rFonts w:ascii="Arial" w:hAnsi="Arial" w:cs="Arial"/>
                <w:b/>
                <w:bCs/>
              </w:rPr>
              <w:t>8</w:t>
            </w:r>
            <w:r w:rsidRPr="00DF64AB">
              <w:rPr>
                <w:rFonts w:ascii="Arial" w:hAnsi="Arial" w:cs="Arial"/>
                <w:b/>
                <w:bCs/>
              </w:rPr>
              <w:t>.</w:t>
            </w:r>
            <w:r w:rsidR="00A027BD" w:rsidRPr="00DF64AB">
              <w:rPr>
                <w:rFonts w:ascii="Arial" w:hAnsi="Arial" w:cs="Arial"/>
                <w:b/>
                <w:bCs/>
              </w:rPr>
              <w:t>0</w:t>
            </w:r>
            <w:r w:rsidRPr="00DF64AB">
              <w:rPr>
                <w:rFonts w:ascii="Arial" w:hAnsi="Arial" w:cs="Arial"/>
                <w:b/>
                <w:bCs/>
              </w:rPr>
              <w:t>5</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D18B08C" w14:textId="66459DED" w:rsidR="00DB601D" w:rsidRPr="00DF64AB" w:rsidRDefault="00DB601D" w:rsidP="00E77EA2">
            <w:pPr>
              <w:jc w:val="center"/>
              <w:rPr>
                <w:rFonts w:ascii="Arial" w:hAnsi="Arial" w:cs="Arial"/>
                <w:b/>
                <w:bCs/>
              </w:rPr>
            </w:pPr>
            <w:r w:rsidRPr="00DF64AB">
              <w:rPr>
                <w:rFonts w:ascii="Arial" w:hAnsi="Arial" w:cs="Arial"/>
                <w:b/>
                <w:bCs/>
              </w:rPr>
              <w:t>2</w:t>
            </w:r>
            <w:r w:rsidR="00A027BD" w:rsidRPr="00DF64AB">
              <w:rPr>
                <w:rFonts w:ascii="Arial" w:hAnsi="Arial" w:cs="Arial"/>
                <w:b/>
                <w:bCs/>
              </w:rPr>
              <w:t>30.31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739A66E" w14:textId="77777777" w:rsidR="00DB601D" w:rsidRPr="00DF64AB" w:rsidRDefault="00DB601D" w:rsidP="00E77EA2">
            <w:pPr>
              <w:jc w:val="center"/>
              <w:rPr>
                <w:rFonts w:ascii="Arial" w:hAnsi="Arial" w:cs="Arial"/>
                <w:b/>
                <w:bCs/>
              </w:rPr>
            </w:pPr>
            <w:r w:rsidRPr="00DF64AB">
              <w:rPr>
                <w:rFonts w:ascii="Arial" w:hAnsi="Arial" w:cs="Arial"/>
                <w:b/>
                <w:bCs/>
              </w:rPr>
              <w:t>276.73</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49B28CF2" w14:textId="27786DE1" w:rsidR="00DB601D" w:rsidRPr="00DF64AB" w:rsidRDefault="00DB601D" w:rsidP="00E77EA2">
            <w:pPr>
              <w:jc w:val="center"/>
              <w:rPr>
                <w:rFonts w:ascii="Arial" w:hAnsi="Arial" w:cs="Arial"/>
                <w:b/>
                <w:bCs/>
              </w:rPr>
            </w:pPr>
            <w:r w:rsidRPr="00DF64AB">
              <w:rPr>
                <w:rFonts w:ascii="Arial" w:hAnsi="Arial" w:cs="Arial"/>
                <w:b/>
                <w:bCs/>
              </w:rPr>
              <w:t>2</w:t>
            </w:r>
            <w:r w:rsidR="00CB5590" w:rsidRPr="00DF64AB">
              <w:rPr>
                <w:rFonts w:ascii="Arial" w:hAnsi="Arial" w:cs="Arial"/>
                <w:b/>
                <w:bCs/>
              </w:rPr>
              <w:t>76</w:t>
            </w:r>
            <w:r w:rsidRPr="00DF64AB">
              <w:rPr>
                <w:rFonts w:ascii="Arial" w:hAnsi="Arial" w:cs="Arial"/>
                <w:b/>
                <w:bCs/>
              </w:rPr>
              <w:t>.</w:t>
            </w:r>
            <w:r w:rsidR="00CB5590" w:rsidRPr="00DF64AB">
              <w:rPr>
                <w:rFonts w:ascii="Arial" w:hAnsi="Arial" w:cs="Arial"/>
                <w:b/>
                <w:bCs/>
              </w:rPr>
              <w:t>52</w:t>
            </w:r>
          </w:p>
        </w:tc>
      </w:tr>
      <w:tr w:rsidR="00DB601D" w:rsidRPr="00DF64AB" w14:paraId="57432AE1"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6B14592D" w14:textId="77777777" w:rsidR="00DB601D" w:rsidRPr="00DF64AB" w:rsidRDefault="00DB601D" w:rsidP="00DB601D">
            <w:pPr>
              <w:rPr>
                <w:rFonts w:ascii="Arial" w:hAnsi="Arial" w:cs="Arial"/>
                <w:bCs/>
              </w:rPr>
            </w:pPr>
            <w:r w:rsidRPr="00DF64AB">
              <w:rPr>
                <w:rFonts w:ascii="Arial" w:hAnsi="Arial" w:cs="Arial"/>
                <w:bCs/>
              </w:rPr>
              <w:t>Employee expenses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6AE08C4" w14:textId="30D027DA" w:rsidR="00DB601D" w:rsidRPr="00DF64AB" w:rsidRDefault="00DB601D" w:rsidP="00E77EA2">
            <w:pPr>
              <w:jc w:val="center"/>
              <w:rPr>
                <w:rFonts w:ascii="Arial" w:hAnsi="Arial" w:cs="Arial"/>
                <w:bCs/>
              </w:rPr>
            </w:pPr>
            <w:r w:rsidRPr="00DF64AB">
              <w:rPr>
                <w:rFonts w:ascii="Arial" w:hAnsi="Arial" w:cs="Arial"/>
                <w:bCs/>
              </w:rPr>
              <w:t>10</w:t>
            </w:r>
            <w:r w:rsidR="00A027BD" w:rsidRPr="00DF64AB">
              <w:rPr>
                <w:rFonts w:ascii="Arial" w:hAnsi="Arial" w:cs="Arial"/>
                <w:bCs/>
              </w:rPr>
              <w:t>9</w:t>
            </w:r>
            <w:r w:rsidRPr="00DF64AB">
              <w:rPr>
                <w:rFonts w:ascii="Arial" w:hAnsi="Arial" w:cs="Arial"/>
                <w:bCs/>
              </w:rPr>
              <w:t>.</w:t>
            </w:r>
            <w:r w:rsidR="00A027BD" w:rsidRPr="00DF64AB">
              <w:rPr>
                <w:rFonts w:ascii="Arial" w:hAnsi="Arial" w:cs="Arial"/>
                <w:bCs/>
              </w:rPr>
              <w:t>36</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D92EC97" w14:textId="37DB4603" w:rsidR="00DB601D" w:rsidRPr="00DF64AB" w:rsidRDefault="00DB601D" w:rsidP="00E77EA2">
            <w:pPr>
              <w:jc w:val="center"/>
              <w:rPr>
                <w:rFonts w:ascii="Arial" w:hAnsi="Arial" w:cs="Arial"/>
                <w:bCs/>
              </w:rPr>
            </w:pPr>
            <w:r w:rsidRPr="00DF64AB">
              <w:rPr>
                <w:rFonts w:ascii="Arial" w:hAnsi="Arial" w:cs="Arial"/>
                <w:bCs/>
              </w:rPr>
              <w:t>1</w:t>
            </w:r>
            <w:r w:rsidR="00A027BD" w:rsidRPr="00DF64AB">
              <w:rPr>
                <w:rFonts w:ascii="Arial" w:hAnsi="Arial" w:cs="Arial"/>
                <w:bCs/>
              </w:rPr>
              <w:t>60.43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88B4F32" w14:textId="77777777" w:rsidR="00DB601D" w:rsidRPr="00DF64AB" w:rsidRDefault="00DB601D" w:rsidP="00E77EA2">
            <w:pPr>
              <w:jc w:val="center"/>
              <w:rPr>
                <w:rFonts w:ascii="Arial" w:hAnsi="Arial" w:cs="Arial"/>
                <w:bCs/>
              </w:rPr>
            </w:pPr>
            <w:r w:rsidRPr="00DF64AB">
              <w:rPr>
                <w:rFonts w:ascii="Arial" w:hAnsi="Arial" w:cs="Arial"/>
                <w:bCs/>
              </w:rPr>
              <w:t>183.22</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436A120C" w14:textId="085FA1C9" w:rsidR="00DB601D" w:rsidRPr="00DF64AB" w:rsidRDefault="00DB601D" w:rsidP="00E77EA2">
            <w:pPr>
              <w:jc w:val="center"/>
              <w:rPr>
                <w:rFonts w:ascii="Arial" w:hAnsi="Arial" w:cs="Arial"/>
                <w:bCs/>
              </w:rPr>
            </w:pPr>
            <w:r w:rsidRPr="00DF64AB">
              <w:rPr>
                <w:rFonts w:ascii="Arial" w:hAnsi="Arial" w:cs="Arial"/>
                <w:bCs/>
              </w:rPr>
              <w:t>19</w:t>
            </w:r>
            <w:r w:rsidR="00CB5590" w:rsidRPr="00DF64AB">
              <w:rPr>
                <w:rFonts w:ascii="Arial" w:hAnsi="Arial" w:cs="Arial"/>
                <w:bCs/>
              </w:rPr>
              <w:t>3.06</w:t>
            </w:r>
          </w:p>
        </w:tc>
      </w:tr>
      <w:tr w:rsidR="00DB601D" w:rsidRPr="00DF64AB" w14:paraId="5449E255"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46D0CF62" w14:textId="77777777" w:rsidR="00DB601D" w:rsidRPr="00DF64AB" w:rsidRDefault="00DB601D" w:rsidP="00DB601D">
            <w:pPr>
              <w:rPr>
                <w:rFonts w:ascii="Arial" w:hAnsi="Arial" w:cs="Arial"/>
                <w:bCs/>
              </w:rPr>
            </w:pPr>
            <w:r w:rsidRPr="00DF64AB">
              <w:rPr>
                <w:rFonts w:ascii="Arial" w:hAnsi="Arial" w:cs="Arial"/>
                <w:bCs/>
              </w:rPr>
              <w:t>Suppliers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3B0ADAE" w14:textId="0B10E8D6" w:rsidR="00DB601D" w:rsidRPr="00DF64AB" w:rsidRDefault="00A027BD" w:rsidP="00E77EA2">
            <w:pPr>
              <w:jc w:val="center"/>
              <w:rPr>
                <w:rFonts w:ascii="Arial" w:hAnsi="Arial" w:cs="Arial"/>
                <w:bCs/>
              </w:rPr>
            </w:pPr>
            <w:r w:rsidRPr="00DF64AB">
              <w:rPr>
                <w:rFonts w:ascii="Arial" w:hAnsi="Arial" w:cs="Arial"/>
                <w:bCs/>
              </w:rPr>
              <w:t>97.21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C03C633" w14:textId="4C6AAEED" w:rsidR="00DB601D" w:rsidRPr="00DF64AB" w:rsidRDefault="00DB601D" w:rsidP="00E77EA2">
            <w:pPr>
              <w:jc w:val="center"/>
              <w:rPr>
                <w:rFonts w:ascii="Arial" w:hAnsi="Arial" w:cs="Arial"/>
                <w:bCs/>
              </w:rPr>
            </w:pPr>
            <w:r w:rsidRPr="00DF64AB">
              <w:rPr>
                <w:rFonts w:ascii="Arial" w:hAnsi="Arial" w:cs="Arial"/>
                <w:bCs/>
              </w:rPr>
              <w:t>7</w:t>
            </w:r>
            <w:r w:rsidR="00A027BD" w:rsidRPr="00DF64AB">
              <w:rPr>
                <w:rFonts w:ascii="Arial" w:hAnsi="Arial" w:cs="Arial"/>
                <w:bCs/>
              </w:rPr>
              <w:t>5.28</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7D77222" w14:textId="77777777" w:rsidR="00DB601D" w:rsidRPr="00DF64AB" w:rsidRDefault="00DB601D" w:rsidP="00E77EA2">
            <w:pPr>
              <w:jc w:val="center"/>
              <w:rPr>
                <w:rFonts w:ascii="Arial" w:hAnsi="Arial" w:cs="Arial"/>
                <w:bCs/>
              </w:rPr>
            </w:pPr>
            <w:r w:rsidRPr="00DF64AB">
              <w:rPr>
                <w:rFonts w:ascii="Arial" w:hAnsi="Arial" w:cs="Arial"/>
                <w:bCs/>
              </w:rPr>
              <w:t>93.1</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1F4279DD" w14:textId="228CF295" w:rsidR="00DB601D" w:rsidRPr="00DF64AB" w:rsidRDefault="00DB601D" w:rsidP="00E77EA2">
            <w:pPr>
              <w:jc w:val="center"/>
              <w:rPr>
                <w:rFonts w:ascii="Arial" w:hAnsi="Arial" w:cs="Arial"/>
                <w:bCs/>
              </w:rPr>
            </w:pPr>
            <w:r w:rsidRPr="00DF64AB">
              <w:rPr>
                <w:rFonts w:ascii="Arial" w:hAnsi="Arial" w:cs="Arial"/>
                <w:bCs/>
              </w:rPr>
              <w:t>9</w:t>
            </w:r>
            <w:r w:rsidR="00CB5590" w:rsidRPr="00DF64AB">
              <w:rPr>
                <w:rFonts w:ascii="Arial" w:hAnsi="Arial" w:cs="Arial"/>
                <w:bCs/>
              </w:rPr>
              <w:t>1.23</w:t>
            </w:r>
          </w:p>
        </w:tc>
      </w:tr>
      <w:tr w:rsidR="00DB601D" w:rsidRPr="00DF64AB" w14:paraId="6DA91A20"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317CC8EC" w14:textId="77777777" w:rsidR="00DB601D" w:rsidRPr="00DF64AB" w:rsidRDefault="00DB601D" w:rsidP="00DB601D">
            <w:pPr>
              <w:rPr>
                <w:rFonts w:ascii="Arial" w:hAnsi="Arial" w:cs="Arial"/>
                <w:bCs/>
              </w:rPr>
            </w:pPr>
            <w:r w:rsidRPr="00DF64AB">
              <w:rPr>
                <w:rFonts w:ascii="Arial" w:hAnsi="Arial" w:cs="Arial"/>
                <w:bCs/>
              </w:rPr>
              <w:t>Depreciation and amortisation</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B34CABF" w14:textId="6254E11A" w:rsidR="00DB601D" w:rsidRPr="00DF64AB" w:rsidRDefault="00DB601D" w:rsidP="00E77EA2">
            <w:pPr>
              <w:jc w:val="center"/>
              <w:rPr>
                <w:rFonts w:ascii="Arial" w:hAnsi="Arial" w:cs="Arial"/>
                <w:bCs/>
              </w:rPr>
            </w:pPr>
            <w:r w:rsidRPr="00DF64AB">
              <w:rPr>
                <w:rFonts w:ascii="Arial" w:hAnsi="Arial" w:cs="Arial"/>
                <w:bCs/>
              </w:rPr>
              <w:t>5</w:t>
            </w:r>
            <w:r w:rsidR="00A027BD" w:rsidRPr="00DF64AB">
              <w:rPr>
                <w:rFonts w:ascii="Arial" w:hAnsi="Arial" w:cs="Arial"/>
                <w:bCs/>
              </w:rPr>
              <w:t>.4</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352C007" w14:textId="7225C97E" w:rsidR="00DB601D" w:rsidRPr="00DF64AB" w:rsidRDefault="00DB601D" w:rsidP="00E77EA2">
            <w:pPr>
              <w:jc w:val="center"/>
              <w:rPr>
                <w:rFonts w:ascii="Arial" w:hAnsi="Arial" w:cs="Arial"/>
                <w:bCs/>
              </w:rPr>
            </w:pPr>
            <w:r w:rsidRPr="00DF64AB">
              <w:rPr>
                <w:rFonts w:ascii="Arial" w:hAnsi="Arial" w:cs="Arial"/>
                <w:bCs/>
              </w:rPr>
              <w:t>5.</w:t>
            </w:r>
            <w:r w:rsidR="00A027BD" w:rsidRPr="00DF64AB">
              <w:rPr>
                <w:rFonts w:ascii="Arial" w:hAnsi="Arial" w:cs="Arial"/>
                <w:bCs/>
              </w:rPr>
              <w:t>69</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89DA0B0" w14:textId="77777777" w:rsidR="00DB601D" w:rsidRPr="00DF64AB" w:rsidRDefault="00DB601D" w:rsidP="00E77EA2">
            <w:pPr>
              <w:jc w:val="center"/>
              <w:rPr>
                <w:rFonts w:ascii="Arial" w:hAnsi="Arial" w:cs="Arial"/>
                <w:bCs/>
              </w:rPr>
            </w:pPr>
            <w:r w:rsidRPr="00DF64AB">
              <w:rPr>
                <w:rFonts w:ascii="Arial" w:hAnsi="Arial" w:cs="Arial"/>
                <w:bCs/>
              </w:rPr>
              <w:t>4.44</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422A591A" w14:textId="5B023611" w:rsidR="00DB601D" w:rsidRPr="00DF64AB" w:rsidRDefault="00DB601D" w:rsidP="00E77EA2">
            <w:pPr>
              <w:jc w:val="center"/>
              <w:rPr>
                <w:rFonts w:ascii="Arial" w:hAnsi="Arial" w:cs="Arial"/>
                <w:bCs/>
              </w:rPr>
            </w:pPr>
            <w:r w:rsidRPr="00DF64AB">
              <w:rPr>
                <w:rFonts w:ascii="Arial" w:hAnsi="Arial" w:cs="Arial"/>
                <w:bCs/>
              </w:rPr>
              <w:t>2.7</w:t>
            </w:r>
            <w:r w:rsidR="00CB5590" w:rsidRPr="00DF64AB">
              <w:rPr>
                <w:rFonts w:ascii="Arial" w:hAnsi="Arial" w:cs="Arial"/>
                <w:bCs/>
              </w:rPr>
              <w:t>1</w:t>
            </w:r>
          </w:p>
        </w:tc>
      </w:tr>
      <w:tr w:rsidR="00DB601D" w:rsidRPr="00DF64AB" w14:paraId="549DB334"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0B5C3C1C" w14:textId="77777777" w:rsidR="00DB601D" w:rsidRPr="00DF64AB" w:rsidRDefault="00DB601D" w:rsidP="00DB601D">
            <w:pPr>
              <w:rPr>
                <w:rFonts w:ascii="Arial" w:hAnsi="Arial" w:cs="Arial"/>
                <w:bCs/>
              </w:rPr>
            </w:pPr>
            <w:r w:rsidRPr="00DF64AB">
              <w:rPr>
                <w:rFonts w:ascii="Arial" w:hAnsi="Arial" w:cs="Arial"/>
                <w:bCs/>
              </w:rPr>
              <w:t>Write-down and impairment of assets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C7AA2A9" w14:textId="538CF63E" w:rsidR="00DB601D" w:rsidRPr="00DF64AB" w:rsidRDefault="00A027BD" w:rsidP="00E77EA2">
            <w:pPr>
              <w:jc w:val="center"/>
              <w:rPr>
                <w:rFonts w:ascii="Arial" w:hAnsi="Arial" w:cs="Arial"/>
                <w:bCs/>
              </w:rPr>
            </w:pPr>
            <w:r w:rsidRPr="00DF64AB">
              <w:rPr>
                <w:rFonts w:ascii="Arial" w:hAnsi="Arial" w:cs="Arial"/>
                <w:bCs/>
              </w:rPr>
              <w:t>4.52</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7BF18D8" w14:textId="77777777" w:rsidR="00DB601D" w:rsidRPr="00DF64AB" w:rsidRDefault="00DB601D" w:rsidP="00E77EA2">
            <w:pPr>
              <w:jc w:val="center"/>
              <w:rPr>
                <w:rFonts w:ascii="Arial" w:hAnsi="Arial" w:cs="Arial"/>
                <w:bCs/>
              </w:rPr>
            </w:pPr>
            <w:r w:rsidRPr="00DF64AB">
              <w:rPr>
                <w:rFonts w:ascii="Arial" w:hAnsi="Arial" w:cs="Arial"/>
                <w:bCs/>
              </w:rPr>
              <w:t>0.43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928DC3A" w14:textId="77777777" w:rsidR="00DB601D" w:rsidRPr="00DF64AB" w:rsidRDefault="00DB601D" w:rsidP="00E77EA2">
            <w:pPr>
              <w:jc w:val="center"/>
              <w:rPr>
                <w:rFonts w:ascii="Arial" w:hAnsi="Arial" w:cs="Arial"/>
                <w:bCs/>
              </w:rPr>
            </w:pPr>
            <w:r w:rsidRPr="00DF64AB">
              <w:rPr>
                <w:rFonts w:ascii="Arial" w:hAnsi="Arial" w:cs="Arial"/>
                <w:bCs/>
              </w:rPr>
              <w:t>2</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6F957B07" w14:textId="77777777" w:rsidR="00DB601D" w:rsidRPr="00DF64AB" w:rsidRDefault="00DB601D" w:rsidP="00E77EA2">
            <w:pPr>
              <w:jc w:val="center"/>
              <w:rPr>
                <w:rFonts w:ascii="Arial" w:hAnsi="Arial" w:cs="Arial"/>
                <w:bCs/>
              </w:rPr>
            </w:pPr>
            <w:r w:rsidRPr="00DF64AB">
              <w:rPr>
                <w:rFonts w:ascii="Arial" w:hAnsi="Arial" w:cs="Arial"/>
                <w:bCs/>
              </w:rPr>
              <w:t>0</w:t>
            </w:r>
          </w:p>
        </w:tc>
      </w:tr>
      <w:tr w:rsidR="00DB601D" w:rsidRPr="00DF64AB" w14:paraId="3D6FA93D"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40F0AEE0" w14:textId="77777777" w:rsidR="00DB601D" w:rsidRPr="00DF64AB" w:rsidRDefault="00DB601D" w:rsidP="00DB601D">
            <w:pPr>
              <w:rPr>
                <w:rFonts w:ascii="Arial" w:hAnsi="Arial" w:cs="Arial"/>
                <w:b/>
                <w:bCs/>
              </w:rPr>
            </w:pPr>
            <w:r w:rsidRPr="00DF64AB">
              <w:rPr>
                <w:rFonts w:ascii="Arial" w:hAnsi="Arial" w:cs="Arial"/>
                <w:b/>
                <w:bCs/>
              </w:rPr>
              <w:t>Total B</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C71B12C" w14:textId="481B7A69" w:rsidR="00DB601D" w:rsidRPr="00DF64AB" w:rsidRDefault="00DB601D" w:rsidP="00E77EA2">
            <w:pPr>
              <w:jc w:val="center"/>
              <w:rPr>
                <w:rFonts w:ascii="Arial" w:hAnsi="Arial" w:cs="Arial"/>
                <w:b/>
                <w:bCs/>
              </w:rPr>
            </w:pPr>
            <w:r w:rsidRPr="00DF64AB">
              <w:rPr>
                <w:rFonts w:ascii="Arial" w:hAnsi="Arial" w:cs="Arial"/>
                <w:b/>
                <w:bCs/>
              </w:rPr>
              <w:t>2</w:t>
            </w:r>
            <w:r w:rsidR="00A027BD" w:rsidRPr="00DF64AB">
              <w:rPr>
                <w:rFonts w:ascii="Arial" w:hAnsi="Arial" w:cs="Arial"/>
                <w:b/>
                <w:bCs/>
              </w:rPr>
              <w:t>16.50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0A6D11B" w14:textId="6B8C6A0E" w:rsidR="00DB601D" w:rsidRPr="00DF64AB" w:rsidRDefault="00DB601D" w:rsidP="00E77EA2">
            <w:pPr>
              <w:jc w:val="center"/>
              <w:rPr>
                <w:rFonts w:ascii="Arial" w:hAnsi="Arial" w:cs="Arial"/>
                <w:b/>
                <w:bCs/>
              </w:rPr>
            </w:pPr>
            <w:r w:rsidRPr="00DF64AB">
              <w:rPr>
                <w:rFonts w:ascii="Arial" w:hAnsi="Arial" w:cs="Arial"/>
                <w:b/>
                <w:bCs/>
              </w:rPr>
              <w:t>2</w:t>
            </w:r>
            <w:r w:rsidR="00A027BD" w:rsidRPr="00DF64AB">
              <w:rPr>
                <w:rFonts w:ascii="Arial" w:hAnsi="Arial" w:cs="Arial"/>
                <w:b/>
                <w:bCs/>
              </w:rPr>
              <w:t>41.83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AB0D6D7" w14:textId="77777777" w:rsidR="00DB601D" w:rsidRPr="00DF64AB" w:rsidRDefault="00DB601D" w:rsidP="00E77EA2">
            <w:pPr>
              <w:jc w:val="center"/>
              <w:rPr>
                <w:rFonts w:ascii="Arial" w:hAnsi="Arial" w:cs="Arial"/>
                <w:b/>
                <w:bCs/>
              </w:rPr>
            </w:pPr>
            <w:r w:rsidRPr="00DF64AB">
              <w:rPr>
                <w:rFonts w:ascii="Arial" w:hAnsi="Arial" w:cs="Arial"/>
                <w:b/>
                <w:bCs/>
              </w:rPr>
              <w:t>282.76</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6D2EF4BB" w14:textId="63815FD4" w:rsidR="00CB5590" w:rsidRPr="00DF64AB" w:rsidRDefault="00DB601D" w:rsidP="00E77EA2">
            <w:pPr>
              <w:jc w:val="center"/>
              <w:rPr>
                <w:rFonts w:ascii="Arial" w:hAnsi="Arial" w:cs="Arial"/>
                <w:b/>
                <w:bCs/>
              </w:rPr>
            </w:pPr>
            <w:r w:rsidRPr="00DF64AB">
              <w:rPr>
                <w:rFonts w:ascii="Arial" w:hAnsi="Arial" w:cs="Arial"/>
                <w:b/>
                <w:bCs/>
              </w:rPr>
              <w:t>2</w:t>
            </w:r>
            <w:r w:rsidR="00CB5590" w:rsidRPr="00DF64AB">
              <w:rPr>
                <w:rFonts w:ascii="Arial" w:hAnsi="Arial" w:cs="Arial"/>
                <w:b/>
                <w:bCs/>
              </w:rPr>
              <w:t>87.00</w:t>
            </w:r>
          </w:p>
        </w:tc>
      </w:tr>
      <w:tr w:rsidR="00DB601D" w:rsidRPr="00DF64AB" w14:paraId="267540E3"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7FBC5403" w14:textId="77777777" w:rsidR="00DB601D" w:rsidRPr="00DF64AB" w:rsidRDefault="00DB601D" w:rsidP="00DB601D">
            <w:pPr>
              <w:rPr>
                <w:rFonts w:ascii="Arial" w:hAnsi="Arial" w:cs="Arial"/>
                <w:b/>
                <w:bCs/>
              </w:rPr>
            </w:pPr>
            <w:r w:rsidRPr="00DF64AB">
              <w:rPr>
                <w:rFonts w:ascii="Arial" w:hAnsi="Arial" w:cs="Arial"/>
                <w:b/>
                <w:bCs/>
              </w:rPr>
              <w:t>Surplus (deficit)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6EFE289" w14:textId="5F79DCC3" w:rsidR="00DB601D" w:rsidRPr="00DF64AB" w:rsidRDefault="00DB601D" w:rsidP="00E77EA2">
            <w:pPr>
              <w:jc w:val="center"/>
              <w:rPr>
                <w:rFonts w:ascii="Arial" w:hAnsi="Arial" w:cs="Arial"/>
                <w:b/>
                <w:bCs/>
              </w:rPr>
            </w:pPr>
            <w:r w:rsidRPr="00DF64AB">
              <w:rPr>
                <w:rFonts w:ascii="Arial" w:hAnsi="Arial" w:cs="Arial"/>
                <w:b/>
                <w:bCs/>
              </w:rPr>
              <w:t>1.</w:t>
            </w:r>
            <w:r w:rsidR="00A027BD" w:rsidRPr="00DF64AB">
              <w:rPr>
                <w:rFonts w:ascii="Arial" w:hAnsi="Arial" w:cs="Arial"/>
                <w:b/>
                <w:bCs/>
              </w:rPr>
              <w:t>55</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BD28DE4" w14:textId="1CFE01C9" w:rsidR="00DB601D" w:rsidRPr="00DF64AB" w:rsidRDefault="00DB601D" w:rsidP="00E77EA2">
            <w:pPr>
              <w:jc w:val="center"/>
              <w:rPr>
                <w:rFonts w:ascii="Arial" w:hAnsi="Arial" w:cs="Arial"/>
                <w:b/>
                <w:bCs/>
                <w:color w:val="FF0000"/>
              </w:rPr>
            </w:pPr>
            <w:r w:rsidRPr="00DF64AB">
              <w:rPr>
                <w:rFonts w:ascii="Arial" w:hAnsi="Arial" w:cs="Arial"/>
                <w:b/>
                <w:bCs/>
                <w:color w:val="FF0000"/>
              </w:rPr>
              <w:t>(</w:t>
            </w:r>
            <w:r w:rsidR="00A027BD" w:rsidRPr="00DF64AB">
              <w:rPr>
                <w:rFonts w:ascii="Arial" w:hAnsi="Arial" w:cs="Arial"/>
                <w:b/>
                <w:bCs/>
                <w:color w:val="FF0000"/>
              </w:rPr>
              <w:t>1</w:t>
            </w:r>
            <w:r w:rsidRPr="00DF64AB">
              <w:rPr>
                <w:rFonts w:ascii="Arial" w:hAnsi="Arial" w:cs="Arial"/>
                <w:b/>
                <w:bCs/>
                <w:color w:val="FF0000"/>
              </w:rPr>
              <w:t>1.</w:t>
            </w:r>
            <w:r w:rsidR="00A027BD" w:rsidRPr="00DF64AB">
              <w:rPr>
                <w:rFonts w:ascii="Arial" w:hAnsi="Arial" w:cs="Arial"/>
                <w:b/>
                <w:bCs/>
                <w:color w:val="FF0000"/>
              </w:rPr>
              <w:t>52</w:t>
            </w:r>
            <w:r w:rsidRPr="00DF64AB">
              <w:rPr>
                <w:rFonts w:ascii="Arial" w:hAnsi="Arial" w:cs="Arial"/>
                <w:b/>
                <w:bCs/>
                <w:color w:val="FF0000"/>
              </w:rPr>
              <w: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79A41DE" w14:textId="77777777" w:rsidR="00DB601D" w:rsidRPr="00DF64AB" w:rsidRDefault="00DB601D" w:rsidP="00E77EA2">
            <w:pPr>
              <w:jc w:val="center"/>
              <w:rPr>
                <w:rFonts w:ascii="Arial" w:hAnsi="Arial" w:cs="Arial"/>
                <w:b/>
                <w:bCs/>
                <w:color w:val="FF0000"/>
              </w:rPr>
            </w:pPr>
            <w:r w:rsidRPr="00DF64AB">
              <w:rPr>
                <w:rFonts w:ascii="Arial" w:hAnsi="Arial" w:cs="Arial"/>
                <w:b/>
                <w:bCs/>
                <w:color w:val="FF0000"/>
              </w:rPr>
              <w:t>(6.03)</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43DD93A0" w14:textId="3F759706" w:rsidR="00DB601D" w:rsidRPr="00DF64AB" w:rsidRDefault="00DB601D" w:rsidP="00E77EA2">
            <w:pPr>
              <w:jc w:val="center"/>
              <w:rPr>
                <w:rFonts w:ascii="Arial" w:hAnsi="Arial" w:cs="Arial"/>
                <w:b/>
                <w:bCs/>
                <w:color w:val="FF0000"/>
              </w:rPr>
            </w:pPr>
            <w:r w:rsidRPr="00DF64AB">
              <w:rPr>
                <w:rFonts w:ascii="Arial" w:hAnsi="Arial" w:cs="Arial"/>
                <w:b/>
                <w:bCs/>
                <w:color w:val="FF0000"/>
              </w:rPr>
              <w:t>(</w:t>
            </w:r>
            <w:r w:rsidR="00CB5590" w:rsidRPr="00DF64AB">
              <w:rPr>
                <w:rFonts w:ascii="Arial" w:hAnsi="Arial" w:cs="Arial"/>
                <w:b/>
                <w:bCs/>
                <w:color w:val="FF0000"/>
              </w:rPr>
              <w:t>10.48)</w:t>
            </w:r>
          </w:p>
        </w:tc>
      </w:tr>
      <w:tr w:rsidR="00DB601D" w:rsidRPr="00DF64AB" w14:paraId="0D2F3076"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7B46FD2F" w14:textId="77777777" w:rsidR="00DB601D" w:rsidRPr="00DF64AB" w:rsidRDefault="00DB601D" w:rsidP="00DB601D">
            <w:pPr>
              <w:rPr>
                <w:rFonts w:ascii="Arial" w:hAnsi="Arial" w:cs="Arial"/>
                <w:bCs/>
              </w:rPr>
            </w:pPr>
            <w:r w:rsidRPr="00DF64AB">
              <w:rPr>
                <w:rFonts w:ascii="Arial" w:hAnsi="Arial" w:cs="Arial"/>
                <w:bCs/>
              </w:rPr>
              <w:t>Retained surplus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D6BE12B" w14:textId="77777777" w:rsidR="00DB601D" w:rsidRPr="00DF64AB" w:rsidRDefault="00DB601D" w:rsidP="00E77EA2">
            <w:pPr>
              <w:jc w:val="center"/>
              <w:rPr>
                <w:rFonts w:ascii="Arial" w:hAnsi="Arial" w:cs="Arial"/>
                <w:bCs/>
              </w:rPr>
            </w:pPr>
            <w:r w:rsidRPr="00DF64AB">
              <w:rPr>
                <w:rFonts w:ascii="Arial" w:hAnsi="Arial" w:cs="Arial"/>
                <w:bCs/>
              </w:rPr>
              <w:t>50.81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EAA1A71" w14:textId="07962870" w:rsidR="00DB601D" w:rsidRPr="00DF64AB" w:rsidRDefault="00A027BD" w:rsidP="00E77EA2">
            <w:pPr>
              <w:jc w:val="center"/>
              <w:rPr>
                <w:rFonts w:ascii="Arial" w:hAnsi="Arial" w:cs="Arial"/>
                <w:bCs/>
              </w:rPr>
            </w:pPr>
            <w:r w:rsidRPr="00DF64AB">
              <w:rPr>
                <w:rFonts w:ascii="Arial" w:hAnsi="Arial" w:cs="Arial"/>
                <w:bCs/>
              </w:rPr>
              <w:t>39.29</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EC54993" w14:textId="53C4394E" w:rsidR="00DB601D" w:rsidRPr="00DF64AB" w:rsidRDefault="00A027BD" w:rsidP="00E77EA2">
            <w:pPr>
              <w:jc w:val="center"/>
              <w:rPr>
                <w:rFonts w:ascii="Arial" w:hAnsi="Arial" w:cs="Arial"/>
                <w:bCs/>
              </w:rPr>
            </w:pPr>
            <w:r w:rsidRPr="00DF64AB">
              <w:rPr>
                <w:rFonts w:ascii="Arial" w:hAnsi="Arial" w:cs="Arial"/>
                <w:bCs/>
              </w:rPr>
              <w:t>33.26</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31A47527" w14:textId="4C5C51C1" w:rsidR="00DB601D" w:rsidRPr="00DF64AB" w:rsidRDefault="00A027BD" w:rsidP="00E77EA2">
            <w:pPr>
              <w:jc w:val="center"/>
              <w:rPr>
                <w:rFonts w:ascii="Arial" w:hAnsi="Arial" w:cs="Arial"/>
                <w:bCs/>
              </w:rPr>
            </w:pPr>
            <w:r w:rsidRPr="00DF64AB">
              <w:rPr>
                <w:rFonts w:ascii="Arial" w:hAnsi="Arial" w:cs="Arial"/>
                <w:bCs/>
              </w:rPr>
              <w:t>22.78</w:t>
            </w:r>
          </w:p>
        </w:tc>
      </w:tr>
      <w:tr w:rsidR="00DB601D" w:rsidRPr="00DF64AB" w14:paraId="6AB5F1F8"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6662E9CB" w14:textId="77777777" w:rsidR="00DB601D" w:rsidRPr="00DF64AB" w:rsidRDefault="00DB601D" w:rsidP="00DB601D">
            <w:pPr>
              <w:rPr>
                <w:rFonts w:ascii="Arial" w:hAnsi="Arial" w:cs="Arial"/>
                <w:bCs/>
              </w:rPr>
            </w:pPr>
            <w:r w:rsidRPr="00DF64AB">
              <w:rPr>
                <w:rFonts w:ascii="Arial" w:hAnsi="Arial" w:cs="Arial"/>
                <w:bCs/>
              </w:rPr>
              <w:t>% of Retained surplus to TGA budget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BB00329" w14:textId="1783AD4F" w:rsidR="00DB601D" w:rsidRPr="00DF64AB" w:rsidRDefault="00DB601D" w:rsidP="00E77EA2">
            <w:pPr>
              <w:jc w:val="center"/>
              <w:rPr>
                <w:rFonts w:ascii="Arial" w:hAnsi="Arial" w:cs="Arial"/>
                <w:bCs/>
              </w:rPr>
            </w:pPr>
            <w:r w:rsidRPr="00DF64AB">
              <w:rPr>
                <w:rFonts w:ascii="Arial" w:hAnsi="Arial" w:cs="Arial"/>
                <w:bCs/>
              </w:rPr>
              <w:t>2</w:t>
            </w:r>
            <w:r w:rsidR="00A027BD" w:rsidRPr="00DF64AB">
              <w:rPr>
                <w:rFonts w:ascii="Arial" w:hAnsi="Arial" w:cs="Arial"/>
                <w:bCs/>
              </w:rPr>
              <w:t>3</w:t>
            </w:r>
            <w:r w:rsidRPr="00DF64AB">
              <w:rPr>
                <w:rFonts w:ascii="Arial" w:hAnsi="Arial" w:cs="Arial"/>
                <w:bCs/>
              </w:rPr>
              <w: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A7623BF" w14:textId="77777777" w:rsidR="00DB601D" w:rsidRPr="00DF64AB" w:rsidRDefault="00DB601D" w:rsidP="00E77EA2">
            <w:pPr>
              <w:jc w:val="center"/>
              <w:rPr>
                <w:rFonts w:ascii="Arial" w:hAnsi="Arial" w:cs="Arial"/>
                <w:bCs/>
              </w:rPr>
            </w:pPr>
            <w:r w:rsidRPr="00DF64AB">
              <w:rPr>
                <w:rFonts w:ascii="Arial" w:hAnsi="Arial" w:cs="Arial"/>
                <w:bCs/>
              </w:rPr>
              <w:t>17%</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14626F0" w14:textId="77777777" w:rsidR="00DB601D" w:rsidRPr="00DF64AB" w:rsidRDefault="00DB601D" w:rsidP="00E77EA2">
            <w:pPr>
              <w:jc w:val="center"/>
              <w:rPr>
                <w:rFonts w:ascii="Arial" w:hAnsi="Arial" w:cs="Arial"/>
                <w:bCs/>
              </w:rPr>
            </w:pPr>
            <w:r w:rsidRPr="00DF64AB">
              <w:rPr>
                <w:rFonts w:ascii="Arial" w:hAnsi="Arial" w:cs="Arial"/>
                <w:bCs/>
              </w:rPr>
              <w:t>12%</w:t>
            </w:r>
          </w:p>
        </w:tc>
        <w:tc>
          <w:tcPr>
            <w:tcW w:w="1560" w:type="dxa"/>
            <w:tcBorders>
              <w:top w:val="single" w:sz="4" w:space="0" w:color="263287"/>
              <w:left w:val="single" w:sz="4" w:space="0" w:color="263287"/>
              <w:bottom w:val="single" w:sz="4" w:space="0" w:color="263287"/>
              <w:right w:val="single" w:sz="4" w:space="0" w:color="263287"/>
            </w:tcBorders>
            <w:vAlign w:val="center"/>
            <w:hideMark/>
          </w:tcPr>
          <w:p w14:paraId="4B5082C7" w14:textId="77777777" w:rsidR="00DB601D" w:rsidRPr="00DF64AB" w:rsidRDefault="00DB601D" w:rsidP="00E77EA2">
            <w:pPr>
              <w:jc w:val="center"/>
              <w:rPr>
                <w:rFonts w:ascii="Arial" w:hAnsi="Arial" w:cs="Arial"/>
                <w:bCs/>
              </w:rPr>
            </w:pPr>
            <w:r w:rsidRPr="00DF64AB">
              <w:rPr>
                <w:rFonts w:ascii="Arial" w:hAnsi="Arial" w:cs="Arial"/>
                <w:bCs/>
              </w:rPr>
              <w:t>12%</w:t>
            </w:r>
          </w:p>
        </w:tc>
      </w:tr>
    </w:tbl>
    <w:p w14:paraId="6110A397" w14:textId="77777777" w:rsidR="00DB601D" w:rsidRPr="00DF64AB" w:rsidRDefault="00DB601D" w:rsidP="00DB601D">
      <w:pPr>
        <w:rPr>
          <w:rFonts w:ascii="Arial" w:hAnsi="Arial" w:cs="Arial"/>
          <w:b/>
          <w:bCs/>
          <w:i/>
          <w:iCs/>
        </w:rPr>
      </w:pPr>
    </w:p>
    <w:p w14:paraId="5375E9D7" w14:textId="77777777" w:rsidR="00B751A1" w:rsidRDefault="00B751A1">
      <w:pPr>
        <w:rPr>
          <w:rFonts w:ascii="Arial" w:hAnsi="Arial" w:cs="Arial"/>
          <w:b/>
          <w:bCs/>
          <w:i/>
          <w:iCs/>
        </w:rPr>
      </w:pPr>
      <w:r>
        <w:rPr>
          <w:rFonts w:ascii="Arial" w:hAnsi="Arial" w:cs="Arial"/>
          <w:b/>
          <w:bCs/>
          <w:i/>
          <w:iCs/>
        </w:rPr>
        <w:br w:type="page"/>
      </w:r>
    </w:p>
    <w:p w14:paraId="5660B24B" w14:textId="56F36BA8" w:rsidR="00DB601D" w:rsidRPr="00DF64AB" w:rsidRDefault="00DB601D" w:rsidP="00DB601D">
      <w:pPr>
        <w:rPr>
          <w:rFonts w:ascii="Arial" w:hAnsi="Arial" w:cs="Arial"/>
          <w:b/>
          <w:bCs/>
          <w:i/>
          <w:iCs/>
        </w:rPr>
      </w:pPr>
      <w:r w:rsidRPr="00DF64AB">
        <w:rPr>
          <w:rFonts w:ascii="Arial" w:hAnsi="Arial" w:cs="Arial"/>
          <w:b/>
          <w:bCs/>
          <w:i/>
          <w:iCs/>
        </w:rPr>
        <w:lastRenderedPageBreak/>
        <w:t>Actual</w:t>
      </w:r>
    </w:p>
    <w:tbl>
      <w:tblPr>
        <w:tblW w:w="9351" w:type="dxa"/>
        <w:jc w:val="center"/>
        <w:tblLayout w:type="fixed"/>
        <w:tblLook w:val="04A0" w:firstRow="1" w:lastRow="0" w:firstColumn="1" w:lastColumn="0" w:noHBand="0" w:noVBand="1"/>
      </w:tblPr>
      <w:tblGrid>
        <w:gridCol w:w="3114"/>
        <w:gridCol w:w="1559"/>
        <w:gridCol w:w="1559"/>
        <w:gridCol w:w="1559"/>
        <w:gridCol w:w="1560"/>
      </w:tblGrid>
      <w:tr w:rsidR="00FA40DB" w:rsidRPr="00DF64AB" w14:paraId="5D509863" w14:textId="77777777" w:rsidTr="006F538D">
        <w:trPr>
          <w:cantSplit/>
          <w:tblHeader/>
          <w:jc w:val="center"/>
        </w:trPr>
        <w:tc>
          <w:tcPr>
            <w:tcW w:w="3114"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2EAA1059" w14:textId="77777777" w:rsidR="00FA40DB" w:rsidRPr="00DF64AB" w:rsidRDefault="00FA40DB" w:rsidP="00FA40DB">
            <w:pPr>
              <w:pStyle w:val="Numberbullet2"/>
              <w:keepNext/>
              <w:numPr>
                <w:ilvl w:val="0"/>
                <w:numId w:val="0"/>
              </w:numPr>
              <w:rPr>
                <w:rFonts w:cs="Arial"/>
                <w:b/>
                <w:color w:val="1F3864" w:themeColor="accent1" w:themeShade="80"/>
              </w:rPr>
            </w:pPr>
            <w:r w:rsidRPr="00DF64AB">
              <w:rPr>
                <w:rFonts w:cs="Arial"/>
                <w:b/>
                <w:color w:val="1F3864" w:themeColor="accent1" w:themeShade="80"/>
              </w:rPr>
              <w:t>Details</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02C469CB" w14:textId="632C7838" w:rsidR="00FA40DB" w:rsidRPr="00DF64AB" w:rsidRDefault="00FA40DB" w:rsidP="00FA40DB">
            <w:pPr>
              <w:pStyle w:val="Numberbullet2"/>
              <w:keepNext/>
              <w:numPr>
                <w:ilvl w:val="0"/>
                <w:numId w:val="0"/>
              </w:numPr>
              <w:jc w:val="center"/>
              <w:rPr>
                <w:rFonts w:cs="Arial"/>
                <w:color w:val="1F3864" w:themeColor="accent1" w:themeShade="80"/>
              </w:rPr>
            </w:pPr>
            <w:r w:rsidRPr="00DF64AB">
              <w:rPr>
                <w:rFonts w:cs="Arial"/>
                <w:b/>
                <w:color w:val="1F3864" w:themeColor="accent1" w:themeShade="80"/>
              </w:rPr>
              <w:t>2022-</w:t>
            </w:r>
            <w:proofErr w:type="gramStart"/>
            <w:r w:rsidRPr="00DF64AB">
              <w:rPr>
                <w:rFonts w:cs="Arial"/>
                <w:b/>
                <w:color w:val="1F3864" w:themeColor="accent1" w:themeShade="80"/>
              </w:rPr>
              <w:t>23  Actual</w:t>
            </w:r>
            <w:proofErr w:type="gramEnd"/>
          </w:p>
          <w:p w14:paraId="76867B3E" w14:textId="12AC883B" w:rsidR="00FA40DB" w:rsidRPr="00DF64AB" w:rsidRDefault="00FA40DB" w:rsidP="00FA40DB">
            <w:pPr>
              <w:pStyle w:val="Numberbullet2"/>
              <w:keepNext/>
              <w:numPr>
                <w:ilvl w:val="0"/>
                <w:numId w:val="0"/>
              </w:numPr>
              <w:jc w:val="center"/>
              <w:rPr>
                <w:rFonts w:cs="Arial"/>
                <w:b/>
                <w:color w:val="1F3864" w:themeColor="accent1" w:themeShade="80"/>
              </w:rPr>
            </w:pPr>
            <w:r w:rsidRPr="00DF64AB">
              <w:rPr>
                <w:rFonts w:cs="Arial"/>
                <w:b/>
                <w:color w:val="1F3864" w:themeColor="accent1" w:themeShade="80"/>
              </w:rPr>
              <w:t>$’m</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vAlign w:val="center"/>
            <w:hideMark/>
          </w:tcPr>
          <w:p w14:paraId="3ECC5071" w14:textId="723F4DE6" w:rsidR="00FA40DB" w:rsidRPr="00DF64AB" w:rsidRDefault="00FA40DB" w:rsidP="00FA40DB">
            <w:pPr>
              <w:pStyle w:val="Numberbullet2"/>
              <w:keepNext/>
              <w:numPr>
                <w:ilvl w:val="0"/>
                <w:numId w:val="0"/>
              </w:numPr>
              <w:jc w:val="center"/>
              <w:rPr>
                <w:rFonts w:cs="Arial"/>
                <w:color w:val="1F3864" w:themeColor="accent1" w:themeShade="80"/>
              </w:rPr>
            </w:pPr>
            <w:r w:rsidRPr="00DF64AB">
              <w:rPr>
                <w:rFonts w:cs="Arial"/>
                <w:b/>
                <w:color w:val="1F3864" w:themeColor="accent1" w:themeShade="80"/>
              </w:rPr>
              <w:t>2023-</w:t>
            </w:r>
            <w:proofErr w:type="gramStart"/>
            <w:r w:rsidRPr="00DF64AB">
              <w:rPr>
                <w:rFonts w:cs="Arial"/>
                <w:b/>
                <w:color w:val="1F3864" w:themeColor="accent1" w:themeShade="80"/>
              </w:rPr>
              <w:t>24  Actual</w:t>
            </w:r>
            <w:proofErr w:type="gramEnd"/>
          </w:p>
          <w:p w14:paraId="5C5300F5" w14:textId="7FF2EC2A" w:rsidR="00FA40DB" w:rsidRPr="00DF64AB" w:rsidRDefault="00FA40DB" w:rsidP="00FA40DB">
            <w:pPr>
              <w:pStyle w:val="Numberbullet2"/>
              <w:keepNext/>
              <w:numPr>
                <w:ilvl w:val="0"/>
                <w:numId w:val="0"/>
              </w:numPr>
              <w:jc w:val="center"/>
              <w:rPr>
                <w:rFonts w:cs="Arial"/>
                <w:b/>
                <w:color w:val="1F3864" w:themeColor="accent1" w:themeShade="80"/>
              </w:rPr>
            </w:pPr>
            <w:r w:rsidRPr="00DF64AB">
              <w:rPr>
                <w:rFonts w:cs="Arial"/>
                <w:b/>
                <w:color w:val="1F3864" w:themeColor="accent1" w:themeShade="80"/>
              </w:rPr>
              <w:t>$’m</w:t>
            </w:r>
          </w:p>
        </w:tc>
        <w:tc>
          <w:tcPr>
            <w:tcW w:w="1559"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hideMark/>
          </w:tcPr>
          <w:p w14:paraId="4F50CC96" w14:textId="302364C2" w:rsidR="00FA40DB" w:rsidRPr="00DF64AB" w:rsidRDefault="00FA40DB" w:rsidP="00FA40DB">
            <w:pPr>
              <w:pStyle w:val="Numberbullet2"/>
              <w:keepNext/>
              <w:numPr>
                <w:ilvl w:val="0"/>
                <w:numId w:val="0"/>
              </w:numPr>
              <w:jc w:val="center"/>
              <w:rPr>
                <w:rFonts w:cs="Arial"/>
                <w:color w:val="1F3864" w:themeColor="accent1" w:themeShade="80"/>
              </w:rPr>
            </w:pPr>
            <w:r w:rsidRPr="00DF64AB">
              <w:rPr>
                <w:rFonts w:cs="Arial"/>
                <w:b/>
                <w:color w:val="1F3864" w:themeColor="accent1" w:themeShade="80"/>
              </w:rPr>
              <w:t>2024-</w:t>
            </w:r>
            <w:proofErr w:type="gramStart"/>
            <w:r w:rsidRPr="00DF64AB">
              <w:rPr>
                <w:rFonts w:cs="Arial"/>
                <w:b/>
                <w:color w:val="1F3864" w:themeColor="accent1" w:themeShade="80"/>
              </w:rPr>
              <w:t>25  Actual</w:t>
            </w:r>
            <w:proofErr w:type="gramEnd"/>
          </w:p>
          <w:p w14:paraId="1D714C5B" w14:textId="1CE8CFE8" w:rsidR="00FA40DB" w:rsidRPr="00DF64AB" w:rsidRDefault="00FA40DB" w:rsidP="00FA40DB">
            <w:pPr>
              <w:pStyle w:val="Numberbullet2"/>
              <w:keepNext/>
              <w:numPr>
                <w:ilvl w:val="0"/>
                <w:numId w:val="0"/>
              </w:numPr>
              <w:jc w:val="center"/>
              <w:rPr>
                <w:rFonts w:cs="Arial"/>
                <w:b/>
                <w:color w:val="1F3864" w:themeColor="accent1" w:themeShade="80"/>
              </w:rPr>
            </w:pPr>
            <w:r w:rsidRPr="00DF64AB">
              <w:rPr>
                <w:rFonts w:cs="Arial"/>
                <w:b/>
                <w:color w:val="1F3864" w:themeColor="accent1" w:themeShade="80"/>
              </w:rPr>
              <w:t>$’m</w:t>
            </w:r>
          </w:p>
        </w:tc>
        <w:tc>
          <w:tcPr>
            <w:tcW w:w="1560" w:type="dxa"/>
            <w:tcBorders>
              <w:top w:val="single" w:sz="4" w:space="0" w:color="263287"/>
              <w:left w:val="single" w:sz="4" w:space="0" w:color="263287"/>
              <w:bottom w:val="single" w:sz="4" w:space="0" w:color="263287"/>
              <w:right w:val="single" w:sz="4" w:space="0" w:color="263287"/>
            </w:tcBorders>
            <w:shd w:val="clear" w:color="auto" w:fill="DEEAF6" w:themeFill="accent5" w:themeFillTint="33"/>
            <w:hideMark/>
          </w:tcPr>
          <w:p w14:paraId="4218F9EB" w14:textId="77777777" w:rsidR="00FA40DB" w:rsidRPr="00DF64AB" w:rsidRDefault="00FA40DB" w:rsidP="00FA40DB">
            <w:pPr>
              <w:pStyle w:val="Numberbullet2"/>
              <w:keepNext/>
              <w:numPr>
                <w:ilvl w:val="0"/>
                <w:numId w:val="0"/>
              </w:numPr>
              <w:jc w:val="center"/>
              <w:rPr>
                <w:rFonts w:cs="Arial"/>
                <w:color w:val="1F3864" w:themeColor="accent1" w:themeShade="80"/>
              </w:rPr>
            </w:pPr>
            <w:r w:rsidRPr="00DF64AB">
              <w:rPr>
                <w:rFonts w:cs="Arial"/>
                <w:b/>
                <w:color w:val="1F3864" w:themeColor="accent1" w:themeShade="80"/>
              </w:rPr>
              <w:t>2025-26 Estimate</w:t>
            </w:r>
          </w:p>
          <w:p w14:paraId="56B79EB6" w14:textId="0B146D23" w:rsidR="00FA40DB" w:rsidRPr="00DF64AB" w:rsidRDefault="00FA40DB" w:rsidP="00FA40DB">
            <w:pPr>
              <w:pStyle w:val="Numberbullet2"/>
              <w:keepNext/>
              <w:numPr>
                <w:ilvl w:val="0"/>
                <w:numId w:val="0"/>
              </w:numPr>
              <w:jc w:val="center"/>
              <w:rPr>
                <w:rFonts w:cs="Arial"/>
                <w:b/>
                <w:color w:val="1F3864" w:themeColor="accent1" w:themeShade="80"/>
              </w:rPr>
            </w:pPr>
            <w:r w:rsidRPr="00DF64AB">
              <w:rPr>
                <w:rFonts w:cs="Arial"/>
                <w:b/>
                <w:color w:val="1F3864" w:themeColor="accent1" w:themeShade="80"/>
              </w:rPr>
              <w:t>$’m</w:t>
            </w:r>
          </w:p>
        </w:tc>
      </w:tr>
      <w:tr w:rsidR="00FA40DB" w:rsidRPr="00DF64AB" w14:paraId="530D235F"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77F2F9DC" w14:textId="77777777" w:rsidR="00FA40DB" w:rsidRPr="00DF64AB" w:rsidRDefault="00FA40DB" w:rsidP="00FA40DB">
            <w:pPr>
              <w:rPr>
                <w:rFonts w:ascii="Arial" w:hAnsi="Arial" w:cs="Arial"/>
                <w:bCs/>
              </w:rPr>
            </w:pPr>
            <w:r w:rsidRPr="00DF64AB">
              <w:rPr>
                <w:rFonts w:ascii="Arial" w:hAnsi="Arial" w:cs="Arial"/>
                <w:bCs/>
              </w:rPr>
              <w:t>Revenue from Government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F685C57" w14:textId="0BA040F7" w:rsidR="00FA40DB" w:rsidRPr="00DF64AB" w:rsidRDefault="00FA40DB" w:rsidP="00FA40DB">
            <w:pPr>
              <w:jc w:val="center"/>
              <w:rPr>
                <w:rFonts w:ascii="Arial" w:hAnsi="Arial" w:cs="Arial"/>
                <w:bCs/>
              </w:rPr>
            </w:pPr>
            <w:r w:rsidRPr="00DF64AB">
              <w:rPr>
                <w:rFonts w:ascii="Arial" w:eastAsia="Times New Roman" w:hAnsi="Arial" w:cs="Arial"/>
                <w:lang w:eastAsia="en-AU"/>
              </w:rPr>
              <w:t>21.44</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1AB5358" w14:textId="0D801C82" w:rsidR="00FA40DB" w:rsidRPr="00DF64AB" w:rsidRDefault="00FA40DB" w:rsidP="00FA40DB">
            <w:pPr>
              <w:jc w:val="center"/>
              <w:rPr>
                <w:rFonts w:ascii="Arial" w:hAnsi="Arial" w:cs="Arial"/>
                <w:bCs/>
              </w:rPr>
            </w:pPr>
            <w:r w:rsidRPr="00DF64AB">
              <w:rPr>
                <w:rFonts w:ascii="Arial" w:hAnsi="Arial" w:cs="Arial"/>
                <w:lang w:eastAsia="en-AU"/>
              </w:rPr>
              <w:t>34.78</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4A9135C" w14:textId="4DD1E9DD" w:rsidR="00FA40DB" w:rsidRPr="00DF64AB" w:rsidRDefault="00FA40DB" w:rsidP="00FA40DB">
            <w:pPr>
              <w:jc w:val="center"/>
              <w:rPr>
                <w:rFonts w:ascii="Arial" w:hAnsi="Arial" w:cs="Arial"/>
                <w:bCs/>
              </w:rPr>
            </w:pPr>
            <w:r w:rsidRPr="00DF64AB">
              <w:rPr>
                <w:rFonts w:ascii="Arial" w:hAnsi="Arial" w:cs="Arial"/>
                <w:szCs w:val="21"/>
                <w:lang w:eastAsia="en-AU"/>
              </w:rPr>
              <w:t>74.33</w:t>
            </w:r>
          </w:p>
        </w:tc>
        <w:tc>
          <w:tcPr>
            <w:tcW w:w="1560" w:type="dxa"/>
            <w:tcBorders>
              <w:top w:val="single" w:sz="4" w:space="0" w:color="263287"/>
              <w:left w:val="single" w:sz="4" w:space="0" w:color="263287"/>
              <w:bottom w:val="single" w:sz="4" w:space="0" w:color="263287"/>
              <w:right w:val="single" w:sz="4" w:space="0" w:color="263287"/>
            </w:tcBorders>
            <w:vAlign w:val="center"/>
          </w:tcPr>
          <w:p w14:paraId="255899B3" w14:textId="76C658BA" w:rsidR="00FA40DB" w:rsidRPr="00DF64AB" w:rsidRDefault="00FA40DB" w:rsidP="00FA40DB">
            <w:pPr>
              <w:jc w:val="center"/>
              <w:rPr>
                <w:rFonts w:ascii="Arial" w:hAnsi="Arial" w:cs="Arial"/>
                <w:bCs/>
              </w:rPr>
            </w:pPr>
            <w:r w:rsidRPr="00DF64AB">
              <w:rPr>
                <w:rFonts w:ascii="Arial" w:hAnsi="Arial" w:cs="Arial"/>
                <w:bCs/>
              </w:rPr>
              <w:t>70.30</w:t>
            </w:r>
          </w:p>
        </w:tc>
      </w:tr>
      <w:tr w:rsidR="00FA40DB" w:rsidRPr="00DF64AB" w14:paraId="6E41C1F3"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3A12C7F5" w14:textId="77777777" w:rsidR="00FA40DB" w:rsidRPr="00DF64AB" w:rsidRDefault="00FA40DB" w:rsidP="00FA40DB">
            <w:pPr>
              <w:rPr>
                <w:rFonts w:ascii="Arial" w:hAnsi="Arial" w:cs="Arial"/>
                <w:bCs/>
              </w:rPr>
            </w:pPr>
            <w:r w:rsidRPr="00DF64AB">
              <w:rPr>
                <w:rFonts w:ascii="Arial" w:hAnsi="Arial" w:cs="Arial"/>
                <w:bCs/>
              </w:rPr>
              <w:t>Sale of goods and services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D8DD0AD" w14:textId="03823DE9" w:rsidR="00FA40DB" w:rsidRPr="00DF64AB" w:rsidRDefault="00FA40DB" w:rsidP="00FA40DB">
            <w:pPr>
              <w:jc w:val="center"/>
              <w:rPr>
                <w:rFonts w:ascii="Arial" w:hAnsi="Arial" w:cs="Arial"/>
                <w:bCs/>
              </w:rPr>
            </w:pPr>
            <w:r w:rsidRPr="00DF64AB">
              <w:rPr>
                <w:rFonts w:ascii="Arial" w:eastAsia="Times New Roman" w:hAnsi="Arial" w:cs="Arial"/>
                <w:lang w:eastAsia="en-AU"/>
              </w:rPr>
              <w:t>187.50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48B7269" w14:textId="7A1F4AC8" w:rsidR="00FA40DB" w:rsidRPr="00DF64AB" w:rsidRDefault="00FA40DB" w:rsidP="00FA40DB">
            <w:pPr>
              <w:jc w:val="center"/>
              <w:rPr>
                <w:rFonts w:ascii="Arial" w:hAnsi="Arial" w:cs="Arial"/>
                <w:bCs/>
              </w:rPr>
            </w:pPr>
            <w:r w:rsidRPr="00DF64AB">
              <w:rPr>
                <w:rFonts w:ascii="Arial" w:hAnsi="Arial" w:cs="Arial"/>
                <w:lang w:eastAsia="en-AU"/>
              </w:rPr>
              <w:t>185.66</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4B0FFD6" w14:textId="0B6B6B81" w:rsidR="00FA40DB" w:rsidRPr="00DF64AB" w:rsidRDefault="00FA40DB" w:rsidP="00FA40DB">
            <w:pPr>
              <w:jc w:val="center"/>
              <w:rPr>
                <w:rFonts w:ascii="Arial" w:hAnsi="Arial" w:cs="Arial"/>
                <w:bCs/>
              </w:rPr>
            </w:pPr>
            <w:r w:rsidRPr="00DF64AB">
              <w:rPr>
                <w:rFonts w:ascii="Arial" w:hAnsi="Arial" w:cs="Arial"/>
                <w:lang w:eastAsia="en-AU"/>
              </w:rPr>
              <w:t>202.43</w:t>
            </w:r>
          </w:p>
        </w:tc>
        <w:tc>
          <w:tcPr>
            <w:tcW w:w="1560" w:type="dxa"/>
            <w:tcBorders>
              <w:top w:val="single" w:sz="4" w:space="0" w:color="263287"/>
              <w:left w:val="single" w:sz="4" w:space="0" w:color="263287"/>
              <w:bottom w:val="single" w:sz="4" w:space="0" w:color="263287"/>
              <w:right w:val="single" w:sz="4" w:space="0" w:color="263287"/>
            </w:tcBorders>
            <w:vAlign w:val="center"/>
          </w:tcPr>
          <w:p w14:paraId="0553787B" w14:textId="5EE565E2" w:rsidR="00FA40DB" w:rsidRPr="00DF64AB" w:rsidRDefault="00FA40DB" w:rsidP="00FA40DB">
            <w:pPr>
              <w:jc w:val="center"/>
              <w:rPr>
                <w:rFonts w:ascii="Arial" w:hAnsi="Arial" w:cs="Arial"/>
                <w:bCs/>
              </w:rPr>
            </w:pPr>
            <w:r w:rsidRPr="00DF64AB">
              <w:rPr>
                <w:rFonts w:ascii="Arial" w:hAnsi="Arial" w:cs="Arial"/>
                <w:bCs/>
              </w:rPr>
              <w:t>198.70</w:t>
            </w:r>
          </w:p>
        </w:tc>
      </w:tr>
      <w:tr w:rsidR="00FA40DB" w:rsidRPr="00DF64AB" w14:paraId="3A0EFF25"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6BBA7B1D" w14:textId="77777777" w:rsidR="00FA40DB" w:rsidRPr="00DF64AB" w:rsidRDefault="00FA40DB" w:rsidP="00FA40DB">
            <w:pPr>
              <w:rPr>
                <w:rFonts w:ascii="Arial" w:hAnsi="Arial" w:cs="Arial"/>
                <w:bCs/>
              </w:rPr>
            </w:pPr>
            <w:r w:rsidRPr="00DF64AB">
              <w:rPr>
                <w:rFonts w:ascii="Arial" w:hAnsi="Arial" w:cs="Arial"/>
                <w:bCs/>
              </w:rPr>
              <w:t>Other revenue and gains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C1200D7" w14:textId="1679FD30" w:rsidR="00FA40DB" w:rsidRPr="00DF64AB" w:rsidRDefault="00FA40DB" w:rsidP="00FA40DB">
            <w:pPr>
              <w:jc w:val="center"/>
              <w:rPr>
                <w:rFonts w:ascii="Arial" w:hAnsi="Arial" w:cs="Arial"/>
                <w:bCs/>
              </w:rPr>
            </w:pPr>
            <w:r w:rsidRPr="00DF64AB">
              <w:rPr>
                <w:rFonts w:ascii="Arial" w:eastAsia="Times New Roman" w:hAnsi="Arial" w:cs="Arial"/>
                <w:lang w:eastAsia="en-AU"/>
              </w:rPr>
              <w:t>9.81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9B73B4F" w14:textId="5ED7EFE9" w:rsidR="00FA40DB" w:rsidRPr="00DF64AB" w:rsidRDefault="00FA40DB" w:rsidP="00FA40DB">
            <w:pPr>
              <w:jc w:val="center"/>
              <w:rPr>
                <w:rFonts w:ascii="Arial" w:hAnsi="Arial" w:cs="Arial"/>
                <w:bCs/>
              </w:rPr>
            </w:pPr>
            <w:r w:rsidRPr="00DF64AB">
              <w:rPr>
                <w:rFonts w:ascii="Arial" w:hAnsi="Arial" w:cs="Arial"/>
                <w:lang w:eastAsia="en-AU"/>
              </w:rPr>
              <w:t>4.89</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56AFB46" w14:textId="47C8939F" w:rsidR="00FA40DB" w:rsidRPr="00DF64AB" w:rsidRDefault="00FA40DB" w:rsidP="00FA40DB">
            <w:pPr>
              <w:jc w:val="center"/>
              <w:rPr>
                <w:rFonts w:ascii="Arial" w:hAnsi="Arial" w:cs="Arial"/>
                <w:bCs/>
              </w:rPr>
            </w:pPr>
            <w:r w:rsidRPr="00DF64AB">
              <w:rPr>
                <w:rFonts w:ascii="Arial" w:hAnsi="Arial" w:cs="Arial"/>
                <w:lang w:eastAsia="en-AU"/>
              </w:rPr>
              <w:t>5.36</w:t>
            </w:r>
          </w:p>
        </w:tc>
        <w:tc>
          <w:tcPr>
            <w:tcW w:w="1560" w:type="dxa"/>
            <w:tcBorders>
              <w:top w:val="single" w:sz="4" w:space="0" w:color="263287"/>
              <w:left w:val="single" w:sz="4" w:space="0" w:color="263287"/>
              <w:bottom w:val="single" w:sz="4" w:space="0" w:color="263287"/>
              <w:right w:val="single" w:sz="4" w:space="0" w:color="263287"/>
            </w:tcBorders>
            <w:vAlign w:val="center"/>
          </w:tcPr>
          <w:p w14:paraId="04368167" w14:textId="27D79F7C" w:rsidR="00FA40DB" w:rsidRPr="00DF64AB" w:rsidRDefault="00FA40DB" w:rsidP="00FA40DB">
            <w:pPr>
              <w:jc w:val="center"/>
              <w:rPr>
                <w:rFonts w:ascii="Arial" w:hAnsi="Arial" w:cs="Arial"/>
                <w:bCs/>
              </w:rPr>
            </w:pPr>
            <w:r w:rsidRPr="00DF64AB">
              <w:rPr>
                <w:rFonts w:ascii="Arial" w:hAnsi="Arial" w:cs="Arial"/>
                <w:bCs/>
              </w:rPr>
              <w:t>7.52</w:t>
            </w:r>
          </w:p>
        </w:tc>
      </w:tr>
      <w:tr w:rsidR="00FA40DB" w:rsidRPr="00DF64AB" w14:paraId="29A9E445"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6C5F0727" w14:textId="77777777" w:rsidR="00FA40DB" w:rsidRPr="00DF64AB" w:rsidRDefault="00FA40DB" w:rsidP="00FA40DB">
            <w:pPr>
              <w:rPr>
                <w:rFonts w:ascii="Arial" w:hAnsi="Arial" w:cs="Arial"/>
                <w:b/>
                <w:bCs/>
              </w:rPr>
            </w:pPr>
            <w:r w:rsidRPr="00DF64AB">
              <w:rPr>
                <w:rFonts w:ascii="Arial" w:hAnsi="Arial" w:cs="Arial"/>
                <w:b/>
                <w:bCs/>
              </w:rPr>
              <w:t>Total A</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4A265C5" w14:textId="58FB9F79" w:rsidR="00FA40DB" w:rsidRPr="00DF64AB" w:rsidRDefault="00FA40DB" w:rsidP="00FA40DB">
            <w:pPr>
              <w:jc w:val="center"/>
              <w:rPr>
                <w:rFonts w:ascii="Arial" w:hAnsi="Arial" w:cs="Arial"/>
                <w:b/>
                <w:bCs/>
              </w:rPr>
            </w:pPr>
            <w:r w:rsidRPr="00DF64AB">
              <w:rPr>
                <w:rFonts w:ascii="Arial" w:eastAsia="Times New Roman" w:hAnsi="Arial" w:cs="Arial"/>
                <w:b/>
                <w:bCs/>
                <w:lang w:eastAsia="en-AU"/>
              </w:rPr>
              <w:t>218.75</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527011F" w14:textId="53EBCF66" w:rsidR="00FA40DB" w:rsidRPr="00DF64AB" w:rsidRDefault="00FA40DB" w:rsidP="00FA40DB">
            <w:pPr>
              <w:jc w:val="center"/>
              <w:rPr>
                <w:rFonts w:ascii="Arial" w:hAnsi="Arial" w:cs="Arial"/>
                <w:b/>
                <w:bCs/>
              </w:rPr>
            </w:pPr>
            <w:r w:rsidRPr="00DF64AB">
              <w:rPr>
                <w:rFonts w:ascii="Arial" w:hAnsi="Arial" w:cs="Arial"/>
                <w:b/>
                <w:bCs/>
                <w:lang w:eastAsia="en-AU"/>
              </w:rPr>
              <w:t>225.33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462D1D6" w14:textId="0ED93EF4" w:rsidR="00FA40DB" w:rsidRPr="00DF64AB" w:rsidRDefault="00FA40DB" w:rsidP="00FA40DB">
            <w:pPr>
              <w:jc w:val="center"/>
              <w:rPr>
                <w:rFonts w:ascii="Arial" w:hAnsi="Arial" w:cs="Arial"/>
                <w:b/>
                <w:bCs/>
              </w:rPr>
            </w:pPr>
            <w:r w:rsidRPr="00DF64AB">
              <w:rPr>
                <w:rFonts w:ascii="Arial" w:hAnsi="Arial" w:cs="Arial"/>
                <w:b/>
                <w:bCs/>
                <w:lang w:eastAsia="en-AU"/>
              </w:rPr>
              <w:t>282.12</w:t>
            </w:r>
          </w:p>
        </w:tc>
        <w:tc>
          <w:tcPr>
            <w:tcW w:w="1560" w:type="dxa"/>
            <w:tcBorders>
              <w:top w:val="single" w:sz="4" w:space="0" w:color="263287"/>
              <w:left w:val="single" w:sz="4" w:space="0" w:color="263287"/>
              <w:bottom w:val="single" w:sz="4" w:space="0" w:color="263287"/>
              <w:right w:val="single" w:sz="4" w:space="0" w:color="263287"/>
            </w:tcBorders>
            <w:vAlign w:val="center"/>
          </w:tcPr>
          <w:p w14:paraId="4E18D4D6" w14:textId="37D397B3" w:rsidR="00FA40DB" w:rsidRPr="00DF64AB" w:rsidRDefault="00FA40DB" w:rsidP="00FA40DB">
            <w:pPr>
              <w:jc w:val="center"/>
              <w:rPr>
                <w:rFonts w:ascii="Arial" w:hAnsi="Arial" w:cs="Arial"/>
                <w:b/>
                <w:bCs/>
              </w:rPr>
            </w:pPr>
            <w:r w:rsidRPr="00DF64AB">
              <w:rPr>
                <w:rFonts w:ascii="Arial" w:hAnsi="Arial" w:cs="Arial"/>
                <w:b/>
                <w:bCs/>
              </w:rPr>
              <w:t>276.52</w:t>
            </w:r>
          </w:p>
        </w:tc>
      </w:tr>
      <w:tr w:rsidR="00FA40DB" w:rsidRPr="00DF64AB" w14:paraId="71DE869E"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75A6EC53" w14:textId="77777777" w:rsidR="00FA40DB" w:rsidRPr="00DF64AB" w:rsidRDefault="00FA40DB" w:rsidP="00FA40DB">
            <w:pPr>
              <w:rPr>
                <w:rFonts w:ascii="Arial" w:hAnsi="Arial" w:cs="Arial"/>
                <w:bCs/>
              </w:rPr>
            </w:pPr>
            <w:r w:rsidRPr="00DF64AB">
              <w:rPr>
                <w:rFonts w:ascii="Arial" w:hAnsi="Arial" w:cs="Arial"/>
                <w:bCs/>
              </w:rPr>
              <w:t>Employee expenses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FC53460" w14:textId="11139475" w:rsidR="00FA40DB" w:rsidRPr="00DF64AB" w:rsidRDefault="00FA40DB" w:rsidP="00FA40DB">
            <w:pPr>
              <w:jc w:val="center"/>
              <w:rPr>
                <w:rFonts w:ascii="Arial" w:hAnsi="Arial" w:cs="Arial"/>
                <w:bCs/>
              </w:rPr>
            </w:pPr>
            <w:r w:rsidRPr="00DF64AB">
              <w:rPr>
                <w:rFonts w:ascii="Arial" w:eastAsia="Times New Roman" w:hAnsi="Arial" w:cs="Arial"/>
                <w:lang w:eastAsia="en-AU"/>
              </w:rPr>
              <w:t>109.36</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6B77030A" w14:textId="3ACC8F45" w:rsidR="00FA40DB" w:rsidRPr="00DF64AB" w:rsidRDefault="00FA40DB" w:rsidP="00FA40DB">
            <w:pPr>
              <w:jc w:val="center"/>
              <w:rPr>
                <w:rFonts w:ascii="Arial" w:hAnsi="Arial" w:cs="Arial"/>
                <w:bCs/>
              </w:rPr>
            </w:pPr>
            <w:r w:rsidRPr="00DF64AB">
              <w:rPr>
                <w:rFonts w:ascii="Arial" w:hAnsi="Arial" w:cs="Arial"/>
                <w:lang w:eastAsia="en-AU"/>
              </w:rPr>
              <w:t>147.17</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FBC915D" w14:textId="43FF978F" w:rsidR="00FA40DB" w:rsidRPr="00DF64AB" w:rsidRDefault="00FA40DB" w:rsidP="00FA40DB">
            <w:pPr>
              <w:jc w:val="center"/>
              <w:rPr>
                <w:rFonts w:ascii="Arial" w:hAnsi="Arial" w:cs="Arial"/>
                <w:bCs/>
              </w:rPr>
            </w:pPr>
            <w:r w:rsidRPr="00DF64AB">
              <w:rPr>
                <w:rFonts w:ascii="Arial" w:hAnsi="Arial" w:cs="Arial"/>
                <w:lang w:eastAsia="en-AU"/>
              </w:rPr>
              <w:t>183.22</w:t>
            </w:r>
          </w:p>
        </w:tc>
        <w:tc>
          <w:tcPr>
            <w:tcW w:w="1560" w:type="dxa"/>
            <w:tcBorders>
              <w:top w:val="single" w:sz="4" w:space="0" w:color="263287"/>
              <w:left w:val="single" w:sz="4" w:space="0" w:color="263287"/>
              <w:bottom w:val="single" w:sz="4" w:space="0" w:color="263287"/>
              <w:right w:val="single" w:sz="4" w:space="0" w:color="263287"/>
            </w:tcBorders>
            <w:vAlign w:val="center"/>
          </w:tcPr>
          <w:p w14:paraId="10218B02" w14:textId="1120BCCC" w:rsidR="00FA40DB" w:rsidRPr="00DF64AB" w:rsidRDefault="00FA40DB" w:rsidP="00FA40DB">
            <w:pPr>
              <w:jc w:val="center"/>
              <w:rPr>
                <w:rFonts w:ascii="Arial" w:hAnsi="Arial" w:cs="Arial"/>
                <w:bCs/>
              </w:rPr>
            </w:pPr>
            <w:r w:rsidRPr="00DF64AB">
              <w:rPr>
                <w:rFonts w:ascii="Arial" w:hAnsi="Arial" w:cs="Arial"/>
                <w:bCs/>
              </w:rPr>
              <w:t>193.06</w:t>
            </w:r>
          </w:p>
        </w:tc>
      </w:tr>
      <w:tr w:rsidR="00FA40DB" w:rsidRPr="00DF64AB" w14:paraId="56CFA915"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00DF52C3" w14:textId="77777777" w:rsidR="00FA40DB" w:rsidRPr="00DF64AB" w:rsidRDefault="00FA40DB" w:rsidP="00FA40DB">
            <w:pPr>
              <w:rPr>
                <w:rFonts w:ascii="Arial" w:hAnsi="Arial" w:cs="Arial"/>
                <w:bCs/>
              </w:rPr>
            </w:pPr>
            <w:r w:rsidRPr="00DF64AB">
              <w:rPr>
                <w:rFonts w:ascii="Arial" w:hAnsi="Arial" w:cs="Arial"/>
                <w:bCs/>
              </w:rPr>
              <w:t>Suppliers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1276C3F5" w14:textId="2BD72476" w:rsidR="00FA40DB" w:rsidRPr="00DF64AB" w:rsidRDefault="00FA40DB" w:rsidP="00FA40DB">
            <w:pPr>
              <w:jc w:val="center"/>
              <w:rPr>
                <w:rFonts w:ascii="Arial" w:hAnsi="Arial" w:cs="Arial"/>
                <w:bCs/>
              </w:rPr>
            </w:pPr>
            <w:r w:rsidRPr="00DF64AB">
              <w:rPr>
                <w:rFonts w:ascii="Arial" w:eastAsia="Times New Roman" w:hAnsi="Arial" w:cs="Arial"/>
                <w:lang w:eastAsia="en-AU"/>
              </w:rPr>
              <w:t>101.73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1483B8F" w14:textId="163753BF" w:rsidR="00FA40DB" w:rsidRPr="00DF64AB" w:rsidRDefault="00FA40DB" w:rsidP="00FA40DB">
            <w:pPr>
              <w:jc w:val="center"/>
              <w:rPr>
                <w:rFonts w:ascii="Arial" w:hAnsi="Arial" w:cs="Arial"/>
                <w:bCs/>
              </w:rPr>
            </w:pPr>
            <w:r w:rsidRPr="00DF64AB">
              <w:rPr>
                <w:rFonts w:ascii="Arial" w:hAnsi="Arial" w:cs="Arial"/>
                <w:lang w:eastAsia="en-AU"/>
              </w:rPr>
              <w:t>73.71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B21D312" w14:textId="52B4DDB7" w:rsidR="00FA40DB" w:rsidRPr="00DF64AB" w:rsidRDefault="00FA40DB" w:rsidP="00FA40DB">
            <w:pPr>
              <w:jc w:val="center"/>
              <w:rPr>
                <w:rFonts w:ascii="Arial" w:hAnsi="Arial" w:cs="Arial"/>
                <w:bCs/>
              </w:rPr>
            </w:pPr>
            <w:r w:rsidRPr="00DF64AB">
              <w:rPr>
                <w:rFonts w:ascii="Arial" w:hAnsi="Arial" w:cs="Arial"/>
                <w:lang w:eastAsia="en-AU"/>
              </w:rPr>
              <w:t>75.19</w:t>
            </w:r>
          </w:p>
        </w:tc>
        <w:tc>
          <w:tcPr>
            <w:tcW w:w="1560" w:type="dxa"/>
            <w:tcBorders>
              <w:top w:val="single" w:sz="4" w:space="0" w:color="263287"/>
              <w:left w:val="single" w:sz="4" w:space="0" w:color="263287"/>
              <w:bottom w:val="single" w:sz="4" w:space="0" w:color="263287"/>
              <w:right w:val="single" w:sz="4" w:space="0" w:color="263287"/>
            </w:tcBorders>
            <w:vAlign w:val="center"/>
          </w:tcPr>
          <w:p w14:paraId="5BAB5458" w14:textId="48E94A08" w:rsidR="00FA40DB" w:rsidRPr="00DF64AB" w:rsidRDefault="00FA40DB" w:rsidP="00FA40DB">
            <w:pPr>
              <w:jc w:val="center"/>
              <w:rPr>
                <w:rFonts w:ascii="Arial" w:hAnsi="Arial" w:cs="Arial"/>
                <w:bCs/>
              </w:rPr>
            </w:pPr>
            <w:r w:rsidRPr="00DF64AB">
              <w:rPr>
                <w:rFonts w:ascii="Arial" w:hAnsi="Arial" w:cs="Arial"/>
                <w:bCs/>
              </w:rPr>
              <w:t>91.23</w:t>
            </w:r>
          </w:p>
        </w:tc>
      </w:tr>
      <w:tr w:rsidR="00FA40DB" w:rsidRPr="00DF64AB" w14:paraId="6EA899F5"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779660CB" w14:textId="77777777" w:rsidR="00FA40DB" w:rsidRPr="00DF64AB" w:rsidRDefault="00FA40DB" w:rsidP="00FA40DB">
            <w:pPr>
              <w:rPr>
                <w:rFonts w:ascii="Arial" w:hAnsi="Arial" w:cs="Arial"/>
                <w:bCs/>
              </w:rPr>
            </w:pPr>
            <w:r w:rsidRPr="00DF64AB">
              <w:rPr>
                <w:rFonts w:ascii="Arial" w:hAnsi="Arial" w:cs="Arial"/>
                <w:bCs/>
              </w:rPr>
              <w:t>Depreciation and amortisation</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F0C479A" w14:textId="5EE3B55D" w:rsidR="00FA40DB" w:rsidRPr="00DF64AB" w:rsidRDefault="00FA40DB" w:rsidP="00FA40DB">
            <w:pPr>
              <w:jc w:val="center"/>
              <w:rPr>
                <w:rFonts w:ascii="Arial" w:hAnsi="Arial" w:cs="Arial"/>
                <w:bCs/>
              </w:rPr>
            </w:pPr>
            <w:r w:rsidRPr="00DF64AB">
              <w:rPr>
                <w:rFonts w:ascii="Arial" w:eastAsia="Times New Roman" w:hAnsi="Arial" w:cs="Arial"/>
                <w:lang w:eastAsia="en-AU"/>
              </w:rPr>
              <w:t>5.40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523C286" w14:textId="15ACF2F9" w:rsidR="00FA40DB" w:rsidRPr="00DF64AB" w:rsidRDefault="00FA40DB" w:rsidP="00FA40DB">
            <w:pPr>
              <w:jc w:val="center"/>
              <w:rPr>
                <w:rFonts w:ascii="Arial" w:hAnsi="Arial" w:cs="Arial"/>
                <w:bCs/>
              </w:rPr>
            </w:pPr>
            <w:r w:rsidRPr="00DF64AB">
              <w:rPr>
                <w:rFonts w:ascii="Arial" w:hAnsi="Arial" w:cs="Arial"/>
                <w:lang w:eastAsia="en-AU"/>
              </w:rPr>
              <w:t>5.69</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7EA77E0" w14:textId="2BE5689E" w:rsidR="00FA40DB" w:rsidRPr="00DF64AB" w:rsidRDefault="00FA40DB" w:rsidP="00FA40DB">
            <w:pPr>
              <w:jc w:val="center"/>
              <w:rPr>
                <w:rFonts w:ascii="Arial" w:hAnsi="Arial" w:cs="Arial"/>
                <w:bCs/>
              </w:rPr>
            </w:pPr>
            <w:r w:rsidRPr="00DF64AB">
              <w:rPr>
                <w:rFonts w:ascii="Arial" w:hAnsi="Arial" w:cs="Arial"/>
                <w:lang w:eastAsia="en-AU"/>
              </w:rPr>
              <w:t>4.93</w:t>
            </w:r>
          </w:p>
        </w:tc>
        <w:tc>
          <w:tcPr>
            <w:tcW w:w="1560" w:type="dxa"/>
            <w:tcBorders>
              <w:top w:val="single" w:sz="4" w:space="0" w:color="263287"/>
              <w:left w:val="single" w:sz="4" w:space="0" w:color="263287"/>
              <w:bottom w:val="single" w:sz="4" w:space="0" w:color="263287"/>
              <w:right w:val="single" w:sz="4" w:space="0" w:color="263287"/>
            </w:tcBorders>
            <w:vAlign w:val="center"/>
          </w:tcPr>
          <w:p w14:paraId="7905CD79" w14:textId="3842EB41" w:rsidR="00FA40DB" w:rsidRPr="00DF64AB" w:rsidRDefault="00FA40DB" w:rsidP="00FA40DB">
            <w:pPr>
              <w:jc w:val="center"/>
              <w:rPr>
                <w:rFonts w:ascii="Arial" w:hAnsi="Arial" w:cs="Arial"/>
                <w:bCs/>
              </w:rPr>
            </w:pPr>
            <w:r w:rsidRPr="00DF64AB">
              <w:rPr>
                <w:rFonts w:ascii="Arial" w:hAnsi="Arial" w:cs="Arial"/>
                <w:bCs/>
              </w:rPr>
              <w:t>2.71</w:t>
            </w:r>
          </w:p>
        </w:tc>
      </w:tr>
      <w:tr w:rsidR="00FA40DB" w:rsidRPr="00DF64AB" w14:paraId="5E63970D"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552747B6" w14:textId="77777777" w:rsidR="00FA40DB" w:rsidRPr="00DF64AB" w:rsidRDefault="00FA40DB" w:rsidP="00FA40DB">
            <w:pPr>
              <w:rPr>
                <w:rFonts w:ascii="Arial" w:hAnsi="Arial" w:cs="Arial"/>
                <w:bCs/>
              </w:rPr>
            </w:pPr>
            <w:r w:rsidRPr="00DF64AB">
              <w:rPr>
                <w:rFonts w:ascii="Arial" w:hAnsi="Arial" w:cs="Arial"/>
                <w:bCs/>
              </w:rPr>
              <w:t>Write-down and impairment of assets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EF6E6C2" w14:textId="47D4E79B" w:rsidR="00FA40DB" w:rsidRPr="00DF64AB" w:rsidRDefault="00FA40DB" w:rsidP="00FA40DB">
            <w:pPr>
              <w:jc w:val="center"/>
              <w:rPr>
                <w:rFonts w:ascii="Arial" w:hAnsi="Arial" w:cs="Arial"/>
                <w:bCs/>
              </w:rPr>
            </w:pPr>
            <w:r w:rsidRPr="00DF64AB">
              <w:rPr>
                <w:rFonts w:ascii="Arial" w:eastAsia="Times New Roman" w:hAnsi="Arial" w:cs="Arial"/>
                <w:lang w:eastAsia="en-AU"/>
              </w:rPr>
              <w:t>4.52</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0FF91EB" w14:textId="41A611C9" w:rsidR="00FA40DB" w:rsidRPr="00DF64AB" w:rsidRDefault="00FA40DB" w:rsidP="00FA40DB">
            <w:pPr>
              <w:jc w:val="center"/>
              <w:rPr>
                <w:rFonts w:ascii="Arial" w:hAnsi="Arial" w:cs="Arial"/>
                <w:bCs/>
              </w:rPr>
            </w:pPr>
            <w:r w:rsidRPr="00DF64AB">
              <w:rPr>
                <w:rFonts w:ascii="Arial" w:hAnsi="Arial" w:cs="Arial"/>
                <w:lang w:eastAsia="en-AU"/>
              </w:rPr>
              <w:t>1.99</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78DBE5D" w14:textId="2E6507C9" w:rsidR="00FA40DB" w:rsidRPr="00DF64AB" w:rsidRDefault="00FA40DB" w:rsidP="00FA40DB">
            <w:pPr>
              <w:jc w:val="center"/>
              <w:rPr>
                <w:rFonts w:ascii="Arial" w:hAnsi="Arial" w:cs="Arial"/>
                <w:bCs/>
              </w:rPr>
            </w:pPr>
            <w:r w:rsidRPr="00DF64AB">
              <w:rPr>
                <w:rFonts w:ascii="Arial" w:hAnsi="Arial" w:cs="Arial"/>
                <w:lang w:eastAsia="en-AU"/>
              </w:rPr>
              <w:t>22.91</w:t>
            </w:r>
          </w:p>
        </w:tc>
        <w:tc>
          <w:tcPr>
            <w:tcW w:w="1560" w:type="dxa"/>
            <w:tcBorders>
              <w:top w:val="single" w:sz="4" w:space="0" w:color="263287"/>
              <w:left w:val="single" w:sz="4" w:space="0" w:color="263287"/>
              <w:bottom w:val="single" w:sz="4" w:space="0" w:color="263287"/>
              <w:right w:val="single" w:sz="4" w:space="0" w:color="263287"/>
            </w:tcBorders>
            <w:vAlign w:val="center"/>
          </w:tcPr>
          <w:p w14:paraId="03CCAF09" w14:textId="352878ED" w:rsidR="00FA40DB" w:rsidRPr="00DF64AB" w:rsidRDefault="00FA40DB" w:rsidP="00FA40DB">
            <w:pPr>
              <w:jc w:val="center"/>
              <w:rPr>
                <w:rFonts w:ascii="Arial" w:hAnsi="Arial" w:cs="Arial"/>
                <w:bCs/>
              </w:rPr>
            </w:pPr>
            <w:r w:rsidRPr="00DF64AB">
              <w:rPr>
                <w:rFonts w:ascii="Arial" w:hAnsi="Arial" w:cs="Arial"/>
                <w:bCs/>
              </w:rPr>
              <w:t>0</w:t>
            </w:r>
          </w:p>
        </w:tc>
      </w:tr>
      <w:tr w:rsidR="00FA40DB" w:rsidRPr="00DF64AB" w14:paraId="422CBFFB"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2DA6C310" w14:textId="77777777" w:rsidR="00FA40DB" w:rsidRPr="00DF64AB" w:rsidRDefault="00FA40DB" w:rsidP="00FA40DB">
            <w:pPr>
              <w:rPr>
                <w:rFonts w:ascii="Arial" w:hAnsi="Arial" w:cs="Arial"/>
                <w:b/>
                <w:bCs/>
              </w:rPr>
            </w:pPr>
            <w:r w:rsidRPr="00DF64AB">
              <w:rPr>
                <w:rFonts w:ascii="Arial" w:hAnsi="Arial" w:cs="Arial"/>
                <w:b/>
                <w:bCs/>
              </w:rPr>
              <w:t>Total B</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1960185" w14:textId="67BCA8F5" w:rsidR="00FA40DB" w:rsidRPr="00DF64AB" w:rsidRDefault="00FA40DB" w:rsidP="00FA40DB">
            <w:pPr>
              <w:jc w:val="center"/>
              <w:rPr>
                <w:rFonts w:ascii="Arial" w:hAnsi="Arial" w:cs="Arial"/>
                <w:b/>
                <w:bCs/>
              </w:rPr>
            </w:pPr>
            <w:r w:rsidRPr="00DF64AB">
              <w:rPr>
                <w:rFonts w:ascii="Arial" w:eastAsia="Times New Roman" w:hAnsi="Arial" w:cs="Arial"/>
                <w:b/>
                <w:bCs/>
                <w:lang w:eastAsia="en-AU"/>
              </w:rPr>
              <w:t>216.50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2C53AD0" w14:textId="7064E6B3" w:rsidR="00FA40DB" w:rsidRPr="00DF64AB" w:rsidRDefault="00FA40DB" w:rsidP="00FA40DB">
            <w:pPr>
              <w:jc w:val="center"/>
              <w:rPr>
                <w:rFonts w:ascii="Arial" w:hAnsi="Arial" w:cs="Arial"/>
                <w:b/>
                <w:bCs/>
              </w:rPr>
            </w:pPr>
            <w:r w:rsidRPr="00DF64AB">
              <w:rPr>
                <w:rFonts w:ascii="Arial" w:hAnsi="Arial" w:cs="Arial"/>
                <w:b/>
                <w:bCs/>
                <w:lang w:eastAsia="en-AU"/>
              </w:rPr>
              <w:t>228.56</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36DFBD5" w14:textId="36C97E7F" w:rsidR="00FA40DB" w:rsidRPr="00DF64AB" w:rsidRDefault="00FA40DB" w:rsidP="00FA40DB">
            <w:pPr>
              <w:jc w:val="center"/>
              <w:rPr>
                <w:rFonts w:ascii="Arial" w:hAnsi="Arial" w:cs="Arial"/>
                <w:b/>
                <w:bCs/>
              </w:rPr>
            </w:pPr>
            <w:r w:rsidRPr="00DF64AB">
              <w:rPr>
                <w:rFonts w:ascii="Arial" w:hAnsi="Arial" w:cs="Arial"/>
                <w:b/>
                <w:bCs/>
                <w:lang w:eastAsia="en-AU"/>
              </w:rPr>
              <w:t>286.35</w:t>
            </w:r>
          </w:p>
        </w:tc>
        <w:tc>
          <w:tcPr>
            <w:tcW w:w="1560" w:type="dxa"/>
            <w:tcBorders>
              <w:top w:val="single" w:sz="4" w:space="0" w:color="263287"/>
              <w:left w:val="single" w:sz="4" w:space="0" w:color="263287"/>
              <w:bottom w:val="single" w:sz="4" w:space="0" w:color="263287"/>
              <w:right w:val="single" w:sz="4" w:space="0" w:color="263287"/>
            </w:tcBorders>
            <w:vAlign w:val="center"/>
          </w:tcPr>
          <w:p w14:paraId="2D62CBAF" w14:textId="4E595095" w:rsidR="00FA40DB" w:rsidRPr="00DF64AB" w:rsidRDefault="00FA40DB" w:rsidP="00FA40DB">
            <w:pPr>
              <w:jc w:val="center"/>
              <w:rPr>
                <w:rFonts w:ascii="Arial" w:hAnsi="Arial" w:cs="Arial"/>
                <w:b/>
                <w:bCs/>
              </w:rPr>
            </w:pPr>
            <w:r w:rsidRPr="00DF64AB">
              <w:rPr>
                <w:rFonts w:ascii="Arial" w:hAnsi="Arial" w:cs="Arial"/>
                <w:b/>
                <w:bCs/>
              </w:rPr>
              <w:t>287.00</w:t>
            </w:r>
          </w:p>
        </w:tc>
      </w:tr>
      <w:tr w:rsidR="00FA40DB" w:rsidRPr="00DF64AB" w14:paraId="6CD7E261"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49CDDDFE" w14:textId="77777777" w:rsidR="00FA40DB" w:rsidRPr="00DF64AB" w:rsidRDefault="00FA40DB" w:rsidP="00FA40DB">
            <w:pPr>
              <w:rPr>
                <w:rFonts w:ascii="Arial" w:hAnsi="Arial" w:cs="Arial"/>
                <w:b/>
                <w:bCs/>
              </w:rPr>
            </w:pPr>
            <w:r w:rsidRPr="00DF64AB">
              <w:rPr>
                <w:rFonts w:ascii="Arial" w:hAnsi="Arial" w:cs="Arial"/>
                <w:b/>
                <w:bCs/>
              </w:rPr>
              <w:t>Surplus (deficit)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9CA42FE" w14:textId="1BB8E188" w:rsidR="00FA40DB" w:rsidRPr="00DF64AB" w:rsidRDefault="00FA40DB" w:rsidP="00FA40DB">
            <w:pPr>
              <w:jc w:val="center"/>
              <w:rPr>
                <w:rFonts w:ascii="Arial" w:hAnsi="Arial" w:cs="Arial"/>
                <w:b/>
                <w:bCs/>
              </w:rPr>
            </w:pPr>
            <w:r w:rsidRPr="00DF64AB">
              <w:rPr>
                <w:rFonts w:ascii="Arial" w:eastAsia="Times New Roman" w:hAnsi="Arial" w:cs="Arial"/>
                <w:b/>
                <w:bCs/>
                <w:lang w:eastAsia="en-AU"/>
              </w:rPr>
              <w:t>2.25</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5F7915CA" w14:textId="038FB8D3" w:rsidR="00FA40DB" w:rsidRPr="00DF64AB" w:rsidRDefault="00FA40DB" w:rsidP="00FA40DB">
            <w:pPr>
              <w:jc w:val="center"/>
              <w:rPr>
                <w:rFonts w:ascii="Arial" w:hAnsi="Arial" w:cs="Arial"/>
                <w:b/>
                <w:bCs/>
              </w:rPr>
            </w:pPr>
            <w:r w:rsidRPr="00DF64AB">
              <w:rPr>
                <w:rFonts w:ascii="Arial" w:hAnsi="Arial" w:cs="Arial"/>
                <w:b/>
                <w:bCs/>
                <w:color w:val="FF0000"/>
                <w:lang w:eastAsia="en-AU"/>
              </w:rPr>
              <w:t>(3.23)</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4345C89D" w14:textId="3DBEFD62" w:rsidR="00FA40DB" w:rsidRPr="00DF64AB" w:rsidRDefault="00FA40DB" w:rsidP="00FA40DB">
            <w:pPr>
              <w:jc w:val="center"/>
              <w:rPr>
                <w:rFonts w:ascii="Arial" w:hAnsi="Arial" w:cs="Arial"/>
                <w:b/>
                <w:bCs/>
              </w:rPr>
            </w:pPr>
            <w:r w:rsidRPr="00DF64AB">
              <w:rPr>
                <w:rFonts w:ascii="Arial" w:hAnsi="Arial" w:cs="Arial"/>
                <w:b/>
                <w:bCs/>
                <w:color w:val="FF0000"/>
                <w:lang w:eastAsia="en-AU"/>
              </w:rPr>
              <w:t>(4.23)</w:t>
            </w:r>
          </w:p>
        </w:tc>
        <w:tc>
          <w:tcPr>
            <w:tcW w:w="1560" w:type="dxa"/>
            <w:tcBorders>
              <w:top w:val="single" w:sz="4" w:space="0" w:color="263287"/>
              <w:left w:val="single" w:sz="4" w:space="0" w:color="263287"/>
              <w:bottom w:val="single" w:sz="4" w:space="0" w:color="263287"/>
              <w:right w:val="single" w:sz="4" w:space="0" w:color="263287"/>
            </w:tcBorders>
            <w:vAlign w:val="center"/>
          </w:tcPr>
          <w:p w14:paraId="672E0DE4" w14:textId="5729FE7C" w:rsidR="00FA40DB" w:rsidRPr="00DF64AB" w:rsidRDefault="00FA40DB" w:rsidP="00FA40DB">
            <w:pPr>
              <w:jc w:val="center"/>
              <w:rPr>
                <w:rFonts w:ascii="Arial" w:hAnsi="Arial" w:cs="Arial"/>
                <w:b/>
                <w:bCs/>
              </w:rPr>
            </w:pPr>
            <w:r w:rsidRPr="00DF64AB">
              <w:rPr>
                <w:rFonts w:ascii="Arial" w:hAnsi="Arial" w:cs="Arial"/>
                <w:b/>
                <w:bCs/>
                <w:color w:val="FF0000"/>
              </w:rPr>
              <w:t>(10.48)</w:t>
            </w:r>
          </w:p>
        </w:tc>
      </w:tr>
      <w:tr w:rsidR="00FA40DB" w:rsidRPr="00DF64AB" w14:paraId="571B1D69"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31149B6D" w14:textId="77777777" w:rsidR="00FA40DB" w:rsidRPr="00DF64AB" w:rsidRDefault="00FA40DB" w:rsidP="00FA40DB">
            <w:pPr>
              <w:rPr>
                <w:rFonts w:ascii="Arial" w:hAnsi="Arial" w:cs="Arial"/>
                <w:bCs/>
              </w:rPr>
            </w:pPr>
            <w:r w:rsidRPr="00DF64AB">
              <w:rPr>
                <w:rFonts w:ascii="Arial" w:hAnsi="Arial" w:cs="Arial"/>
                <w:bCs/>
              </w:rPr>
              <w:t>Retained surplus</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7E9B658F" w14:textId="153BEB92" w:rsidR="00FA40DB" w:rsidRPr="00DF64AB" w:rsidRDefault="00FA40DB" w:rsidP="00FA40DB">
            <w:pPr>
              <w:jc w:val="center"/>
              <w:rPr>
                <w:rFonts w:ascii="Arial" w:hAnsi="Arial" w:cs="Arial"/>
                <w:bCs/>
              </w:rPr>
            </w:pPr>
            <w:r w:rsidRPr="00DF64AB">
              <w:rPr>
                <w:rFonts w:ascii="Arial" w:eastAsia="Times New Roman" w:hAnsi="Arial" w:cs="Arial"/>
                <w:lang w:eastAsia="en-AU"/>
              </w:rPr>
              <w:t>43.31</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A940B4C" w14:textId="57F90C31" w:rsidR="00FA40DB" w:rsidRPr="00DF64AB" w:rsidRDefault="00FA40DB" w:rsidP="00FA40DB">
            <w:pPr>
              <w:jc w:val="center"/>
              <w:rPr>
                <w:rFonts w:ascii="Arial" w:hAnsi="Arial" w:cs="Arial"/>
                <w:bCs/>
              </w:rPr>
            </w:pPr>
            <w:r w:rsidRPr="00DF64AB">
              <w:rPr>
                <w:rFonts w:ascii="Arial" w:hAnsi="Arial" w:cs="Arial"/>
                <w:lang w:eastAsia="en-AU"/>
              </w:rPr>
              <w:t>40.08</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C822F44" w14:textId="553E9D37" w:rsidR="00FA40DB" w:rsidRPr="00DF64AB" w:rsidRDefault="00FA40DB" w:rsidP="00FA40DB">
            <w:pPr>
              <w:jc w:val="center"/>
              <w:rPr>
                <w:rFonts w:ascii="Arial" w:hAnsi="Arial" w:cs="Arial"/>
                <w:bCs/>
              </w:rPr>
            </w:pPr>
            <w:r w:rsidRPr="00DF64AB">
              <w:rPr>
                <w:rFonts w:ascii="Arial" w:hAnsi="Arial" w:cs="Arial"/>
                <w:lang w:eastAsia="en-AU"/>
              </w:rPr>
              <w:t>35.85</w:t>
            </w:r>
          </w:p>
        </w:tc>
        <w:tc>
          <w:tcPr>
            <w:tcW w:w="1560" w:type="dxa"/>
            <w:tcBorders>
              <w:top w:val="single" w:sz="4" w:space="0" w:color="263287"/>
              <w:left w:val="single" w:sz="4" w:space="0" w:color="263287"/>
              <w:bottom w:val="single" w:sz="4" w:space="0" w:color="263287"/>
              <w:right w:val="single" w:sz="4" w:space="0" w:color="263287"/>
            </w:tcBorders>
            <w:vAlign w:val="center"/>
          </w:tcPr>
          <w:p w14:paraId="795BF035" w14:textId="586242C1" w:rsidR="00FA40DB" w:rsidRPr="00DF64AB" w:rsidRDefault="00DD190B" w:rsidP="00FA40DB">
            <w:pPr>
              <w:jc w:val="center"/>
              <w:rPr>
                <w:rFonts w:ascii="Arial" w:hAnsi="Arial" w:cs="Arial"/>
                <w:bCs/>
              </w:rPr>
            </w:pPr>
            <w:r w:rsidRPr="00DF64AB">
              <w:rPr>
                <w:rFonts w:ascii="Arial" w:hAnsi="Arial" w:cs="Arial"/>
                <w:bCs/>
              </w:rPr>
              <w:t>25.37</w:t>
            </w:r>
          </w:p>
        </w:tc>
      </w:tr>
      <w:tr w:rsidR="00FA40DB" w:rsidRPr="00DF64AB" w14:paraId="2877173D" w14:textId="77777777" w:rsidTr="006F538D">
        <w:trPr>
          <w:cantSplit/>
          <w:jc w:val="center"/>
        </w:trPr>
        <w:tc>
          <w:tcPr>
            <w:tcW w:w="3114" w:type="dxa"/>
            <w:tcBorders>
              <w:top w:val="single" w:sz="4" w:space="0" w:color="263287"/>
              <w:left w:val="single" w:sz="4" w:space="0" w:color="263287"/>
              <w:bottom w:val="single" w:sz="4" w:space="0" w:color="263287"/>
              <w:right w:val="single" w:sz="4" w:space="0" w:color="263287"/>
            </w:tcBorders>
            <w:vAlign w:val="center"/>
            <w:hideMark/>
          </w:tcPr>
          <w:p w14:paraId="46441E3C" w14:textId="77777777" w:rsidR="00FA40DB" w:rsidRPr="00DF64AB" w:rsidRDefault="00FA40DB" w:rsidP="00FA40DB">
            <w:pPr>
              <w:rPr>
                <w:rFonts w:ascii="Arial" w:hAnsi="Arial" w:cs="Arial"/>
                <w:bCs/>
              </w:rPr>
            </w:pPr>
            <w:r w:rsidRPr="00DF64AB">
              <w:rPr>
                <w:rFonts w:ascii="Arial" w:hAnsi="Arial" w:cs="Arial"/>
                <w:bCs/>
              </w:rPr>
              <w:t>% of Retained surplus to TGA budget</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3E48BC83" w14:textId="153E9D16" w:rsidR="00FA40DB" w:rsidRPr="00DF64AB" w:rsidRDefault="00FA40DB" w:rsidP="00FA40DB">
            <w:pPr>
              <w:jc w:val="center"/>
              <w:rPr>
                <w:rFonts w:ascii="Arial" w:hAnsi="Arial" w:cs="Arial"/>
                <w:bCs/>
              </w:rPr>
            </w:pPr>
            <w:r w:rsidRPr="00DF64AB">
              <w:rPr>
                <w:rFonts w:ascii="Arial" w:eastAsia="Times New Roman" w:hAnsi="Arial" w:cs="Arial"/>
                <w:lang w:eastAsia="en-AU"/>
              </w:rPr>
              <w:t>20%</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0774C9D5" w14:textId="5E2D8EFC" w:rsidR="00FA40DB" w:rsidRPr="00DF64AB" w:rsidRDefault="00FA40DB" w:rsidP="00FA40DB">
            <w:pPr>
              <w:jc w:val="center"/>
              <w:rPr>
                <w:rFonts w:ascii="Arial" w:hAnsi="Arial" w:cs="Arial"/>
                <w:bCs/>
              </w:rPr>
            </w:pPr>
            <w:r w:rsidRPr="00DF64AB">
              <w:rPr>
                <w:rFonts w:ascii="Arial" w:hAnsi="Arial" w:cs="Arial"/>
                <w:lang w:eastAsia="en-AU"/>
              </w:rPr>
              <w:t>18%</w:t>
            </w:r>
          </w:p>
        </w:tc>
        <w:tc>
          <w:tcPr>
            <w:tcW w:w="1559" w:type="dxa"/>
            <w:tcBorders>
              <w:top w:val="single" w:sz="4" w:space="0" w:color="263287"/>
              <w:left w:val="single" w:sz="4" w:space="0" w:color="263287"/>
              <w:bottom w:val="single" w:sz="4" w:space="0" w:color="263287"/>
              <w:right w:val="single" w:sz="4" w:space="0" w:color="263287"/>
            </w:tcBorders>
            <w:vAlign w:val="center"/>
            <w:hideMark/>
          </w:tcPr>
          <w:p w14:paraId="266F947F" w14:textId="0680E1F7" w:rsidR="00FA40DB" w:rsidRPr="00DF64AB" w:rsidRDefault="00FA40DB" w:rsidP="00FA40DB">
            <w:pPr>
              <w:jc w:val="center"/>
              <w:rPr>
                <w:rFonts w:ascii="Arial" w:hAnsi="Arial" w:cs="Arial"/>
                <w:bCs/>
              </w:rPr>
            </w:pPr>
            <w:r w:rsidRPr="00DF64AB">
              <w:rPr>
                <w:rFonts w:ascii="Arial" w:hAnsi="Arial" w:cs="Arial"/>
                <w:lang w:eastAsia="en-AU"/>
              </w:rPr>
              <w:t>13%</w:t>
            </w:r>
          </w:p>
        </w:tc>
        <w:tc>
          <w:tcPr>
            <w:tcW w:w="1560" w:type="dxa"/>
            <w:tcBorders>
              <w:top w:val="single" w:sz="4" w:space="0" w:color="263287"/>
              <w:left w:val="single" w:sz="4" w:space="0" w:color="263287"/>
              <w:bottom w:val="single" w:sz="4" w:space="0" w:color="263287"/>
              <w:right w:val="single" w:sz="4" w:space="0" w:color="263287"/>
            </w:tcBorders>
            <w:vAlign w:val="center"/>
          </w:tcPr>
          <w:p w14:paraId="21A094BF" w14:textId="1EAFBFA8" w:rsidR="00FA40DB" w:rsidRPr="00DF64AB" w:rsidRDefault="00DD190B" w:rsidP="00FA40DB">
            <w:pPr>
              <w:jc w:val="center"/>
              <w:rPr>
                <w:rFonts w:ascii="Arial" w:hAnsi="Arial" w:cs="Arial"/>
                <w:bCs/>
              </w:rPr>
            </w:pPr>
            <w:r w:rsidRPr="00DF64AB">
              <w:rPr>
                <w:rFonts w:ascii="Arial" w:hAnsi="Arial" w:cs="Arial"/>
                <w:bCs/>
              </w:rPr>
              <w:t>9</w:t>
            </w:r>
            <w:r w:rsidR="00FA40DB" w:rsidRPr="00DF64AB">
              <w:rPr>
                <w:rFonts w:ascii="Arial" w:hAnsi="Arial" w:cs="Arial"/>
                <w:bCs/>
              </w:rPr>
              <w:t>%</w:t>
            </w:r>
          </w:p>
        </w:tc>
      </w:tr>
    </w:tbl>
    <w:p w14:paraId="707AED9E" w14:textId="58E8674E" w:rsidR="00DB601D" w:rsidRPr="00DF64AB" w:rsidRDefault="008A0830" w:rsidP="00DB601D">
      <w:pPr>
        <w:rPr>
          <w:rFonts w:ascii="Arial" w:hAnsi="Arial" w:cs="Arial"/>
          <w:bCs/>
          <w:i/>
          <w:iCs/>
          <w:highlight w:val="yellow"/>
        </w:rPr>
      </w:pPr>
      <w:r w:rsidRPr="00DF64AB">
        <w:rPr>
          <w:rFonts w:ascii="Arial" w:hAnsi="Arial" w:cs="Arial"/>
          <w:bCs/>
          <w:i/>
          <w:iCs/>
        </w:rPr>
        <w:t>Note: 2025-26 Actual will be published in the next update in November/ December 2026.</w:t>
      </w:r>
    </w:p>
    <w:bookmarkEnd w:id="78"/>
    <w:p w14:paraId="66ADF847" w14:textId="08003868" w:rsidR="00C10712" w:rsidRPr="00DF64AB" w:rsidRDefault="00C10712" w:rsidP="00C10712">
      <w:pPr>
        <w:rPr>
          <w:rFonts w:ascii="Arial" w:hAnsi="Arial" w:cs="Arial"/>
        </w:rPr>
      </w:pPr>
      <w:r w:rsidRPr="00DF64AB">
        <w:rPr>
          <w:rFonts w:ascii="Arial" w:hAnsi="Arial" w:cs="Arial"/>
        </w:rPr>
        <w:t xml:space="preserve">Until 2018-19, the TGA's activities were </w:t>
      </w:r>
      <w:r w:rsidR="009D54F4">
        <w:rPr>
          <w:rFonts w:ascii="Arial" w:hAnsi="Arial" w:cs="Arial"/>
        </w:rPr>
        <w:t>almost entirely</w:t>
      </w:r>
      <w:r w:rsidR="009D54F4" w:rsidRPr="00DF64AB">
        <w:rPr>
          <w:rFonts w:ascii="Arial" w:hAnsi="Arial" w:cs="Arial"/>
        </w:rPr>
        <w:t xml:space="preserve"> </w:t>
      </w:r>
      <w:r w:rsidRPr="00DF64AB">
        <w:rPr>
          <w:rFonts w:ascii="Arial" w:hAnsi="Arial" w:cs="Arial"/>
        </w:rPr>
        <w:t>cost recovered from industry, except for the cost of the medicines and chemicals scheduling function for which appropriated funding was provided. In addition, the TGA continued to receive appropriated funding in the form of an interest equivalency payment for funds held in the TGA Special Account (cash reserves). From 2019-20 onwards, additional funding was approved by government for activities for which it is not appropriate to recover costs from the industry.</w:t>
      </w:r>
    </w:p>
    <w:p w14:paraId="2BE07FAE" w14:textId="3EEA4F22" w:rsidR="007A296F" w:rsidRPr="00DF64AB" w:rsidRDefault="00C20F72" w:rsidP="00854F0A">
      <w:pPr>
        <w:rPr>
          <w:rFonts w:ascii="Arial" w:hAnsi="Arial" w:cs="Arial"/>
        </w:rPr>
      </w:pPr>
      <w:bookmarkStart w:id="79" w:name="_Hlk103260811"/>
      <w:r w:rsidRPr="00DF64AB">
        <w:rPr>
          <w:rFonts w:ascii="Arial" w:hAnsi="Arial" w:cs="Arial"/>
        </w:rPr>
        <w:t xml:space="preserve">In 2024-25 the TGA had a deficit of $4.23 million. </w:t>
      </w:r>
      <w:r w:rsidR="00854F0A" w:rsidRPr="00DF64AB">
        <w:rPr>
          <w:rFonts w:ascii="Arial" w:hAnsi="Arial" w:cs="Arial"/>
        </w:rPr>
        <w:t xml:space="preserve">Both revenue and expenditure were above budget, with revenue exceeding budget by $5.39 million and expenditure exceeding budget by $3.59 million. As a result, the deficit was $1.8 million lower than budgeted. </w:t>
      </w:r>
      <w:r w:rsidR="00282864" w:rsidRPr="00DF64AB">
        <w:rPr>
          <w:rFonts w:ascii="Arial" w:hAnsi="Arial" w:cs="Arial"/>
        </w:rPr>
        <w:t>S</w:t>
      </w:r>
      <w:r w:rsidRPr="00DF64AB">
        <w:rPr>
          <w:rFonts w:ascii="Arial" w:hAnsi="Arial" w:cs="Arial"/>
        </w:rPr>
        <w:t>upplier expenditure</w:t>
      </w:r>
      <w:r w:rsidR="009D54F4">
        <w:rPr>
          <w:rFonts w:ascii="Arial" w:hAnsi="Arial" w:cs="Arial"/>
        </w:rPr>
        <w:t>,</w:t>
      </w:r>
      <w:r w:rsidRPr="00DF64AB">
        <w:rPr>
          <w:rFonts w:ascii="Arial" w:hAnsi="Arial" w:cs="Arial"/>
        </w:rPr>
        <w:t xml:space="preserve"> </w:t>
      </w:r>
      <w:r w:rsidR="00854F0A" w:rsidRPr="00DF64AB">
        <w:rPr>
          <w:rFonts w:ascii="Arial" w:hAnsi="Arial" w:cs="Arial"/>
        </w:rPr>
        <w:t xml:space="preserve">including </w:t>
      </w:r>
      <w:r w:rsidRPr="00DF64AB">
        <w:rPr>
          <w:rFonts w:ascii="Arial" w:hAnsi="Arial" w:cs="Arial"/>
        </w:rPr>
        <w:t>contractors</w:t>
      </w:r>
      <w:r w:rsidR="009D54F4">
        <w:rPr>
          <w:rFonts w:ascii="Arial" w:hAnsi="Arial" w:cs="Arial"/>
        </w:rPr>
        <w:t xml:space="preserve"> and</w:t>
      </w:r>
      <w:r w:rsidR="009D54F4" w:rsidRPr="00DF64AB">
        <w:rPr>
          <w:rFonts w:ascii="Arial" w:hAnsi="Arial" w:cs="Arial"/>
        </w:rPr>
        <w:t xml:space="preserve"> </w:t>
      </w:r>
      <w:r w:rsidRPr="00DF64AB">
        <w:rPr>
          <w:rFonts w:ascii="Arial" w:hAnsi="Arial" w:cs="Arial"/>
        </w:rPr>
        <w:t>contract for services</w:t>
      </w:r>
      <w:r w:rsidR="009D54F4">
        <w:rPr>
          <w:rFonts w:ascii="Arial" w:hAnsi="Arial" w:cs="Arial"/>
        </w:rPr>
        <w:t>,</w:t>
      </w:r>
      <w:r w:rsidRPr="00DF64AB">
        <w:rPr>
          <w:rFonts w:ascii="Arial" w:hAnsi="Arial" w:cs="Arial"/>
        </w:rPr>
        <w:t xml:space="preserve"> were below budget by $1</w:t>
      </w:r>
      <w:r w:rsidR="00E15553" w:rsidRPr="00DF64AB">
        <w:rPr>
          <w:rFonts w:ascii="Arial" w:hAnsi="Arial" w:cs="Arial"/>
        </w:rPr>
        <w:t>7</w:t>
      </w:r>
      <w:r w:rsidRPr="00DF64AB">
        <w:rPr>
          <w:rFonts w:ascii="Arial" w:hAnsi="Arial" w:cs="Arial"/>
        </w:rPr>
        <w:t>.</w:t>
      </w:r>
      <w:r w:rsidR="00E15553" w:rsidRPr="00DF64AB">
        <w:rPr>
          <w:rFonts w:ascii="Arial" w:hAnsi="Arial" w:cs="Arial"/>
        </w:rPr>
        <w:t>91</w:t>
      </w:r>
      <w:r w:rsidRPr="00DF64AB">
        <w:rPr>
          <w:rFonts w:ascii="Arial" w:hAnsi="Arial" w:cs="Arial"/>
        </w:rPr>
        <w:t xml:space="preserve"> million</w:t>
      </w:r>
      <w:r w:rsidR="00282864" w:rsidRPr="00DF64AB">
        <w:rPr>
          <w:rFonts w:ascii="Arial" w:hAnsi="Arial" w:cs="Arial"/>
        </w:rPr>
        <w:t>,</w:t>
      </w:r>
      <w:r w:rsidRPr="00DF64AB">
        <w:rPr>
          <w:rFonts w:ascii="Arial" w:hAnsi="Arial" w:cs="Arial"/>
        </w:rPr>
        <w:t xml:space="preserve"> predomi</w:t>
      </w:r>
      <w:r w:rsidR="008D58D3" w:rsidRPr="00DF64AB">
        <w:rPr>
          <w:rFonts w:ascii="Arial" w:hAnsi="Arial" w:cs="Arial"/>
        </w:rPr>
        <w:t>n</w:t>
      </w:r>
      <w:r w:rsidRPr="00DF64AB">
        <w:rPr>
          <w:rFonts w:ascii="Arial" w:hAnsi="Arial" w:cs="Arial"/>
        </w:rPr>
        <w:t xml:space="preserve">ately due to </w:t>
      </w:r>
      <w:r w:rsidR="009D54F4">
        <w:rPr>
          <w:rFonts w:ascii="Arial" w:hAnsi="Arial" w:cs="Arial"/>
        </w:rPr>
        <w:t xml:space="preserve">delayed </w:t>
      </w:r>
      <w:r w:rsidRPr="00DF64AB">
        <w:rPr>
          <w:rFonts w:ascii="Arial" w:hAnsi="Arial" w:cs="Arial"/>
        </w:rPr>
        <w:t xml:space="preserve">vaping work being delayed and </w:t>
      </w:r>
      <w:r w:rsidR="009D54F4">
        <w:rPr>
          <w:rFonts w:ascii="Arial" w:hAnsi="Arial" w:cs="Arial"/>
        </w:rPr>
        <w:t>reduced</w:t>
      </w:r>
      <w:r w:rsidR="009D54F4" w:rsidRPr="00DF64AB">
        <w:rPr>
          <w:rFonts w:ascii="Arial" w:hAnsi="Arial" w:cs="Arial"/>
        </w:rPr>
        <w:t xml:space="preserve"> </w:t>
      </w:r>
      <w:r w:rsidRPr="00DF64AB">
        <w:rPr>
          <w:rFonts w:ascii="Arial" w:hAnsi="Arial" w:cs="Arial"/>
        </w:rPr>
        <w:t>use of contract labour hire. Corporate expenses were over budget by $</w:t>
      </w:r>
      <w:r w:rsidR="00E15553" w:rsidRPr="00DF64AB">
        <w:rPr>
          <w:rFonts w:ascii="Arial" w:hAnsi="Arial" w:cs="Arial"/>
        </w:rPr>
        <w:t>21</w:t>
      </w:r>
      <w:r w:rsidRPr="00DF64AB">
        <w:rPr>
          <w:rFonts w:ascii="Arial" w:hAnsi="Arial" w:cs="Arial"/>
        </w:rPr>
        <w:t>.</w:t>
      </w:r>
      <w:r w:rsidR="00E15553" w:rsidRPr="00DF64AB">
        <w:rPr>
          <w:rFonts w:ascii="Arial" w:hAnsi="Arial" w:cs="Arial"/>
        </w:rPr>
        <w:t>40</w:t>
      </w:r>
      <w:r w:rsidRPr="00DF64AB">
        <w:rPr>
          <w:rFonts w:ascii="Arial" w:hAnsi="Arial" w:cs="Arial"/>
        </w:rPr>
        <w:t xml:space="preserve"> million</w:t>
      </w:r>
      <w:r w:rsidR="00282864" w:rsidRPr="00DF64AB">
        <w:rPr>
          <w:rFonts w:ascii="Arial" w:hAnsi="Arial" w:cs="Arial"/>
        </w:rPr>
        <w:t>,</w:t>
      </w:r>
      <w:r w:rsidRPr="00DF64AB">
        <w:rPr>
          <w:rFonts w:ascii="Arial" w:hAnsi="Arial" w:cs="Arial"/>
        </w:rPr>
        <w:t xml:space="preserve"> predominately due to impairment and write-off of intangible software of $22.65 million</w:t>
      </w:r>
      <w:r w:rsidR="00282864" w:rsidRPr="00DF64AB">
        <w:rPr>
          <w:rFonts w:ascii="Arial" w:hAnsi="Arial" w:cs="Arial"/>
        </w:rPr>
        <w:t xml:space="preserve">. </w:t>
      </w:r>
    </w:p>
    <w:p w14:paraId="613F66E8" w14:textId="37920058" w:rsidR="00C20F72" w:rsidRPr="00DF64AB" w:rsidRDefault="00C20F72" w:rsidP="00C20F72">
      <w:pPr>
        <w:rPr>
          <w:rFonts w:ascii="Arial" w:hAnsi="Arial" w:cs="Arial"/>
        </w:rPr>
      </w:pPr>
      <w:r w:rsidRPr="00DF64AB">
        <w:rPr>
          <w:rFonts w:ascii="Arial" w:hAnsi="Arial" w:cs="Arial"/>
        </w:rPr>
        <w:t>The appropriation funding for 202</w:t>
      </w:r>
      <w:r w:rsidR="00DB16CF" w:rsidRPr="00DF64AB">
        <w:rPr>
          <w:rFonts w:ascii="Arial" w:hAnsi="Arial" w:cs="Arial"/>
        </w:rPr>
        <w:t>4</w:t>
      </w:r>
      <w:r w:rsidRPr="00DF64AB">
        <w:rPr>
          <w:rFonts w:ascii="Arial" w:hAnsi="Arial" w:cs="Arial"/>
        </w:rPr>
        <w:t>-2</w:t>
      </w:r>
      <w:r w:rsidR="00DB16CF" w:rsidRPr="00DF64AB">
        <w:rPr>
          <w:rFonts w:ascii="Arial" w:hAnsi="Arial" w:cs="Arial"/>
        </w:rPr>
        <w:t>5</w:t>
      </w:r>
      <w:r w:rsidRPr="00DF64AB">
        <w:rPr>
          <w:rFonts w:ascii="Arial" w:hAnsi="Arial" w:cs="Arial"/>
        </w:rPr>
        <w:t xml:space="preserve"> include</w:t>
      </w:r>
      <w:r w:rsidR="00282864" w:rsidRPr="00DF64AB">
        <w:rPr>
          <w:rFonts w:ascii="Arial" w:hAnsi="Arial" w:cs="Arial"/>
        </w:rPr>
        <w:t>d</w:t>
      </w:r>
      <w:r w:rsidRPr="00DF64AB">
        <w:rPr>
          <w:rFonts w:ascii="Arial" w:hAnsi="Arial" w:cs="Arial"/>
        </w:rPr>
        <w:t xml:space="preserve"> $15 million (2019-20 MYEFO) for fee-free services, $13.40 million (2023-24 public good measure) for public good activities, </w:t>
      </w:r>
      <w:r w:rsidR="00A63572" w:rsidRPr="00DF64AB">
        <w:rPr>
          <w:rFonts w:ascii="Arial" w:hAnsi="Arial" w:cs="Arial"/>
        </w:rPr>
        <w:t xml:space="preserve">$39.17 million for </w:t>
      </w:r>
      <w:r w:rsidRPr="00DF64AB">
        <w:rPr>
          <w:rFonts w:ascii="Arial" w:hAnsi="Arial" w:cs="Arial"/>
        </w:rPr>
        <w:t xml:space="preserve">vaping measures (MYEFO 2023-24), and $6.76 million other government appropriations. </w:t>
      </w:r>
    </w:p>
    <w:p w14:paraId="585BCD03" w14:textId="372C2E37" w:rsidR="00C20F72" w:rsidRPr="00DF64AB" w:rsidRDefault="00C20F72" w:rsidP="00C20F72">
      <w:pPr>
        <w:rPr>
          <w:rFonts w:ascii="Arial" w:hAnsi="Arial" w:cs="Arial"/>
        </w:rPr>
      </w:pPr>
      <w:r w:rsidRPr="00DF64AB">
        <w:rPr>
          <w:rFonts w:ascii="Arial" w:hAnsi="Arial" w:cs="Arial"/>
        </w:rPr>
        <w:t xml:space="preserve">The TGA aims to maintain reserves to provide a buffer for volatility in revenue streams </w:t>
      </w:r>
      <w:r w:rsidR="00952C02">
        <w:rPr>
          <w:rFonts w:ascii="Arial" w:hAnsi="Arial" w:cs="Arial"/>
        </w:rPr>
        <w:t>such as for</w:t>
      </w:r>
      <w:r w:rsidRPr="00DF64AB">
        <w:rPr>
          <w:rFonts w:ascii="Arial" w:hAnsi="Arial" w:cs="Arial"/>
        </w:rPr>
        <w:t xml:space="preserve"> applications, assessments, evaluations, inspections</w:t>
      </w:r>
      <w:r w:rsidR="00952C02">
        <w:rPr>
          <w:rFonts w:ascii="Arial" w:hAnsi="Arial" w:cs="Arial"/>
        </w:rPr>
        <w:t>,</w:t>
      </w:r>
      <w:r w:rsidRPr="00DF64AB">
        <w:rPr>
          <w:rFonts w:ascii="Arial" w:hAnsi="Arial" w:cs="Arial"/>
        </w:rPr>
        <w:t xml:space="preserve"> and </w:t>
      </w:r>
      <w:r w:rsidR="009D54F4" w:rsidRPr="00DF64AB">
        <w:rPr>
          <w:rFonts w:ascii="Arial" w:hAnsi="Arial" w:cs="Arial"/>
        </w:rPr>
        <w:t>respon</w:t>
      </w:r>
      <w:r w:rsidR="009D54F4">
        <w:rPr>
          <w:rFonts w:ascii="Arial" w:hAnsi="Arial" w:cs="Arial"/>
        </w:rPr>
        <w:t>ses</w:t>
      </w:r>
      <w:r w:rsidR="009D54F4" w:rsidRPr="00DF64AB">
        <w:rPr>
          <w:rFonts w:ascii="Arial" w:hAnsi="Arial" w:cs="Arial"/>
        </w:rPr>
        <w:t xml:space="preserve"> </w:t>
      </w:r>
      <w:r w:rsidRPr="00DF64AB">
        <w:rPr>
          <w:rFonts w:ascii="Arial" w:hAnsi="Arial" w:cs="Arial"/>
        </w:rPr>
        <w:t xml:space="preserve">to major external or unplanned impacts </w:t>
      </w:r>
      <w:r w:rsidR="00952C02">
        <w:rPr>
          <w:rFonts w:ascii="Arial" w:hAnsi="Arial" w:cs="Arial"/>
        </w:rPr>
        <w:t xml:space="preserve">including </w:t>
      </w:r>
      <w:r w:rsidRPr="00DF64AB">
        <w:rPr>
          <w:rFonts w:ascii="Arial" w:hAnsi="Arial" w:cs="Arial"/>
        </w:rPr>
        <w:t>recalls</w:t>
      </w:r>
      <w:r w:rsidR="00952C02">
        <w:rPr>
          <w:rFonts w:ascii="Arial" w:hAnsi="Arial" w:cs="Arial"/>
        </w:rPr>
        <w:t xml:space="preserve"> and</w:t>
      </w:r>
      <w:r w:rsidRPr="00DF64AB">
        <w:rPr>
          <w:rFonts w:ascii="Arial" w:hAnsi="Arial" w:cs="Arial"/>
        </w:rPr>
        <w:t xml:space="preserve"> product tampering. The target for the reserve balance has been set at </w:t>
      </w:r>
      <w:r w:rsidR="009D54F4">
        <w:rPr>
          <w:rFonts w:ascii="Arial" w:hAnsi="Arial" w:cs="Arial"/>
        </w:rPr>
        <w:t>approximately</w:t>
      </w:r>
      <w:r w:rsidR="009D54F4" w:rsidRPr="00DF64AB">
        <w:rPr>
          <w:rFonts w:ascii="Arial" w:hAnsi="Arial" w:cs="Arial"/>
        </w:rPr>
        <w:t xml:space="preserve"> </w:t>
      </w:r>
      <w:r w:rsidRPr="00DF64AB">
        <w:rPr>
          <w:rFonts w:ascii="Arial" w:hAnsi="Arial" w:cs="Arial"/>
        </w:rPr>
        <w:t xml:space="preserve">25% of the yearly operating budget in previous years, or around $50 million. There is no statutory requirement for the 25% figure. </w:t>
      </w:r>
    </w:p>
    <w:p w14:paraId="54D4DA29" w14:textId="77777777" w:rsidR="00C20F72" w:rsidRPr="00DF64AB" w:rsidRDefault="00C20F72" w:rsidP="00C20F72">
      <w:pPr>
        <w:rPr>
          <w:rFonts w:ascii="Arial" w:hAnsi="Arial" w:cs="Arial"/>
        </w:rPr>
      </w:pPr>
      <w:r w:rsidRPr="00DF64AB">
        <w:rPr>
          <w:rFonts w:ascii="Arial" w:hAnsi="Arial" w:cs="Arial"/>
        </w:rPr>
        <w:t>Depreciation is accumulated in cash reserves for the replacement of assets. The Government expects the TGA to manage within its cost recovery resources and therefore investment in new, or replacement of existing, business systems must come from the responsible management of cash reserves.</w:t>
      </w:r>
    </w:p>
    <w:p w14:paraId="04C22A38" w14:textId="6482C4EC" w:rsidR="00C20F72" w:rsidRPr="00DF64AB" w:rsidRDefault="00C20F72" w:rsidP="00C20F72">
      <w:pPr>
        <w:rPr>
          <w:rFonts w:ascii="Arial" w:hAnsi="Arial" w:cs="Arial"/>
          <w:highlight w:val="yellow"/>
        </w:rPr>
      </w:pPr>
      <w:r w:rsidRPr="00DF64AB">
        <w:rPr>
          <w:rFonts w:ascii="Arial" w:hAnsi="Arial" w:cs="Arial"/>
        </w:rPr>
        <w:t xml:space="preserve">The Government </w:t>
      </w:r>
      <w:r w:rsidR="00087720" w:rsidRPr="00DF64AB">
        <w:rPr>
          <w:rFonts w:ascii="Arial" w:hAnsi="Arial" w:cs="Arial"/>
        </w:rPr>
        <w:t>provided</w:t>
      </w:r>
      <w:r w:rsidRPr="00DF64AB">
        <w:rPr>
          <w:rFonts w:ascii="Arial" w:hAnsi="Arial" w:cs="Arial"/>
        </w:rPr>
        <w:t xml:space="preserve"> $23.28 million in funding for the Business Digital Transformation Project (DTP) and the enhanced implementation of Australia’s UDI system for the safety and traceability of </w:t>
      </w:r>
      <w:r w:rsidRPr="00DF64AB">
        <w:rPr>
          <w:rFonts w:ascii="Arial" w:hAnsi="Arial" w:cs="Arial"/>
        </w:rPr>
        <w:lastRenderedPageBreak/>
        <w:t xml:space="preserve">medical devices. These funds are drawn from TGA cash reserves. The Government decision mandates cost recovery of $23.28 million from the industry over 6 years, commencing in 2024. </w:t>
      </w:r>
    </w:p>
    <w:p w14:paraId="22D1BC12" w14:textId="77777777" w:rsidR="00EC3B5D" w:rsidRPr="00DF64AB" w:rsidRDefault="00EC3B5D" w:rsidP="00EC3B5D">
      <w:pPr>
        <w:pStyle w:val="Heading3"/>
        <w:rPr>
          <w:rFonts w:cs="Arial"/>
        </w:rPr>
      </w:pPr>
      <w:bookmarkStart w:id="80" w:name="_Toc169081987"/>
      <w:bookmarkStart w:id="81" w:name="_Toc233286957"/>
      <w:bookmarkEnd w:id="79"/>
      <w:r w:rsidRPr="00DF64AB">
        <w:rPr>
          <w:rFonts w:cs="Arial"/>
        </w:rPr>
        <w:t>b) Non-financial performance</w:t>
      </w:r>
      <w:bookmarkEnd w:id="80"/>
      <w:bookmarkEnd w:id="81"/>
    </w:p>
    <w:p w14:paraId="301F6152" w14:textId="3C5A88FA" w:rsidR="00212BFD" w:rsidRPr="00DF64AB" w:rsidRDefault="00B514B1" w:rsidP="00212BFD">
      <w:pPr>
        <w:rPr>
          <w:rFonts w:ascii="Arial" w:hAnsi="Arial" w:cs="Arial"/>
        </w:rPr>
      </w:pPr>
      <w:r w:rsidRPr="00DF64AB">
        <w:rPr>
          <w:rFonts w:ascii="Arial" w:hAnsi="Arial" w:cs="Arial"/>
        </w:rPr>
        <w:t xml:space="preserve">Each year we provide information about our regulatory performance through the </w:t>
      </w:r>
      <w:hyperlink r:id="rId37" w:history="1">
        <w:r w:rsidRPr="00DF64AB">
          <w:rPr>
            <w:rStyle w:val="Hyperlink"/>
            <w:rFonts w:cs="Arial"/>
          </w:rPr>
          <w:t>TGA Performance Report</w:t>
        </w:r>
      </w:hyperlink>
      <w:r w:rsidRPr="00DF64AB">
        <w:rPr>
          <w:rFonts w:ascii="Arial" w:hAnsi="Arial" w:cs="Arial"/>
        </w:rPr>
        <w:t xml:space="preserve"> and the </w:t>
      </w:r>
      <w:hyperlink r:id="rId38" w:history="1">
        <w:r w:rsidRPr="00DF64AB">
          <w:rPr>
            <w:rStyle w:val="Hyperlink"/>
            <w:rFonts w:cs="Arial"/>
          </w:rPr>
          <w:t>TGA Business Plan</w:t>
        </w:r>
      </w:hyperlink>
      <w:r w:rsidRPr="00DF64AB">
        <w:rPr>
          <w:rFonts w:ascii="Arial" w:hAnsi="Arial" w:cs="Arial"/>
        </w:rPr>
        <w:t>. The statistics contained within th</w:t>
      </w:r>
      <w:r w:rsidR="001D1D58">
        <w:rPr>
          <w:rFonts w:ascii="Arial" w:hAnsi="Arial" w:cs="Arial"/>
        </w:rPr>
        <w:t>e</w:t>
      </w:r>
      <w:r w:rsidRPr="00DF64AB">
        <w:rPr>
          <w:rFonts w:ascii="Arial" w:hAnsi="Arial" w:cs="Arial"/>
        </w:rPr>
        <w:t xml:space="preserve"> </w:t>
      </w:r>
      <w:hyperlink r:id="rId39" w:history="1">
        <w:r w:rsidRPr="00DF64AB">
          <w:rPr>
            <w:rStyle w:val="Hyperlink"/>
            <w:rFonts w:cs="Arial"/>
          </w:rPr>
          <w:t>TGA Performance Report</w:t>
        </w:r>
      </w:hyperlink>
      <w:r w:rsidRPr="00DF64AB">
        <w:rPr>
          <w:rFonts w:ascii="Arial" w:hAnsi="Arial" w:cs="Arial"/>
        </w:rPr>
        <w:t xml:space="preserve"> cover</w:t>
      </w:r>
      <w:r w:rsidR="001D1D58">
        <w:rPr>
          <w:rFonts w:ascii="Arial" w:hAnsi="Arial" w:cs="Arial"/>
        </w:rPr>
        <w:t>s</w:t>
      </w:r>
      <w:r w:rsidRPr="00DF64AB">
        <w:rPr>
          <w:rFonts w:ascii="Arial" w:hAnsi="Arial" w:cs="Arial"/>
        </w:rPr>
        <w:t xml:space="preserve"> the period 1 July 202</w:t>
      </w:r>
      <w:r w:rsidR="006B456E" w:rsidRPr="00DF64AB">
        <w:rPr>
          <w:rFonts w:ascii="Arial" w:hAnsi="Arial" w:cs="Arial"/>
        </w:rPr>
        <w:t>4</w:t>
      </w:r>
      <w:r w:rsidRPr="00DF64AB">
        <w:rPr>
          <w:rFonts w:ascii="Arial" w:hAnsi="Arial" w:cs="Arial"/>
        </w:rPr>
        <w:t xml:space="preserve"> to </w:t>
      </w:r>
      <w:r w:rsidR="00360DBE" w:rsidRPr="00DF64AB">
        <w:rPr>
          <w:rFonts w:ascii="Arial" w:hAnsi="Arial" w:cs="Arial"/>
        </w:rPr>
        <w:t>30 June 2025</w:t>
      </w:r>
      <w:r w:rsidR="009D54F4">
        <w:rPr>
          <w:rFonts w:ascii="Arial" w:hAnsi="Arial" w:cs="Arial"/>
        </w:rPr>
        <w:t xml:space="preserve">, contributing </w:t>
      </w:r>
      <w:r w:rsidRPr="00DF64AB">
        <w:rPr>
          <w:rFonts w:ascii="Arial" w:hAnsi="Arial" w:cs="Arial"/>
        </w:rPr>
        <w:t>to public</w:t>
      </w:r>
      <w:r w:rsidR="009D54F4">
        <w:rPr>
          <w:rFonts w:ascii="Arial" w:hAnsi="Arial" w:cs="Arial"/>
        </w:rPr>
        <w:t xml:space="preserve"> reporting</w:t>
      </w:r>
      <w:r w:rsidRPr="00DF64AB">
        <w:rPr>
          <w:rFonts w:ascii="Arial" w:hAnsi="Arial" w:cs="Arial"/>
        </w:rPr>
        <w:t xml:space="preserve"> that track our progress against priorities we have established for the financial year. </w:t>
      </w:r>
      <w:r w:rsidR="00DB16CF" w:rsidRPr="00DF64AB">
        <w:rPr>
          <w:rFonts w:ascii="Arial" w:hAnsi="Arial" w:cs="Arial"/>
        </w:rPr>
        <w:t>The TGA’s performance report containing the statistics for the period 1 July 202</w:t>
      </w:r>
      <w:r w:rsidR="009C1002" w:rsidRPr="00DF64AB">
        <w:rPr>
          <w:rFonts w:ascii="Arial" w:hAnsi="Arial" w:cs="Arial"/>
        </w:rPr>
        <w:t>5</w:t>
      </w:r>
      <w:r w:rsidR="00DB16CF" w:rsidRPr="00DF64AB">
        <w:rPr>
          <w:rFonts w:ascii="Arial" w:hAnsi="Arial" w:cs="Arial"/>
        </w:rPr>
        <w:t xml:space="preserve"> to 30 June 202</w:t>
      </w:r>
      <w:r w:rsidR="009C1002" w:rsidRPr="00DF64AB">
        <w:rPr>
          <w:rFonts w:ascii="Arial" w:hAnsi="Arial" w:cs="Arial"/>
        </w:rPr>
        <w:t>6</w:t>
      </w:r>
      <w:r w:rsidR="00DB16CF" w:rsidRPr="00DF64AB">
        <w:rPr>
          <w:rFonts w:ascii="Arial" w:hAnsi="Arial" w:cs="Arial"/>
        </w:rPr>
        <w:t xml:space="preserve"> will be released </w:t>
      </w:r>
      <w:r w:rsidR="00087720" w:rsidRPr="00DF64AB">
        <w:rPr>
          <w:rFonts w:ascii="Arial" w:hAnsi="Arial" w:cs="Arial"/>
        </w:rPr>
        <w:t>in 202</w:t>
      </w:r>
      <w:r w:rsidR="006B456E" w:rsidRPr="00DF64AB">
        <w:rPr>
          <w:rFonts w:ascii="Arial" w:hAnsi="Arial" w:cs="Arial"/>
        </w:rPr>
        <w:t>7</w:t>
      </w:r>
      <w:r w:rsidR="00DB16CF" w:rsidRPr="00DF64AB">
        <w:rPr>
          <w:rFonts w:ascii="Arial" w:hAnsi="Arial" w:cs="Arial"/>
        </w:rPr>
        <w:t>.</w:t>
      </w:r>
      <w:bookmarkStart w:id="82" w:name="_Toc169081988"/>
    </w:p>
    <w:p w14:paraId="693C7441" w14:textId="77777777" w:rsidR="00174C6C" w:rsidRDefault="00174C6C">
      <w:pPr>
        <w:rPr>
          <w:rFonts w:ascii="Arial" w:eastAsia="Times New Roman" w:hAnsi="Arial" w:cs="Arial"/>
          <w:b/>
          <w:bCs/>
          <w:color w:val="001871"/>
          <w:sz w:val="38"/>
          <w:szCs w:val="38"/>
        </w:rPr>
      </w:pPr>
      <w:r>
        <w:rPr>
          <w:rFonts w:cs="Arial"/>
        </w:rPr>
        <w:br w:type="page"/>
      </w:r>
    </w:p>
    <w:p w14:paraId="742502E6" w14:textId="211CCEF6" w:rsidR="009C7713" w:rsidRPr="00DF64AB" w:rsidRDefault="009C7713" w:rsidP="006F538D">
      <w:pPr>
        <w:pStyle w:val="Heading2"/>
        <w:spacing w:before="100" w:beforeAutospacing="1"/>
        <w:rPr>
          <w:rFonts w:cs="Arial"/>
        </w:rPr>
      </w:pPr>
      <w:bookmarkStart w:id="83" w:name="_Toc233286958"/>
      <w:r w:rsidRPr="00DF64AB">
        <w:rPr>
          <w:rFonts w:cs="Arial"/>
        </w:rPr>
        <w:lastRenderedPageBreak/>
        <w:t>Key forward events</w:t>
      </w:r>
      <w:bookmarkEnd w:id="82"/>
      <w:bookmarkEnd w:id="83"/>
    </w:p>
    <w:tbl>
      <w:tblPr>
        <w:tblStyle w:val="TableTGAblue2023"/>
        <w:tblW w:w="0" w:type="auto"/>
        <w:tblLook w:val="04A0" w:firstRow="1" w:lastRow="0" w:firstColumn="1" w:lastColumn="0" w:noHBand="0" w:noVBand="1"/>
      </w:tblPr>
      <w:tblGrid>
        <w:gridCol w:w="4957"/>
        <w:gridCol w:w="3969"/>
      </w:tblGrid>
      <w:tr w:rsidR="005170A4" w:rsidRPr="00DF64AB" w14:paraId="65FE1D7A" w14:textId="77777777" w:rsidTr="00517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364A661" w14:textId="5FB0C72A" w:rsidR="005170A4" w:rsidRPr="00DF64AB" w:rsidRDefault="005170A4" w:rsidP="005170A4">
            <w:pPr>
              <w:ind w:left="0"/>
              <w:rPr>
                <w:rFonts w:cs="Arial"/>
              </w:rPr>
            </w:pPr>
            <w:r w:rsidRPr="00DF64AB">
              <w:rPr>
                <w:rFonts w:cs="Arial"/>
              </w:rPr>
              <w:t>Key forward events schedule</w:t>
            </w:r>
          </w:p>
        </w:tc>
        <w:tc>
          <w:tcPr>
            <w:tcW w:w="3969" w:type="dxa"/>
          </w:tcPr>
          <w:p w14:paraId="4CA16074" w14:textId="1BD5921E" w:rsidR="005170A4" w:rsidRPr="00DF64AB" w:rsidRDefault="005170A4" w:rsidP="00BC6DE1">
            <w:pPr>
              <w:ind w:left="0"/>
              <w:cnfStyle w:val="100000000000" w:firstRow="1" w:lastRow="0" w:firstColumn="0" w:lastColumn="0" w:oddVBand="0" w:evenVBand="0" w:oddHBand="0" w:evenHBand="0" w:firstRowFirstColumn="0" w:firstRowLastColumn="0" w:lastRowFirstColumn="0" w:lastRowLastColumn="0"/>
              <w:rPr>
                <w:rFonts w:cs="Arial"/>
              </w:rPr>
            </w:pPr>
            <w:r w:rsidRPr="00DF64AB">
              <w:rPr>
                <w:rFonts w:cs="Arial"/>
              </w:rPr>
              <w:t>Next scheduled update</w:t>
            </w:r>
          </w:p>
        </w:tc>
      </w:tr>
      <w:tr w:rsidR="008E6DAF" w:rsidRPr="00DF64AB" w14:paraId="2B7BF6FF" w14:textId="77777777" w:rsidTr="005170A4">
        <w:tc>
          <w:tcPr>
            <w:cnfStyle w:val="001000000000" w:firstRow="0" w:lastRow="0" w:firstColumn="1" w:lastColumn="0" w:oddVBand="0" w:evenVBand="0" w:oddHBand="0" w:evenHBand="0" w:firstRowFirstColumn="0" w:firstRowLastColumn="0" w:lastRowFirstColumn="0" w:lastRowLastColumn="0"/>
            <w:tcW w:w="4957" w:type="dxa"/>
          </w:tcPr>
          <w:p w14:paraId="60BDBB44" w14:textId="636015CC" w:rsidR="008E6DAF" w:rsidRPr="00DF64AB" w:rsidRDefault="008E6DAF" w:rsidP="008E6DAF">
            <w:pPr>
              <w:ind w:left="0"/>
              <w:rPr>
                <w:rFonts w:cs="Arial"/>
                <w:sz w:val="20"/>
                <w:szCs w:val="20"/>
              </w:rPr>
            </w:pPr>
            <w:r w:rsidRPr="00DF64AB">
              <w:rPr>
                <w:rFonts w:cs="Arial"/>
                <w:sz w:val="20"/>
                <w:szCs w:val="20"/>
              </w:rPr>
              <w:t>Update actual financial information for 2025-26</w:t>
            </w:r>
          </w:p>
        </w:tc>
        <w:tc>
          <w:tcPr>
            <w:tcW w:w="3969" w:type="dxa"/>
          </w:tcPr>
          <w:p w14:paraId="6FD7238E" w14:textId="44ACBF27" w:rsidR="008E6DAF" w:rsidRPr="00DF64AB" w:rsidRDefault="008E6DAF" w:rsidP="008E6DAF">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November 2026</w:t>
            </w:r>
          </w:p>
        </w:tc>
      </w:tr>
    </w:tbl>
    <w:p w14:paraId="47B73441" w14:textId="59A090B8" w:rsidR="009C7713" w:rsidRPr="00DF64AB" w:rsidRDefault="009C7713" w:rsidP="009C7713">
      <w:pPr>
        <w:pStyle w:val="Heading2"/>
        <w:rPr>
          <w:rFonts w:cs="Arial"/>
        </w:rPr>
      </w:pPr>
      <w:bookmarkStart w:id="84" w:name="_Toc169081989"/>
      <w:bookmarkStart w:id="85" w:name="_Toc233286959"/>
      <w:r w:rsidRPr="00DF64AB">
        <w:rPr>
          <w:rFonts w:cs="Arial"/>
        </w:rPr>
        <w:t>CRIS approval and change register</w:t>
      </w:r>
      <w:bookmarkEnd w:id="84"/>
      <w:bookmarkEnd w:id="85"/>
    </w:p>
    <w:tbl>
      <w:tblPr>
        <w:tblStyle w:val="TableTGAblue2023"/>
        <w:tblW w:w="0" w:type="auto"/>
        <w:tblLook w:val="04A0" w:firstRow="1" w:lastRow="0" w:firstColumn="1" w:lastColumn="0" w:noHBand="0" w:noVBand="1"/>
      </w:tblPr>
      <w:tblGrid>
        <w:gridCol w:w="1696"/>
        <w:gridCol w:w="3544"/>
        <w:gridCol w:w="3820"/>
      </w:tblGrid>
      <w:tr w:rsidR="003423F5" w:rsidRPr="00DF64AB" w14:paraId="65F3D3A7" w14:textId="77777777" w:rsidTr="00342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3269B4E" w14:textId="5C2CC6CD" w:rsidR="003423F5" w:rsidRPr="00DF64AB" w:rsidRDefault="003423F5" w:rsidP="003423F5">
            <w:pPr>
              <w:ind w:left="0"/>
              <w:rPr>
                <w:rFonts w:cs="Arial"/>
              </w:rPr>
            </w:pPr>
            <w:r w:rsidRPr="00DF64AB">
              <w:rPr>
                <w:rFonts w:cs="Arial"/>
              </w:rPr>
              <w:t>Date of CRIS change</w:t>
            </w:r>
          </w:p>
        </w:tc>
        <w:tc>
          <w:tcPr>
            <w:tcW w:w="3544" w:type="dxa"/>
            <w:vAlign w:val="center"/>
          </w:tcPr>
          <w:p w14:paraId="4B20AF11" w14:textId="3CD393A5" w:rsidR="003423F5" w:rsidRPr="00DF64AB"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DF64AB">
              <w:rPr>
                <w:rFonts w:cs="Arial"/>
              </w:rPr>
              <w:t>Approver</w:t>
            </w:r>
          </w:p>
        </w:tc>
        <w:tc>
          <w:tcPr>
            <w:tcW w:w="3820" w:type="dxa"/>
            <w:vAlign w:val="center"/>
          </w:tcPr>
          <w:p w14:paraId="3FE8EDB3" w14:textId="1BD3ED5F" w:rsidR="003423F5" w:rsidRPr="00DF64AB"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DF64AB">
              <w:rPr>
                <w:rFonts w:cs="Arial"/>
              </w:rPr>
              <w:t>CRIS change</w:t>
            </w:r>
          </w:p>
        </w:tc>
      </w:tr>
      <w:tr w:rsidR="003423F5" w:rsidRPr="00DF64AB" w14:paraId="3A6F4114" w14:textId="77777777" w:rsidTr="003423F5">
        <w:tc>
          <w:tcPr>
            <w:cnfStyle w:val="001000000000" w:firstRow="0" w:lastRow="0" w:firstColumn="1" w:lastColumn="0" w:oddVBand="0" w:evenVBand="0" w:oddHBand="0" w:evenHBand="0" w:firstRowFirstColumn="0" w:firstRowLastColumn="0" w:lastRowFirstColumn="0" w:lastRowLastColumn="0"/>
            <w:tcW w:w="1696" w:type="dxa"/>
            <w:vAlign w:val="center"/>
          </w:tcPr>
          <w:p w14:paraId="01222E5C" w14:textId="2A847AF2" w:rsidR="003423F5" w:rsidRPr="00DF64AB" w:rsidRDefault="00617E2C" w:rsidP="00E80B76">
            <w:pPr>
              <w:ind w:left="0"/>
              <w:rPr>
                <w:rFonts w:cs="Arial"/>
                <w:sz w:val="20"/>
                <w:szCs w:val="20"/>
              </w:rPr>
            </w:pPr>
            <w:r w:rsidRPr="00DF64AB">
              <w:rPr>
                <w:rFonts w:cs="Arial"/>
                <w:sz w:val="20"/>
                <w:szCs w:val="20"/>
              </w:rPr>
              <w:t>XX</w:t>
            </w:r>
            <w:r w:rsidR="003423F5" w:rsidRPr="00DF64AB">
              <w:rPr>
                <w:rFonts w:cs="Arial"/>
                <w:sz w:val="20"/>
                <w:szCs w:val="20"/>
              </w:rPr>
              <w:t>/6/</w:t>
            </w:r>
            <w:r w:rsidRPr="00DF64AB">
              <w:rPr>
                <w:rFonts w:cs="Arial"/>
                <w:sz w:val="20"/>
                <w:szCs w:val="20"/>
              </w:rPr>
              <w:t>2026</w:t>
            </w:r>
          </w:p>
        </w:tc>
        <w:tc>
          <w:tcPr>
            <w:tcW w:w="3544" w:type="dxa"/>
            <w:vAlign w:val="center"/>
          </w:tcPr>
          <w:p w14:paraId="1759251D" w14:textId="2F2A9E81" w:rsidR="003423F5" w:rsidRPr="00DF64AB"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 xml:space="preserve">Deputy Secretary, </w:t>
            </w:r>
            <w:r w:rsidR="00A2064C" w:rsidRPr="00DF64AB">
              <w:rPr>
                <w:rFonts w:cs="Arial"/>
                <w:sz w:val="20"/>
                <w:szCs w:val="20"/>
              </w:rPr>
              <w:t xml:space="preserve">Health Products Regulation Group </w:t>
            </w:r>
          </w:p>
        </w:tc>
        <w:tc>
          <w:tcPr>
            <w:tcW w:w="3820" w:type="dxa"/>
            <w:vAlign w:val="center"/>
          </w:tcPr>
          <w:p w14:paraId="51F18B06" w14:textId="376D6ABC" w:rsidR="003423F5" w:rsidRPr="00DF64AB"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DF64AB">
              <w:rPr>
                <w:rFonts w:cs="Arial"/>
                <w:sz w:val="20"/>
                <w:szCs w:val="20"/>
              </w:rPr>
              <w:t xml:space="preserve">CRIS approved for revised fees and charges from 1 July </w:t>
            </w:r>
            <w:r w:rsidR="00A2064C" w:rsidRPr="00DF64AB">
              <w:rPr>
                <w:rFonts w:cs="Arial"/>
                <w:sz w:val="20"/>
                <w:szCs w:val="20"/>
              </w:rPr>
              <w:t>202</w:t>
            </w:r>
            <w:r w:rsidR="00B83D0A" w:rsidRPr="00DF64AB">
              <w:rPr>
                <w:rFonts w:cs="Arial"/>
                <w:sz w:val="20"/>
                <w:szCs w:val="20"/>
              </w:rPr>
              <w:t>6</w:t>
            </w:r>
          </w:p>
        </w:tc>
      </w:tr>
    </w:tbl>
    <w:p w14:paraId="6E981D05" w14:textId="77777777" w:rsidR="003423F5" w:rsidRPr="00DF64AB" w:rsidRDefault="003423F5" w:rsidP="003423F5">
      <w:pPr>
        <w:rPr>
          <w:rFonts w:ascii="Arial" w:hAnsi="Arial" w:cs="Arial"/>
        </w:rPr>
      </w:pPr>
    </w:p>
    <w:p w14:paraId="3C0E5D0C" w14:textId="77777777" w:rsidR="003423F5" w:rsidRPr="00DF64AB" w:rsidRDefault="003423F5" w:rsidP="003423F5">
      <w:pPr>
        <w:rPr>
          <w:rFonts w:ascii="Arial" w:hAnsi="Arial" w:cs="Arial"/>
        </w:rPr>
      </w:pPr>
    </w:p>
    <w:p w14:paraId="42735842" w14:textId="30BB7CE2" w:rsidR="009200E1" w:rsidRPr="00DF64AB" w:rsidRDefault="009200E1">
      <w:pPr>
        <w:rPr>
          <w:rFonts w:ascii="Arial" w:hAnsi="Arial" w:cs="Arial"/>
        </w:rPr>
      </w:pPr>
    </w:p>
    <w:p w14:paraId="6B6323D6" w14:textId="77777777" w:rsidR="00CD00E6" w:rsidRPr="00DF64AB" w:rsidRDefault="00CD00E6" w:rsidP="00CD00E6">
      <w:pPr>
        <w:rPr>
          <w:rFonts w:ascii="Arial" w:hAnsi="Arial" w:cs="Arial"/>
        </w:rPr>
        <w:sectPr w:rsidR="00CD00E6" w:rsidRPr="00DF64AB" w:rsidSect="00AE7C6A">
          <w:headerReference w:type="default" r:id="rId40"/>
          <w:footerReference w:type="default" r:id="rId41"/>
          <w:pgSz w:w="11906" w:h="16838" w:code="9"/>
          <w:pgMar w:top="1134" w:right="1418" w:bottom="1361" w:left="1418" w:header="573" w:footer="567" w:gutter="0"/>
          <w:cols w:space="708"/>
          <w:docGrid w:linePitch="360"/>
        </w:sectPr>
      </w:pPr>
      <w:bookmarkStart w:id="86" w:name="_Appendix_1_-"/>
      <w:bookmarkEnd w:id="12"/>
      <w:bookmarkEnd w:id="13"/>
      <w:bookmarkEnd w:id="86"/>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DF64AB" w14:paraId="4787B752" w14:textId="77777777" w:rsidTr="00564BBE">
        <w:trPr>
          <w:trHeight w:hRule="exact" w:val="565"/>
          <w:jc w:val="center"/>
        </w:trPr>
        <w:tc>
          <w:tcPr>
            <w:tcW w:w="9145" w:type="dxa"/>
          </w:tcPr>
          <w:p w14:paraId="5562BA08" w14:textId="77777777" w:rsidR="00F02AEC" w:rsidRPr="00DF64AB" w:rsidRDefault="00F02AEC" w:rsidP="00564BBE">
            <w:pPr>
              <w:pStyle w:val="TGASignoff"/>
              <w:rPr>
                <w:rFonts w:cs="Arial"/>
              </w:rPr>
            </w:pPr>
            <w:r w:rsidRPr="00DF64AB">
              <w:rPr>
                <w:rFonts w:cs="Arial"/>
              </w:rPr>
              <w:lastRenderedPageBreak/>
              <w:t>Therapeutic Goods Administration</w:t>
            </w:r>
          </w:p>
        </w:tc>
      </w:tr>
      <w:tr w:rsidR="00F02AEC" w:rsidRPr="00DF64AB" w14:paraId="345FB2AA" w14:textId="77777777" w:rsidTr="00564BBE">
        <w:trPr>
          <w:trHeight w:val="963"/>
          <w:jc w:val="center"/>
        </w:trPr>
        <w:tc>
          <w:tcPr>
            <w:tcW w:w="9145" w:type="dxa"/>
            <w:tcMar>
              <w:top w:w="28" w:type="dxa"/>
            </w:tcMar>
          </w:tcPr>
          <w:p w14:paraId="3C90ACA4" w14:textId="77777777" w:rsidR="00F02AEC" w:rsidRPr="00DF64AB" w:rsidRDefault="00F02AEC" w:rsidP="00EB5622">
            <w:pPr>
              <w:pStyle w:val="Address"/>
              <w:jc w:val="center"/>
              <w:rPr>
                <w:rFonts w:cs="Arial"/>
              </w:rPr>
            </w:pPr>
            <w:r w:rsidRPr="00DF64AB">
              <w:rPr>
                <w:rFonts w:cs="Arial"/>
              </w:rPr>
              <w:t>PO Box 100 Woden ACT 2606 Australia</w:t>
            </w:r>
          </w:p>
          <w:p w14:paraId="153BDFFB" w14:textId="5CBEDCFA" w:rsidR="00F02AEC" w:rsidRPr="00DF64AB" w:rsidRDefault="00F02AEC">
            <w:pPr>
              <w:pStyle w:val="Address"/>
              <w:jc w:val="center"/>
              <w:rPr>
                <w:rFonts w:cs="Arial"/>
                <w:sz w:val="22"/>
                <w:szCs w:val="22"/>
              </w:rPr>
            </w:pPr>
            <w:r w:rsidRPr="00DF64AB">
              <w:rPr>
                <w:rFonts w:cs="Arial"/>
              </w:rPr>
              <w:t xml:space="preserve">Email: </w:t>
            </w:r>
            <w:hyperlink r:id="rId42" w:history="1">
              <w:r w:rsidRPr="00DF64AB">
                <w:rPr>
                  <w:rStyle w:val="Hyperlink"/>
                  <w:rFonts w:cs="Arial"/>
                </w:rPr>
                <w:t>info@tga.gov.au</w:t>
              </w:r>
            </w:hyperlink>
            <w:r w:rsidRPr="00DF64AB">
              <w:rPr>
                <w:rFonts w:cs="Arial"/>
              </w:rPr>
              <w:t xml:space="preserve">  Phone: 1800 020 </w:t>
            </w:r>
            <w:r w:rsidR="007475D4" w:rsidRPr="00DF64AB">
              <w:rPr>
                <w:rFonts w:cs="Arial"/>
              </w:rPr>
              <w:t>653 Fax</w:t>
            </w:r>
            <w:r w:rsidRPr="00DF64AB">
              <w:rPr>
                <w:rFonts w:cs="Arial"/>
              </w:rPr>
              <w:t>: 02 6203 1605</w:t>
            </w:r>
          </w:p>
          <w:p w14:paraId="350C4FD7" w14:textId="77777777" w:rsidR="00F02AEC" w:rsidRPr="00DF64AB" w:rsidRDefault="00F02AEC">
            <w:pPr>
              <w:pStyle w:val="Address"/>
              <w:jc w:val="center"/>
              <w:rPr>
                <w:rStyle w:val="Hyperlink"/>
                <w:rFonts w:cs="Arial"/>
                <w:b/>
                <w:color w:val="auto"/>
                <w:sz w:val="22"/>
              </w:rPr>
            </w:pPr>
            <w:hyperlink r:id="rId43" w:history="1">
              <w:r w:rsidRPr="00DF64AB">
                <w:rPr>
                  <w:rStyle w:val="Hyperlink"/>
                  <w:rFonts w:cs="Arial"/>
                  <w:b/>
                </w:rPr>
                <w:t>https://www.tga.gov.au</w:t>
              </w:r>
            </w:hyperlink>
          </w:p>
        </w:tc>
      </w:tr>
      <w:tr w:rsidR="00F02AEC" w:rsidRPr="00DF64AB" w14:paraId="38DDEB90" w14:textId="77777777" w:rsidTr="00564BBE">
        <w:trPr>
          <w:trHeight w:val="251"/>
          <w:jc w:val="center"/>
        </w:trPr>
        <w:tc>
          <w:tcPr>
            <w:tcW w:w="9145" w:type="dxa"/>
            <w:tcMar>
              <w:top w:w="28" w:type="dxa"/>
            </w:tcMar>
          </w:tcPr>
          <w:p w14:paraId="5655E924" w14:textId="77777777" w:rsidR="00F02AEC" w:rsidRPr="00DF64AB" w:rsidRDefault="00F02AEC" w:rsidP="00EB5622">
            <w:pPr>
              <w:pStyle w:val="Address"/>
              <w:jc w:val="center"/>
              <w:rPr>
                <w:rFonts w:cs="Arial"/>
              </w:rPr>
            </w:pPr>
            <w:r w:rsidRPr="00DF64AB">
              <w:rPr>
                <w:rFonts w:cs="Arial"/>
              </w:rPr>
              <w:t>Reference/Publication #</w:t>
            </w:r>
          </w:p>
        </w:tc>
      </w:tr>
    </w:tbl>
    <w:p w14:paraId="60B4303B" w14:textId="77777777" w:rsidR="00073171" w:rsidRPr="00DF64AB" w:rsidRDefault="00073171">
      <w:pPr>
        <w:rPr>
          <w:rFonts w:ascii="Arial" w:hAnsi="Arial" w:cs="Arial"/>
        </w:rPr>
      </w:pPr>
    </w:p>
    <w:sectPr w:rsidR="00073171" w:rsidRPr="00DF64AB" w:rsidSect="00AE7C6A">
      <w:headerReference w:type="first" r:id="rId44"/>
      <w:footerReference w:type="first" r:id="rId4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BD5" w14:textId="77777777" w:rsidR="00FF01C3" w:rsidRDefault="00FF01C3" w:rsidP="00F02AEC">
      <w:pPr>
        <w:spacing w:after="0" w:line="240" w:lineRule="auto"/>
      </w:pPr>
      <w:r>
        <w:separator/>
      </w:r>
    </w:p>
  </w:endnote>
  <w:endnote w:type="continuationSeparator" w:id="0">
    <w:p w14:paraId="48150BF9" w14:textId="77777777" w:rsidR="00FF01C3" w:rsidRDefault="00FF01C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D323" w14:textId="71364190" w:rsidR="008B5314" w:rsidRDefault="00916C04">
    <w:pPr>
      <w:pStyle w:val="Footer"/>
    </w:pPr>
    <w:r>
      <w:rPr>
        <w:noProof/>
      </w:rPr>
      <mc:AlternateContent>
        <mc:Choice Requires="wps">
          <w:drawing>
            <wp:anchor distT="0" distB="0" distL="0" distR="0" simplePos="0" relativeHeight="251688960" behindDoc="0" locked="0" layoutInCell="1" allowOverlap="1" wp14:anchorId="497E259A" wp14:editId="604AE289">
              <wp:simplePos x="635" y="635"/>
              <wp:positionH relativeFrom="page">
                <wp:align>center</wp:align>
              </wp:positionH>
              <wp:positionV relativeFrom="page">
                <wp:align>bottom</wp:align>
              </wp:positionV>
              <wp:extent cx="551815" cy="391160"/>
              <wp:effectExtent l="0" t="0" r="635" b="0"/>
              <wp:wrapNone/>
              <wp:docPr id="6605973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C381CE6" w14:textId="4FB982F0"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E259A" id="_x0000_t202" coordsize="21600,21600" o:spt="202" path="m,l,21600r21600,l21600,xe">
              <v:stroke joinstyle="miter"/>
              <v:path gradientshapeok="t" o:connecttype="rect"/>
            </v:shapetype>
            <v:shape id="Text Box 17" o:spid="_x0000_s1028" type="#_x0000_t202" alt="OFFICIAL" style="position:absolute;margin-left:0;margin-top:0;width:43.45pt;height:30.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C381CE6" w14:textId="4FB982F0"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6D7FB4" w14:textId="77777777" w:rsidTr="000B30E5">
      <w:trPr>
        <w:trHeight w:val="423"/>
      </w:trPr>
      <w:tc>
        <w:tcPr>
          <w:tcW w:w="4360" w:type="dxa"/>
          <w:tcBorders>
            <w:top w:val="single" w:sz="4" w:space="0" w:color="auto"/>
          </w:tcBorders>
        </w:tcPr>
        <w:p w14:paraId="510C9B47" w14:textId="717745FB" w:rsidR="00F02AEC" w:rsidRDefault="00916C04" w:rsidP="000B30E5">
          <w:pPr>
            <w:pStyle w:val="Footer"/>
          </w:pPr>
          <w:r>
            <w:rPr>
              <w:noProof/>
            </w:rPr>
            <mc:AlternateContent>
              <mc:Choice Requires="wps">
                <w:drawing>
                  <wp:anchor distT="0" distB="0" distL="0" distR="0" simplePos="0" relativeHeight="251689984" behindDoc="0" locked="0" layoutInCell="1" allowOverlap="1" wp14:anchorId="07C4A22D" wp14:editId="0E472BCD">
                    <wp:simplePos x="635" y="635"/>
                    <wp:positionH relativeFrom="page">
                      <wp:align>center</wp:align>
                    </wp:positionH>
                    <wp:positionV relativeFrom="page">
                      <wp:align>bottom</wp:align>
                    </wp:positionV>
                    <wp:extent cx="551815" cy="391160"/>
                    <wp:effectExtent l="0" t="0" r="635" b="0"/>
                    <wp:wrapNone/>
                    <wp:docPr id="188993621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08236C" w14:textId="6B43EA7B"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4A22D" id="_x0000_t202" coordsize="21600,21600" o:spt="202" path="m,l,21600r21600,l21600,xe">
                    <v:stroke joinstyle="miter"/>
                    <v:path gradientshapeok="t" o:connecttype="rect"/>
                  </v:shapetype>
                  <v:shape id="Text Box 18" o:spid="_x0000_s1029" type="#_x0000_t202" alt="OFFICIAL" style="position:absolute;margin-left:0;margin-top:0;width:43.45pt;height:30.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808236C" w14:textId="6B43EA7B"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p w14:paraId="6BADCE8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5D8114B" w14:textId="77777777" w:rsidR="00F02AEC" w:rsidRDefault="00F02AEC" w:rsidP="000B30E5">
              <w:pPr>
                <w:pStyle w:val="Footer"/>
                <w:jc w:val="right"/>
              </w:pPr>
            </w:p>
            <w:p w14:paraId="4D1C296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9E13F4C" w14:textId="77777777" w:rsidTr="000B30E5">
      <w:trPr>
        <w:trHeight w:val="263"/>
      </w:trPr>
      <w:tc>
        <w:tcPr>
          <w:tcW w:w="4360" w:type="dxa"/>
        </w:tcPr>
        <w:p w14:paraId="1FC8FF1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7CEE37D7" w14:textId="77777777" w:rsidR="00F02AEC" w:rsidRPr="00257138" w:rsidRDefault="00F02AEC" w:rsidP="000B30E5">
          <w:pPr>
            <w:pStyle w:val="Footer"/>
            <w:jc w:val="right"/>
          </w:pPr>
        </w:p>
      </w:tc>
    </w:tr>
  </w:tbl>
  <w:p w14:paraId="31461AC1"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7BC" w14:textId="2805338C"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219A9C4" w14:textId="77777777" w:rsidTr="00030D34">
      <w:trPr>
        <w:trHeight w:val="423"/>
      </w:trPr>
      <w:tc>
        <w:tcPr>
          <w:tcW w:w="7338" w:type="dxa"/>
          <w:tcBorders>
            <w:top w:val="single" w:sz="4" w:space="0" w:color="auto"/>
          </w:tcBorders>
        </w:tcPr>
        <w:p w14:paraId="793D5689" w14:textId="084B2FEC" w:rsidR="00F02AEC" w:rsidRPr="004A3084" w:rsidRDefault="008B0C30" w:rsidP="00F54CA9">
          <w:pPr>
            <w:pStyle w:val="Footer"/>
          </w:pPr>
          <w:r>
            <w:t>Cost Recovery Implementation Statement</w:t>
          </w:r>
          <w:r w:rsidR="00F02AEC" w:rsidRPr="004A3084">
            <w:t xml:space="preserve"> </w:t>
          </w:r>
          <w:r w:rsidR="00F02AEC">
            <w:br/>
          </w:r>
          <w:r w:rsidR="00F02AEC" w:rsidRPr="00E77EA2">
            <w:t>V</w:t>
          </w:r>
          <w:r w:rsidR="00967AD1" w:rsidRPr="00B50B1A">
            <w:t>1</w:t>
          </w:r>
          <w:r w:rsidR="00F02AEC" w:rsidRPr="00E77EA2">
            <w:t xml:space="preserve">.0 </w:t>
          </w:r>
          <w:r w:rsidR="00967AD1" w:rsidRPr="00B50B1A">
            <w:t>July</w:t>
          </w:r>
          <w:r w:rsidR="00F07AF2" w:rsidRPr="00E77EA2">
            <w:t xml:space="preserve"> </w:t>
          </w:r>
          <w:r w:rsidR="007C6E2B" w:rsidRPr="00E77EA2">
            <w:t>202</w:t>
          </w:r>
          <w:r w:rsidR="00967AD1" w:rsidRPr="00B50B1A">
            <w:t>6</w:t>
          </w:r>
        </w:p>
      </w:tc>
      <w:tc>
        <w:tcPr>
          <w:tcW w:w="1734" w:type="dxa"/>
          <w:tcBorders>
            <w:top w:val="single" w:sz="4" w:space="0" w:color="auto"/>
          </w:tcBorders>
        </w:tcPr>
        <w:sdt>
          <w:sdtPr>
            <w:id w:val="11571659"/>
            <w:docPartObj>
              <w:docPartGallery w:val="Page Numbers (Top of Page)"/>
              <w:docPartUnique/>
            </w:docPartObj>
          </w:sdtPr>
          <w:sdtEndPr/>
          <w:sdtContent>
            <w:p w14:paraId="412DB8DC"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fldChar w:fldCharType="begin"/>
              </w:r>
              <w:r>
                <w:instrText xml:space="preserve"> NUMPAGES  </w:instrText>
              </w:r>
              <w:r>
                <w:fldChar w:fldCharType="separate"/>
              </w:r>
              <w:r>
                <w:rPr>
                  <w:noProof/>
                </w:rPr>
                <w:t>7</w:t>
              </w:r>
              <w:r>
                <w:rPr>
                  <w:noProof/>
                </w:rPr>
                <w:fldChar w:fldCharType="end"/>
              </w:r>
            </w:p>
          </w:sdtContent>
        </w:sdt>
      </w:tc>
    </w:tr>
  </w:tbl>
  <w:p w14:paraId="7D926F82" w14:textId="23D72E7F" w:rsidR="00F02AEC" w:rsidRPr="00826007" w:rsidRDefault="00F02AE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C4B" w14:textId="3FD24976" w:rsidR="00073171" w:rsidRPr="008E3C43" w:rsidRDefault="0007317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0BE2" w14:textId="77777777" w:rsidR="00FF01C3" w:rsidRDefault="00FF01C3" w:rsidP="00F02AEC">
      <w:pPr>
        <w:spacing w:after="0" w:line="240" w:lineRule="auto"/>
      </w:pPr>
      <w:r>
        <w:separator/>
      </w:r>
    </w:p>
  </w:footnote>
  <w:footnote w:type="continuationSeparator" w:id="0">
    <w:p w14:paraId="543C52D7" w14:textId="77777777" w:rsidR="00FF01C3" w:rsidRDefault="00FF01C3" w:rsidP="00F02AEC">
      <w:pPr>
        <w:spacing w:after="0" w:line="240" w:lineRule="auto"/>
      </w:pPr>
      <w:r>
        <w:continuationSeparator/>
      </w:r>
    </w:p>
  </w:footnote>
  <w:footnote w:id="1">
    <w:p w14:paraId="3971671E" w14:textId="2037C288" w:rsidR="00714F59" w:rsidRDefault="00714F59" w:rsidP="00714F59">
      <w:pPr>
        <w:pStyle w:val="FootnoteText"/>
      </w:pPr>
      <w:r w:rsidRPr="00F30C34">
        <w:rPr>
          <w:rStyle w:val="FootnoteReference"/>
        </w:rPr>
        <w:footnoteRef/>
      </w:r>
      <w:r w:rsidRPr="00F30C34">
        <w:t xml:space="preserve"> </w:t>
      </w:r>
      <w:r w:rsidRPr="00F30C34">
        <w:rPr>
          <w:sz w:val="16"/>
          <w:szCs w:val="16"/>
        </w:rPr>
        <w:t>The TGA contributes to Health</w:t>
      </w:r>
      <w:r w:rsidR="001F41C8">
        <w:rPr>
          <w:sz w:val="16"/>
          <w:szCs w:val="16"/>
        </w:rPr>
        <w:t>, Disability and Ageing’s</w:t>
      </w:r>
      <w:r w:rsidRPr="00F30C34">
        <w:rPr>
          <w:sz w:val="16"/>
          <w:szCs w:val="16"/>
        </w:rPr>
        <w:t xml:space="preserve"> Outcome 1</w:t>
      </w:r>
      <w:r w:rsidR="00D10F4D">
        <w:rPr>
          <w:sz w:val="16"/>
          <w:szCs w:val="16"/>
        </w:rPr>
        <w:t xml:space="preserve">: Health Policy, Access and Support </w:t>
      </w:r>
      <w:r w:rsidRPr="00F30C34">
        <w:rPr>
          <w:sz w:val="16"/>
          <w:szCs w:val="16"/>
        </w:rPr>
        <w:t xml:space="preserve">- </w:t>
      </w:r>
      <w:hyperlink r:id="rId1" w:history="1">
        <w:r w:rsidRPr="00F30C34">
          <w:rPr>
            <w:rStyle w:val="Hyperlink"/>
            <w:sz w:val="16"/>
            <w:szCs w:val="16"/>
          </w:rPr>
          <w:t>Program 1.8: Health Protection, Emergency Response and Regulation</w:t>
        </w:r>
      </w:hyperlink>
    </w:p>
  </w:footnote>
  <w:footnote w:id="2">
    <w:p w14:paraId="1FFC1476" w14:textId="0FDA75F6" w:rsidR="00661E6A" w:rsidRPr="006865BE" w:rsidRDefault="00661E6A" w:rsidP="00661E6A">
      <w:pPr>
        <w:pStyle w:val="FootnoteText"/>
        <w:rPr>
          <w:sz w:val="16"/>
          <w:szCs w:val="16"/>
        </w:rPr>
      </w:pPr>
      <w:r w:rsidRPr="006865BE">
        <w:rPr>
          <w:rStyle w:val="FootnoteReference"/>
          <w:sz w:val="16"/>
          <w:szCs w:val="16"/>
        </w:rPr>
        <w:footnoteRef/>
      </w:r>
      <w:r w:rsidRPr="006865BE">
        <w:rPr>
          <w:sz w:val="16"/>
          <w:szCs w:val="16"/>
        </w:rPr>
        <w:t xml:space="preserve"> While not a separate industry sector, reporting separately on GMP activities provides greater transparency to stakeholders</w:t>
      </w:r>
      <w:r w:rsidR="004B0EB3">
        <w:rPr>
          <w:sz w:val="16"/>
          <w:szCs w:val="16"/>
        </w:rPr>
        <w:t>.</w:t>
      </w:r>
    </w:p>
  </w:footnote>
  <w:footnote w:id="3">
    <w:p w14:paraId="66A28EC6" w14:textId="77777777" w:rsidR="0070117D" w:rsidRPr="006865BE" w:rsidRDefault="0070117D" w:rsidP="0070117D">
      <w:pPr>
        <w:pStyle w:val="FootnoteText"/>
        <w:keepLines w:val="0"/>
        <w:rPr>
          <w:sz w:val="16"/>
          <w:szCs w:val="16"/>
        </w:rPr>
      </w:pPr>
      <w:r w:rsidRPr="00E77EA2">
        <w:rPr>
          <w:rStyle w:val="FootnoteReference"/>
          <w:color w:val="auto"/>
          <w:sz w:val="16"/>
          <w:szCs w:val="16"/>
        </w:rPr>
        <w:footnoteRef/>
      </w:r>
      <w:r w:rsidRPr="00E77EA2">
        <w:rPr>
          <w:color w:val="auto"/>
          <w:sz w:val="16"/>
          <w:szCs w:val="16"/>
        </w:rPr>
        <w:t xml:space="preserve"> A specific process, output or activity to which costs are assigned.</w:t>
      </w:r>
    </w:p>
  </w:footnote>
  <w:footnote w:id="4">
    <w:p w14:paraId="652FD50C" w14:textId="77777777" w:rsidR="008A7F6D" w:rsidRPr="006865BE" w:rsidRDefault="008A7F6D" w:rsidP="008A7F6D">
      <w:pPr>
        <w:pStyle w:val="FootnoteText"/>
        <w:rPr>
          <w:sz w:val="16"/>
          <w:szCs w:val="16"/>
        </w:rPr>
      </w:pPr>
      <w:r w:rsidRPr="006865BE">
        <w:rPr>
          <w:rStyle w:val="FootnoteReference"/>
          <w:sz w:val="16"/>
          <w:szCs w:val="16"/>
        </w:rPr>
        <w:footnoteRef/>
      </w:r>
      <w:r w:rsidRPr="006865BE">
        <w:rPr>
          <w:sz w:val="16"/>
          <w:szCs w:val="16"/>
        </w:rPr>
        <w:t xml:space="preserve"> </w:t>
      </w:r>
      <w:r w:rsidRPr="00531A96">
        <w:rPr>
          <w:sz w:val="16"/>
          <w:szCs w:val="16"/>
        </w:rPr>
        <w:t>Australian Medical Manufacturers and Distribution Association</w:t>
      </w:r>
      <w:r w:rsidRPr="006865BE">
        <w:rPr>
          <w:sz w:val="16"/>
          <w:szCs w:val="16"/>
        </w:rPr>
        <w:t xml:space="preserve"> </w:t>
      </w:r>
      <w:r>
        <w:rPr>
          <w:sz w:val="16"/>
          <w:szCs w:val="16"/>
        </w:rPr>
        <w:t xml:space="preserve">did not </w:t>
      </w:r>
      <w:r w:rsidRPr="006865BE">
        <w:rPr>
          <w:sz w:val="16"/>
          <w:szCs w:val="16"/>
        </w:rPr>
        <w:t>attend this year’s bilateral meeting. Therefore, the bilateral meeting presentations were provided to them for their 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2774" w14:textId="639A9AC4" w:rsidR="008B5314" w:rsidRDefault="00916C04">
    <w:pPr>
      <w:pStyle w:val="Header"/>
    </w:pPr>
    <w:r>
      <w:rPr>
        <w:noProof/>
      </w:rPr>
      <mc:AlternateContent>
        <mc:Choice Requires="wps">
          <w:drawing>
            <wp:anchor distT="0" distB="0" distL="0" distR="0" simplePos="0" relativeHeight="251683840" behindDoc="0" locked="0" layoutInCell="1" allowOverlap="1" wp14:anchorId="3D303396" wp14:editId="2FE0AF8D">
              <wp:simplePos x="635" y="635"/>
              <wp:positionH relativeFrom="page">
                <wp:align>center</wp:align>
              </wp:positionH>
              <wp:positionV relativeFrom="page">
                <wp:align>top</wp:align>
              </wp:positionV>
              <wp:extent cx="551815" cy="391160"/>
              <wp:effectExtent l="0" t="0" r="635" b="8890"/>
              <wp:wrapNone/>
              <wp:docPr id="8688471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FD9F0B" w14:textId="1FCB6202"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03396" id="_x0000_t202" coordsize="21600,21600" o:spt="202" path="m,l,21600r21600,l21600,xe">
              <v:stroke joinstyle="miter"/>
              <v:path gradientshapeok="t" o:connecttype="rect"/>
            </v:shapetype>
            <v:shape id="Text Box 12" o:spid="_x0000_s1026" type="#_x0000_t202" alt="OFFICIAL" style="position:absolute;left:0;text-align:left;margin-left:0;margin-top:0;width:43.45pt;height:30.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FD9F0B" w14:textId="1FCB6202"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9D2" w14:textId="072F7C90" w:rsidR="00F02AEC" w:rsidRPr="00CB0550" w:rsidRDefault="00916C04" w:rsidP="00CB0550">
    <w:pPr>
      <w:pStyle w:val="Header"/>
      <w:jc w:val="left"/>
    </w:pPr>
    <w:r>
      <w:rPr>
        <w:noProof/>
      </w:rPr>
      <mc:AlternateContent>
        <mc:Choice Requires="wps">
          <w:drawing>
            <wp:anchor distT="0" distB="0" distL="0" distR="0" simplePos="0" relativeHeight="251684864" behindDoc="0" locked="0" layoutInCell="1" allowOverlap="1" wp14:anchorId="43CA573C" wp14:editId="349C5612">
              <wp:simplePos x="635" y="635"/>
              <wp:positionH relativeFrom="page">
                <wp:align>center</wp:align>
              </wp:positionH>
              <wp:positionV relativeFrom="page">
                <wp:align>top</wp:align>
              </wp:positionV>
              <wp:extent cx="551815" cy="391160"/>
              <wp:effectExtent l="0" t="0" r="635" b="8890"/>
              <wp:wrapNone/>
              <wp:docPr id="184426352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E97F72" w14:textId="59CB17DF"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A573C" id="_x0000_t202" coordsize="21600,21600" o:spt="202" path="m,l,21600r21600,l21600,xe">
              <v:stroke joinstyle="miter"/>
              <v:path gradientshapeok="t" o:connecttype="rect"/>
            </v:shapetype>
            <v:shape id="Text Box 13" o:spid="_x0000_s1027" type="#_x0000_t202" alt="OFFICIAL" style="position:absolute;margin-left:0;margin-top:0;width:43.45pt;height:30.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5E97F72" w14:textId="59CB17DF"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E06E670" w14:textId="77777777" w:rsidTr="00F71E1E">
      <w:trPr>
        <w:trHeight w:hRule="exact" w:val="8845"/>
      </w:trPr>
      <w:tc>
        <w:tcPr>
          <w:tcW w:w="11964" w:type="dxa"/>
          <w:vAlign w:val="center"/>
        </w:tcPr>
        <w:p w14:paraId="03BE7E7B" w14:textId="57E4A3A7" w:rsidR="00F02AEC" w:rsidRPr="002B29B2" w:rsidRDefault="00FF01C3" w:rsidP="006A2426">
          <w:pPr>
            <w:ind w:left="-57"/>
            <w:rPr>
              <w:noProof/>
            </w:rPr>
          </w:pPr>
          <w:sdt>
            <w:sdtPr>
              <w:rPr>
                <w:noProof/>
              </w:rPr>
              <w:id w:val="1926993388"/>
              <w:showingPlcHdr/>
              <w:picture/>
            </w:sdtPr>
            <w:sdtEndPr/>
            <w:sdtContent>
              <w:r w:rsidR="00F02AEC" w:rsidRPr="00F71E1E">
                <w:rPr>
                  <w:noProof/>
                </w:rPr>
                <w:drawing>
                  <wp:inline distT="0" distB="0" distL="0" distR="0" wp14:anchorId="683D2A56" wp14:editId="5B19BEA8">
                    <wp:extent cx="7631430" cy="5523865"/>
                    <wp:effectExtent l="0" t="0" r="7620" b="635"/>
                    <wp:docPr id="240579250" name="Picture 240579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29C3218B"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1C3A71E6" wp14:editId="2F844C48">
          <wp:simplePos x="0" y="0"/>
          <wp:positionH relativeFrom="column">
            <wp:posOffset>-396875</wp:posOffset>
          </wp:positionH>
          <wp:positionV relativeFrom="paragraph">
            <wp:posOffset>-79375</wp:posOffset>
          </wp:positionV>
          <wp:extent cx="2676525" cy="553720"/>
          <wp:effectExtent l="0" t="0" r="9525" b="0"/>
          <wp:wrapTopAndBottom/>
          <wp:docPr id="562338814" name="Picture 56233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7027" name="Picture 1541770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19EAFC31" wp14:editId="3F4D8C0A">
          <wp:simplePos x="0" y="0"/>
          <wp:positionH relativeFrom="page">
            <wp:align>left</wp:align>
          </wp:positionH>
          <wp:positionV relativeFrom="page">
            <wp:posOffset>3239495</wp:posOffset>
          </wp:positionV>
          <wp:extent cx="7663815" cy="4323091"/>
          <wp:effectExtent l="0" t="0" r="0" b="1270"/>
          <wp:wrapNone/>
          <wp:docPr id="477030593" name="Picture 477030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FC1E" w14:textId="044026E4" w:rsidR="00F02AEC" w:rsidRDefault="00F02AEC"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47C" w14:textId="04F26397" w:rsidR="00073171" w:rsidRPr="00FE501F" w:rsidRDefault="0007317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6E2"/>
    <w:multiLevelType w:val="hybridMultilevel"/>
    <w:tmpl w:val="4C0CEB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07A03505"/>
    <w:multiLevelType w:val="hybridMultilevel"/>
    <w:tmpl w:val="688E7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A64E2"/>
    <w:multiLevelType w:val="hybridMultilevel"/>
    <w:tmpl w:val="864484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57C5937"/>
    <w:multiLevelType w:val="hybridMultilevel"/>
    <w:tmpl w:val="C4C09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040C9464"/>
    <w:styleLink w:val="ListBullets"/>
    <w:lvl w:ilvl="0">
      <w:start w:val="4"/>
      <w:numFmt w:val="bullet"/>
      <w:pStyle w:val="ListBullet"/>
      <w:lvlText w:val="•"/>
      <w:lvlJc w:val="left"/>
      <w:pPr>
        <w:ind w:left="1080" w:hanging="360"/>
      </w:pPr>
      <w:rPr>
        <w:rFonts w:ascii="Cambria" w:eastAsia="Cambria" w:hAnsi="Cambria" w:hint="default"/>
      </w:rPr>
    </w:lvl>
    <w:lvl w:ilvl="1">
      <w:start w:val="1"/>
      <w:numFmt w:val="bullet"/>
      <w:pStyle w:val="ListBullet2"/>
      <w:lvlText w:val="–"/>
      <w:lvlJc w:val="left"/>
      <w:pPr>
        <w:ind w:left="144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7" w15:restartNumberingAfterBreak="0">
    <w:nsid w:val="17FF5079"/>
    <w:multiLevelType w:val="hybridMultilevel"/>
    <w:tmpl w:val="E83279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A3932D3"/>
    <w:multiLevelType w:val="hybridMultilevel"/>
    <w:tmpl w:val="4E403DB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8534B1"/>
    <w:multiLevelType w:val="hybridMultilevel"/>
    <w:tmpl w:val="DDD252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F82EF6"/>
    <w:multiLevelType w:val="multilevel"/>
    <w:tmpl w:val="863C3852"/>
    <w:lvl w:ilvl="0">
      <w:start w:val="6"/>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42A196A"/>
    <w:multiLevelType w:val="hybridMultilevel"/>
    <w:tmpl w:val="C32CE7E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EE38EB"/>
    <w:multiLevelType w:val="hybridMultilevel"/>
    <w:tmpl w:val="6F5A3516"/>
    <w:lvl w:ilvl="0" w:tplc="DD8E2BCA">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577D8A"/>
    <w:multiLevelType w:val="hybridMultilevel"/>
    <w:tmpl w:val="BA247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955BCC"/>
    <w:multiLevelType w:val="hybridMultilevel"/>
    <w:tmpl w:val="C2F82E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6909AE"/>
    <w:multiLevelType w:val="hybridMultilevel"/>
    <w:tmpl w:val="180C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336EA6"/>
    <w:multiLevelType w:val="hybridMultilevel"/>
    <w:tmpl w:val="82F21F28"/>
    <w:lvl w:ilvl="0" w:tplc="82FA3340">
      <w:start w:val="15"/>
      <w:numFmt w:val="bullet"/>
      <w:lvlText w:val="-"/>
      <w:lvlJc w:val="left"/>
      <w:pPr>
        <w:ind w:left="1080" w:hanging="360"/>
      </w:pPr>
      <w:rPr>
        <w:rFonts w:ascii="Arial" w:eastAsia="Cambr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11D4786"/>
    <w:multiLevelType w:val="hybridMultilevel"/>
    <w:tmpl w:val="7414C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727613"/>
    <w:multiLevelType w:val="hybridMultilevel"/>
    <w:tmpl w:val="808016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9034834"/>
    <w:multiLevelType w:val="hybridMultilevel"/>
    <w:tmpl w:val="F4564E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A34DE8"/>
    <w:multiLevelType w:val="hybridMultilevel"/>
    <w:tmpl w:val="3C088D8A"/>
    <w:lvl w:ilvl="0" w:tplc="BFFCACD2">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874EDD"/>
    <w:multiLevelType w:val="hybridMultilevel"/>
    <w:tmpl w:val="599067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52BB26B3"/>
    <w:multiLevelType w:val="hybridMultilevel"/>
    <w:tmpl w:val="B39846C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8A3EC7"/>
    <w:multiLevelType w:val="multilevel"/>
    <w:tmpl w:val="74148DAE"/>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8" w15:restartNumberingAfterBreak="0">
    <w:nsid w:val="5ACB753D"/>
    <w:multiLevelType w:val="hybridMultilevel"/>
    <w:tmpl w:val="6F5A3516"/>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493945"/>
    <w:multiLevelType w:val="multilevel"/>
    <w:tmpl w:val="8692F680"/>
    <w:lvl w:ilvl="0">
      <w:start w:val="6"/>
      <w:numFmt w:val="decimal"/>
      <w:lvlText w:val="%1"/>
      <w:lvlJc w:val="left"/>
      <w:pPr>
        <w:ind w:left="530" w:hanging="5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0" w15:restartNumberingAfterBreak="0">
    <w:nsid w:val="6EEC3356"/>
    <w:multiLevelType w:val="hybridMultilevel"/>
    <w:tmpl w:val="A6720AE4"/>
    <w:lvl w:ilvl="0" w:tplc="26948774">
      <w:start w:val="1"/>
      <w:numFmt w:val="decimal"/>
      <w:lvlText w:val="%1."/>
      <w:lvlJc w:val="left"/>
      <w:pPr>
        <w:ind w:left="360" w:hanging="360"/>
      </w:pPr>
    </w:lvl>
    <w:lvl w:ilvl="1" w:tplc="E180992A">
      <w:start w:val="1"/>
      <w:numFmt w:val="lowerLetter"/>
      <w:lvlText w:val="%2."/>
      <w:lvlJc w:val="left"/>
      <w:pPr>
        <w:ind w:left="1080" w:hanging="360"/>
      </w:pPr>
    </w:lvl>
    <w:lvl w:ilvl="2" w:tplc="73AE70AE" w:tentative="1">
      <w:start w:val="1"/>
      <w:numFmt w:val="lowerRoman"/>
      <w:lvlText w:val="%3."/>
      <w:lvlJc w:val="right"/>
      <w:pPr>
        <w:ind w:left="1800" w:hanging="180"/>
      </w:pPr>
    </w:lvl>
    <w:lvl w:ilvl="3" w:tplc="40BAA0C8" w:tentative="1">
      <w:start w:val="1"/>
      <w:numFmt w:val="decimal"/>
      <w:lvlText w:val="%4."/>
      <w:lvlJc w:val="left"/>
      <w:pPr>
        <w:ind w:left="2520" w:hanging="360"/>
      </w:pPr>
    </w:lvl>
    <w:lvl w:ilvl="4" w:tplc="8FF66A5A" w:tentative="1">
      <w:start w:val="1"/>
      <w:numFmt w:val="lowerLetter"/>
      <w:lvlText w:val="%5."/>
      <w:lvlJc w:val="left"/>
      <w:pPr>
        <w:ind w:left="3240" w:hanging="360"/>
      </w:pPr>
    </w:lvl>
    <w:lvl w:ilvl="5" w:tplc="918AF510" w:tentative="1">
      <w:start w:val="1"/>
      <w:numFmt w:val="lowerRoman"/>
      <w:lvlText w:val="%6."/>
      <w:lvlJc w:val="right"/>
      <w:pPr>
        <w:ind w:left="3960" w:hanging="180"/>
      </w:pPr>
    </w:lvl>
    <w:lvl w:ilvl="6" w:tplc="290C3956" w:tentative="1">
      <w:start w:val="1"/>
      <w:numFmt w:val="decimal"/>
      <w:lvlText w:val="%7."/>
      <w:lvlJc w:val="left"/>
      <w:pPr>
        <w:ind w:left="4680" w:hanging="360"/>
      </w:pPr>
    </w:lvl>
    <w:lvl w:ilvl="7" w:tplc="22380B16" w:tentative="1">
      <w:start w:val="1"/>
      <w:numFmt w:val="lowerLetter"/>
      <w:lvlText w:val="%8."/>
      <w:lvlJc w:val="left"/>
      <w:pPr>
        <w:ind w:left="5400" w:hanging="360"/>
      </w:pPr>
    </w:lvl>
    <w:lvl w:ilvl="8" w:tplc="A31005E0" w:tentative="1">
      <w:start w:val="1"/>
      <w:numFmt w:val="lowerRoman"/>
      <w:lvlText w:val="%9."/>
      <w:lvlJc w:val="right"/>
      <w:pPr>
        <w:ind w:left="6120" w:hanging="180"/>
      </w:pPr>
    </w:lvl>
  </w:abstractNum>
  <w:num w:numId="1" w16cid:durableId="322391177">
    <w:abstractNumId w:val="6"/>
    <w:lvlOverride w:ilvl="0">
      <w:lvl w:ilvl="0">
        <w:start w:val="4"/>
        <w:numFmt w:val="bullet"/>
        <w:pStyle w:val="ListBullet"/>
        <w:lvlText w:val="•"/>
        <w:lvlJc w:val="left"/>
        <w:pPr>
          <w:ind w:left="928" w:hanging="360"/>
        </w:pPr>
        <w:rPr>
          <w:rFonts w:ascii="Cambria" w:eastAsia="Cambria" w:hAnsi="Cambria" w:hint="default"/>
          <w:sz w:val="20"/>
          <w:szCs w:val="20"/>
        </w:rPr>
      </w:lvl>
    </w:lvlOverride>
  </w:num>
  <w:num w:numId="2" w16cid:durableId="2139374550">
    <w:abstractNumId w:val="3"/>
  </w:num>
  <w:num w:numId="3" w16cid:durableId="568610712">
    <w:abstractNumId w:val="5"/>
  </w:num>
  <w:num w:numId="4" w16cid:durableId="1877039733">
    <w:abstractNumId w:val="24"/>
  </w:num>
  <w:num w:numId="5" w16cid:durableId="1347173391">
    <w:abstractNumId w:val="11"/>
  </w:num>
  <w:num w:numId="6" w16cid:durableId="2142307134">
    <w:abstractNumId w:val="22"/>
  </w:num>
  <w:num w:numId="7" w16cid:durableId="695421659">
    <w:abstractNumId w:val="8"/>
  </w:num>
  <w:num w:numId="8" w16cid:durableId="456340945">
    <w:abstractNumId w:val="27"/>
  </w:num>
  <w:num w:numId="9" w16cid:durableId="317543292">
    <w:abstractNumId w:val="1"/>
  </w:num>
  <w:num w:numId="10" w16cid:durableId="1201624308">
    <w:abstractNumId w:val="15"/>
  </w:num>
  <w:num w:numId="11" w16cid:durableId="458184540">
    <w:abstractNumId w:val="13"/>
  </w:num>
  <w:num w:numId="12" w16cid:durableId="808088657">
    <w:abstractNumId w:val="9"/>
  </w:num>
  <w:num w:numId="13" w16cid:durableId="1531576394">
    <w:abstractNumId w:val="17"/>
  </w:num>
  <w:num w:numId="14" w16cid:durableId="850531703">
    <w:abstractNumId w:val="6"/>
  </w:num>
  <w:num w:numId="15" w16cid:durableId="917834332">
    <w:abstractNumId w:val="6"/>
  </w:num>
  <w:num w:numId="16" w16cid:durableId="1162815718">
    <w:abstractNumId w:val="6"/>
  </w:num>
  <w:num w:numId="17" w16cid:durableId="1832867197">
    <w:abstractNumId w:val="6"/>
  </w:num>
  <w:num w:numId="18" w16cid:durableId="1875580442">
    <w:abstractNumId w:val="21"/>
  </w:num>
  <w:num w:numId="19" w16cid:durableId="668214441">
    <w:abstractNumId w:val="14"/>
  </w:num>
  <w:num w:numId="20" w16cid:durableId="557010900">
    <w:abstractNumId w:val="6"/>
  </w:num>
  <w:num w:numId="21" w16cid:durableId="1411922175">
    <w:abstractNumId w:val="6"/>
  </w:num>
  <w:num w:numId="22" w16cid:durableId="685984678">
    <w:abstractNumId w:val="26"/>
  </w:num>
  <w:num w:numId="23" w16cid:durableId="1021587298">
    <w:abstractNumId w:val="20"/>
  </w:num>
  <w:num w:numId="24" w16cid:durableId="1932740698">
    <w:abstractNumId w:val="12"/>
  </w:num>
  <w:num w:numId="25" w16cid:durableId="130291035">
    <w:abstractNumId w:val="6"/>
  </w:num>
  <w:num w:numId="26" w16cid:durableId="1689142838">
    <w:abstractNumId w:val="28"/>
  </w:num>
  <w:num w:numId="27" w16cid:durableId="1667897803">
    <w:abstractNumId w:val="30"/>
  </w:num>
  <w:num w:numId="28" w16cid:durableId="1845972357">
    <w:abstractNumId w:val="6"/>
  </w:num>
  <w:num w:numId="29" w16cid:durableId="993222672">
    <w:abstractNumId w:val="4"/>
  </w:num>
  <w:num w:numId="30" w16cid:durableId="1523006482">
    <w:abstractNumId w:val="6"/>
  </w:num>
  <w:num w:numId="31" w16cid:durableId="199329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168712">
    <w:abstractNumId w:val="23"/>
  </w:num>
  <w:num w:numId="33" w16cid:durableId="595207620">
    <w:abstractNumId w:val="29"/>
  </w:num>
  <w:num w:numId="34" w16cid:durableId="1968386513">
    <w:abstractNumId w:val="10"/>
  </w:num>
  <w:num w:numId="35" w16cid:durableId="1971789139">
    <w:abstractNumId w:val="2"/>
  </w:num>
  <w:num w:numId="36" w16cid:durableId="1155534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240953">
    <w:abstractNumId w:val="0"/>
  </w:num>
  <w:num w:numId="38" w16cid:durableId="126171654">
    <w:abstractNumId w:val="0"/>
  </w:num>
  <w:num w:numId="39" w16cid:durableId="209357543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5883003">
    <w:abstractNumId w:val="0"/>
  </w:num>
  <w:num w:numId="41" w16cid:durableId="1363674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4318140">
    <w:abstractNumId w:val="3"/>
  </w:num>
  <w:num w:numId="43" w16cid:durableId="1469783904">
    <w:abstractNumId w:val="3"/>
  </w:num>
  <w:num w:numId="44" w16cid:durableId="1673725787">
    <w:abstractNumId w:val="3"/>
  </w:num>
  <w:num w:numId="45" w16cid:durableId="2067989212">
    <w:abstractNumId w:val="3"/>
  </w:num>
  <w:num w:numId="46" w16cid:durableId="712078923">
    <w:abstractNumId w:val="3"/>
  </w:num>
  <w:num w:numId="47" w16cid:durableId="1827166162">
    <w:abstractNumId w:val="3"/>
  </w:num>
  <w:num w:numId="48" w16cid:durableId="778257663">
    <w:abstractNumId w:val="3"/>
  </w:num>
  <w:num w:numId="49" w16cid:durableId="1105805230">
    <w:abstractNumId w:val="18"/>
  </w:num>
  <w:num w:numId="50" w16cid:durableId="1492524564">
    <w:abstractNumId w:val="7"/>
  </w:num>
  <w:num w:numId="51" w16cid:durableId="1161970285">
    <w:abstractNumId w:val="6"/>
  </w:num>
  <w:num w:numId="52" w16cid:durableId="58092942">
    <w:abstractNumId w:val="16"/>
  </w:num>
  <w:num w:numId="53" w16cid:durableId="1940328486">
    <w:abstractNumId w:val="3"/>
  </w:num>
  <w:num w:numId="54" w16cid:durableId="390229548">
    <w:abstractNumId w:val="25"/>
  </w:num>
  <w:num w:numId="55" w16cid:durableId="253514838">
    <w:abstractNumId w:val="6"/>
    <w:lvlOverride w:ilvl="0">
      <w:lvl w:ilvl="0">
        <w:start w:val="4"/>
        <w:numFmt w:val="bullet"/>
        <w:pStyle w:val="ListBullet"/>
        <w:lvlText w:val="•"/>
        <w:lvlJc w:val="left"/>
        <w:pPr>
          <w:ind w:left="928" w:hanging="360"/>
        </w:pPr>
        <w:rPr>
          <w:rFonts w:ascii="Cambria" w:eastAsia="Cambria" w:hAnsi="Cambria" w:hint="default"/>
          <w:sz w:val="20"/>
          <w:szCs w:val="20"/>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F"/>
    <w:rsid w:val="000008F8"/>
    <w:rsid w:val="0000278C"/>
    <w:rsid w:val="00003625"/>
    <w:rsid w:val="0000378C"/>
    <w:rsid w:val="00003E6D"/>
    <w:rsid w:val="00005B74"/>
    <w:rsid w:val="00007BFE"/>
    <w:rsid w:val="0001005E"/>
    <w:rsid w:val="000124D1"/>
    <w:rsid w:val="000125D6"/>
    <w:rsid w:val="00017343"/>
    <w:rsid w:val="00017FF5"/>
    <w:rsid w:val="00023C61"/>
    <w:rsid w:val="00024AD5"/>
    <w:rsid w:val="0002506E"/>
    <w:rsid w:val="0003279D"/>
    <w:rsid w:val="00032B35"/>
    <w:rsid w:val="00032CD8"/>
    <w:rsid w:val="0003305D"/>
    <w:rsid w:val="0003541C"/>
    <w:rsid w:val="0003574D"/>
    <w:rsid w:val="0003711E"/>
    <w:rsid w:val="00037419"/>
    <w:rsid w:val="000419F7"/>
    <w:rsid w:val="00044A61"/>
    <w:rsid w:val="00045CE9"/>
    <w:rsid w:val="00045DAB"/>
    <w:rsid w:val="0004793A"/>
    <w:rsid w:val="00047EC1"/>
    <w:rsid w:val="00051BAB"/>
    <w:rsid w:val="0005217B"/>
    <w:rsid w:val="0005493B"/>
    <w:rsid w:val="00057187"/>
    <w:rsid w:val="000655E3"/>
    <w:rsid w:val="00066092"/>
    <w:rsid w:val="00067133"/>
    <w:rsid w:val="0007126A"/>
    <w:rsid w:val="0007286A"/>
    <w:rsid w:val="00072C6C"/>
    <w:rsid w:val="00073171"/>
    <w:rsid w:val="00074A6E"/>
    <w:rsid w:val="000753AA"/>
    <w:rsid w:val="00075AF0"/>
    <w:rsid w:val="000806EA"/>
    <w:rsid w:val="000825ED"/>
    <w:rsid w:val="00082E24"/>
    <w:rsid w:val="00086FEE"/>
    <w:rsid w:val="00087720"/>
    <w:rsid w:val="00090532"/>
    <w:rsid w:val="0009152D"/>
    <w:rsid w:val="00094B81"/>
    <w:rsid w:val="00097BB8"/>
    <w:rsid w:val="000A04FD"/>
    <w:rsid w:val="000A1FFB"/>
    <w:rsid w:val="000A4640"/>
    <w:rsid w:val="000A46C7"/>
    <w:rsid w:val="000A54FD"/>
    <w:rsid w:val="000A5A81"/>
    <w:rsid w:val="000A73BA"/>
    <w:rsid w:val="000B1A75"/>
    <w:rsid w:val="000B3B5F"/>
    <w:rsid w:val="000B4BC2"/>
    <w:rsid w:val="000B650A"/>
    <w:rsid w:val="000C09C4"/>
    <w:rsid w:val="000C1705"/>
    <w:rsid w:val="000C3CB1"/>
    <w:rsid w:val="000C4AB9"/>
    <w:rsid w:val="000C50C1"/>
    <w:rsid w:val="000C64EA"/>
    <w:rsid w:val="000C6730"/>
    <w:rsid w:val="000D0F14"/>
    <w:rsid w:val="000D2755"/>
    <w:rsid w:val="000D3060"/>
    <w:rsid w:val="000D3290"/>
    <w:rsid w:val="000D32EA"/>
    <w:rsid w:val="000D36F3"/>
    <w:rsid w:val="000D42F9"/>
    <w:rsid w:val="000D5069"/>
    <w:rsid w:val="000D50A4"/>
    <w:rsid w:val="000D544F"/>
    <w:rsid w:val="000D5F27"/>
    <w:rsid w:val="000E2024"/>
    <w:rsid w:val="000E3C43"/>
    <w:rsid w:val="000F110B"/>
    <w:rsid w:val="000F2C19"/>
    <w:rsid w:val="000F37DB"/>
    <w:rsid w:val="000F53A8"/>
    <w:rsid w:val="000F6E24"/>
    <w:rsid w:val="001026DA"/>
    <w:rsid w:val="00102D5A"/>
    <w:rsid w:val="001040DD"/>
    <w:rsid w:val="00106E33"/>
    <w:rsid w:val="00113086"/>
    <w:rsid w:val="00114170"/>
    <w:rsid w:val="001142FF"/>
    <w:rsid w:val="00114734"/>
    <w:rsid w:val="00114E16"/>
    <w:rsid w:val="00115CA4"/>
    <w:rsid w:val="00117EE8"/>
    <w:rsid w:val="0012019A"/>
    <w:rsid w:val="00122F8D"/>
    <w:rsid w:val="0012473C"/>
    <w:rsid w:val="00124938"/>
    <w:rsid w:val="00126FCF"/>
    <w:rsid w:val="0013016D"/>
    <w:rsid w:val="00130D5C"/>
    <w:rsid w:val="00131B2F"/>
    <w:rsid w:val="00131B6D"/>
    <w:rsid w:val="001325C1"/>
    <w:rsid w:val="00135D6D"/>
    <w:rsid w:val="0013767C"/>
    <w:rsid w:val="00137B9C"/>
    <w:rsid w:val="00145C23"/>
    <w:rsid w:val="00152224"/>
    <w:rsid w:val="00154158"/>
    <w:rsid w:val="00154D6A"/>
    <w:rsid w:val="00156376"/>
    <w:rsid w:val="00156FF6"/>
    <w:rsid w:val="00160194"/>
    <w:rsid w:val="0016113D"/>
    <w:rsid w:val="00163650"/>
    <w:rsid w:val="0016365C"/>
    <w:rsid w:val="001650B6"/>
    <w:rsid w:val="0016545D"/>
    <w:rsid w:val="00165C59"/>
    <w:rsid w:val="0016609B"/>
    <w:rsid w:val="0016774D"/>
    <w:rsid w:val="00167E2D"/>
    <w:rsid w:val="00171C6A"/>
    <w:rsid w:val="001726E2"/>
    <w:rsid w:val="001745B7"/>
    <w:rsid w:val="00174813"/>
    <w:rsid w:val="00174C6C"/>
    <w:rsid w:val="00175CD8"/>
    <w:rsid w:val="001762FC"/>
    <w:rsid w:val="00181323"/>
    <w:rsid w:val="001845E6"/>
    <w:rsid w:val="00185F9C"/>
    <w:rsid w:val="001862B9"/>
    <w:rsid w:val="00190EE9"/>
    <w:rsid w:val="00195904"/>
    <w:rsid w:val="001976FE"/>
    <w:rsid w:val="001A3AF9"/>
    <w:rsid w:val="001A70B0"/>
    <w:rsid w:val="001A7A5B"/>
    <w:rsid w:val="001B0C5D"/>
    <w:rsid w:val="001B2A03"/>
    <w:rsid w:val="001B4641"/>
    <w:rsid w:val="001B597D"/>
    <w:rsid w:val="001B5C3C"/>
    <w:rsid w:val="001B7ED2"/>
    <w:rsid w:val="001C071D"/>
    <w:rsid w:val="001C187E"/>
    <w:rsid w:val="001C3072"/>
    <w:rsid w:val="001C6533"/>
    <w:rsid w:val="001C6A01"/>
    <w:rsid w:val="001D1D58"/>
    <w:rsid w:val="001D3BC6"/>
    <w:rsid w:val="001D4017"/>
    <w:rsid w:val="001D49BD"/>
    <w:rsid w:val="001D5A18"/>
    <w:rsid w:val="001D703F"/>
    <w:rsid w:val="001E0685"/>
    <w:rsid w:val="001E0786"/>
    <w:rsid w:val="001E15A2"/>
    <w:rsid w:val="001E2602"/>
    <w:rsid w:val="001E79B7"/>
    <w:rsid w:val="001F2AC5"/>
    <w:rsid w:val="001F41C8"/>
    <w:rsid w:val="001F516F"/>
    <w:rsid w:val="001F5C8B"/>
    <w:rsid w:val="001F76DA"/>
    <w:rsid w:val="00200EC8"/>
    <w:rsid w:val="002034AE"/>
    <w:rsid w:val="00203E33"/>
    <w:rsid w:val="002042BF"/>
    <w:rsid w:val="00212BFD"/>
    <w:rsid w:val="00215453"/>
    <w:rsid w:val="0021707B"/>
    <w:rsid w:val="002225C3"/>
    <w:rsid w:val="00223F0E"/>
    <w:rsid w:val="002261BC"/>
    <w:rsid w:val="0022759C"/>
    <w:rsid w:val="00227B56"/>
    <w:rsid w:val="00231E6A"/>
    <w:rsid w:val="0023309A"/>
    <w:rsid w:val="00233C64"/>
    <w:rsid w:val="00234827"/>
    <w:rsid w:val="0023492C"/>
    <w:rsid w:val="002364E6"/>
    <w:rsid w:val="002366BA"/>
    <w:rsid w:val="00237300"/>
    <w:rsid w:val="0023737D"/>
    <w:rsid w:val="00240F1B"/>
    <w:rsid w:val="00242D2D"/>
    <w:rsid w:val="00242E36"/>
    <w:rsid w:val="00243567"/>
    <w:rsid w:val="00243D52"/>
    <w:rsid w:val="00243E5B"/>
    <w:rsid w:val="0024748D"/>
    <w:rsid w:val="00254A95"/>
    <w:rsid w:val="00256247"/>
    <w:rsid w:val="00256A7F"/>
    <w:rsid w:val="0026269F"/>
    <w:rsid w:val="00263107"/>
    <w:rsid w:val="00263DE8"/>
    <w:rsid w:val="002651E6"/>
    <w:rsid w:val="00265C50"/>
    <w:rsid w:val="002701FE"/>
    <w:rsid w:val="00270652"/>
    <w:rsid w:val="002718E7"/>
    <w:rsid w:val="002724E1"/>
    <w:rsid w:val="00273199"/>
    <w:rsid w:val="00274FAB"/>
    <w:rsid w:val="00275EA5"/>
    <w:rsid w:val="00276312"/>
    <w:rsid w:val="002814BA"/>
    <w:rsid w:val="00282864"/>
    <w:rsid w:val="00282DB1"/>
    <w:rsid w:val="00282F87"/>
    <w:rsid w:val="00284CE7"/>
    <w:rsid w:val="00286AB3"/>
    <w:rsid w:val="0029262F"/>
    <w:rsid w:val="002950E1"/>
    <w:rsid w:val="00296754"/>
    <w:rsid w:val="00297C27"/>
    <w:rsid w:val="002A0D1A"/>
    <w:rsid w:val="002A43A1"/>
    <w:rsid w:val="002A574C"/>
    <w:rsid w:val="002A5830"/>
    <w:rsid w:val="002A5D27"/>
    <w:rsid w:val="002A5DBF"/>
    <w:rsid w:val="002A5FB6"/>
    <w:rsid w:val="002A60AD"/>
    <w:rsid w:val="002A775F"/>
    <w:rsid w:val="002B3D2F"/>
    <w:rsid w:val="002B3F29"/>
    <w:rsid w:val="002B428B"/>
    <w:rsid w:val="002B60A8"/>
    <w:rsid w:val="002C166A"/>
    <w:rsid w:val="002C2CEF"/>
    <w:rsid w:val="002C33A6"/>
    <w:rsid w:val="002C56A9"/>
    <w:rsid w:val="002C6DCA"/>
    <w:rsid w:val="002C728C"/>
    <w:rsid w:val="002C7C13"/>
    <w:rsid w:val="002D0555"/>
    <w:rsid w:val="002D2F1A"/>
    <w:rsid w:val="002D36CC"/>
    <w:rsid w:val="002D5106"/>
    <w:rsid w:val="002D6F4D"/>
    <w:rsid w:val="002D7253"/>
    <w:rsid w:val="002D770C"/>
    <w:rsid w:val="002D7D4D"/>
    <w:rsid w:val="002E0DB7"/>
    <w:rsid w:val="002E13F6"/>
    <w:rsid w:val="002E39B5"/>
    <w:rsid w:val="002E481A"/>
    <w:rsid w:val="002E5D3F"/>
    <w:rsid w:val="002E6ED6"/>
    <w:rsid w:val="002F2700"/>
    <w:rsid w:val="002F4A26"/>
    <w:rsid w:val="002F55FA"/>
    <w:rsid w:val="002F5E3D"/>
    <w:rsid w:val="002F5F0C"/>
    <w:rsid w:val="002F63F2"/>
    <w:rsid w:val="002F6588"/>
    <w:rsid w:val="002F71B4"/>
    <w:rsid w:val="002F7679"/>
    <w:rsid w:val="003008D8"/>
    <w:rsid w:val="00301DDC"/>
    <w:rsid w:val="00302F6A"/>
    <w:rsid w:val="0030388A"/>
    <w:rsid w:val="00304737"/>
    <w:rsid w:val="003055DA"/>
    <w:rsid w:val="003056D9"/>
    <w:rsid w:val="00306F22"/>
    <w:rsid w:val="00310511"/>
    <w:rsid w:val="0031205E"/>
    <w:rsid w:val="00313027"/>
    <w:rsid w:val="003147DD"/>
    <w:rsid w:val="00315BB4"/>
    <w:rsid w:val="00316C05"/>
    <w:rsid w:val="00317C55"/>
    <w:rsid w:val="00320DE0"/>
    <w:rsid w:val="00321576"/>
    <w:rsid w:val="003237A1"/>
    <w:rsid w:val="00323EAF"/>
    <w:rsid w:val="00324A8D"/>
    <w:rsid w:val="00324AC0"/>
    <w:rsid w:val="0032540A"/>
    <w:rsid w:val="0032786D"/>
    <w:rsid w:val="00331324"/>
    <w:rsid w:val="00331658"/>
    <w:rsid w:val="003349A3"/>
    <w:rsid w:val="003354CE"/>
    <w:rsid w:val="00335CBC"/>
    <w:rsid w:val="00336940"/>
    <w:rsid w:val="0033794D"/>
    <w:rsid w:val="0034180D"/>
    <w:rsid w:val="00341E6B"/>
    <w:rsid w:val="003423F5"/>
    <w:rsid w:val="003479CB"/>
    <w:rsid w:val="00351497"/>
    <w:rsid w:val="0035444D"/>
    <w:rsid w:val="00360DBE"/>
    <w:rsid w:val="003615F6"/>
    <w:rsid w:val="00362F23"/>
    <w:rsid w:val="00364A58"/>
    <w:rsid w:val="00364FFF"/>
    <w:rsid w:val="0036536E"/>
    <w:rsid w:val="00365E11"/>
    <w:rsid w:val="0037607F"/>
    <w:rsid w:val="00376385"/>
    <w:rsid w:val="003822F9"/>
    <w:rsid w:val="00382603"/>
    <w:rsid w:val="003852D3"/>
    <w:rsid w:val="00386F10"/>
    <w:rsid w:val="00386F30"/>
    <w:rsid w:val="003904B5"/>
    <w:rsid w:val="00390EBD"/>
    <w:rsid w:val="00393F00"/>
    <w:rsid w:val="003958F4"/>
    <w:rsid w:val="00396374"/>
    <w:rsid w:val="003966B1"/>
    <w:rsid w:val="003A1C84"/>
    <w:rsid w:val="003A3055"/>
    <w:rsid w:val="003A3E7E"/>
    <w:rsid w:val="003A46E7"/>
    <w:rsid w:val="003A46E8"/>
    <w:rsid w:val="003A4ECB"/>
    <w:rsid w:val="003A593D"/>
    <w:rsid w:val="003A6334"/>
    <w:rsid w:val="003A76AE"/>
    <w:rsid w:val="003A7C84"/>
    <w:rsid w:val="003B1C67"/>
    <w:rsid w:val="003B21DB"/>
    <w:rsid w:val="003B2576"/>
    <w:rsid w:val="003B3517"/>
    <w:rsid w:val="003B4585"/>
    <w:rsid w:val="003B5A5F"/>
    <w:rsid w:val="003B6D6F"/>
    <w:rsid w:val="003B6E9C"/>
    <w:rsid w:val="003B7259"/>
    <w:rsid w:val="003C0F9D"/>
    <w:rsid w:val="003C14D3"/>
    <w:rsid w:val="003C1847"/>
    <w:rsid w:val="003C1CD0"/>
    <w:rsid w:val="003C261A"/>
    <w:rsid w:val="003C29A4"/>
    <w:rsid w:val="003C2B92"/>
    <w:rsid w:val="003C3704"/>
    <w:rsid w:val="003C3825"/>
    <w:rsid w:val="003C3BB1"/>
    <w:rsid w:val="003C575E"/>
    <w:rsid w:val="003D14F4"/>
    <w:rsid w:val="003D1FC7"/>
    <w:rsid w:val="003D2B84"/>
    <w:rsid w:val="003D372C"/>
    <w:rsid w:val="003D3D63"/>
    <w:rsid w:val="003D46AB"/>
    <w:rsid w:val="003D583E"/>
    <w:rsid w:val="003D63B3"/>
    <w:rsid w:val="003D7405"/>
    <w:rsid w:val="003E4CA4"/>
    <w:rsid w:val="003E6C87"/>
    <w:rsid w:val="003E7648"/>
    <w:rsid w:val="003F206A"/>
    <w:rsid w:val="003F23AD"/>
    <w:rsid w:val="003F23E7"/>
    <w:rsid w:val="003F59EA"/>
    <w:rsid w:val="003F6CD4"/>
    <w:rsid w:val="003F7FE4"/>
    <w:rsid w:val="00401B1B"/>
    <w:rsid w:val="00404A65"/>
    <w:rsid w:val="00407B8C"/>
    <w:rsid w:val="00407D7D"/>
    <w:rsid w:val="0041115E"/>
    <w:rsid w:val="00412D35"/>
    <w:rsid w:val="00413C73"/>
    <w:rsid w:val="00414EA7"/>
    <w:rsid w:val="0041696E"/>
    <w:rsid w:val="00417852"/>
    <w:rsid w:val="00421968"/>
    <w:rsid w:val="004246B8"/>
    <w:rsid w:val="00427E6B"/>
    <w:rsid w:val="00430E8D"/>
    <w:rsid w:val="004359FB"/>
    <w:rsid w:val="00435D99"/>
    <w:rsid w:val="00435FE5"/>
    <w:rsid w:val="00437A66"/>
    <w:rsid w:val="00442A64"/>
    <w:rsid w:val="00443F9E"/>
    <w:rsid w:val="004453DB"/>
    <w:rsid w:val="004470DA"/>
    <w:rsid w:val="00450C53"/>
    <w:rsid w:val="00454CA8"/>
    <w:rsid w:val="0046335C"/>
    <w:rsid w:val="00465C7A"/>
    <w:rsid w:val="004668A9"/>
    <w:rsid w:val="00471130"/>
    <w:rsid w:val="0047319D"/>
    <w:rsid w:val="00474FEC"/>
    <w:rsid w:val="00476E01"/>
    <w:rsid w:val="00480073"/>
    <w:rsid w:val="00482435"/>
    <w:rsid w:val="004824D1"/>
    <w:rsid w:val="00485A95"/>
    <w:rsid w:val="00487543"/>
    <w:rsid w:val="00487FAD"/>
    <w:rsid w:val="00490779"/>
    <w:rsid w:val="004909BD"/>
    <w:rsid w:val="00494CCA"/>
    <w:rsid w:val="0049572C"/>
    <w:rsid w:val="0049783C"/>
    <w:rsid w:val="004A1BB5"/>
    <w:rsid w:val="004A3912"/>
    <w:rsid w:val="004A3C37"/>
    <w:rsid w:val="004A6568"/>
    <w:rsid w:val="004A7925"/>
    <w:rsid w:val="004B0998"/>
    <w:rsid w:val="004B0EB3"/>
    <w:rsid w:val="004B1EE7"/>
    <w:rsid w:val="004B28DB"/>
    <w:rsid w:val="004B45D5"/>
    <w:rsid w:val="004B5315"/>
    <w:rsid w:val="004C1101"/>
    <w:rsid w:val="004C1E6E"/>
    <w:rsid w:val="004C2D83"/>
    <w:rsid w:val="004C3A25"/>
    <w:rsid w:val="004C56B5"/>
    <w:rsid w:val="004C57BA"/>
    <w:rsid w:val="004C63BA"/>
    <w:rsid w:val="004D0100"/>
    <w:rsid w:val="004D0419"/>
    <w:rsid w:val="004D18ED"/>
    <w:rsid w:val="004D3F13"/>
    <w:rsid w:val="004D7F36"/>
    <w:rsid w:val="004E3394"/>
    <w:rsid w:val="004E40EC"/>
    <w:rsid w:val="004E5740"/>
    <w:rsid w:val="004E7E90"/>
    <w:rsid w:val="004F20B6"/>
    <w:rsid w:val="00501C9B"/>
    <w:rsid w:val="00502790"/>
    <w:rsid w:val="00502A29"/>
    <w:rsid w:val="00502A70"/>
    <w:rsid w:val="005074AC"/>
    <w:rsid w:val="005103FF"/>
    <w:rsid w:val="005117A4"/>
    <w:rsid w:val="00511947"/>
    <w:rsid w:val="005139E8"/>
    <w:rsid w:val="005140F1"/>
    <w:rsid w:val="0051417E"/>
    <w:rsid w:val="005170A4"/>
    <w:rsid w:val="005174FF"/>
    <w:rsid w:val="005213D6"/>
    <w:rsid w:val="00521ECC"/>
    <w:rsid w:val="00523A8A"/>
    <w:rsid w:val="0052654A"/>
    <w:rsid w:val="00531A96"/>
    <w:rsid w:val="00531DEF"/>
    <w:rsid w:val="00532C08"/>
    <w:rsid w:val="0053367B"/>
    <w:rsid w:val="00533758"/>
    <w:rsid w:val="0053489D"/>
    <w:rsid w:val="005354B0"/>
    <w:rsid w:val="005366B2"/>
    <w:rsid w:val="00542572"/>
    <w:rsid w:val="00546A7F"/>
    <w:rsid w:val="005527FA"/>
    <w:rsid w:val="005537B1"/>
    <w:rsid w:val="00555CCB"/>
    <w:rsid w:val="0056070E"/>
    <w:rsid w:val="005618C8"/>
    <w:rsid w:val="00562185"/>
    <w:rsid w:val="0056372D"/>
    <w:rsid w:val="00563E8C"/>
    <w:rsid w:val="00567829"/>
    <w:rsid w:val="00570504"/>
    <w:rsid w:val="00572287"/>
    <w:rsid w:val="005737F4"/>
    <w:rsid w:val="0057489C"/>
    <w:rsid w:val="005768B4"/>
    <w:rsid w:val="00576974"/>
    <w:rsid w:val="005775A3"/>
    <w:rsid w:val="00580C70"/>
    <w:rsid w:val="00582919"/>
    <w:rsid w:val="0058536D"/>
    <w:rsid w:val="0058575E"/>
    <w:rsid w:val="00585768"/>
    <w:rsid w:val="00585C71"/>
    <w:rsid w:val="0058727E"/>
    <w:rsid w:val="00587C33"/>
    <w:rsid w:val="0059001B"/>
    <w:rsid w:val="00590333"/>
    <w:rsid w:val="005906BB"/>
    <w:rsid w:val="005918E0"/>
    <w:rsid w:val="00591C0B"/>
    <w:rsid w:val="00594997"/>
    <w:rsid w:val="00596631"/>
    <w:rsid w:val="0059737E"/>
    <w:rsid w:val="005A1484"/>
    <w:rsid w:val="005A1792"/>
    <w:rsid w:val="005B0E12"/>
    <w:rsid w:val="005B2A82"/>
    <w:rsid w:val="005B3DDA"/>
    <w:rsid w:val="005B4F29"/>
    <w:rsid w:val="005B5362"/>
    <w:rsid w:val="005B5C18"/>
    <w:rsid w:val="005B633E"/>
    <w:rsid w:val="005C000E"/>
    <w:rsid w:val="005C0592"/>
    <w:rsid w:val="005C0779"/>
    <w:rsid w:val="005C2BBB"/>
    <w:rsid w:val="005C32E3"/>
    <w:rsid w:val="005C4312"/>
    <w:rsid w:val="005C5BAD"/>
    <w:rsid w:val="005C6750"/>
    <w:rsid w:val="005C6BE6"/>
    <w:rsid w:val="005C6E01"/>
    <w:rsid w:val="005C703E"/>
    <w:rsid w:val="005C753B"/>
    <w:rsid w:val="005D087F"/>
    <w:rsid w:val="005D2125"/>
    <w:rsid w:val="005D531C"/>
    <w:rsid w:val="005D655D"/>
    <w:rsid w:val="005D7651"/>
    <w:rsid w:val="005E0681"/>
    <w:rsid w:val="005E0D81"/>
    <w:rsid w:val="005E1C7E"/>
    <w:rsid w:val="005E239D"/>
    <w:rsid w:val="005E4099"/>
    <w:rsid w:val="005E7D4C"/>
    <w:rsid w:val="005F1106"/>
    <w:rsid w:val="005F143B"/>
    <w:rsid w:val="005F1E59"/>
    <w:rsid w:val="005F5CB0"/>
    <w:rsid w:val="00601CF4"/>
    <w:rsid w:val="006029D1"/>
    <w:rsid w:val="0060329F"/>
    <w:rsid w:val="0060384B"/>
    <w:rsid w:val="00611785"/>
    <w:rsid w:val="0061293F"/>
    <w:rsid w:val="006153F2"/>
    <w:rsid w:val="00616B32"/>
    <w:rsid w:val="00617E2C"/>
    <w:rsid w:val="00620E99"/>
    <w:rsid w:val="00621B13"/>
    <w:rsid w:val="00622C47"/>
    <w:rsid w:val="00623132"/>
    <w:rsid w:val="00623158"/>
    <w:rsid w:val="006239FB"/>
    <w:rsid w:val="00630543"/>
    <w:rsid w:val="00631059"/>
    <w:rsid w:val="006343F2"/>
    <w:rsid w:val="00637A7E"/>
    <w:rsid w:val="00637C91"/>
    <w:rsid w:val="00640101"/>
    <w:rsid w:val="00642091"/>
    <w:rsid w:val="00642721"/>
    <w:rsid w:val="006437EF"/>
    <w:rsid w:val="00647AD4"/>
    <w:rsid w:val="006500DC"/>
    <w:rsid w:val="0065179E"/>
    <w:rsid w:val="006555F3"/>
    <w:rsid w:val="00657516"/>
    <w:rsid w:val="00661E6A"/>
    <w:rsid w:val="00663783"/>
    <w:rsid w:val="006676F5"/>
    <w:rsid w:val="0067002C"/>
    <w:rsid w:val="00670DCE"/>
    <w:rsid w:val="00677127"/>
    <w:rsid w:val="006801E7"/>
    <w:rsid w:val="0068037C"/>
    <w:rsid w:val="00680B73"/>
    <w:rsid w:val="006824B5"/>
    <w:rsid w:val="00682CB4"/>
    <w:rsid w:val="0068454F"/>
    <w:rsid w:val="00685CC5"/>
    <w:rsid w:val="006865BE"/>
    <w:rsid w:val="0069014B"/>
    <w:rsid w:val="00691A87"/>
    <w:rsid w:val="0069262B"/>
    <w:rsid w:val="00692D32"/>
    <w:rsid w:val="006945E5"/>
    <w:rsid w:val="00695E47"/>
    <w:rsid w:val="00697C50"/>
    <w:rsid w:val="006A1BBF"/>
    <w:rsid w:val="006A1F0B"/>
    <w:rsid w:val="006A3448"/>
    <w:rsid w:val="006A3559"/>
    <w:rsid w:val="006A4282"/>
    <w:rsid w:val="006A53A3"/>
    <w:rsid w:val="006B148D"/>
    <w:rsid w:val="006B19E9"/>
    <w:rsid w:val="006B1E25"/>
    <w:rsid w:val="006B24AD"/>
    <w:rsid w:val="006B456E"/>
    <w:rsid w:val="006B4FD7"/>
    <w:rsid w:val="006C0FC4"/>
    <w:rsid w:val="006C3953"/>
    <w:rsid w:val="006C5938"/>
    <w:rsid w:val="006C6C40"/>
    <w:rsid w:val="006C6E5A"/>
    <w:rsid w:val="006C7755"/>
    <w:rsid w:val="006D06B6"/>
    <w:rsid w:val="006D0F0A"/>
    <w:rsid w:val="006D31C0"/>
    <w:rsid w:val="006D3829"/>
    <w:rsid w:val="006D3EB2"/>
    <w:rsid w:val="006D3ED0"/>
    <w:rsid w:val="006D4BEF"/>
    <w:rsid w:val="006D7FC5"/>
    <w:rsid w:val="006E0FF2"/>
    <w:rsid w:val="006E3F51"/>
    <w:rsid w:val="006E5604"/>
    <w:rsid w:val="006F0302"/>
    <w:rsid w:val="006F06A0"/>
    <w:rsid w:val="006F0C99"/>
    <w:rsid w:val="006F0DC0"/>
    <w:rsid w:val="006F26BD"/>
    <w:rsid w:val="006F2DDC"/>
    <w:rsid w:val="006F30E3"/>
    <w:rsid w:val="006F538D"/>
    <w:rsid w:val="006F5962"/>
    <w:rsid w:val="00700464"/>
    <w:rsid w:val="007006F2"/>
    <w:rsid w:val="00701013"/>
    <w:rsid w:val="0070117D"/>
    <w:rsid w:val="00704521"/>
    <w:rsid w:val="00704BA4"/>
    <w:rsid w:val="0070568A"/>
    <w:rsid w:val="0071022E"/>
    <w:rsid w:val="00713C37"/>
    <w:rsid w:val="007141ED"/>
    <w:rsid w:val="00714F59"/>
    <w:rsid w:val="00715B11"/>
    <w:rsid w:val="007170DE"/>
    <w:rsid w:val="007175BD"/>
    <w:rsid w:val="00720B20"/>
    <w:rsid w:val="00721C27"/>
    <w:rsid w:val="00721E1B"/>
    <w:rsid w:val="00722D81"/>
    <w:rsid w:val="00724841"/>
    <w:rsid w:val="00724FA8"/>
    <w:rsid w:val="00726755"/>
    <w:rsid w:val="00726ADF"/>
    <w:rsid w:val="007324D7"/>
    <w:rsid w:val="00733A7F"/>
    <w:rsid w:val="00736014"/>
    <w:rsid w:val="00736C5D"/>
    <w:rsid w:val="00740CAC"/>
    <w:rsid w:val="00741C33"/>
    <w:rsid w:val="00743DA5"/>
    <w:rsid w:val="00744322"/>
    <w:rsid w:val="00744865"/>
    <w:rsid w:val="00744A24"/>
    <w:rsid w:val="00746990"/>
    <w:rsid w:val="0074731B"/>
    <w:rsid w:val="007475D4"/>
    <w:rsid w:val="007477C7"/>
    <w:rsid w:val="0075015F"/>
    <w:rsid w:val="0075297B"/>
    <w:rsid w:val="00752AE3"/>
    <w:rsid w:val="0075312B"/>
    <w:rsid w:val="00753426"/>
    <w:rsid w:val="00753DAB"/>
    <w:rsid w:val="00753F0C"/>
    <w:rsid w:val="007551A0"/>
    <w:rsid w:val="00755234"/>
    <w:rsid w:val="0075597A"/>
    <w:rsid w:val="00756012"/>
    <w:rsid w:val="00756708"/>
    <w:rsid w:val="00760275"/>
    <w:rsid w:val="0076080E"/>
    <w:rsid w:val="00760DFF"/>
    <w:rsid w:val="007655FA"/>
    <w:rsid w:val="00765D85"/>
    <w:rsid w:val="0076618A"/>
    <w:rsid w:val="007666BE"/>
    <w:rsid w:val="0076765D"/>
    <w:rsid w:val="007704EC"/>
    <w:rsid w:val="00771DC9"/>
    <w:rsid w:val="007730B9"/>
    <w:rsid w:val="0077576A"/>
    <w:rsid w:val="00776104"/>
    <w:rsid w:val="007761CD"/>
    <w:rsid w:val="007765D7"/>
    <w:rsid w:val="00776B5D"/>
    <w:rsid w:val="00777480"/>
    <w:rsid w:val="007804F0"/>
    <w:rsid w:val="00781CD4"/>
    <w:rsid w:val="00784190"/>
    <w:rsid w:val="007853F7"/>
    <w:rsid w:val="007905DE"/>
    <w:rsid w:val="0079250C"/>
    <w:rsid w:val="0079396C"/>
    <w:rsid w:val="007945C9"/>
    <w:rsid w:val="0079463F"/>
    <w:rsid w:val="00794730"/>
    <w:rsid w:val="00796CC9"/>
    <w:rsid w:val="007A0C20"/>
    <w:rsid w:val="007A132F"/>
    <w:rsid w:val="007A13CC"/>
    <w:rsid w:val="007A20B8"/>
    <w:rsid w:val="007A296F"/>
    <w:rsid w:val="007A7A4C"/>
    <w:rsid w:val="007B0334"/>
    <w:rsid w:val="007B1B28"/>
    <w:rsid w:val="007B2F14"/>
    <w:rsid w:val="007B43C1"/>
    <w:rsid w:val="007C0874"/>
    <w:rsid w:val="007C1961"/>
    <w:rsid w:val="007C1DE6"/>
    <w:rsid w:val="007C2247"/>
    <w:rsid w:val="007C6E2B"/>
    <w:rsid w:val="007D18E0"/>
    <w:rsid w:val="007E0771"/>
    <w:rsid w:val="007E0E31"/>
    <w:rsid w:val="007E2393"/>
    <w:rsid w:val="007E2677"/>
    <w:rsid w:val="007E4415"/>
    <w:rsid w:val="007E47C9"/>
    <w:rsid w:val="007E5764"/>
    <w:rsid w:val="007F0619"/>
    <w:rsid w:val="007F0A77"/>
    <w:rsid w:val="007F66DE"/>
    <w:rsid w:val="00800528"/>
    <w:rsid w:val="0080751E"/>
    <w:rsid w:val="00807AF6"/>
    <w:rsid w:val="0081221D"/>
    <w:rsid w:val="00812DDD"/>
    <w:rsid w:val="008133DE"/>
    <w:rsid w:val="00814E7F"/>
    <w:rsid w:val="00815370"/>
    <w:rsid w:val="008157A6"/>
    <w:rsid w:val="0081652B"/>
    <w:rsid w:val="00820A7D"/>
    <w:rsid w:val="008215B9"/>
    <w:rsid w:val="00821F47"/>
    <w:rsid w:val="008245D1"/>
    <w:rsid w:val="00826BF3"/>
    <w:rsid w:val="008271A0"/>
    <w:rsid w:val="00830051"/>
    <w:rsid w:val="008329DB"/>
    <w:rsid w:val="008335E6"/>
    <w:rsid w:val="0083748F"/>
    <w:rsid w:val="00837542"/>
    <w:rsid w:val="00837858"/>
    <w:rsid w:val="00837C1F"/>
    <w:rsid w:val="008418DF"/>
    <w:rsid w:val="00845F02"/>
    <w:rsid w:val="008467B9"/>
    <w:rsid w:val="00851A3F"/>
    <w:rsid w:val="00851E9B"/>
    <w:rsid w:val="00853730"/>
    <w:rsid w:val="00853BD7"/>
    <w:rsid w:val="008547CE"/>
    <w:rsid w:val="00854CC3"/>
    <w:rsid w:val="00854F0A"/>
    <w:rsid w:val="008552BC"/>
    <w:rsid w:val="00855E1B"/>
    <w:rsid w:val="00856781"/>
    <w:rsid w:val="00861A20"/>
    <w:rsid w:val="00863987"/>
    <w:rsid w:val="00866980"/>
    <w:rsid w:val="00867E24"/>
    <w:rsid w:val="00870100"/>
    <w:rsid w:val="00870265"/>
    <w:rsid w:val="00870B31"/>
    <w:rsid w:val="008713F5"/>
    <w:rsid w:val="00871EA4"/>
    <w:rsid w:val="00871F40"/>
    <w:rsid w:val="00875A9A"/>
    <w:rsid w:val="00876DD7"/>
    <w:rsid w:val="00877944"/>
    <w:rsid w:val="008803AE"/>
    <w:rsid w:val="00880BDD"/>
    <w:rsid w:val="00881279"/>
    <w:rsid w:val="008834F3"/>
    <w:rsid w:val="008836FE"/>
    <w:rsid w:val="008844D8"/>
    <w:rsid w:val="008851FF"/>
    <w:rsid w:val="00885687"/>
    <w:rsid w:val="00886FB8"/>
    <w:rsid w:val="00890843"/>
    <w:rsid w:val="00891D42"/>
    <w:rsid w:val="00892D46"/>
    <w:rsid w:val="008938F3"/>
    <w:rsid w:val="00894DDA"/>
    <w:rsid w:val="0089602C"/>
    <w:rsid w:val="00896659"/>
    <w:rsid w:val="00897AFC"/>
    <w:rsid w:val="008A01AB"/>
    <w:rsid w:val="008A0830"/>
    <w:rsid w:val="008A17A4"/>
    <w:rsid w:val="008A2B74"/>
    <w:rsid w:val="008A413A"/>
    <w:rsid w:val="008A43B6"/>
    <w:rsid w:val="008A456B"/>
    <w:rsid w:val="008A5B64"/>
    <w:rsid w:val="008A7EC6"/>
    <w:rsid w:val="008A7F6D"/>
    <w:rsid w:val="008B0C30"/>
    <w:rsid w:val="008B0ECD"/>
    <w:rsid w:val="008B11D3"/>
    <w:rsid w:val="008B1A94"/>
    <w:rsid w:val="008B1FEC"/>
    <w:rsid w:val="008B316D"/>
    <w:rsid w:val="008B47D1"/>
    <w:rsid w:val="008B5314"/>
    <w:rsid w:val="008C0F2A"/>
    <w:rsid w:val="008C1F79"/>
    <w:rsid w:val="008C471B"/>
    <w:rsid w:val="008C48B3"/>
    <w:rsid w:val="008C4D68"/>
    <w:rsid w:val="008D1898"/>
    <w:rsid w:val="008D260F"/>
    <w:rsid w:val="008D58D3"/>
    <w:rsid w:val="008E1714"/>
    <w:rsid w:val="008E4DE8"/>
    <w:rsid w:val="008E6A81"/>
    <w:rsid w:val="008E6DAF"/>
    <w:rsid w:val="008F2008"/>
    <w:rsid w:val="008F28BB"/>
    <w:rsid w:val="008F2D5C"/>
    <w:rsid w:val="008F347B"/>
    <w:rsid w:val="008F751F"/>
    <w:rsid w:val="008F7DDF"/>
    <w:rsid w:val="00900541"/>
    <w:rsid w:val="0090149A"/>
    <w:rsid w:val="009029AE"/>
    <w:rsid w:val="0090511F"/>
    <w:rsid w:val="009059AF"/>
    <w:rsid w:val="009062E2"/>
    <w:rsid w:val="00907172"/>
    <w:rsid w:val="009073B0"/>
    <w:rsid w:val="009138FD"/>
    <w:rsid w:val="00915288"/>
    <w:rsid w:val="00915D0B"/>
    <w:rsid w:val="0091621B"/>
    <w:rsid w:val="009168C1"/>
    <w:rsid w:val="00916C04"/>
    <w:rsid w:val="009200E1"/>
    <w:rsid w:val="00922312"/>
    <w:rsid w:val="009231B3"/>
    <w:rsid w:val="00924648"/>
    <w:rsid w:val="00925A53"/>
    <w:rsid w:val="00925DDF"/>
    <w:rsid w:val="00926DA9"/>
    <w:rsid w:val="00926E1B"/>
    <w:rsid w:val="00930AB3"/>
    <w:rsid w:val="00930D58"/>
    <w:rsid w:val="00932026"/>
    <w:rsid w:val="00932145"/>
    <w:rsid w:val="0093470E"/>
    <w:rsid w:val="00941A11"/>
    <w:rsid w:val="00942BA7"/>
    <w:rsid w:val="00943BE8"/>
    <w:rsid w:val="00943C81"/>
    <w:rsid w:val="00944263"/>
    <w:rsid w:val="00945AF1"/>
    <w:rsid w:val="00945B45"/>
    <w:rsid w:val="00945DF1"/>
    <w:rsid w:val="00946FF7"/>
    <w:rsid w:val="0095042F"/>
    <w:rsid w:val="00952C02"/>
    <w:rsid w:val="00954C29"/>
    <w:rsid w:val="009565DA"/>
    <w:rsid w:val="00957358"/>
    <w:rsid w:val="00960D32"/>
    <w:rsid w:val="009612E7"/>
    <w:rsid w:val="0096165E"/>
    <w:rsid w:val="00962C3F"/>
    <w:rsid w:val="00963028"/>
    <w:rsid w:val="00963484"/>
    <w:rsid w:val="00964BDC"/>
    <w:rsid w:val="009678F6"/>
    <w:rsid w:val="00967AD1"/>
    <w:rsid w:val="009725BB"/>
    <w:rsid w:val="00972CCB"/>
    <w:rsid w:val="00972FDC"/>
    <w:rsid w:val="0097448C"/>
    <w:rsid w:val="00976F0A"/>
    <w:rsid w:val="009772E3"/>
    <w:rsid w:val="0098017A"/>
    <w:rsid w:val="009836AC"/>
    <w:rsid w:val="00983CEA"/>
    <w:rsid w:val="00985992"/>
    <w:rsid w:val="00985A5C"/>
    <w:rsid w:val="00986D80"/>
    <w:rsid w:val="00987A4E"/>
    <w:rsid w:val="00991A36"/>
    <w:rsid w:val="0099293B"/>
    <w:rsid w:val="00994BD4"/>
    <w:rsid w:val="00995E9D"/>
    <w:rsid w:val="00996936"/>
    <w:rsid w:val="00997446"/>
    <w:rsid w:val="009A09FB"/>
    <w:rsid w:val="009A310F"/>
    <w:rsid w:val="009A3181"/>
    <w:rsid w:val="009A4407"/>
    <w:rsid w:val="009A6FD7"/>
    <w:rsid w:val="009A7544"/>
    <w:rsid w:val="009B092C"/>
    <w:rsid w:val="009B3347"/>
    <w:rsid w:val="009B64C6"/>
    <w:rsid w:val="009B686C"/>
    <w:rsid w:val="009B6A72"/>
    <w:rsid w:val="009B6BC6"/>
    <w:rsid w:val="009B6D1B"/>
    <w:rsid w:val="009C015A"/>
    <w:rsid w:val="009C01EF"/>
    <w:rsid w:val="009C0484"/>
    <w:rsid w:val="009C1002"/>
    <w:rsid w:val="009C258C"/>
    <w:rsid w:val="009C3312"/>
    <w:rsid w:val="009C6E06"/>
    <w:rsid w:val="009C7713"/>
    <w:rsid w:val="009D1C23"/>
    <w:rsid w:val="009D25D5"/>
    <w:rsid w:val="009D25FB"/>
    <w:rsid w:val="009D29E1"/>
    <w:rsid w:val="009D4289"/>
    <w:rsid w:val="009D532A"/>
    <w:rsid w:val="009D54F4"/>
    <w:rsid w:val="009D5F1E"/>
    <w:rsid w:val="009D6240"/>
    <w:rsid w:val="009E1AA1"/>
    <w:rsid w:val="009E672A"/>
    <w:rsid w:val="009E6737"/>
    <w:rsid w:val="009E6B1E"/>
    <w:rsid w:val="009E77E8"/>
    <w:rsid w:val="009F01A2"/>
    <w:rsid w:val="009F01AB"/>
    <w:rsid w:val="009F45F8"/>
    <w:rsid w:val="009F582A"/>
    <w:rsid w:val="009F5FAE"/>
    <w:rsid w:val="009F6889"/>
    <w:rsid w:val="009F72A5"/>
    <w:rsid w:val="009F7893"/>
    <w:rsid w:val="00A0074F"/>
    <w:rsid w:val="00A01E40"/>
    <w:rsid w:val="00A02707"/>
    <w:rsid w:val="00A027BD"/>
    <w:rsid w:val="00A027FC"/>
    <w:rsid w:val="00A0529B"/>
    <w:rsid w:val="00A0578D"/>
    <w:rsid w:val="00A060CA"/>
    <w:rsid w:val="00A0616E"/>
    <w:rsid w:val="00A07D85"/>
    <w:rsid w:val="00A10875"/>
    <w:rsid w:val="00A10FEC"/>
    <w:rsid w:val="00A134C3"/>
    <w:rsid w:val="00A153DE"/>
    <w:rsid w:val="00A17A47"/>
    <w:rsid w:val="00A17C95"/>
    <w:rsid w:val="00A17F86"/>
    <w:rsid w:val="00A2064C"/>
    <w:rsid w:val="00A225E9"/>
    <w:rsid w:val="00A27004"/>
    <w:rsid w:val="00A27C4F"/>
    <w:rsid w:val="00A27DB4"/>
    <w:rsid w:val="00A300E3"/>
    <w:rsid w:val="00A31BC8"/>
    <w:rsid w:val="00A33021"/>
    <w:rsid w:val="00A3486A"/>
    <w:rsid w:val="00A41E65"/>
    <w:rsid w:val="00A44E49"/>
    <w:rsid w:val="00A45884"/>
    <w:rsid w:val="00A45924"/>
    <w:rsid w:val="00A469B4"/>
    <w:rsid w:val="00A46F69"/>
    <w:rsid w:val="00A47596"/>
    <w:rsid w:val="00A47CF7"/>
    <w:rsid w:val="00A502AC"/>
    <w:rsid w:val="00A51631"/>
    <w:rsid w:val="00A6301A"/>
    <w:rsid w:val="00A63572"/>
    <w:rsid w:val="00A639DB"/>
    <w:rsid w:val="00A66967"/>
    <w:rsid w:val="00A67252"/>
    <w:rsid w:val="00A736B8"/>
    <w:rsid w:val="00A7447F"/>
    <w:rsid w:val="00A76AB9"/>
    <w:rsid w:val="00A76FCB"/>
    <w:rsid w:val="00A83CEF"/>
    <w:rsid w:val="00A8404A"/>
    <w:rsid w:val="00A84068"/>
    <w:rsid w:val="00A86577"/>
    <w:rsid w:val="00A9133E"/>
    <w:rsid w:val="00A92A6C"/>
    <w:rsid w:val="00A92C67"/>
    <w:rsid w:val="00A9491B"/>
    <w:rsid w:val="00A952B0"/>
    <w:rsid w:val="00A95EEB"/>
    <w:rsid w:val="00AA2E64"/>
    <w:rsid w:val="00AA3177"/>
    <w:rsid w:val="00AA50C2"/>
    <w:rsid w:val="00AA6558"/>
    <w:rsid w:val="00AA73B7"/>
    <w:rsid w:val="00AB0B47"/>
    <w:rsid w:val="00AB32DD"/>
    <w:rsid w:val="00AB33E5"/>
    <w:rsid w:val="00AB4D64"/>
    <w:rsid w:val="00AB4F81"/>
    <w:rsid w:val="00AB6534"/>
    <w:rsid w:val="00AB7CBF"/>
    <w:rsid w:val="00AC0E85"/>
    <w:rsid w:val="00AC4C71"/>
    <w:rsid w:val="00AC7CF2"/>
    <w:rsid w:val="00AD054F"/>
    <w:rsid w:val="00AD0C0A"/>
    <w:rsid w:val="00AD168F"/>
    <w:rsid w:val="00AD7330"/>
    <w:rsid w:val="00AE4AAB"/>
    <w:rsid w:val="00AE5870"/>
    <w:rsid w:val="00AF06F3"/>
    <w:rsid w:val="00AF2764"/>
    <w:rsid w:val="00AF2FA4"/>
    <w:rsid w:val="00AF323D"/>
    <w:rsid w:val="00AF4617"/>
    <w:rsid w:val="00AF4EFC"/>
    <w:rsid w:val="00AF756C"/>
    <w:rsid w:val="00AF78A4"/>
    <w:rsid w:val="00AF7DF5"/>
    <w:rsid w:val="00B021D4"/>
    <w:rsid w:val="00B06C8B"/>
    <w:rsid w:val="00B12809"/>
    <w:rsid w:val="00B16935"/>
    <w:rsid w:val="00B1717A"/>
    <w:rsid w:val="00B21128"/>
    <w:rsid w:val="00B21F55"/>
    <w:rsid w:val="00B25E12"/>
    <w:rsid w:val="00B25E9B"/>
    <w:rsid w:val="00B27185"/>
    <w:rsid w:val="00B32847"/>
    <w:rsid w:val="00B32E99"/>
    <w:rsid w:val="00B334D8"/>
    <w:rsid w:val="00B33A3D"/>
    <w:rsid w:val="00B33AAC"/>
    <w:rsid w:val="00B35373"/>
    <w:rsid w:val="00B35423"/>
    <w:rsid w:val="00B4475F"/>
    <w:rsid w:val="00B44BE0"/>
    <w:rsid w:val="00B45574"/>
    <w:rsid w:val="00B45D2D"/>
    <w:rsid w:val="00B46BC0"/>
    <w:rsid w:val="00B47920"/>
    <w:rsid w:val="00B50B1A"/>
    <w:rsid w:val="00B50E70"/>
    <w:rsid w:val="00B51154"/>
    <w:rsid w:val="00B514B1"/>
    <w:rsid w:val="00B51563"/>
    <w:rsid w:val="00B5219A"/>
    <w:rsid w:val="00B548F5"/>
    <w:rsid w:val="00B56371"/>
    <w:rsid w:val="00B61ABB"/>
    <w:rsid w:val="00B62336"/>
    <w:rsid w:val="00B627A7"/>
    <w:rsid w:val="00B65324"/>
    <w:rsid w:val="00B6532A"/>
    <w:rsid w:val="00B65D05"/>
    <w:rsid w:val="00B66DC4"/>
    <w:rsid w:val="00B670FB"/>
    <w:rsid w:val="00B673B4"/>
    <w:rsid w:val="00B70BF2"/>
    <w:rsid w:val="00B72C6A"/>
    <w:rsid w:val="00B73961"/>
    <w:rsid w:val="00B73E91"/>
    <w:rsid w:val="00B751A1"/>
    <w:rsid w:val="00B76396"/>
    <w:rsid w:val="00B76AF9"/>
    <w:rsid w:val="00B77799"/>
    <w:rsid w:val="00B77BA4"/>
    <w:rsid w:val="00B800AF"/>
    <w:rsid w:val="00B80918"/>
    <w:rsid w:val="00B81208"/>
    <w:rsid w:val="00B82973"/>
    <w:rsid w:val="00B82A85"/>
    <w:rsid w:val="00B82A88"/>
    <w:rsid w:val="00B83D0A"/>
    <w:rsid w:val="00B8461A"/>
    <w:rsid w:val="00B84FCE"/>
    <w:rsid w:val="00B8558C"/>
    <w:rsid w:val="00B85B10"/>
    <w:rsid w:val="00B905C3"/>
    <w:rsid w:val="00B92902"/>
    <w:rsid w:val="00B92BEF"/>
    <w:rsid w:val="00B92E8C"/>
    <w:rsid w:val="00B9330E"/>
    <w:rsid w:val="00B94BCF"/>
    <w:rsid w:val="00B953E0"/>
    <w:rsid w:val="00B95528"/>
    <w:rsid w:val="00B955D9"/>
    <w:rsid w:val="00B9587F"/>
    <w:rsid w:val="00BA34B2"/>
    <w:rsid w:val="00BA3C12"/>
    <w:rsid w:val="00BA42A2"/>
    <w:rsid w:val="00BA5251"/>
    <w:rsid w:val="00BA7705"/>
    <w:rsid w:val="00BA771E"/>
    <w:rsid w:val="00BA7FD9"/>
    <w:rsid w:val="00BB5F6F"/>
    <w:rsid w:val="00BC074D"/>
    <w:rsid w:val="00BC0DA9"/>
    <w:rsid w:val="00BC13B2"/>
    <w:rsid w:val="00BC2E6A"/>
    <w:rsid w:val="00BC40ED"/>
    <w:rsid w:val="00BC43B8"/>
    <w:rsid w:val="00BC43CD"/>
    <w:rsid w:val="00BC5058"/>
    <w:rsid w:val="00BC535E"/>
    <w:rsid w:val="00BC6DE1"/>
    <w:rsid w:val="00BD2B11"/>
    <w:rsid w:val="00BD47D4"/>
    <w:rsid w:val="00BD5B2A"/>
    <w:rsid w:val="00BE0C4A"/>
    <w:rsid w:val="00BE10DE"/>
    <w:rsid w:val="00BE19DA"/>
    <w:rsid w:val="00BE2126"/>
    <w:rsid w:val="00BE785F"/>
    <w:rsid w:val="00BF0C72"/>
    <w:rsid w:val="00BF35A7"/>
    <w:rsid w:val="00BF664A"/>
    <w:rsid w:val="00C0536A"/>
    <w:rsid w:val="00C0686E"/>
    <w:rsid w:val="00C06EC3"/>
    <w:rsid w:val="00C07AB7"/>
    <w:rsid w:val="00C10712"/>
    <w:rsid w:val="00C11F34"/>
    <w:rsid w:val="00C15619"/>
    <w:rsid w:val="00C163BE"/>
    <w:rsid w:val="00C17676"/>
    <w:rsid w:val="00C17B02"/>
    <w:rsid w:val="00C20627"/>
    <w:rsid w:val="00C20F72"/>
    <w:rsid w:val="00C238AA"/>
    <w:rsid w:val="00C25CED"/>
    <w:rsid w:val="00C26EBE"/>
    <w:rsid w:val="00C27849"/>
    <w:rsid w:val="00C32072"/>
    <w:rsid w:val="00C327B9"/>
    <w:rsid w:val="00C32BEE"/>
    <w:rsid w:val="00C35499"/>
    <w:rsid w:val="00C371B4"/>
    <w:rsid w:val="00C426C3"/>
    <w:rsid w:val="00C47D8E"/>
    <w:rsid w:val="00C51579"/>
    <w:rsid w:val="00C54EAB"/>
    <w:rsid w:val="00C55FD7"/>
    <w:rsid w:val="00C61AAD"/>
    <w:rsid w:val="00C62CFA"/>
    <w:rsid w:val="00C642C6"/>
    <w:rsid w:val="00C646EE"/>
    <w:rsid w:val="00C65E58"/>
    <w:rsid w:val="00C65E62"/>
    <w:rsid w:val="00C67107"/>
    <w:rsid w:val="00C67223"/>
    <w:rsid w:val="00C678E2"/>
    <w:rsid w:val="00C74A6F"/>
    <w:rsid w:val="00C75BED"/>
    <w:rsid w:val="00C7639A"/>
    <w:rsid w:val="00C8117E"/>
    <w:rsid w:val="00C818E6"/>
    <w:rsid w:val="00C83FD8"/>
    <w:rsid w:val="00C85298"/>
    <w:rsid w:val="00C86C33"/>
    <w:rsid w:val="00C87D33"/>
    <w:rsid w:val="00C90219"/>
    <w:rsid w:val="00C90E4E"/>
    <w:rsid w:val="00C90EFC"/>
    <w:rsid w:val="00C946BE"/>
    <w:rsid w:val="00C96BAE"/>
    <w:rsid w:val="00C9720A"/>
    <w:rsid w:val="00CA0FAD"/>
    <w:rsid w:val="00CA1155"/>
    <w:rsid w:val="00CA3399"/>
    <w:rsid w:val="00CA671C"/>
    <w:rsid w:val="00CA6CEF"/>
    <w:rsid w:val="00CB0550"/>
    <w:rsid w:val="00CB0B1D"/>
    <w:rsid w:val="00CB25B8"/>
    <w:rsid w:val="00CB4F7C"/>
    <w:rsid w:val="00CB5590"/>
    <w:rsid w:val="00CB5B4A"/>
    <w:rsid w:val="00CB6146"/>
    <w:rsid w:val="00CC06E5"/>
    <w:rsid w:val="00CC0715"/>
    <w:rsid w:val="00CC6925"/>
    <w:rsid w:val="00CC6F0E"/>
    <w:rsid w:val="00CC7E97"/>
    <w:rsid w:val="00CD00E6"/>
    <w:rsid w:val="00CD1027"/>
    <w:rsid w:val="00CD3241"/>
    <w:rsid w:val="00CD3B50"/>
    <w:rsid w:val="00CD45DA"/>
    <w:rsid w:val="00CD4A1C"/>
    <w:rsid w:val="00CD4C26"/>
    <w:rsid w:val="00CD5F70"/>
    <w:rsid w:val="00CD6D0B"/>
    <w:rsid w:val="00CE0387"/>
    <w:rsid w:val="00CE0E0F"/>
    <w:rsid w:val="00CE54EF"/>
    <w:rsid w:val="00CE65C6"/>
    <w:rsid w:val="00CF0264"/>
    <w:rsid w:val="00CF0B80"/>
    <w:rsid w:val="00CF0C7E"/>
    <w:rsid w:val="00CF1123"/>
    <w:rsid w:val="00CF3673"/>
    <w:rsid w:val="00D0018E"/>
    <w:rsid w:val="00D02B90"/>
    <w:rsid w:val="00D03014"/>
    <w:rsid w:val="00D03180"/>
    <w:rsid w:val="00D0682C"/>
    <w:rsid w:val="00D06ACE"/>
    <w:rsid w:val="00D078BE"/>
    <w:rsid w:val="00D079A7"/>
    <w:rsid w:val="00D10F4D"/>
    <w:rsid w:val="00D11C52"/>
    <w:rsid w:val="00D13F8A"/>
    <w:rsid w:val="00D1601F"/>
    <w:rsid w:val="00D16A6F"/>
    <w:rsid w:val="00D17060"/>
    <w:rsid w:val="00D20464"/>
    <w:rsid w:val="00D221C8"/>
    <w:rsid w:val="00D24FB8"/>
    <w:rsid w:val="00D25649"/>
    <w:rsid w:val="00D269E9"/>
    <w:rsid w:val="00D272BE"/>
    <w:rsid w:val="00D2790D"/>
    <w:rsid w:val="00D331F9"/>
    <w:rsid w:val="00D337F0"/>
    <w:rsid w:val="00D3390B"/>
    <w:rsid w:val="00D35325"/>
    <w:rsid w:val="00D37732"/>
    <w:rsid w:val="00D402F8"/>
    <w:rsid w:val="00D41767"/>
    <w:rsid w:val="00D42B45"/>
    <w:rsid w:val="00D43E9E"/>
    <w:rsid w:val="00D453D1"/>
    <w:rsid w:val="00D50932"/>
    <w:rsid w:val="00D5205D"/>
    <w:rsid w:val="00D53847"/>
    <w:rsid w:val="00D54428"/>
    <w:rsid w:val="00D54B91"/>
    <w:rsid w:val="00D54FFD"/>
    <w:rsid w:val="00D569FB"/>
    <w:rsid w:val="00D60B93"/>
    <w:rsid w:val="00D637A4"/>
    <w:rsid w:val="00D64A65"/>
    <w:rsid w:val="00D64BA0"/>
    <w:rsid w:val="00D65DC8"/>
    <w:rsid w:val="00D727D1"/>
    <w:rsid w:val="00D7328A"/>
    <w:rsid w:val="00D7338D"/>
    <w:rsid w:val="00D740EA"/>
    <w:rsid w:val="00D76328"/>
    <w:rsid w:val="00D86132"/>
    <w:rsid w:val="00D86435"/>
    <w:rsid w:val="00D90EB4"/>
    <w:rsid w:val="00D918D5"/>
    <w:rsid w:val="00D918E2"/>
    <w:rsid w:val="00D9199E"/>
    <w:rsid w:val="00D9356C"/>
    <w:rsid w:val="00D949CB"/>
    <w:rsid w:val="00D94A7D"/>
    <w:rsid w:val="00D95D1A"/>
    <w:rsid w:val="00DA2A67"/>
    <w:rsid w:val="00DA3708"/>
    <w:rsid w:val="00DA5F55"/>
    <w:rsid w:val="00DB0343"/>
    <w:rsid w:val="00DB0D87"/>
    <w:rsid w:val="00DB15FF"/>
    <w:rsid w:val="00DB16CF"/>
    <w:rsid w:val="00DB2DAA"/>
    <w:rsid w:val="00DB300E"/>
    <w:rsid w:val="00DB335D"/>
    <w:rsid w:val="00DB601D"/>
    <w:rsid w:val="00DC230B"/>
    <w:rsid w:val="00DC5FC3"/>
    <w:rsid w:val="00DC67D0"/>
    <w:rsid w:val="00DD08B0"/>
    <w:rsid w:val="00DD190B"/>
    <w:rsid w:val="00DD272E"/>
    <w:rsid w:val="00DD31E3"/>
    <w:rsid w:val="00DD3466"/>
    <w:rsid w:val="00DD6CC4"/>
    <w:rsid w:val="00DD78D6"/>
    <w:rsid w:val="00DD7919"/>
    <w:rsid w:val="00DE1127"/>
    <w:rsid w:val="00DE397D"/>
    <w:rsid w:val="00DE558C"/>
    <w:rsid w:val="00DE69AF"/>
    <w:rsid w:val="00DF14D8"/>
    <w:rsid w:val="00DF17E8"/>
    <w:rsid w:val="00DF3EEF"/>
    <w:rsid w:val="00DF490E"/>
    <w:rsid w:val="00DF544A"/>
    <w:rsid w:val="00DF64AB"/>
    <w:rsid w:val="00DF6CA5"/>
    <w:rsid w:val="00E02718"/>
    <w:rsid w:val="00E038D3"/>
    <w:rsid w:val="00E03C89"/>
    <w:rsid w:val="00E03E90"/>
    <w:rsid w:val="00E04575"/>
    <w:rsid w:val="00E114FC"/>
    <w:rsid w:val="00E11817"/>
    <w:rsid w:val="00E15553"/>
    <w:rsid w:val="00E155E5"/>
    <w:rsid w:val="00E1621B"/>
    <w:rsid w:val="00E2235E"/>
    <w:rsid w:val="00E24199"/>
    <w:rsid w:val="00E24B15"/>
    <w:rsid w:val="00E24B90"/>
    <w:rsid w:val="00E254F0"/>
    <w:rsid w:val="00E26BD1"/>
    <w:rsid w:val="00E32D85"/>
    <w:rsid w:val="00E336FA"/>
    <w:rsid w:val="00E35C2B"/>
    <w:rsid w:val="00E375A7"/>
    <w:rsid w:val="00E401BA"/>
    <w:rsid w:val="00E40FC2"/>
    <w:rsid w:val="00E41DB9"/>
    <w:rsid w:val="00E4224A"/>
    <w:rsid w:val="00E4426A"/>
    <w:rsid w:val="00E44BA9"/>
    <w:rsid w:val="00E47A6F"/>
    <w:rsid w:val="00E47E9D"/>
    <w:rsid w:val="00E47F59"/>
    <w:rsid w:val="00E52436"/>
    <w:rsid w:val="00E52579"/>
    <w:rsid w:val="00E53D3F"/>
    <w:rsid w:val="00E5580E"/>
    <w:rsid w:val="00E57FFB"/>
    <w:rsid w:val="00E61F8D"/>
    <w:rsid w:val="00E63C21"/>
    <w:rsid w:val="00E64E34"/>
    <w:rsid w:val="00E65B53"/>
    <w:rsid w:val="00E66BAF"/>
    <w:rsid w:val="00E6780D"/>
    <w:rsid w:val="00E71612"/>
    <w:rsid w:val="00E730E0"/>
    <w:rsid w:val="00E743AE"/>
    <w:rsid w:val="00E77EA2"/>
    <w:rsid w:val="00E80B76"/>
    <w:rsid w:val="00E80BC8"/>
    <w:rsid w:val="00E8593C"/>
    <w:rsid w:val="00E860B4"/>
    <w:rsid w:val="00E90959"/>
    <w:rsid w:val="00E93A0F"/>
    <w:rsid w:val="00E93B29"/>
    <w:rsid w:val="00E95672"/>
    <w:rsid w:val="00E97E11"/>
    <w:rsid w:val="00EA004D"/>
    <w:rsid w:val="00EA2503"/>
    <w:rsid w:val="00EA3EFF"/>
    <w:rsid w:val="00EA5034"/>
    <w:rsid w:val="00EA6A17"/>
    <w:rsid w:val="00EB2FE8"/>
    <w:rsid w:val="00EB559E"/>
    <w:rsid w:val="00EB59D2"/>
    <w:rsid w:val="00EB718E"/>
    <w:rsid w:val="00EC0331"/>
    <w:rsid w:val="00EC0CAB"/>
    <w:rsid w:val="00EC166C"/>
    <w:rsid w:val="00EC2A01"/>
    <w:rsid w:val="00EC2BF6"/>
    <w:rsid w:val="00EC2FD9"/>
    <w:rsid w:val="00EC3B5D"/>
    <w:rsid w:val="00EC4AAD"/>
    <w:rsid w:val="00EC4B10"/>
    <w:rsid w:val="00EC565B"/>
    <w:rsid w:val="00EC6879"/>
    <w:rsid w:val="00EC7C1F"/>
    <w:rsid w:val="00ED367F"/>
    <w:rsid w:val="00ED3B11"/>
    <w:rsid w:val="00ED4C7F"/>
    <w:rsid w:val="00ED5FC9"/>
    <w:rsid w:val="00EE09D1"/>
    <w:rsid w:val="00EE0A84"/>
    <w:rsid w:val="00EE21E3"/>
    <w:rsid w:val="00EE353B"/>
    <w:rsid w:val="00EE37DC"/>
    <w:rsid w:val="00EE5643"/>
    <w:rsid w:val="00EE6EE6"/>
    <w:rsid w:val="00EF02A8"/>
    <w:rsid w:val="00EF0B5A"/>
    <w:rsid w:val="00EF1B11"/>
    <w:rsid w:val="00EF42DA"/>
    <w:rsid w:val="00EF522D"/>
    <w:rsid w:val="00EF7AE2"/>
    <w:rsid w:val="00F01E16"/>
    <w:rsid w:val="00F02AEC"/>
    <w:rsid w:val="00F02EA6"/>
    <w:rsid w:val="00F03BFC"/>
    <w:rsid w:val="00F06850"/>
    <w:rsid w:val="00F07AF2"/>
    <w:rsid w:val="00F1147A"/>
    <w:rsid w:val="00F226E7"/>
    <w:rsid w:val="00F23E8D"/>
    <w:rsid w:val="00F2426B"/>
    <w:rsid w:val="00F25EEB"/>
    <w:rsid w:val="00F307FE"/>
    <w:rsid w:val="00F30C34"/>
    <w:rsid w:val="00F332A8"/>
    <w:rsid w:val="00F33F6D"/>
    <w:rsid w:val="00F34467"/>
    <w:rsid w:val="00F420AA"/>
    <w:rsid w:val="00F42546"/>
    <w:rsid w:val="00F4268C"/>
    <w:rsid w:val="00F43F9D"/>
    <w:rsid w:val="00F45821"/>
    <w:rsid w:val="00F47B25"/>
    <w:rsid w:val="00F47C64"/>
    <w:rsid w:val="00F50F77"/>
    <w:rsid w:val="00F51F1B"/>
    <w:rsid w:val="00F520D4"/>
    <w:rsid w:val="00F5258D"/>
    <w:rsid w:val="00F52657"/>
    <w:rsid w:val="00F52C66"/>
    <w:rsid w:val="00F5310C"/>
    <w:rsid w:val="00F542D6"/>
    <w:rsid w:val="00F56438"/>
    <w:rsid w:val="00F56562"/>
    <w:rsid w:val="00F574FA"/>
    <w:rsid w:val="00F60AE2"/>
    <w:rsid w:val="00F61453"/>
    <w:rsid w:val="00F617D1"/>
    <w:rsid w:val="00F652D4"/>
    <w:rsid w:val="00F6793E"/>
    <w:rsid w:val="00F7037C"/>
    <w:rsid w:val="00F73D8B"/>
    <w:rsid w:val="00F7677D"/>
    <w:rsid w:val="00F77456"/>
    <w:rsid w:val="00F77955"/>
    <w:rsid w:val="00F77CC8"/>
    <w:rsid w:val="00F80BEB"/>
    <w:rsid w:val="00F80EFD"/>
    <w:rsid w:val="00F87B3E"/>
    <w:rsid w:val="00F931EA"/>
    <w:rsid w:val="00F93783"/>
    <w:rsid w:val="00F962E7"/>
    <w:rsid w:val="00F964C3"/>
    <w:rsid w:val="00F96F98"/>
    <w:rsid w:val="00FA034E"/>
    <w:rsid w:val="00FA13A4"/>
    <w:rsid w:val="00FA371D"/>
    <w:rsid w:val="00FA40DB"/>
    <w:rsid w:val="00FA47FF"/>
    <w:rsid w:val="00FA49C3"/>
    <w:rsid w:val="00FA58DC"/>
    <w:rsid w:val="00FA5F9B"/>
    <w:rsid w:val="00FA6684"/>
    <w:rsid w:val="00FB0173"/>
    <w:rsid w:val="00FB0307"/>
    <w:rsid w:val="00FB03CC"/>
    <w:rsid w:val="00FB1354"/>
    <w:rsid w:val="00FB3C8A"/>
    <w:rsid w:val="00FB44DD"/>
    <w:rsid w:val="00FB4547"/>
    <w:rsid w:val="00FB4D78"/>
    <w:rsid w:val="00FB6989"/>
    <w:rsid w:val="00FC06A8"/>
    <w:rsid w:val="00FC4BE7"/>
    <w:rsid w:val="00FC6466"/>
    <w:rsid w:val="00FC66FE"/>
    <w:rsid w:val="00FC6EA8"/>
    <w:rsid w:val="00FC759C"/>
    <w:rsid w:val="00FC77B8"/>
    <w:rsid w:val="00FD02E9"/>
    <w:rsid w:val="00FD163F"/>
    <w:rsid w:val="00FD1B5E"/>
    <w:rsid w:val="00FD2374"/>
    <w:rsid w:val="00FD5DC3"/>
    <w:rsid w:val="00FD5F6F"/>
    <w:rsid w:val="00FD7086"/>
    <w:rsid w:val="00FD7AD4"/>
    <w:rsid w:val="00FE2F8C"/>
    <w:rsid w:val="00FE3251"/>
    <w:rsid w:val="00FE41AA"/>
    <w:rsid w:val="00FE457F"/>
    <w:rsid w:val="00FE5C7E"/>
    <w:rsid w:val="00FF01C3"/>
    <w:rsid w:val="00FF0650"/>
    <w:rsid w:val="00FF27BE"/>
    <w:rsid w:val="00FF3637"/>
    <w:rsid w:val="00FF6F25"/>
    <w:rsid w:val="00FF789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5417E"/>
  <w15:chartTrackingRefBased/>
  <w15:docId w15:val="{EF13D334-8B73-44F6-9051-ED22ED0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E6"/>
  </w:style>
  <w:style w:type="paragraph" w:styleId="Heading2">
    <w:name w:val="heading 2"/>
    <w:basedOn w:val="Normal"/>
    <w:next w:val="Normal"/>
    <w:link w:val="Heading2Char"/>
    <w:uiPriority w:val="9"/>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uiPriority w:val="9"/>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uiPriority w:val="9"/>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uiPriority w:val="9"/>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uiPriority w:val="9"/>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uiPriority w:val="9"/>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4"/>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2"/>
    <w:qFormat/>
    <w:rsid w:val="00F02AEC"/>
    <w:pPr>
      <w:numPr>
        <w:numId w:val="2"/>
      </w:numPr>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814E7F"/>
    <w:pPr>
      <w:keepNext/>
      <w:keepLines/>
      <w:tabs>
        <w:tab w:val="right" w:leader="underscore" w:pos="8505"/>
      </w:tabs>
      <w:spacing w:before="120" w:after="200" w:line="240" w:lineRule="atLeast"/>
    </w:pPr>
    <w:rPr>
      <w:rFonts w:ascii="Arial" w:eastAsia="Cambria" w:hAnsi="Arial" w:cs="Times New Roman"/>
      <w:b/>
      <w:color w:val="333F48"/>
      <w:sz w:val="28"/>
    </w:rPr>
  </w:style>
  <w:style w:type="paragraph" w:styleId="TOC2">
    <w:name w:val="toc 2"/>
    <w:basedOn w:val="Normal"/>
    <w:next w:val="Normal"/>
    <w:uiPriority w:val="39"/>
    <w:unhideWhenUsed/>
    <w:rsid w:val="00814E7F"/>
    <w:pPr>
      <w:keepNext/>
      <w:keepLines/>
      <w:tabs>
        <w:tab w:val="right" w:leader="underscore" w:pos="8505"/>
      </w:tabs>
      <w:spacing w:before="120" w:after="100" w:line="240" w:lineRule="atLeast"/>
      <w:ind w:left="425"/>
    </w:pPr>
    <w:rPr>
      <w:rFonts w:ascii="Arial" w:eastAsia="Cambria" w:hAnsi="Arial" w:cs="Times New Roman"/>
      <w:b/>
      <w:color w:val="333F48"/>
      <w:sz w:val="23"/>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533758"/>
    <w:rPr>
      <w:color w:val="605E5C"/>
      <w:shd w:val="clear" w:color="auto" w:fill="E1DFDD"/>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E3394"/>
    <w:pPr>
      <w:spacing w:before="120" w:after="180" w:line="240" w:lineRule="atLeast"/>
      <w:ind w:left="720"/>
      <w:contextualSpacing/>
    </w:pPr>
    <w:rPr>
      <w:rFonts w:ascii="Cambria" w:eastAsia="Cambria" w:hAnsi="Cambria" w:cs="Times New Roman"/>
      <w:sz w:val="2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E3394"/>
    <w:rPr>
      <w:rFonts w:ascii="Cambria" w:eastAsia="Cambria" w:hAnsi="Cambria" w:cs="Times New Roman"/>
      <w:sz w:val="22"/>
    </w:rPr>
  </w:style>
  <w:style w:type="paragraph" w:styleId="NormalWeb">
    <w:name w:val="Normal (Web)"/>
    <w:basedOn w:val="Normal"/>
    <w:uiPriority w:val="99"/>
    <w:unhideWhenUsed/>
    <w:rsid w:val="004111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7919"/>
  </w:style>
  <w:style w:type="table" w:customStyle="1" w:styleId="TableTGAblue">
    <w:name w:val="Table TGA blue"/>
    <w:basedOn w:val="TableNormal"/>
    <w:uiPriority w:val="99"/>
    <w:qFormat/>
    <w:rsid w:val="00CD4C2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1E15A2"/>
    <w:rPr>
      <w:sz w:val="16"/>
      <w:szCs w:val="16"/>
    </w:rPr>
  </w:style>
  <w:style w:type="paragraph" w:styleId="CommentText">
    <w:name w:val="annotation text"/>
    <w:basedOn w:val="Normal"/>
    <w:link w:val="CommentTextChar"/>
    <w:uiPriority w:val="99"/>
    <w:unhideWhenUsed/>
    <w:rsid w:val="001E15A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1E15A2"/>
    <w:rPr>
      <w:rFonts w:ascii="Cambria" w:eastAsia="Cambria" w:hAnsi="Cambria" w:cs="Times New Roman"/>
    </w:rPr>
  </w:style>
  <w:style w:type="character" w:styleId="FollowedHyperlink">
    <w:name w:val="FollowedHyperlink"/>
    <w:basedOn w:val="DefaultParagraphFont"/>
    <w:uiPriority w:val="99"/>
    <w:semiHidden/>
    <w:unhideWhenUsed/>
    <w:rsid w:val="005918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37419"/>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7419"/>
    <w:rPr>
      <w:rFonts w:ascii="Cambria" w:eastAsia="Cambria" w:hAnsi="Cambria" w:cs="Times New Roman"/>
      <w:b/>
      <w:bCs/>
    </w:rPr>
  </w:style>
  <w:style w:type="paragraph" w:styleId="Revision">
    <w:name w:val="Revision"/>
    <w:hidden/>
    <w:uiPriority w:val="99"/>
    <w:semiHidden/>
    <w:rsid w:val="002D2F1A"/>
    <w:pPr>
      <w:spacing w:after="0" w:line="240" w:lineRule="auto"/>
    </w:pPr>
  </w:style>
  <w:style w:type="character" w:customStyle="1" w:styleId="msoins0">
    <w:name w:val="msoins"/>
    <w:basedOn w:val="DefaultParagraphFont"/>
    <w:rsid w:val="0088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8373">
      <w:bodyDiv w:val="1"/>
      <w:marLeft w:val="0"/>
      <w:marRight w:val="0"/>
      <w:marTop w:val="0"/>
      <w:marBottom w:val="0"/>
      <w:divBdr>
        <w:top w:val="none" w:sz="0" w:space="0" w:color="auto"/>
        <w:left w:val="none" w:sz="0" w:space="0" w:color="auto"/>
        <w:bottom w:val="none" w:sz="0" w:space="0" w:color="auto"/>
        <w:right w:val="none" w:sz="0" w:space="0" w:color="auto"/>
      </w:divBdr>
    </w:div>
    <w:div w:id="3182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ealth.gov.au/sites/default/files/documents/2020/02/health-portfolio-budget-statements-2019-20-health-portfolio-additional-estimates-statements-2019-20_0.pdf" TargetMode="External"/><Relationship Id="rId26" Type="http://schemas.openxmlformats.org/officeDocument/2006/relationships/hyperlink" Target="https://www.tga.gov.au/resources/resource/guidance/orphan-drug-designation" TargetMode="External"/><Relationship Id="rId39" Type="http://schemas.openxmlformats.org/officeDocument/2006/relationships/hyperlink" Target="https://www.tga.gov.au/resources/publication/corporate-reports/therapeutic-goods-administration-performance-report-2024-25" TargetMode="External"/><Relationship Id="rId21" Type="http://schemas.openxmlformats.org/officeDocument/2006/relationships/hyperlink" Target="https://www.tga.gov.au/about-tga/advisory-bodies-and-committees/advisory-committee-medicines-acm" TargetMode="External"/><Relationship Id="rId34" Type="http://schemas.openxmlformats.org/officeDocument/2006/relationships/hyperlink" Target="https://consultations.tga.gov.au/regulatory-practice-section/tga-fees-and-charges-proposal-2026-27/consultation/published_select_respondent" TargetMode="External"/><Relationship Id="rId42" Type="http://schemas.openxmlformats.org/officeDocument/2006/relationships/hyperlink" Target="mailto:info@tga.gov.a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C2004A03952/latest/text" TargetMode="External"/><Relationship Id="rId29" Type="http://schemas.openxmlformats.org/officeDocument/2006/relationships/hyperlink" Target="https://www.tga.gov.au/how-we-regulate/compliance-and-enforcement-hub/compliance-actions-and-out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australian-regulatory-guidelines-medical-devices-argmd" TargetMode="External"/><Relationship Id="rId32" Type="http://schemas.openxmlformats.org/officeDocument/2006/relationships/hyperlink" Target="https://consultations.tga.gov.au/regulatory-practice-section/tga-fees-and-charges-proposal-2026-27/" TargetMode="External"/><Relationship Id="rId37" Type="http://schemas.openxmlformats.org/officeDocument/2006/relationships/hyperlink" Target="https://www.tga.gov.au/resources/publication/corporate-reports/therapeutic-goods-administration-performance-report-2024-25" TargetMode="External"/><Relationship Id="rId40" Type="http://schemas.openxmlformats.org/officeDocument/2006/relationships/header" Target="header4.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archive.budget.gov.au/1997-98/index.htm" TargetMode="External"/><Relationship Id="rId23" Type="http://schemas.openxmlformats.org/officeDocument/2006/relationships/hyperlink" Target="https://www.tga.gov.au/good-manufacturing-practice-overview" TargetMode="External"/><Relationship Id="rId28" Type="http://schemas.openxmlformats.org/officeDocument/2006/relationships/hyperlink" Target="https://www.tga.gov.au/how-we-regulate/compliance-and-enforcement-hub/compliance-management" TargetMode="External"/><Relationship Id="rId36" Type="http://schemas.openxmlformats.org/officeDocument/2006/relationships/hyperlink" Target="https://www.health.gov.au/resources/publications/budget-2026-27-health-disability-and-ageing-portfolio-budget-statements?language=en" TargetMode="External"/><Relationship Id="rId10" Type="http://schemas.openxmlformats.org/officeDocument/2006/relationships/footer" Target="footer1.xml"/><Relationship Id="rId19" Type="http://schemas.openxmlformats.org/officeDocument/2006/relationships/hyperlink" Target="https://archive.budget.gov.au/2023-24/index.htm" TargetMode="External"/><Relationship Id="rId31" Type="http://schemas.openxmlformats.org/officeDocument/2006/relationships/image" Target="media/image5.pn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good-manufacturing-practice-overview" TargetMode="External"/><Relationship Id="rId27" Type="http://schemas.openxmlformats.org/officeDocument/2006/relationships/hyperlink" Target="https://www.tga.gov.au/safety/compliance-and-enforcement/compliance-management-enforcement/compliance-principles-2026-and-2027" TargetMode="External"/><Relationship Id="rId30" Type="http://schemas.openxmlformats.org/officeDocument/2006/relationships/image" Target="media/image4.png"/><Relationship Id="rId35" Type="http://schemas.openxmlformats.org/officeDocument/2006/relationships/hyperlink" Target="https://www.tga.gov.au/products/regulations-all-products/fees-and-payments/summary-fees-and-charges/summary-fees-and-charges-applications-submitted-tga" TargetMode="External"/><Relationship Id="rId43" Type="http://schemas.openxmlformats.org/officeDocument/2006/relationships/hyperlink" Target="https://www.tga.gov.au"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C2004A03953/latest/text" TargetMode="External"/><Relationship Id="rId25" Type="http://schemas.openxmlformats.org/officeDocument/2006/relationships/hyperlink" Target="https://www.tga.gov.au/form/special-access-scheme" TargetMode="External"/><Relationship Id="rId33" Type="http://schemas.openxmlformats.org/officeDocument/2006/relationships/hyperlink" Target="https://consultations.tga.gov.au/regulatory-practice-section/tga-fees-and-charges-proposal-2026-27/" TargetMode="External"/><Relationship Id="rId38" Type="http://schemas.openxmlformats.org/officeDocument/2006/relationships/hyperlink" Target="https://www.tga.gov.au/resources/publication/corporate-reports/tga-business-plan-2025-26" TargetMode="External"/><Relationship Id="rId46" Type="http://schemas.openxmlformats.org/officeDocument/2006/relationships/fontTable" Target="fontTable.xml"/><Relationship Id="rId20" Type="http://schemas.openxmlformats.org/officeDocument/2006/relationships/hyperlink" Target="https://www.tga.gov.au/good-manufacturing-practice-overview" TargetMode="External"/><Relationship Id="rId41"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budget-2026-27-health-disability-and-ageing-portfolio-budget-statements?language=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C0B9-AC0F-4526-979A-F824198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11168</Words>
  <Characters>63658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Cost Recovery Implementation Statement: 2025-2026</vt:lpstr>
    </vt:vector>
  </TitlesOfParts>
  <Company>Department of Health, Disability and Ageing</Company>
  <LinksUpToDate>false</LinksUpToDate>
  <CharactersWithSpaces>74677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2026-2027</dc:title>
  <dc:subject>report</dc:subject>
  <dc:creator>Therapeutic Goods Administration</dc:creator>
  <cp:keywords/>
  <dc:description/>
  <cp:lastModifiedBy>LACK, Janet</cp:lastModifiedBy>
  <cp:revision>3</cp:revision>
  <dcterms:created xsi:type="dcterms:W3CDTF">2026-06-30T00:06:00Z</dcterms:created>
  <dcterms:modified xsi:type="dcterms:W3CDTF">2026-06-30T00:15:00Z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7c4e51ee,33c98e08,6ded3a61,7f9563db,5daac936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2e07a31,3effdd9,70a6235b,726a550,6b841cd5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2025-11-03T02:48:18Z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4e3df5eb-ccda-4af7-9437-d52af9d4ef13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