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9538"/>
      </w:tblGrid>
      <w:tr w:rsidR="00256774" w14:paraId="59AA3F95" w14:textId="77777777" w:rsidTr="006A0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9"/>
        </w:trPr>
        <w:tc>
          <w:tcPr>
            <w:tcW w:w="9538" w:type="dxa"/>
            <w:shd w:val="clear" w:color="auto" w:fill="B8CCEA"/>
          </w:tcPr>
          <w:p w14:paraId="21D9C040" w14:textId="3BE843E8" w:rsidR="00256774" w:rsidRDefault="00913E19" w:rsidP="006D7E16">
            <w:pPr>
              <w:pStyle w:val="LegalCopy"/>
              <w:spacing w:before="24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8B5011">
              <w:rPr>
                <w:noProof/>
              </w:rPr>
              <w:drawing>
                <wp:inline distT="0" distB="0" distL="0" distR="0" wp14:anchorId="73CC844F" wp14:editId="71D3EEBE">
                  <wp:extent cx="3162300" cy="656236"/>
                  <wp:effectExtent l="0" t="0" r="0" b="0"/>
                  <wp:docPr id="815463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690" cy="659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A1600E" w14:textId="551A5C84" w:rsidR="00DC7445" w:rsidRPr="009A2501" w:rsidRDefault="00E80C50" w:rsidP="00221E5B">
      <w:pPr>
        <w:pStyle w:val="Heading1"/>
      </w:pPr>
      <w:r>
        <w:t xml:space="preserve">Checklist for prescribing psychiatrists of MDMA and </w:t>
      </w:r>
      <w:proofErr w:type="spellStart"/>
      <w:r>
        <w:t>psilocybin</w:t>
      </w:r>
      <w:r w:rsidR="0004171F">
        <w:t>e</w:t>
      </w:r>
      <w:proofErr w:type="spellEnd"/>
    </w:p>
    <w:p w14:paraId="20029EA5" w14:textId="258AB83D" w:rsidR="001025DA" w:rsidRPr="003B0EF8" w:rsidRDefault="00E80C50" w:rsidP="00425A4F">
      <w:r w:rsidRPr="00835D5F">
        <w:t xml:space="preserve">This checklist summarises </w:t>
      </w:r>
      <w:r w:rsidR="005A0837">
        <w:t>requirements</w:t>
      </w:r>
      <w:r w:rsidRPr="00835D5F">
        <w:t xml:space="preserve"> for psychiatrists applying to access MDMA and </w:t>
      </w:r>
      <w:proofErr w:type="spellStart"/>
      <w:r w:rsidRPr="00835D5F">
        <w:t>psilocybin</w:t>
      </w:r>
      <w:r w:rsidR="0004171F">
        <w:t>e</w:t>
      </w:r>
      <w:proofErr w:type="spellEnd"/>
      <w:r w:rsidRPr="00835D5F">
        <w:t xml:space="preserve"> under the Authorised Prescriber </w:t>
      </w:r>
      <w:r w:rsidR="008A258E">
        <w:t xml:space="preserve">(AP) </w:t>
      </w:r>
      <w:r w:rsidRPr="00835D5F">
        <w:t>scheme</w:t>
      </w:r>
      <w:r w:rsidR="00B57F92">
        <w:t xml:space="preserve"> for psychedelic-assisted psychotherapy (PAT/PAP).</w:t>
      </w:r>
      <w:r w:rsidRPr="00835D5F">
        <w:t xml:space="preserve"> </w:t>
      </w:r>
      <w:r w:rsidR="00027566" w:rsidRPr="00672825">
        <w:t>Full</w:t>
      </w:r>
      <w:r w:rsidR="00027566" w:rsidRPr="00D46A8F">
        <w:t xml:space="preserve"> details</w:t>
      </w:r>
      <w:r w:rsidR="00027566">
        <w:t xml:space="preserve"> available at </w:t>
      </w:r>
      <w:hyperlink r:id="rId9" w:history="1">
        <w:r w:rsidR="00027566" w:rsidRPr="00D46A8F">
          <w:rPr>
            <w:rStyle w:val="Hyperlink"/>
          </w:rPr>
          <w:t xml:space="preserve">Accessing MDMA and </w:t>
        </w:r>
        <w:proofErr w:type="spellStart"/>
        <w:r w:rsidR="00027566" w:rsidRPr="00D46A8F">
          <w:rPr>
            <w:rStyle w:val="Hyperlink"/>
          </w:rPr>
          <w:t>psilocybine</w:t>
        </w:r>
        <w:proofErr w:type="spellEnd"/>
        <w:r w:rsidR="00027566" w:rsidRPr="00D46A8F">
          <w:rPr>
            <w:rStyle w:val="Hyperlink"/>
          </w:rPr>
          <w:t xml:space="preserve"> as a psychiatrist</w:t>
        </w:r>
      </w:hyperlink>
      <w:r w:rsidR="00027566">
        <w:t xml:space="preserve"> and</w:t>
      </w:r>
      <w:r w:rsidR="00027566" w:rsidRPr="00D46A8F">
        <w:t xml:space="preserve"> </w:t>
      </w:r>
      <w:hyperlink r:id="rId10" w:history="1">
        <w:r w:rsidR="00027566" w:rsidRPr="00E80C50">
          <w:rPr>
            <w:rStyle w:val="Hyperlink"/>
          </w:rPr>
          <w:t>Authorised Prescriber Scheme</w:t>
        </w:r>
      </w:hyperlink>
      <w:r w:rsidR="00027566">
        <w:t>.</w:t>
      </w:r>
    </w:p>
    <w:tbl>
      <w:tblPr>
        <w:tblStyle w:val="TableTGAblue"/>
        <w:tblW w:w="5000" w:type="pct"/>
        <w:tblLook w:val="04A0" w:firstRow="1" w:lastRow="0" w:firstColumn="1" w:lastColumn="0" w:noHBand="0" w:noVBand="1"/>
      </w:tblPr>
      <w:tblGrid>
        <w:gridCol w:w="460"/>
        <w:gridCol w:w="8292"/>
        <w:gridCol w:w="877"/>
      </w:tblGrid>
      <w:tr w:rsidR="001025DA" w:rsidRPr="00835D5F" w14:paraId="246C4364" w14:textId="30DA587E" w:rsidTr="00FE4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239" w:type="pct"/>
          </w:tcPr>
          <w:p w14:paraId="63E8A605" w14:textId="77777777" w:rsidR="001025DA" w:rsidRPr="001C7F11" w:rsidRDefault="001025DA" w:rsidP="00D36100">
            <w:pPr>
              <w:ind w:left="0"/>
              <w:rPr>
                <w:szCs w:val="22"/>
              </w:rPr>
            </w:pPr>
            <w:r w:rsidRPr="001C7F11">
              <w:rPr>
                <w:szCs w:val="22"/>
              </w:rPr>
              <w:t>1</w:t>
            </w:r>
          </w:p>
        </w:tc>
        <w:tc>
          <w:tcPr>
            <w:tcW w:w="4306" w:type="pct"/>
          </w:tcPr>
          <w:p w14:paraId="06DEE76D" w14:textId="613B92C6" w:rsidR="001025DA" w:rsidRPr="001025DA" w:rsidRDefault="00705565" w:rsidP="00D36100">
            <w:pPr>
              <w:ind w:left="0"/>
              <w:rPr>
                <w:szCs w:val="22"/>
              </w:rPr>
            </w:pPr>
            <w:r>
              <w:rPr>
                <w:szCs w:val="22"/>
              </w:rPr>
              <w:t>Registration as a specialist psychiatrist</w:t>
            </w:r>
          </w:p>
        </w:tc>
        <w:tc>
          <w:tcPr>
            <w:tcW w:w="455" w:type="pct"/>
          </w:tcPr>
          <w:p w14:paraId="4381B004" w14:textId="18CCBAEC" w:rsidR="001025DA" w:rsidRPr="001025DA" w:rsidDel="00A52CC1" w:rsidRDefault="001025DA" w:rsidP="00D36100">
            <w:pPr>
              <w:ind w:left="0"/>
              <w:rPr>
                <w:szCs w:val="22"/>
              </w:rPr>
            </w:pPr>
            <w:r>
              <w:rPr>
                <w:szCs w:val="22"/>
              </w:rPr>
              <w:t>Check</w:t>
            </w:r>
          </w:p>
        </w:tc>
      </w:tr>
      <w:tr w:rsidR="00705565" w:rsidRPr="00835D5F" w14:paraId="18F29659" w14:textId="77777777" w:rsidTr="00FE432A">
        <w:trPr>
          <w:cantSplit w:val="0"/>
        </w:trPr>
        <w:tc>
          <w:tcPr>
            <w:tcW w:w="239" w:type="pct"/>
          </w:tcPr>
          <w:p w14:paraId="4C00705F" w14:textId="77777777" w:rsidR="00705565" w:rsidRPr="00835D5F" w:rsidRDefault="00705565" w:rsidP="00D36100">
            <w:pPr>
              <w:spacing w:after="8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47E3B977" w14:textId="76FE241D" w:rsidR="00705565" w:rsidRPr="00FE432A" w:rsidRDefault="00705565" w:rsidP="00D36100">
            <w:pPr>
              <w:pStyle w:val="ListBullet"/>
              <w:numPr>
                <w:ilvl w:val="0"/>
                <w:numId w:val="0"/>
              </w:numPr>
            </w:pPr>
            <w:r w:rsidRPr="001B7650">
              <w:rPr>
                <w:iCs/>
              </w:rPr>
              <w:t xml:space="preserve">Proof of registration as a specialist psychiatrist with the Medical Board of Australia (e.g. </w:t>
            </w:r>
            <w:proofErr w:type="spellStart"/>
            <w:r w:rsidRPr="00A52CC1">
              <w:rPr>
                <w:iCs/>
              </w:rPr>
              <w:t>Ahpra</w:t>
            </w:r>
            <w:proofErr w:type="spellEnd"/>
            <w:r w:rsidRPr="00A52CC1">
              <w:rPr>
                <w:iCs/>
              </w:rPr>
              <w:t xml:space="preserve"> registration number MED0000123456)</w:t>
            </w:r>
          </w:p>
        </w:tc>
        <w:tc>
          <w:tcPr>
            <w:tcW w:w="455" w:type="pct"/>
            <w:shd w:val="clear" w:color="auto" w:fill="auto"/>
          </w:tcPr>
          <w:p w14:paraId="064ED29D" w14:textId="0EFABFAB" w:rsidR="00705565" w:rsidRPr="00835D5F" w:rsidRDefault="00705565" w:rsidP="00D36100">
            <w:pPr>
              <w:pStyle w:val="Numberbullet0"/>
              <w:numPr>
                <w:ilvl w:val="0"/>
                <w:numId w:val="0"/>
              </w:numPr>
              <w:spacing w:before="0"/>
              <w:jc w:val="center"/>
              <w:rPr>
                <w:sz w:val="24"/>
                <w:szCs w:val="24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1025DA" w:rsidRPr="00835D5F" w14:paraId="74167BD6" w14:textId="4A90F00D" w:rsidTr="00FE432A">
        <w:trPr>
          <w:cantSplit w:val="0"/>
        </w:trPr>
        <w:tc>
          <w:tcPr>
            <w:tcW w:w="239" w:type="pct"/>
            <w:shd w:val="clear" w:color="auto" w:fill="DEE7F7" w:themeFill="accent2" w:themeFillTint="33"/>
          </w:tcPr>
          <w:p w14:paraId="4123D7CB" w14:textId="2A4DDB20" w:rsidR="001025DA" w:rsidRPr="00FE432A" w:rsidRDefault="001025DA" w:rsidP="00D36100">
            <w:pPr>
              <w:ind w:left="0"/>
              <w:rPr>
                <w:b/>
                <w:bCs/>
                <w:color w:val="001871"/>
                <w:sz w:val="22"/>
                <w:szCs w:val="22"/>
              </w:rPr>
            </w:pPr>
            <w:r w:rsidRPr="00FE432A">
              <w:rPr>
                <w:b/>
                <w:bCs/>
                <w:color w:val="001871"/>
                <w:sz w:val="22"/>
                <w:szCs w:val="22"/>
              </w:rPr>
              <w:t>2</w:t>
            </w:r>
          </w:p>
        </w:tc>
        <w:tc>
          <w:tcPr>
            <w:tcW w:w="4306" w:type="pct"/>
            <w:shd w:val="clear" w:color="auto" w:fill="DEE7F7" w:themeFill="accent2" w:themeFillTint="33"/>
          </w:tcPr>
          <w:p w14:paraId="10246A78" w14:textId="457AA57F" w:rsidR="001025DA" w:rsidRDefault="001264C4" w:rsidP="00D36100">
            <w:pPr>
              <w:ind w:left="0"/>
              <w:rPr>
                <w:b/>
                <w:bCs/>
                <w:color w:val="001871"/>
                <w:sz w:val="22"/>
                <w:szCs w:val="22"/>
              </w:rPr>
            </w:pPr>
            <w:r>
              <w:rPr>
                <w:b/>
                <w:bCs/>
                <w:color w:val="001871"/>
                <w:sz w:val="22"/>
                <w:szCs w:val="22"/>
              </w:rPr>
              <w:t>Clinical t</w:t>
            </w:r>
            <w:r w:rsidR="00705565">
              <w:rPr>
                <w:b/>
                <w:bCs/>
                <w:color w:val="001871"/>
                <w:sz w:val="22"/>
                <w:szCs w:val="22"/>
              </w:rPr>
              <w:t>reatment protocol</w:t>
            </w:r>
            <w:r w:rsidR="001025DA" w:rsidRPr="00FE432A">
              <w:rPr>
                <w:b/>
                <w:bCs/>
                <w:color w:val="001871"/>
                <w:sz w:val="22"/>
                <w:szCs w:val="22"/>
              </w:rPr>
              <w:t xml:space="preserve"> </w:t>
            </w:r>
          </w:p>
          <w:p w14:paraId="6AB31AC2" w14:textId="4529913D" w:rsidR="00E26FE5" w:rsidRPr="000F7A07" w:rsidRDefault="00BB79DE" w:rsidP="000F7A07">
            <w:pPr>
              <w:rPr>
                <w:b/>
                <w:bCs/>
                <w:color w:val="001871"/>
                <w:sz w:val="16"/>
                <w:szCs w:val="16"/>
                <w:highlight w:val="yellow"/>
              </w:rPr>
            </w:pPr>
            <w:r w:rsidRPr="000F7A07">
              <w:rPr>
                <w:b/>
                <w:bCs/>
                <w:color w:val="001871"/>
                <w:sz w:val="16"/>
                <w:szCs w:val="16"/>
              </w:rPr>
              <w:t xml:space="preserve">AP must explicitly name and version all updated protocols, ensuring each revision is clearly distinguishable to facilitate efficient updates and document control. </w:t>
            </w:r>
          </w:p>
        </w:tc>
        <w:tc>
          <w:tcPr>
            <w:tcW w:w="455" w:type="pct"/>
            <w:shd w:val="clear" w:color="auto" w:fill="DEE7F7" w:themeFill="accent2" w:themeFillTint="33"/>
          </w:tcPr>
          <w:p w14:paraId="3555FBD0" w14:textId="6758E660" w:rsidR="001025DA" w:rsidRPr="001025DA" w:rsidRDefault="001025DA" w:rsidP="00D36100">
            <w:pPr>
              <w:ind w:left="0"/>
              <w:rPr>
                <w:b/>
                <w:bCs/>
                <w:color w:val="001871"/>
                <w:sz w:val="22"/>
                <w:szCs w:val="22"/>
              </w:rPr>
            </w:pPr>
            <w:r w:rsidRPr="00FE432A">
              <w:rPr>
                <w:b/>
                <w:bCs/>
                <w:color w:val="001871"/>
                <w:sz w:val="22"/>
                <w:szCs w:val="22"/>
              </w:rPr>
              <w:t>Check</w:t>
            </w:r>
          </w:p>
        </w:tc>
      </w:tr>
      <w:tr w:rsidR="00705565" w:rsidRPr="00835D5F" w14:paraId="3B6C629E" w14:textId="77777777" w:rsidTr="00705565">
        <w:trPr>
          <w:cantSplit w:val="0"/>
        </w:trPr>
        <w:tc>
          <w:tcPr>
            <w:tcW w:w="239" w:type="pct"/>
            <w:vMerge w:val="restart"/>
            <w:shd w:val="clear" w:color="auto" w:fill="auto"/>
          </w:tcPr>
          <w:p w14:paraId="6C26AB17" w14:textId="77777777" w:rsidR="00705565" w:rsidRPr="00326732" w:rsidRDefault="00705565" w:rsidP="00D36100">
            <w:pPr>
              <w:rPr>
                <w:b/>
                <w:bCs/>
                <w:color w:val="001871"/>
              </w:rPr>
            </w:pPr>
          </w:p>
        </w:tc>
        <w:tc>
          <w:tcPr>
            <w:tcW w:w="4306" w:type="pct"/>
            <w:shd w:val="clear" w:color="auto" w:fill="auto"/>
          </w:tcPr>
          <w:p w14:paraId="308DAD68" w14:textId="77777777" w:rsidR="00705565" w:rsidRPr="00BD5870" w:rsidRDefault="00705565" w:rsidP="00D36100">
            <w:pPr>
              <w:pStyle w:val="Numberbullet0"/>
              <w:numPr>
                <w:ilvl w:val="0"/>
                <w:numId w:val="0"/>
              </w:numPr>
              <w:spacing w:before="0"/>
              <w:rPr>
                <w:b/>
                <w:bCs/>
              </w:rPr>
            </w:pPr>
            <w:r w:rsidRPr="001025DA">
              <w:rPr>
                <w:b/>
                <w:bCs/>
              </w:rPr>
              <w:t xml:space="preserve">A. </w:t>
            </w:r>
            <w:r>
              <w:rPr>
                <w:b/>
                <w:bCs/>
              </w:rPr>
              <w:t>Medical practitioner t</w:t>
            </w:r>
            <w:r w:rsidRPr="00BD5870">
              <w:rPr>
                <w:b/>
                <w:bCs/>
              </w:rPr>
              <w:t>raining and experience</w:t>
            </w:r>
          </w:p>
          <w:p w14:paraId="2B183AB5" w14:textId="7E8FEA89" w:rsidR="0046470A" w:rsidRDefault="00E43FE6" w:rsidP="0046470A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46470A">
              <w:t>The psychiatrist must demonstrate experience in psychedelic</w:t>
            </w:r>
            <w:r w:rsidRPr="0046470A">
              <w:noBreakHyphen/>
              <w:t>assisted psychotherapy through</w:t>
            </w:r>
          </w:p>
          <w:p w14:paraId="4672D59B" w14:textId="569DA757" w:rsidR="0046470A" w:rsidRPr="0046470A" w:rsidRDefault="0046470A" w:rsidP="00AD160C">
            <w:pPr>
              <w:pStyle w:val="ListBullet"/>
              <w:numPr>
                <w:ilvl w:val="0"/>
                <w:numId w:val="108"/>
              </w:numPr>
              <w:ind w:left="720"/>
            </w:pPr>
            <w:r w:rsidRPr="0046470A">
              <w:t xml:space="preserve">prior </w:t>
            </w:r>
            <w:r w:rsidR="00741CBB">
              <w:t xml:space="preserve">experience with a </w:t>
            </w:r>
            <w:r w:rsidR="00E43FE6" w:rsidRPr="0046470A">
              <w:t xml:space="preserve">clinical trial </w:t>
            </w:r>
            <w:r w:rsidR="00741CBB">
              <w:t xml:space="preserve">involving psychedelics </w:t>
            </w:r>
            <w:r w:rsidR="00E43FE6" w:rsidRPr="00AD160C">
              <w:rPr>
                <w:b/>
                <w:bCs/>
              </w:rPr>
              <w:t>or</w:t>
            </w:r>
            <w:r w:rsidR="00E43FE6" w:rsidRPr="0046470A">
              <w:t xml:space="preserve"> </w:t>
            </w:r>
          </w:p>
          <w:p w14:paraId="18CFADD7" w14:textId="287D3F13" w:rsidR="001264C4" w:rsidRDefault="00E43FE6">
            <w:pPr>
              <w:pStyle w:val="ListBullet2"/>
              <w:numPr>
                <w:ilvl w:val="0"/>
                <w:numId w:val="108"/>
              </w:numPr>
              <w:spacing w:before="0"/>
              <w:ind w:left="720"/>
            </w:pPr>
            <w:r w:rsidRPr="00E43FE6">
              <w:t xml:space="preserve">provide evidence of </w:t>
            </w:r>
            <w:r w:rsidR="001264C4">
              <w:t xml:space="preserve">structured </w:t>
            </w:r>
            <w:r w:rsidRPr="00E43FE6">
              <w:t>supervision by an</w:t>
            </w:r>
            <w:r w:rsidR="00D5335F">
              <w:t>other</w:t>
            </w:r>
            <w:r w:rsidRPr="00E43FE6">
              <w:t xml:space="preserve"> experienced AP</w:t>
            </w:r>
            <w:r w:rsidR="00D5335F">
              <w:t xml:space="preserve"> p</w:t>
            </w:r>
            <w:r w:rsidRPr="00E43FE6">
              <w:t>sychiatrist</w:t>
            </w:r>
            <w:r w:rsidR="00D5335F">
              <w:t>.</w:t>
            </w:r>
          </w:p>
          <w:p w14:paraId="227E9335" w14:textId="11CD2FE2" w:rsidR="00705565" w:rsidRPr="001264C4" w:rsidRDefault="00D5335F" w:rsidP="000F7A07">
            <w:pPr>
              <w:pStyle w:val="ListBullet2"/>
              <w:numPr>
                <w:ilvl w:val="0"/>
                <w:numId w:val="0"/>
              </w:numPr>
              <w:rPr>
                <w:iCs/>
              </w:rPr>
            </w:pPr>
            <w:r>
              <w:t xml:space="preserve">Psychiatrists </w:t>
            </w:r>
            <w:r w:rsidR="00E43FE6" w:rsidRPr="00E43FE6">
              <w:t>should refer to appropriate guidance from the Royal Australian and New Zealand College of Psychiatrists (RANZCP) regarding specific supervision and supervisor experience criteria.</w:t>
            </w:r>
          </w:p>
        </w:tc>
        <w:tc>
          <w:tcPr>
            <w:tcW w:w="455" w:type="pct"/>
            <w:shd w:val="clear" w:color="auto" w:fill="auto"/>
          </w:tcPr>
          <w:p w14:paraId="6CE229D9" w14:textId="510C4FB2" w:rsidR="00705565" w:rsidRPr="00835D5F" w:rsidRDefault="00705565" w:rsidP="00D36100">
            <w:pPr>
              <w:ind w:left="0"/>
              <w:jc w:val="center"/>
              <w:rPr>
                <w:sz w:val="24"/>
                <w:szCs w:val="24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7"/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705565" w:rsidRPr="00835D5F" w14:paraId="080061EC" w14:textId="77777777" w:rsidTr="00F026D8">
        <w:trPr>
          <w:cantSplit w:val="0"/>
        </w:trPr>
        <w:tc>
          <w:tcPr>
            <w:tcW w:w="239" w:type="pct"/>
            <w:vMerge/>
            <w:shd w:val="clear" w:color="auto" w:fill="auto"/>
          </w:tcPr>
          <w:p w14:paraId="3EFD2CD6" w14:textId="77777777" w:rsidR="00705565" w:rsidRPr="00326732" w:rsidRDefault="00705565" w:rsidP="00D36100">
            <w:pPr>
              <w:rPr>
                <w:b/>
                <w:bCs/>
                <w:color w:val="001871"/>
              </w:rPr>
            </w:pPr>
          </w:p>
        </w:tc>
        <w:tc>
          <w:tcPr>
            <w:tcW w:w="4306" w:type="pct"/>
            <w:shd w:val="clear" w:color="auto" w:fill="auto"/>
          </w:tcPr>
          <w:p w14:paraId="6D1CA042" w14:textId="64DEADD6" w:rsidR="00705565" w:rsidRDefault="00705565" w:rsidP="00D36100">
            <w:pPr>
              <w:pStyle w:val="Numberbullet0"/>
              <w:numPr>
                <w:ilvl w:val="0"/>
                <w:numId w:val="0"/>
              </w:num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E90D85">
              <w:rPr>
                <w:b/>
                <w:bCs/>
              </w:rPr>
              <w:t>. Treatment site/s</w:t>
            </w:r>
          </w:p>
          <w:p w14:paraId="7A957482" w14:textId="3C2EE632" w:rsidR="001264C4" w:rsidRPr="00AD160C" w:rsidRDefault="001264C4" w:rsidP="00AD160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Cs w:val="18"/>
              </w:rPr>
            </w:pPr>
            <w:r w:rsidRPr="00AD160C">
              <w:rPr>
                <w:rFonts w:asciiTheme="majorHAnsi" w:eastAsia="Times New Roman" w:hAnsiTheme="majorHAnsi" w:cstheme="majorHAnsi"/>
                <w:color w:val="333333"/>
                <w:szCs w:val="18"/>
              </w:rPr>
              <w:t xml:space="preserve">The AP </w:t>
            </w:r>
            <w:r>
              <w:rPr>
                <w:rFonts w:asciiTheme="majorHAnsi" w:eastAsia="Times New Roman" w:hAnsiTheme="majorHAnsi" w:cstheme="majorHAnsi"/>
                <w:color w:val="333333"/>
                <w:szCs w:val="18"/>
              </w:rPr>
              <w:t xml:space="preserve">psychiatrist </w:t>
            </w:r>
            <w:r w:rsidRPr="00AD160C">
              <w:rPr>
                <w:rFonts w:asciiTheme="majorHAnsi" w:eastAsia="Times New Roman" w:hAnsiTheme="majorHAnsi" w:cstheme="majorHAnsi"/>
                <w:color w:val="333333"/>
                <w:szCs w:val="18"/>
              </w:rPr>
              <w:t>is responsible for ensuring their selected site</w:t>
            </w:r>
            <w:r w:rsidR="00AD160C">
              <w:rPr>
                <w:rFonts w:asciiTheme="majorHAnsi" w:eastAsia="Times New Roman" w:hAnsiTheme="majorHAnsi" w:cstheme="majorHAnsi"/>
                <w:color w:val="333333"/>
                <w:szCs w:val="18"/>
              </w:rPr>
              <w:t>(s)</w:t>
            </w:r>
            <w:r w:rsidRPr="00AD160C">
              <w:rPr>
                <w:rFonts w:asciiTheme="majorHAnsi" w:eastAsia="Times New Roman" w:hAnsiTheme="majorHAnsi" w:cstheme="majorHAnsi"/>
                <w:color w:val="333333"/>
                <w:szCs w:val="18"/>
              </w:rPr>
              <w:t xml:space="preserve"> meet the following requirements</w:t>
            </w:r>
            <w:r>
              <w:rPr>
                <w:rFonts w:asciiTheme="majorHAnsi" w:eastAsia="Times New Roman" w:hAnsiTheme="majorHAnsi" w:cstheme="majorHAnsi"/>
                <w:color w:val="333333"/>
                <w:szCs w:val="18"/>
              </w:rPr>
              <w:t>:</w:t>
            </w:r>
          </w:p>
          <w:p w14:paraId="7E3D054D" w14:textId="11F83853" w:rsidR="00705565" w:rsidRPr="000F2279" w:rsidRDefault="00705565" w:rsidP="000F2279">
            <w:pPr>
              <w:pStyle w:val="ListBullet"/>
            </w:pPr>
            <w:r w:rsidRPr="000F2279">
              <w:t>Equipment and trained staff for clinical care, monitoring, medical/behavioural emergencies and emergency resuscitation</w:t>
            </w:r>
          </w:p>
          <w:p w14:paraId="06014899" w14:textId="77777777" w:rsidR="00705565" w:rsidRPr="000F2279" w:rsidRDefault="00705565" w:rsidP="000F2279">
            <w:pPr>
              <w:pStyle w:val="ListBullet"/>
              <w:rPr>
                <w:iCs/>
              </w:rPr>
            </w:pPr>
            <w:r w:rsidRPr="000F2279">
              <w:rPr>
                <w:iCs/>
              </w:rPr>
              <w:t xml:space="preserve">Secure storage and record keeping for Schedule 8 medicines </w:t>
            </w:r>
          </w:p>
          <w:p w14:paraId="7A4ABF2A" w14:textId="77777777" w:rsidR="00705565" w:rsidRPr="000F2279" w:rsidRDefault="00705565" w:rsidP="000F2279">
            <w:pPr>
              <w:pStyle w:val="ListBullet"/>
              <w:rPr>
                <w:iCs/>
              </w:rPr>
            </w:pPr>
            <w:r w:rsidRPr="000F2279">
              <w:rPr>
                <w:iCs/>
              </w:rPr>
              <w:t>Ability to address adverse events, with immediate access to rescue medications</w:t>
            </w:r>
          </w:p>
          <w:p w14:paraId="2094A732" w14:textId="07B29E36" w:rsidR="00705565" w:rsidRPr="000F2279" w:rsidRDefault="00705565" w:rsidP="000F2279">
            <w:pPr>
              <w:pStyle w:val="ListBullet"/>
              <w:rPr>
                <w:iCs/>
              </w:rPr>
            </w:pPr>
            <w:r w:rsidRPr="000F2279">
              <w:rPr>
                <w:iCs/>
              </w:rPr>
              <w:t xml:space="preserve">Located near (within 15 minutes of) accredited healthcare facility with an </w:t>
            </w:r>
            <w:r w:rsidR="00E90D85">
              <w:rPr>
                <w:iCs/>
              </w:rPr>
              <w:t>emergency department</w:t>
            </w:r>
          </w:p>
          <w:p w14:paraId="7FDD9CCD" w14:textId="77777777" w:rsidR="00705565" w:rsidRPr="000F2279" w:rsidRDefault="00705565" w:rsidP="000F2279">
            <w:pPr>
              <w:pStyle w:val="ListBullet"/>
            </w:pPr>
            <w:r w:rsidRPr="000F2279">
              <w:rPr>
                <w:iCs/>
              </w:rPr>
              <w:t>Clear documentation treatment plans, consent, adverse events</w:t>
            </w:r>
          </w:p>
          <w:p w14:paraId="11ADD71A" w14:textId="03A584A0" w:rsidR="00705565" w:rsidRPr="000F2279" w:rsidRDefault="00705565" w:rsidP="000F2279">
            <w:pPr>
              <w:pStyle w:val="ListBullet"/>
            </w:pPr>
            <w:r w:rsidRPr="000F2279">
              <w:rPr>
                <w:iCs/>
              </w:rPr>
              <w:t>Adheres to all state/territory requirements</w:t>
            </w:r>
          </w:p>
        </w:tc>
        <w:tc>
          <w:tcPr>
            <w:tcW w:w="455" w:type="pct"/>
            <w:shd w:val="clear" w:color="auto" w:fill="auto"/>
          </w:tcPr>
          <w:p w14:paraId="5521AD40" w14:textId="6794E7D7" w:rsidR="00705565" w:rsidRPr="00835D5F" w:rsidRDefault="00705565" w:rsidP="00D36100">
            <w:pPr>
              <w:ind w:left="0"/>
              <w:jc w:val="center"/>
              <w:rPr>
                <w:sz w:val="24"/>
                <w:szCs w:val="24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5118E8" w:rsidRPr="00835D5F" w14:paraId="69EAC8BD" w14:textId="2C5193FD" w:rsidTr="002C059A">
        <w:trPr>
          <w:cantSplit w:val="0"/>
          <w:trHeight w:val="2925"/>
        </w:trPr>
        <w:tc>
          <w:tcPr>
            <w:tcW w:w="239" w:type="pct"/>
            <w:vMerge/>
            <w:shd w:val="clear" w:color="auto" w:fill="auto"/>
          </w:tcPr>
          <w:p w14:paraId="6586B9EF" w14:textId="77777777" w:rsidR="005118E8" w:rsidRPr="00326732" w:rsidRDefault="005118E8" w:rsidP="00D36100">
            <w:pPr>
              <w:rPr>
                <w:b/>
                <w:bCs/>
                <w:color w:val="001871"/>
              </w:rPr>
            </w:pPr>
          </w:p>
        </w:tc>
        <w:tc>
          <w:tcPr>
            <w:tcW w:w="4306" w:type="pct"/>
            <w:shd w:val="clear" w:color="auto" w:fill="auto"/>
          </w:tcPr>
          <w:p w14:paraId="2E166657" w14:textId="16492683" w:rsidR="005118E8" w:rsidRPr="00326732" w:rsidRDefault="005118E8" w:rsidP="00D36100">
            <w:pPr>
              <w:ind w:left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C.</w:t>
            </w:r>
            <w:r w:rsidRPr="00326732">
              <w:rPr>
                <w:rFonts w:cs="Arial"/>
                <w:b/>
                <w:bCs/>
                <w:szCs w:val="18"/>
              </w:rPr>
              <w:t xml:space="preserve"> Clinical justification</w:t>
            </w:r>
            <w:r>
              <w:rPr>
                <w:rFonts w:cs="Arial"/>
                <w:b/>
                <w:bCs/>
                <w:szCs w:val="18"/>
              </w:rPr>
              <w:t xml:space="preserve"> and evidence for use of the unapproved product</w:t>
            </w:r>
          </w:p>
          <w:p w14:paraId="75AFC874" w14:textId="77777777" w:rsidR="005118E8" w:rsidRPr="000F2279" w:rsidRDefault="005118E8" w:rsidP="000F2279">
            <w:pPr>
              <w:pStyle w:val="ListBullet"/>
            </w:pPr>
            <w:r w:rsidRPr="000F2279">
              <w:t>Provide a clear clinical justification for the use of the product, including:</w:t>
            </w:r>
          </w:p>
          <w:p w14:paraId="73A9F2F6" w14:textId="6A6C3E6E" w:rsidR="005118E8" w:rsidRDefault="005118E8" w:rsidP="00AD160C">
            <w:pPr>
              <w:pStyle w:val="ListBullet2"/>
              <w:numPr>
                <w:ilvl w:val="0"/>
                <w:numId w:val="118"/>
              </w:numPr>
            </w:pPr>
            <w:r w:rsidRPr="00A435EF">
              <w:t>Reasons for use instead of</w:t>
            </w:r>
            <w:r w:rsidR="000C6CDB">
              <w:t xml:space="preserve"> </w:t>
            </w:r>
            <w:r w:rsidRPr="00A435EF">
              <w:t>products included in the ARTG</w:t>
            </w:r>
          </w:p>
          <w:p w14:paraId="59DACC10" w14:textId="77777777" w:rsidR="005118E8" w:rsidRPr="00AD160C" w:rsidRDefault="005118E8" w:rsidP="00AD160C">
            <w:pPr>
              <w:pStyle w:val="ListBullet"/>
              <w:numPr>
                <w:ilvl w:val="0"/>
                <w:numId w:val="118"/>
              </w:numPr>
            </w:pPr>
            <w:r w:rsidRPr="00AD160C">
              <w:t>Treatment will only be offered to patients who have unsuccessfully trialled ARTG products for the indication</w:t>
            </w:r>
          </w:p>
          <w:p w14:paraId="39D37607" w14:textId="77777777" w:rsidR="005118E8" w:rsidRPr="00590909" w:rsidRDefault="005118E8" w:rsidP="00AD160C">
            <w:pPr>
              <w:pStyle w:val="ListBullet2"/>
              <w:numPr>
                <w:ilvl w:val="0"/>
                <w:numId w:val="118"/>
              </w:numPr>
            </w:pPr>
            <w:r>
              <w:t>T</w:t>
            </w:r>
            <w:r w:rsidRPr="006A2B76">
              <w:t>reatments trialled and how many</w:t>
            </w:r>
            <w:r>
              <w:t xml:space="preserve"> (e.g. </w:t>
            </w:r>
            <w:r w:rsidRPr="00326732">
              <w:rPr>
                <w:b/>
                <w:bCs/>
              </w:rPr>
              <w:t>≥2</w:t>
            </w:r>
            <w:r w:rsidRPr="00590909">
              <w:t xml:space="preserve"> pharmacological </w:t>
            </w:r>
            <w:r>
              <w:t>and</w:t>
            </w:r>
            <w:r w:rsidRPr="00590909">
              <w:t xml:space="preserve"> relevant non</w:t>
            </w:r>
            <w:r w:rsidRPr="00590909">
              <w:noBreakHyphen/>
              <w:t>pharmacological)</w:t>
            </w:r>
          </w:p>
          <w:p w14:paraId="26C7CF45" w14:textId="77777777" w:rsidR="005118E8" w:rsidRPr="00B5029D" w:rsidRDefault="005118E8" w:rsidP="00AD160C">
            <w:pPr>
              <w:pStyle w:val="ListBullet2"/>
              <w:numPr>
                <w:ilvl w:val="0"/>
                <w:numId w:val="118"/>
              </w:numPr>
            </w:pPr>
            <w:r>
              <w:t>Declaration</w:t>
            </w:r>
            <w:r w:rsidRPr="006A2B76">
              <w:t xml:space="preserve"> that you will discuss </w:t>
            </w:r>
            <w:r>
              <w:t xml:space="preserve">the suitability of </w:t>
            </w:r>
            <w:r w:rsidRPr="006A2B76">
              <w:t xml:space="preserve">treatment options </w:t>
            </w:r>
            <w:r>
              <w:t>included in the ARTG</w:t>
            </w:r>
            <w:r w:rsidRPr="006A2B76">
              <w:t xml:space="preserve"> with the patient </w:t>
            </w:r>
          </w:p>
          <w:p w14:paraId="7C97E2F5" w14:textId="4A0EFCDC" w:rsidR="005118E8" w:rsidRPr="00B5029D" w:rsidRDefault="005118E8" w:rsidP="00D36100">
            <w:pPr>
              <w:pStyle w:val="ListBullet"/>
            </w:pPr>
            <w:r w:rsidRPr="006A2B76">
              <w:t xml:space="preserve">Provide </w:t>
            </w:r>
            <w:r>
              <w:t>clinical studies</w:t>
            </w:r>
            <w:r w:rsidRPr="006A2B76">
              <w:t xml:space="preserve"> </w:t>
            </w:r>
            <w:r>
              <w:t>demonstrating the efficacy and safety</w:t>
            </w:r>
            <w:r w:rsidRPr="006A2B76">
              <w:t xml:space="preserve"> of the product for the indication</w:t>
            </w:r>
            <w:r>
              <w:t xml:space="preserve"> (</w:t>
            </w:r>
            <w:r w:rsidRPr="006A2B76">
              <w:t>list</w:t>
            </w:r>
            <w:r w:rsidRPr="00326732">
              <w:rPr>
                <w:b/>
                <w:bCs/>
              </w:rPr>
              <w:t xml:space="preserve"> recent</w:t>
            </w:r>
            <w:r w:rsidRPr="006A2B76">
              <w:t xml:space="preserve"> peer</w:t>
            </w:r>
            <w:r w:rsidRPr="006A2B76">
              <w:rPr>
                <w:rFonts w:ascii="Cambria Math" w:hAnsi="Cambria Math" w:cs="Cambria Math"/>
              </w:rPr>
              <w:t>‑</w:t>
            </w:r>
            <w:r w:rsidRPr="006A2B76">
              <w:t>reviewed,</w:t>
            </w:r>
            <w:r>
              <w:t xml:space="preserve"> published </w:t>
            </w:r>
            <w:r w:rsidRPr="006A2B76">
              <w:t>randomised controlled trials</w:t>
            </w:r>
            <w:r>
              <w:t>)</w:t>
            </w:r>
          </w:p>
        </w:tc>
        <w:tc>
          <w:tcPr>
            <w:tcW w:w="455" w:type="pct"/>
            <w:shd w:val="clear" w:color="auto" w:fill="auto"/>
          </w:tcPr>
          <w:p w14:paraId="643333E8" w14:textId="77777777" w:rsidR="005118E8" w:rsidRPr="00326732" w:rsidRDefault="005118E8" w:rsidP="00D36100">
            <w:pPr>
              <w:ind w:left="0"/>
              <w:jc w:val="center"/>
              <w:rPr>
                <w:rFonts w:cs="Arial"/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  <w:p w14:paraId="50A72102" w14:textId="55A3E05F" w:rsidR="005118E8" w:rsidRPr="00326732" w:rsidRDefault="005118E8" w:rsidP="00D36100">
            <w:pPr>
              <w:ind w:left="0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4848CA" w:rsidRPr="00835D5F" w14:paraId="4D20CA8C" w14:textId="77777777" w:rsidTr="00705565">
        <w:trPr>
          <w:cantSplit w:val="0"/>
        </w:trPr>
        <w:tc>
          <w:tcPr>
            <w:tcW w:w="239" w:type="pct"/>
          </w:tcPr>
          <w:p w14:paraId="7F7034AB" w14:textId="77777777" w:rsidR="004848CA" w:rsidRPr="00835D5F" w:rsidRDefault="004848CA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7E09BACA" w14:textId="61D4C2BE" w:rsidR="004848CA" w:rsidRDefault="004848CA" w:rsidP="00D36100">
            <w:pPr>
              <w:ind w:left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D. </w:t>
            </w:r>
            <w:r w:rsidRPr="00326732">
              <w:rPr>
                <w:rFonts w:cs="Arial"/>
                <w:b/>
                <w:bCs/>
                <w:szCs w:val="18"/>
              </w:rPr>
              <w:t>Product details</w:t>
            </w:r>
          </w:p>
          <w:p w14:paraId="564FC082" w14:textId="77777777" w:rsidR="004848CA" w:rsidRPr="004848CA" w:rsidRDefault="004848CA" w:rsidP="00AD160C">
            <w:pPr>
              <w:pStyle w:val="ListBullet2"/>
              <w:numPr>
                <w:ilvl w:val="0"/>
                <w:numId w:val="109"/>
              </w:numPr>
            </w:pPr>
            <w:r w:rsidRPr="008F5E2D">
              <w:t>Active ingredient, strength (</w:t>
            </w:r>
            <w:r>
              <w:t xml:space="preserve">stated </w:t>
            </w:r>
            <w:r w:rsidRPr="008F5E2D">
              <w:t>on product label), dosage form (e.g. capsule), trade name, manufacturer and sponsor details, product information leaflet (if available)</w:t>
            </w:r>
          </w:p>
          <w:p w14:paraId="4C990F12" w14:textId="0FAFE183" w:rsidR="004848CA" w:rsidRPr="00326732" w:rsidRDefault="004848CA" w:rsidP="00D36100">
            <w:pPr>
              <w:pStyle w:val="Numberbullet0"/>
              <w:numPr>
                <w:ilvl w:val="0"/>
                <w:numId w:val="0"/>
              </w:numPr>
              <w:spacing w:before="0"/>
              <w:ind w:left="425" w:hanging="425"/>
              <w:rPr>
                <w:b/>
                <w:bCs/>
              </w:rPr>
            </w:pPr>
            <w:r w:rsidRPr="00326732">
              <w:rPr>
                <w:b/>
                <w:bCs/>
              </w:rPr>
              <w:t>Logistics arrangements</w:t>
            </w:r>
          </w:p>
          <w:p w14:paraId="18E9620D" w14:textId="77777777" w:rsidR="005D0EAB" w:rsidRDefault="004848CA" w:rsidP="001264C4">
            <w:pPr>
              <w:pStyle w:val="ListBullet2"/>
              <w:numPr>
                <w:ilvl w:val="0"/>
                <w:numId w:val="109"/>
              </w:numPr>
            </w:pPr>
            <w:r w:rsidRPr="001501D5">
              <w:lastRenderedPageBreak/>
              <w:t>Importation arrangements</w:t>
            </w:r>
            <w:r>
              <w:t xml:space="preserve">, </w:t>
            </w:r>
          </w:p>
          <w:p w14:paraId="26E40932" w14:textId="0AE37142" w:rsidR="004848CA" w:rsidRDefault="005D0EAB" w:rsidP="001264C4">
            <w:pPr>
              <w:pStyle w:val="ListBullet2"/>
              <w:numPr>
                <w:ilvl w:val="0"/>
                <w:numId w:val="109"/>
              </w:numPr>
            </w:pPr>
            <w:r>
              <w:t>P</w:t>
            </w:r>
            <w:r w:rsidR="004848CA" w:rsidRPr="00964D31">
              <w:t>harmacy supply (name, location</w:t>
            </w:r>
            <w:r w:rsidR="004848CA">
              <w:t>/</w:t>
            </w:r>
            <w:r w:rsidR="004848CA" w:rsidRPr="00964D31">
              <w:t>proximity to the treatment site, dispensing/delivery arrangement)</w:t>
            </w:r>
            <w:r w:rsidR="004848CA">
              <w:t>, s</w:t>
            </w:r>
            <w:r w:rsidR="004848CA" w:rsidRPr="009B2ED2">
              <w:t>torage arrangements</w:t>
            </w:r>
            <w:r w:rsidR="004848CA">
              <w:t>, h</w:t>
            </w:r>
            <w:r w:rsidR="004848CA" w:rsidRPr="001501D5">
              <w:t xml:space="preserve">andling/administration </w:t>
            </w:r>
          </w:p>
          <w:p w14:paraId="0670BF8B" w14:textId="369A27C8" w:rsidR="000F2279" w:rsidRPr="001C7F11" w:rsidRDefault="000F2279" w:rsidP="00AD160C">
            <w:pPr>
              <w:pStyle w:val="ListBullet2"/>
              <w:numPr>
                <w:ilvl w:val="0"/>
                <w:numId w:val="109"/>
              </w:numPr>
            </w:pPr>
            <w:r>
              <w:t>Declare compliance with state and territory regulatory frameworks for psychedelic medicines.</w:t>
            </w:r>
          </w:p>
          <w:p w14:paraId="15418CF9" w14:textId="28C7D307" w:rsidR="004848CA" w:rsidRPr="00326732" w:rsidRDefault="004848CA" w:rsidP="00D36100">
            <w:pPr>
              <w:pStyle w:val="Numberbullet0"/>
              <w:numPr>
                <w:ilvl w:val="0"/>
                <w:numId w:val="0"/>
              </w:numPr>
              <w:spacing w:before="0"/>
              <w:rPr>
                <w:b/>
                <w:bCs/>
              </w:rPr>
            </w:pPr>
            <w:r w:rsidRPr="00326732">
              <w:rPr>
                <w:b/>
                <w:bCs/>
              </w:rPr>
              <w:t>Quality requirements</w:t>
            </w:r>
          </w:p>
          <w:p w14:paraId="55903FE5" w14:textId="77777777" w:rsidR="004848CA" w:rsidRDefault="004848CA" w:rsidP="00D36100">
            <w:pPr>
              <w:pStyle w:val="ListBullet"/>
            </w:pPr>
            <w:r w:rsidRPr="009B2ED2">
              <w:t xml:space="preserve">Declare product complies with </w:t>
            </w:r>
            <w:hyperlink r:id="rId11" w:history="1">
              <w:r w:rsidRPr="00BD48B3">
                <w:rPr>
                  <w:rStyle w:val="Hyperlink"/>
                  <w:iCs/>
                </w:rPr>
                <w:t>Therapeutic Goods Order (TGO) 112 or 113</w:t>
              </w:r>
            </w:hyperlink>
            <w:r>
              <w:t xml:space="preserve"> </w:t>
            </w:r>
          </w:p>
          <w:p w14:paraId="0EA17438" w14:textId="23AFAEB9" w:rsidR="000F2279" w:rsidRPr="000F2279" w:rsidRDefault="004848CA" w:rsidP="000F2279">
            <w:pPr>
              <w:pStyle w:val="ListBullet"/>
            </w:pPr>
            <w:r w:rsidRPr="004848CA">
              <w:t xml:space="preserve">Declare product is manufactured in accordance with the relevant </w:t>
            </w:r>
            <w:hyperlink r:id="rId12" w:tooltip="Good manufacturing practice (GMP)" w:history="1">
              <w:r w:rsidRPr="004848CA">
                <w:rPr>
                  <w:rStyle w:val="Hyperlink"/>
                  <w:iCs/>
                </w:rPr>
                <w:t>principles of good manufacturing practice</w:t>
              </w:r>
            </w:hyperlink>
            <w:r w:rsidRPr="004848CA">
              <w:t xml:space="preserve"> (GMP)</w:t>
            </w:r>
          </w:p>
        </w:tc>
        <w:tc>
          <w:tcPr>
            <w:tcW w:w="455" w:type="pct"/>
            <w:shd w:val="clear" w:color="auto" w:fill="auto"/>
          </w:tcPr>
          <w:p w14:paraId="62F431A1" w14:textId="19C4A436" w:rsidR="004848CA" w:rsidRPr="00835D5F" w:rsidRDefault="00913E19" w:rsidP="00D3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705565" w:rsidRPr="00835D5F" w14:paraId="7B45C9F4" w14:textId="56158EEB" w:rsidTr="00FE432A">
        <w:trPr>
          <w:cantSplit w:val="0"/>
        </w:trPr>
        <w:tc>
          <w:tcPr>
            <w:tcW w:w="239" w:type="pct"/>
            <w:vMerge w:val="restart"/>
          </w:tcPr>
          <w:p w14:paraId="08D81F34" w14:textId="77777777" w:rsidR="00705565" w:rsidRPr="00835D5F" w:rsidRDefault="00705565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3E6A226D" w14:textId="64AF517F" w:rsidR="00705565" w:rsidRPr="00326732" w:rsidRDefault="00705565" w:rsidP="00D36100">
            <w:pPr>
              <w:ind w:left="0"/>
              <w:rPr>
                <w:rFonts w:cs="Arial"/>
                <w:b/>
                <w:bCs/>
                <w:szCs w:val="18"/>
              </w:rPr>
            </w:pPr>
            <w:r w:rsidRPr="00326732">
              <w:rPr>
                <w:rFonts w:cs="Arial"/>
                <w:b/>
                <w:bCs/>
                <w:szCs w:val="18"/>
              </w:rPr>
              <w:t>E: Use and monitoring</w:t>
            </w:r>
          </w:p>
          <w:p w14:paraId="4914782A" w14:textId="77777777" w:rsidR="001264C4" w:rsidRDefault="00705565" w:rsidP="00D36100">
            <w:pPr>
              <w:pStyle w:val="ListBullet"/>
            </w:pPr>
            <w:r>
              <w:t>Description of i</w:t>
            </w:r>
            <w:r w:rsidRPr="00326732">
              <w:t>ndication</w:t>
            </w:r>
            <w:r w:rsidRPr="008F5E2D">
              <w:t xml:space="preserve">, </w:t>
            </w:r>
          </w:p>
          <w:p w14:paraId="565FC2F7" w14:textId="34D6738B" w:rsidR="001264C4" w:rsidRDefault="005D0EAB" w:rsidP="00D36100">
            <w:pPr>
              <w:pStyle w:val="ListBullet"/>
            </w:pPr>
            <w:r>
              <w:t>M</w:t>
            </w:r>
            <w:r w:rsidR="00705565" w:rsidRPr="008F5E2D">
              <w:t xml:space="preserve">anagement of </w:t>
            </w:r>
            <w:r w:rsidR="00705565" w:rsidRPr="00326732">
              <w:t>concomitant medications</w:t>
            </w:r>
            <w:r w:rsidR="00705565" w:rsidRPr="008F5E2D">
              <w:t xml:space="preserve">, </w:t>
            </w:r>
          </w:p>
          <w:p w14:paraId="447BAAA7" w14:textId="221B5F62" w:rsidR="001264C4" w:rsidRDefault="005D0EAB" w:rsidP="00D36100">
            <w:pPr>
              <w:pStyle w:val="ListBullet"/>
            </w:pPr>
            <w:r>
              <w:t>D</w:t>
            </w:r>
            <w:r w:rsidR="00705565" w:rsidRPr="00326732">
              <w:t>osing approach</w:t>
            </w:r>
            <w:r w:rsidR="00705565" w:rsidRPr="008F5E2D">
              <w:t xml:space="preserve"> (</w:t>
            </w:r>
            <w:r w:rsidR="00705565" w:rsidRPr="00326732">
              <w:t>dose to be administered</w:t>
            </w:r>
            <w:r w:rsidR="00705565" w:rsidRPr="008F5E2D">
              <w:t xml:space="preserve">, </w:t>
            </w:r>
            <w:r w:rsidR="00705565" w:rsidRPr="00326732">
              <w:t>number of dosing sessions</w:t>
            </w:r>
            <w:r w:rsidR="00705565" w:rsidRPr="008F5E2D">
              <w:t xml:space="preserve">, interval), </w:t>
            </w:r>
          </w:p>
          <w:p w14:paraId="11267FD5" w14:textId="0F26FBCF" w:rsidR="001264C4" w:rsidRDefault="005D0EAB" w:rsidP="00D36100">
            <w:pPr>
              <w:pStyle w:val="ListBullet"/>
            </w:pPr>
            <w:r>
              <w:t>M</w:t>
            </w:r>
            <w:r w:rsidR="00705565" w:rsidRPr="00326732">
              <w:t xml:space="preserve">onitoring protocol </w:t>
            </w:r>
            <w:r w:rsidR="00705565" w:rsidRPr="008F5E2D">
              <w:t>(</w:t>
            </w:r>
            <w:r w:rsidR="00705565" w:rsidRPr="00326732">
              <w:t>vital signs, anxiety</w:t>
            </w:r>
            <w:r w:rsidR="00705565" w:rsidRPr="008F5E2D">
              <w:t>,</w:t>
            </w:r>
            <w:r w:rsidR="00705565" w:rsidRPr="00326732">
              <w:t xml:space="preserve"> mental state</w:t>
            </w:r>
            <w:r w:rsidR="00705565" w:rsidRPr="008F5E2D">
              <w:t xml:space="preserve">), </w:t>
            </w:r>
          </w:p>
          <w:p w14:paraId="42B7A7CE" w14:textId="6596F96E" w:rsidR="001264C4" w:rsidRDefault="005D0EAB" w:rsidP="00D36100">
            <w:pPr>
              <w:pStyle w:val="ListBullet"/>
            </w:pPr>
            <w:r>
              <w:t>S</w:t>
            </w:r>
            <w:r w:rsidR="00705565">
              <w:t xml:space="preserve">afety measurements, </w:t>
            </w:r>
            <w:r w:rsidR="00705565" w:rsidRPr="008F5E2D">
              <w:t>r</w:t>
            </w:r>
            <w:r w:rsidR="00705565" w:rsidRPr="00326732">
              <w:t xml:space="preserve">escue medications </w:t>
            </w:r>
            <w:r w:rsidR="00705565" w:rsidRPr="008F5E2D">
              <w:t xml:space="preserve">and use, </w:t>
            </w:r>
          </w:p>
          <w:p w14:paraId="1BB43F3A" w14:textId="6BEBEADE" w:rsidR="001264C4" w:rsidRDefault="005D0EAB" w:rsidP="00D36100">
            <w:pPr>
              <w:pStyle w:val="ListBullet"/>
            </w:pPr>
            <w:r>
              <w:t>E</w:t>
            </w:r>
            <w:r w:rsidR="00705565" w:rsidRPr="00326732">
              <w:t>fficacy</w:t>
            </w:r>
            <w:r w:rsidR="00705565" w:rsidRPr="008F5E2D">
              <w:t>/</w:t>
            </w:r>
            <w:r w:rsidR="00705565" w:rsidRPr="00326732">
              <w:t>outcome measures</w:t>
            </w:r>
            <w:r w:rsidR="00705565" w:rsidRPr="008F5E2D">
              <w:t>, h</w:t>
            </w:r>
            <w:r w:rsidR="00705565" w:rsidRPr="00326732">
              <w:t>ow completion of therapy will be determined,</w:t>
            </w:r>
            <w:r w:rsidR="00705565" w:rsidRPr="008F5E2D">
              <w:t xml:space="preserve"> </w:t>
            </w:r>
          </w:p>
          <w:p w14:paraId="091526FB" w14:textId="6ECB3020" w:rsidR="000F2279" w:rsidRPr="001A694E" w:rsidRDefault="005D0EAB" w:rsidP="00D36100">
            <w:pPr>
              <w:pStyle w:val="ListBullet"/>
            </w:pPr>
            <w:r>
              <w:t>P</w:t>
            </w:r>
            <w:r w:rsidR="00705565" w:rsidRPr="008F5E2D">
              <w:t>rocess for</w:t>
            </w:r>
            <w:r w:rsidR="00705565" w:rsidRPr="00326732">
              <w:t xml:space="preserve"> </w:t>
            </w:r>
            <w:r w:rsidR="00705565" w:rsidRPr="008F5E2D">
              <w:t>long-term</w:t>
            </w:r>
            <w:r w:rsidR="00705565" w:rsidRPr="00326732">
              <w:t xml:space="preserve"> follow-</w:t>
            </w:r>
            <w:r w:rsidR="00705565" w:rsidRPr="008F5E2D">
              <w:t>up</w:t>
            </w:r>
            <w:r w:rsidR="00673B35">
              <w:t xml:space="preserve"> (r</w:t>
            </w:r>
            <w:r w:rsidR="00673B35" w:rsidRPr="00673B35">
              <w:t xml:space="preserve">egistry or outsourced use is </w:t>
            </w:r>
            <w:r w:rsidR="00FC5DAE">
              <w:t>permitted</w:t>
            </w:r>
            <w:r w:rsidR="00673B35" w:rsidRPr="00673B35">
              <w:t xml:space="preserve"> with consent</w:t>
            </w:r>
            <w:r w:rsidR="00673B35">
              <w:t>).</w:t>
            </w:r>
          </w:p>
          <w:p w14:paraId="439E9960" w14:textId="1FACEBB8" w:rsidR="00705565" w:rsidRPr="00326732" w:rsidRDefault="00705565" w:rsidP="00D36100">
            <w:pPr>
              <w:pStyle w:val="Numberbullet0"/>
              <w:numPr>
                <w:ilvl w:val="0"/>
                <w:numId w:val="0"/>
              </w:numPr>
              <w:spacing w:before="0"/>
              <w:ind w:left="425" w:hanging="425"/>
              <w:rPr>
                <w:i/>
                <w:iCs w:val="0"/>
                <w:sz w:val="24"/>
                <w:szCs w:val="24"/>
              </w:rPr>
            </w:pPr>
            <w:r w:rsidRPr="00326732">
              <w:rPr>
                <w:i/>
                <w:iCs w:val="0"/>
              </w:rPr>
              <w:t xml:space="preserve">RANZCP provides </w:t>
            </w:r>
            <w:hyperlink r:id="rId13" w:history="1">
              <w:r w:rsidRPr="00326732">
                <w:rPr>
                  <w:rStyle w:val="Hyperlink"/>
                  <w:i/>
                  <w:iCs w:val="0"/>
                  <w:szCs w:val="18"/>
                </w:rPr>
                <w:t>suggested assessment scales</w:t>
              </w:r>
            </w:hyperlink>
            <w:r w:rsidRPr="00326732">
              <w:rPr>
                <w:i/>
                <w:iCs w:val="0"/>
              </w:rPr>
              <w:t>. Justify use of other scales</w:t>
            </w:r>
          </w:p>
        </w:tc>
        <w:tc>
          <w:tcPr>
            <w:tcW w:w="455" w:type="pct"/>
            <w:shd w:val="clear" w:color="auto" w:fill="auto"/>
          </w:tcPr>
          <w:p w14:paraId="1418A0EB" w14:textId="7B0377B4" w:rsidR="00705565" w:rsidRPr="00326732" w:rsidRDefault="00705565" w:rsidP="00D36100">
            <w:pPr>
              <w:ind w:left="0"/>
              <w:jc w:val="center"/>
              <w:rPr>
                <w:rFonts w:cs="Arial"/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578F214B" w14:textId="0FE21F28" w:rsidTr="00FE432A">
        <w:trPr>
          <w:cantSplit w:val="0"/>
        </w:trPr>
        <w:tc>
          <w:tcPr>
            <w:tcW w:w="239" w:type="pct"/>
            <w:vMerge/>
          </w:tcPr>
          <w:p w14:paraId="3F61953E" w14:textId="77777777" w:rsidR="00705565" w:rsidRPr="00835D5F" w:rsidRDefault="00705565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40E13BEE" w14:textId="66731F76" w:rsidR="00705565" w:rsidRPr="00326732" w:rsidRDefault="00705565" w:rsidP="00D36100">
            <w:pPr>
              <w:ind w:left="0"/>
              <w:rPr>
                <w:rFonts w:cs="Arial"/>
                <w:b/>
                <w:bCs/>
                <w:szCs w:val="18"/>
              </w:rPr>
            </w:pPr>
            <w:r w:rsidRPr="00326732">
              <w:rPr>
                <w:rFonts w:cs="Arial"/>
                <w:b/>
                <w:bCs/>
                <w:szCs w:val="18"/>
              </w:rPr>
              <w:t>F: Efficacy and safety</w:t>
            </w:r>
            <w:bookmarkStart w:id="3" w:name="_Hlk219888324"/>
          </w:p>
          <w:bookmarkEnd w:id="3"/>
          <w:p w14:paraId="34165F3C" w14:textId="77777777" w:rsidR="005D0EAB" w:rsidRDefault="00705565" w:rsidP="004B6064">
            <w:pPr>
              <w:pStyle w:val="Numberbullet0"/>
              <w:numPr>
                <w:ilvl w:val="0"/>
                <w:numId w:val="0"/>
              </w:numPr>
              <w:spacing w:before="0"/>
              <w:ind w:left="425" w:hanging="425"/>
            </w:pPr>
            <w:r w:rsidRPr="00326732">
              <w:t>Detail the product’s efficacy and expected benefits</w:t>
            </w:r>
            <w:r w:rsidRPr="008F5E2D">
              <w:t xml:space="preserve">. </w:t>
            </w:r>
          </w:p>
          <w:p w14:paraId="5B706201" w14:textId="60BC5504" w:rsidR="004B6064" w:rsidRDefault="00705565" w:rsidP="004B6064">
            <w:pPr>
              <w:pStyle w:val="Numberbullet0"/>
              <w:numPr>
                <w:ilvl w:val="0"/>
                <w:numId w:val="0"/>
              </w:numPr>
              <w:spacing w:before="0"/>
              <w:ind w:left="425" w:hanging="425"/>
            </w:pPr>
            <w:r w:rsidRPr="00326732">
              <w:t>Include</w:t>
            </w:r>
            <w:r w:rsidR="004B6064">
              <w:t>:</w:t>
            </w:r>
          </w:p>
          <w:p w14:paraId="0574F8B9" w14:textId="698AED0C" w:rsidR="004B6064" w:rsidRDefault="00705565" w:rsidP="004B6064">
            <w:pPr>
              <w:pStyle w:val="Numberbullet0"/>
              <w:numPr>
                <w:ilvl w:val="0"/>
                <w:numId w:val="112"/>
              </w:numPr>
              <w:spacing w:before="0"/>
            </w:pPr>
            <w:r w:rsidRPr="00326732">
              <w:t xml:space="preserve">known/expected adverse effects and </w:t>
            </w:r>
          </w:p>
          <w:p w14:paraId="54A9A891" w14:textId="7150CFAB" w:rsidR="004B6064" w:rsidRPr="00326732" w:rsidRDefault="00705565" w:rsidP="00FC5DAE">
            <w:pPr>
              <w:pStyle w:val="Numberbullet0"/>
              <w:numPr>
                <w:ilvl w:val="0"/>
                <w:numId w:val="112"/>
              </w:numPr>
              <w:spacing w:before="0"/>
            </w:pPr>
            <w:r w:rsidRPr="00326732">
              <w:t xml:space="preserve">risks and their management </w:t>
            </w:r>
            <w:r w:rsidRPr="008F5E2D">
              <w:t>(managing</w:t>
            </w:r>
            <w:r w:rsidRPr="00326732">
              <w:t xml:space="preserve"> anxiety and vulnerability, safety measures</w:t>
            </w:r>
            <w:r w:rsidRPr="008F5E2D">
              <w:t>,</w:t>
            </w:r>
            <w:r w:rsidRPr="00326732">
              <w:t xml:space="preserve"> toxicology</w:t>
            </w:r>
            <w:r w:rsidRPr="008F5E2D">
              <w:t>)</w:t>
            </w:r>
          </w:p>
        </w:tc>
        <w:tc>
          <w:tcPr>
            <w:tcW w:w="455" w:type="pct"/>
            <w:shd w:val="clear" w:color="auto" w:fill="auto"/>
          </w:tcPr>
          <w:p w14:paraId="70D1F574" w14:textId="1AA302FA" w:rsidR="00705565" w:rsidRPr="00326732" w:rsidRDefault="00705565" w:rsidP="00D36100">
            <w:pPr>
              <w:ind w:left="0"/>
              <w:jc w:val="center"/>
              <w:rPr>
                <w:rFonts w:cs="Arial"/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75834123" w14:textId="41C25E9F" w:rsidTr="00FE432A">
        <w:trPr>
          <w:cantSplit w:val="0"/>
        </w:trPr>
        <w:tc>
          <w:tcPr>
            <w:tcW w:w="239" w:type="pct"/>
            <w:vMerge/>
          </w:tcPr>
          <w:p w14:paraId="28FD0E18" w14:textId="77777777" w:rsidR="00705565" w:rsidRPr="00835D5F" w:rsidRDefault="00705565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686DAE83" w14:textId="4DBD03D1" w:rsidR="00705565" w:rsidRPr="00326732" w:rsidRDefault="00705565" w:rsidP="00D36100">
            <w:pPr>
              <w:ind w:left="0"/>
              <w:rPr>
                <w:rFonts w:cs="Arial"/>
                <w:b/>
                <w:bCs/>
                <w:szCs w:val="18"/>
              </w:rPr>
            </w:pPr>
            <w:r w:rsidRPr="00326732">
              <w:rPr>
                <w:rFonts w:cs="Arial"/>
                <w:b/>
                <w:bCs/>
                <w:szCs w:val="18"/>
              </w:rPr>
              <w:t>G: Participant selection and withdrawal</w:t>
            </w:r>
          </w:p>
          <w:p w14:paraId="215DF522" w14:textId="77777777" w:rsidR="005D0EAB" w:rsidRDefault="001A694E" w:rsidP="001A694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i/>
                <w:iCs/>
                <w:szCs w:val="18"/>
              </w:rPr>
            </w:pPr>
            <w:r w:rsidRPr="00326732">
              <w:rPr>
                <w:i/>
                <w:iCs/>
                <w:szCs w:val="18"/>
              </w:rPr>
              <w:t>The psychiatrist is responsible for conducting patient screening</w:t>
            </w:r>
            <w:r>
              <w:rPr>
                <w:i/>
                <w:iCs/>
                <w:szCs w:val="18"/>
              </w:rPr>
              <w:t xml:space="preserve">. </w:t>
            </w:r>
          </w:p>
          <w:p w14:paraId="32779E84" w14:textId="1256B371" w:rsidR="001A694E" w:rsidRPr="00AD160C" w:rsidRDefault="005D0EAB" w:rsidP="00AD160C">
            <w:pPr>
              <w:pStyle w:val="ListParagraph"/>
              <w:numPr>
                <w:ilvl w:val="0"/>
                <w:numId w:val="116"/>
              </w:numPr>
              <w:adjustRightInd w:val="0"/>
              <w:snapToGrid w:val="0"/>
              <w:spacing w:after="80" w:line="240" w:lineRule="atLeast"/>
              <w:rPr>
                <w:rFonts w:asciiTheme="majorHAnsi" w:eastAsia="Times New Roman" w:hAnsiTheme="majorHAnsi" w:cstheme="majorHAnsi"/>
                <w:color w:val="333333"/>
                <w:szCs w:val="18"/>
              </w:rPr>
            </w:pPr>
            <w:r w:rsidRPr="00AD160C">
              <w:rPr>
                <w:rFonts w:asciiTheme="majorHAnsi" w:eastAsia="Times New Roman" w:hAnsiTheme="majorHAnsi" w:cstheme="majorHAnsi"/>
                <w:szCs w:val="18"/>
              </w:rPr>
              <w:t xml:space="preserve">Where non-face-to-face </w:t>
            </w:r>
            <w:r>
              <w:rPr>
                <w:rFonts w:asciiTheme="majorHAnsi" w:eastAsia="Times New Roman" w:hAnsiTheme="majorHAnsi" w:cstheme="majorHAnsi"/>
                <w:szCs w:val="18"/>
              </w:rPr>
              <w:t xml:space="preserve">consultation for </w:t>
            </w:r>
            <w:r w:rsidRPr="00AD160C">
              <w:rPr>
                <w:rFonts w:asciiTheme="majorHAnsi" w:eastAsia="Times New Roman" w:hAnsiTheme="majorHAnsi" w:cstheme="majorHAnsi"/>
                <w:szCs w:val="18"/>
              </w:rPr>
              <w:t>s</w:t>
            </w:r>
            <w:r>
              <w:rPr>
                <w:rFonts w:asciiTheme="majorHAnsi" w:eastAsia="Times New Roman" w:hAnsiTheme="majorHAnsi" w:cstheme="majorHAnsi"/>
                <w:szCs w:val="18"/>
              </w:rPr>
              <w:t>creening</w:t>
            </w:r>
            <w:r w:rsidRPr="00AD160C">
              <w:rPr>
                <w:rFonts w:asciiTheme="majorHAnsi" w:eastAsia="Times New Roman" w:hAnsiTheme="majorHAnsi" w:cstheme="majorHAnsi"/>
                <w:szCs w:val="18"/>
              </w:rPr>
              <w:t xml:space="preserve"> is proposed, this should be clearly justifie</w:t>
            </w:r>
            <w:r>
              <w:rPr>
                <w:rFonts w:asciiTheme="majorHAnsi" w:eastAsia="Times New Roman" w:hAnsiTheme="majorHAnsi" w:cstheme="majorHAnsi"/>
                <w:szCs w:val="18"/>
              </w:rPr>
              <w:t xml:space="preserve">d, </w:t>
            </w:r>
            <w:r w:rsidR="001F7AA3">
              <w:rPr>
                <w:rFonts w:asciiTheme="majorHAnsi" w:eastAsia="Times New Roman" w:hAnsiTheme="majorHAnsi" w:cstheme="majorHAnsi"/>
                <w:szCs w:val="18"/>
              </w:rPr>
              <w:t xml:space="preserve">and in line with </w:t>
            </w:r>
            <w:proofErr w:type="spellStart"/>
            <w:r w:rsidR="001F7AA3">
              <w:rPr>
                <w:rFonts w:asciiTheme="majorHAnsi" w:eastAsia="Times New Roman" w:hAnsiTheme="majorHAnsi" w:cstheme="majorHAnsi"/>
                <w:szCs w:val="18"/>
              </w:rPr>
              <w:t>Ahpra</w:t>
            </w:r>
            <w:proofErr w:type="spellEnd"/>
            <w:r w:rsidR="001F7AA3">
              <w:rPr>
                <w:rFonts w:asciiTheme="majorHAnsi" w:eastAsia="Times New Roman" w:hAnsiTheme="majorHAnsi" w:cstheme="majorHAnsi"/>
                <w:szCs w:val="18"/>
              </w:rPr>
              <w:t xml:space="preserve"> recommendations</w:t>
            </w:r>
            <w:r>
              <w:rPr>
                <w:rFonts w:asciiTheme="majorHAnsi" w:eastAsia="Times New Roman" w:hAnsiTheme="majorHAnsi" w:cstheme="majorHAnsi"/>
                <w:szCs w:val="18"/>
              </w:rPr>
              <w:t>.</w:t>
            </w:r>
          </w:p>
          <w:p w14:paraId="3A8FDB4A" w14:textId="256518DD" w:rsidR="00705565" w:rsidRPr="00FE432A" w:rsidRDefault="00705565" w:rsidP="00D36100">
            <w:pPr>
              <w:pStyle w:val="ListBullet"/>
              <w:rPr>
                <w:sz w:val="20"/>
                <w:szCs w:val="20"/>
              </w:rPr>
            </w:pPr>
            <w:r w:rsidRPr="00345F61">
              <w:t xml:space="preserve">Describe the screening </w:t>
            </w:r>
            <w:r>
              <w:t xml:space="preserve">and baseline assessment </w:t>
            </w:r>
            <w:r w:rsidRPr="00345F61">
              <w:t>process for eligibility</w:t>
            </w:r>
          </w:p>
          <w:p w14:paraId="4BDAACAA" w14:textId="07430E3C" w:rsidR="00705565" w:rsidRPr="00FE432A" w:rsidRDefault="00705565" w:rsidP="00D36100">
            <w:pPr>
              <w:pStyle w:val="ListBullet"/>
              <w:rPr>
                <w:sz w:val="20"/>
                <w:szCs w:val="20"/>
              </w:rPr>
            </w:pPr>
            <w:r>
              <w:t>L</w:t>
            </w:r>
            <w:r w:rsidRPr="00345F61">
              <w:t>ist inclusion and exclusion criteria</w:t>
            </w:r>
          </w:p>
          <w:p w14:paraId="29F9903B" w14:textId="4FFF53A7" w:rsidR="00705565" w:rsidRPr="001A694E" w:rsidRDefault="00705565" w:rsidP="001A694E">
            <w:pPr>
              <w:pStyle w:val="ListBullet"/>
              <w:rPr>
                <w:i/>
                <w:iCs/>
                <w:szCs w:val="18"/>
              </w:rPr>
            </w:pPr>
            <w:r>
              <w:t>O</w:t>
            </w:r>
            <w:r w:rsidRPr="00345F61">
              <w:t>utline a clear withdrawal process for patients</w:t>
            </w:r>
            <w:r w:rsidR="00673B35">
              <w:t xml:space="preserve"> and include a statement in the consent form.</w:t>
            </w:r>
          </w:p>
        </w:tc>
        <w:tc>
          <w:tcPr>
            <w:tcW w:w="455" w:type="pct"/>
            <w:shd w:val="clear" w:color="auto" w:fill="auto"/>
          </w:tcPr>
          <w:p w14:paraId="58B4E0C9" w14:textId="734C6707" w:rsidR="00705565" w:rsidRPr="00326732" w:rsidRDefault="00705565" w:rsidP="00D36100">
            <w:pPr>
              <w:ind w:left="0"/>
              <w:jc w:val="center"/>
              <w:rPr>
                <w:rFonts w:cs="Arial"/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1AF8EDDE" w14:textId="2E2075DB" w:rsidTr="00FE432A">
        <w:trPr>
          <w:cantSplit w:val="0"/>
        </w:trPr>
        <w:tc>
          <w:tcPr>
            <w:tcW w:w="239" w:type="pct"/>
            <w:vMerge/>
          </w:tcPr>
          <w:p w14:paraId="4766CCDB" w14:textId="77777777" w:rsidR="00705565" w:rsidRPr="00835D5F" w:rsidRDefault="00705565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089A30F1" w14:textId="020FC731" w:rsidR="00705565" w:rsidRPr="00326732" w:rsidRDefault="00705565" w:rsidP="00D36100">
            <w:pPr>
              <w:ind w:left="0"/>
              <w:rPr>
                <w:rFonts w:cs="Arial"/>
                <w:b/>
                <w:bCs/>
                <w:szCs w:val="18"/>
              </w:rPr>
            </w:pPr>
            <w:r w:rsidRPr="00326732">
              <w:rPr>
                <w:rFonts w:cs="Arial"/>
                <w:b/>
                <w:bCs/>
                <w:szCs w:val="18"/>
              </w:rPr>
              <w:t xml:space="preserve">H: Consent process </w:t>
            </w:r>
            <w:bookmarkStart w:id="4" w:name="_Hlk219898029"/>
          </w:p>
          <w:bookmarkEnd w:id="4"/>
          <w:p w14:paraId="3EBF6093" w14:textId="74C12E51" w:rsidR="001F7AA3" w:rsidRDefault="001A694E" w:rsidP="00D36100">
            <w:pPr>
              <w:pStyle w:val="Numberbullet0"/>
              <w:numPr>
                <w:ilvl w:val="0"/>
                <w:numId w:val="0"/>
              </w:numPr>
              <w:spacing w:before="0"/>
            </w:pPr>
            <w:r w:rsidRPr="00FE432A">
              <w:rPr>
                <w:i/>
                <w:iCs w:val="0"/>
              </w:rPr>
              <w:t xml:space="preserve">The </w:t>
            </w:r>
            <w:r w:rsidR="00822891">
              <w:rPr>
                <w:i/>
                <w:iCs w:val="0"/>
              </w:rPr>
              <w:t>psychiatrist</w:t>
            </w:r>
            <w:r w:rsidRPr="00FE432A">
              <w:rPr>
                <w:i/>
                <w:iCs w:val="0"/>
              </w:rPr>
              <w:t xml:space="preserve"> is responsible for conducting initial and ongoing informed consent</w:t>
            </w:r>
            <w:r w:rsidR="005D0EAB">
              <w:rPr>
                <w:i/>
                <w:iCs w:val="0"/>
              </w:rPr>
              <w:t xml:space="preserve">. </w:t>
            </w:r>
          </w:p>
          <w:p w14:paraId="3F9B4618" w14:textId="0AB2034F" w:rsidR="00705565" w:rsidRPr="00326732" w:rsidRDefault="00705565" w:rsidP="000F7A07">
            <w:pPr>
              <w:pStyle w:val="Numberbullet0"/>
              <w:numPr>
                <w:ilvl w:val="0"/>
                <w:numId w:val="0"/>
              </w:numPr>
              <w:spacing w:before="0"/>
            </w:pPr>
            <w:r w:rsidRPr="00326732">
              <w:t>Provide a clear description of the informed consent process</w:t>
            </w:r>
            <w:r>
              <w:t xml:space="preserve">. </w:t>
            </w:r>
            <w:r w:rsidRPr="00326732">
              <w:t>Patient information and consent form</w:t>
            </w:r>
            <w:r>
              <w:t xml:space="preserve"> </w:t>
            </w:r>
            <w:r w:rsidRPr="00326732">
              <w:t>must include</w:t>
            </w:r>
            <w:r>
              <w:t xml:space="preserve"> (but not limited to)</w:t>
            </w:r>
            <w:r w:rsidRPr="00326732">
              <w:t>:</w:t>
            </w:r>
          </w:p>
          <w:p w14:paraId="42DCE7FA" w14:textId="77777777" w:rsidR="00705565" w:rsidRPr="00326732" w:rsidRDefault="00705565" w:rsidP="000F7A07">
            <w:pPr>
              <w:pStyle w:val="ListBullet2"/>
              <w:numPr>
                <w:ilvl w:val="0"/>
                <w:numId w:val="117"/>
              </w:numPr>
            </w:pPr>
            <w:r w:rsidRPr="00326732">
              <w:t>Purpose of treatment and what participation involves</w:t>
            </w:r>
          </w:p>
          <w:p w14:paraId="2FBC32D2" w14:textId="77777777" w:rsidR="00705565" w:rsidRPr="00326732" w:rsidRDefault="00705565" w:rsidP="000F7A07">
            <w:pPr>
              <w:pStyle w:val="ListBullet2"/>
              <w:numPr>
                <w:ilvl w:val="0"/>
                <w:numId w:val="117"/>
              </w:numPr>
            </w:pPr>
            <w:r w:rsidRPr="00326732">
              <w:t>Risks associated with the medicine and risks during dosing sessions</w:t>
            </w:r>
          </w:p>
          <w:p w14:paraId="61F66353" w14:textId="77777777" w:rsidR="00705565" w:rsidRPr="00326732" w:rsidRDefault="00705565" w:rsidP="000F7A07">
            <w:pPr>
              <w:pStyle w:val="ListBullet2"/>
              <w:numPr>
                <w:ilvl w:val="0"/>
                <w:numId w:val="117"/>
              </w:numPr>
            </w:pPr>
            <w:r w:rsidRPr="00326732">
              <w:t>A financial consent statement</w:t>
            </w:r>
          </w:p>
          <w:p w14:paraId="444D5A78" w14:textId="2BAF3154" w:rsidR="00705565" w:rsidRPr="00326732" w:rsidRDefault="00705565" w:rsidP="00F00878">
            <w:pPr>
              <w:pStyle w:val="ListBullet2"/>
              <w:numPr>
                <w:ilvl w:val="0"/>
                <w:numId w:val="117"/>
              </w:numPr>
            </w:pPr>
            <w:r>
              <w:t>D</w:t>
            </w:r>
            <w:r w:rsidRPr="00326732">
              <w:t>eclaration the product is unapproved</w:t>
            </w:r>
            <w:r>
              <w:t xml:space="preserve"> e.g.</w:t>
            </w:r>
            <w:r w:rsidRPr="00326732">
              <w:t xml:space="preserve"> “The product is unapproved and not included in the ARTG. I understand that the TGA has not assessed the quality, efficacy or safety of the product.”</w:t>
            </w:r>
          </w:p>
          <w:p w14:paraId="2EBD2B97" w14:textId="77777777" w:rsidR="004E19F5" w:rsidRDefault="001A694E" w:rsidP="00445147">
            <w:pPr>
              <w:pStyle w:val="ListBullet"/>
            </w:pPr>
            <w:r w:rsidRPr="001A694E">
              <w:t>where in</w:t>
            </w:r>
            <w:r w:rsidRPr="001A694E">
              <w:noBreakHyphen/>
              <w:t xml:space="preserve">person consent is not possible, </w:t>
            </w:r>
            <w:r>
              <w:t>it must</w:t>
            </w:r>
            <w:r w:rsidRPr="001A694E">
              <w:t xml:space="preserve"> meet equivalent standards of patient understanding and documentation. </w:t>
            </w:r>
          </w:p>
          <w:p w14:paraId="4D55B98D" w14:textId="7884D3A0" w:rsidR="00705565" w:rsidRPr="00FE432A" w:rsidRDefault="001A694E" w:rsidP="00445147">
            <w:pPr>
              <w:pStyle w:val="ListBullet"/>
              <w:rPr>
                <w:i/>
                <w:iCs/>
              </w:rPr>
            </w:pPr>
            <w:r w:rsidRPr="001A694E">
              <w:t>Where sessions are to be video</w:t>
            </w:r>
            <w:r w:rsidRPr="001A694E">
              <w:noBreakHyphen/>
              <w:t>recorded, this must be clearly specified and consent explicitly obtained and documented.</w:t>
            </w:r>
          </w:p>
        </w:tc>
        <w:tc>
          <w:tcPr>
            <w:tcW w:w="455" w:type="pct"/>
            <w:shd w:val="clear" w:color="auto" w:fill="auto"/>
          </w:tcPr>
          <w:p w14:paraId="2E562F8C" w14:textId="450B7915" w:rsidR="00705565" w:rsidRPr="00326732" w:rsidRDefault="00705565" w:rsidP="00D36100">
            <w:pPr>
              <w:ind w:left="0"/>
              <w:jc w:val="center"/>
              <w:rPr>
                <w:rFonts w:cs="Arial"/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25D0C15E" w14:textId="3B6AD14C" w:rsidTr="00FE432A">
        <w:trPr>
          <w:cantSplit w:val="0"/>
        </w:trPr>
        <w:tc>
          <w:tcPr>
            <w:tcW w:w="239" w:type="pct"/>
            <w:vMerge/>
          </w:tcPr>
          <w:p w14:paraId="5ACA27FA" w14:textId="77777777" w:rsidR="00705565" w:rsidRPr="00835D5F" w:rsidRDefault="00705565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12AD9E24" w14:textId="1810234B" w:rsidR="00705565" w:rsidRPr="00326732" w:rsidRDefault="00705565" w:rsidP="00D36100">
            <w:pPr>
              <w:ind w:left="0"/>
              <w:rPr>
                <w:rFonts w:cs="Arial"/>
                <w:b/>
                <w:bCs/>
                <w:szCs w:val="18"/>
              </w:rPr>
            </w:pPr>
            <w:r w:rsidRPr="00326732">
              <w:rPr>
                <w:rFonts w:cs="Arial"/>
                <w:b/>
                <w:bCs/>
                <w:szCs w:val="18"/>
              </w:rPr>
              <w:t>I: Psychotherapy and dosing sessions</w:t>
            </w:r>
            <w:bookmarkStart w:id="5" w:name="_Hlk219899043"/>
          </w:p>
          <w:bookmarkEnd w:id="5"/>
          <w:p w14:paraId="340E1495" w14:textId="29987DCE" w:rsidR="00705565" w:rsidRPr="003241EC" w:rsidRDefault="00705565" w:rsidP="00AD160C">
            <w:pPr>
              <w:pStyle w:val="ListParagraph"/>
              <w:numPr>
                <w:ilvl w:val="0"/>
                <w:numId w:val="113"/>
              </w:numPr>
            </w:pPr>
            <w:r w:rsidRPr="003241EC">
              <w:t>Outline schedule of sessions (number of preparation, dosing, and integration sessions, intervals, format and structure)</w:t>
            </w:r>
          </w:p>
          <w:p w14:paraId="621319F2" w14:textId="77777777" w:rsidR="00705565" w:rsidRDefault="00705565" w:rsidP="00D36100">
            <w:pPr>
              <w:pStyle w:val="ListBullet"/>
            </w:pPr>
            <w:r w:rsidRPr="00433827">
              <w:t>Include a</w:t>
            </w:r>
            <w:r w:rsidRPr="00326732">
              <w:t xml:space="preserve"> clear explanation of how each session will be conducted, including therapeutic approach, setting, and required personnel</w:t>
            </w:r>
          </w:p>
          <w:p w14:paraId="64F30E87" w14:textId="6A83CEA7" w:rsidR="003241EC" w:rsidRDefault="003241EC" w:rsidP="00D36100">
            <w:pPr>
              <w:pStyle w:val="ListBullet"/>
            </w:pPr>
            <w:r>
              <w:t>Confirm the suitability, qualifications, competence and training of all therapists involved in care</w:t>
            </w:r>
          </w:p>
          <w:p w14:paraId="0B785CE2" w14:textId="4B292DBA" w:rsidR="00705565" w:rsidRPr="00AD160C" w:rsidRDefault="003241EC" w:rsidP="00AD160C">
            <w:pPr>
              <w:pStyle w:val="ListBullet"/>
              <w:rPr>
                <w:i/>
              </w:rPr>
            </w:pPr>
            <w:r>
              <w:t>Confirm</w:t>
            </w:r>
            <w:r w:rsidR="00705565" w:rsidRPr="00433827">
              <w:t xml:space="preserve"> </w:t>
            </w:r>
            <w:r w:rsidR="00705565">
              <w:t>p</w:t>
            </w:r>
            <w:r w:rsidR="00705565" w:rsidRPr="00326732">
              <w:t xml:space="preserve">atients will not have access to MDMA or </w:t>
            </w:r>
            <w:proofErr w:type="spellStart"/>
            <w:r w:rsidR="00705565" w:rsidRPr="00326732">
              <w:t>psilocybin</w:t>
            </w:r>
            <w:r w:rsidR="00705565" w:rsidRPr="0078017E">
              <w:t>e</w:t>
            </w:r>
            <w:proofErr w:type="spellEnd"/>
            <w:r w:rsidR="00705565" w:rsidRPr="00326732">
              <w:t xml:space="preserve"> outside the supervised dosing sessions</w:t>
            </w:r>
            <w:r w:rsidR="00705565">
              <w:t xml:space="preserve">. </w:t>
            </w:r>
            <w:r w:rsidR="00705565" w:rsidRPr="0078017E">
              <w:t>All administration will occur under direct supervision</w:t>
            </w:r>
            <w:r w:rsidR="004E19F5">
              <w:t xml:space="preserve"> of AP psychiatrist</w:t>
            </w:r>
            <w:r w:rsidR="00705565" w:rsidRPr="0078017E">
              <w:t xml:space="preserve"> in line with safety and regulatory requirements</w:t>
            </w:r>
          </w:p>
        </w:tc>
        <w:tc>
          <w:tcPr>
            <w:tcW w:w="455" w:type="pct"/>
            <w:shd w:val="clear" w:color="auto" w:fill="auto"/>
          </w:tcPr>
          <w:p w14:paraId="0BEC165F" w14:textId="6D218E01" w:rsidR="00705565" w:rsidRPr="00326732" w:rsidRDefault="00705565" w:rsidP="00D36100">
            <w:pPr>
              <w:ind w:left="0"/>
              <w:jc w:val="center"/>
              <w:rPr>
                <w:rFonts w:cs="Arial"/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6A324E4C" w14:textId="7B22F21B" w:rsidTr="00FE432A">
        <w:trPr>
          <w:cantSplit w:val="0"/>
        </w:trPr>
        <w:tc>
          <w:tcPr>
            <w:tcW w:w="239" w:type="pct"/>
            <w:vMerge/>
          </w:tcPr>
          <w:p w14:paraId="54970618" w14:textId="38173427" w:rsidR="00705565" w:rsidRPr="00835D5F" w:rsidRDefault="00705565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4299B9D5" w14:textId="312F1EDC" w:rsidR="00705565" w:rsidRPr="00326732" w:rsidRDefault="00705565" w:rsidP="00D36100">
            <w:pPr>
              <w:ind w:left="0"/>
              <w:rPr>
                <w:rFonts w:cs="Arial"/>
                <w:b/>
                <w:bCs/>
                <w:szCs w:val="18"/>
              </w:rPr>
            </w:pPr>
            <w:r w:rsidRPr="00326732">
              <w:rPr>
                <w:rFonts w:cs="Arial"/>
                <w:b/>
                <w:bCs/>
                <w:szCs w:val="18"/>
              </w:rPr>
              <w:t>J: Supporting clinical therapists and oversight</w:t>
            </w:r>
          </w:p>
          <w:p w14:paraId="48DA526D" w14:textId="3113F257" w:rsidR="00705565" w:rsidRPr="00673B35" w:rsidRDefault="00705565" w:rsidP="00D36100">
            <w:pPr>
              <w:ind w:left="0"/>
            </w:pPr>
            <w:r w:rsidRPr="008E597F">
              <w:t>Identify the type of staff involved in each session and any supporting staff. Preferably the same therapists at each session. Dosing sessions should include TWO staff members.</w:t>
            </w:r>
          </w:p>
          <w:p w14:paraId="12105ECF" w14:textId="77777777" w:rsidR="008E597F" w:rsidRPr="008E597F" w:rsidRDefault="008E597F" w:rsidP="00D36100">
            <w:pPr>
              <w:pStyle w:val="ListBullet"/>
              <w:numPr>
                <w:ilvl w:val="0"/>
                <w:numId w:val="0"/>
              </w:numPr>
            </w:pPr>
            <w:r w:rsidRPr="008E597F">
              <w:t>The psychedelic assisted psychotherapy dyad must include at least ONE therapist:</w:t>
            </w:r>
          </w:p>
          <w:p w14:paraId="1911EF29" w14:textId="77BFB729" w:rsidR="008E597F" w:rsidRDefault="008E597F" w:rsidP="00D36100">
            <w:pPr>
              <w:pStyle w:val="ListBullet"/>
            </w:pPr>
            <w:r>
              <w:t>who holds general registration with a National Board, specifically the Psychology</w:t>
            </w:r>
            <w:r w:rsidR="00822891">
              <w:t xml:space="preserve"> Board with endorsement as Clinical Psychologist, </w:t>
            </w:r>
            <w:r>
              <w:t xml:space="preserve">Medical, Nursing and Midwifery, </w:t>
            </w:r>
            <w:r w:rsidRPr="00822891">
              <w:rPr>
                <w:b/>
                <w:bCs/>
              </w:rPr>
              <w:t>or</w:t>
            </w:r>
            <w:r>
              <w:t xml:space="preserve"> Occupational Therapy Boards of Australia; AND </w:t>
            </w:r>
          </w:p>
          <w:p w14:paraId="6010C811" w14:textId="77777777" w:rsidR="008E597F" w:rsidRDefault="008E597F" w:rsidP="000F7A07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where the practitioner’s scope of practice includes psychedelic-assisted psychotherapy.</w:t>
            </w:r>
          </w:p>
          <w:p w14:paraId="7ED81BA6" w14:textId="5D507D01" w:rsidR="008E597F" w:rsidRDefault="008E597F" w:rsidP="00D36100">
            <w:pPr>
              <w:pStyle w:val="ListBullet"/>
            </w:pPr>
            <w:r>
              <w:t xml:space="preserve">That </w:t>
            </w:r>
            <w:r w:rsidR="00445147">
              <w:t>therapist</w:t>
            </w:r>
            <w:r>
              <w:t xml:space="preserve"> must demonstrate appropriate skills, training and competence relevant to psychedelic assisted psychotherapy, as determined by the </w:t>
            </w:r>
            <w:r w:rsidR="000C6CDB">
              <w:t>psychiatrist</w:t>
            </w:r>
            <w:r>
              <w:t xml:space="preserve"> and subject to HREC oversight.</w:t>
            </w:r>
          </w:p>
          <w:p w14:paraId="570A3CB0" w14:textId="33C7F7AA" w:rsidR="00445147" w:rsidRDefault="008E597F" w:rsidP="00D36100">
            <w:pPr>
              <w:pStyle w:val="ListBullet"/>
            </w:pPr>
            <w:r>
              <w:t xml:space="preserve">The </w:t>
            </w:r>
            <w:r w:rsidR="000C6CDB">
              <w:t>AP psychiatrist</w:t>
            </w:r>
            <w:r>
              <w:t xml:space="preserve"> is responsible for determining the qualifications and experience of an</w:t>
            </w:r>
            <w:r w:rsidR="00822891">
              <w:t>y</w:t>
            </w:r>
            <w:r>
              <w:t xml:space="preserve"> ADDITIONAL practitioners. </w:t>
            </w:r>
          </w:p>
          <w:p w14:paraId="3EA7F94D" w14:textId="1974F5B9" w:rsidR="00445147" w:rsidRDefault="00705565" w:rsidP="00D36100">
            <w:pPr>
              <w:pStyle w:val="ListBullet"/>
            </w:pPr>
            <w:r w:rsidRPr="00DA4450">
              <w:t xml:space="preserve">The therapy </w:t>
            </w:r>
            <w:r w:rsidR="00822891">
              <w:t>team</w:t>
            </w:r>
            <w:r w:rsidRPr="00DA4450">
              <w:t xml:space="preserve"> must also be approved by the HREC. </w:t>
            </w:r>
          </w:p>
          <w:p w14:paraId="5D1D01CB" w14:textId="37038031" w:rsidR="00705565" w:rsidRPr="00B64A5B" w:rsidRDefault="00705565" w:rsidP="00D36100">
            <w:pPr>
              <w:pStyle w:val="ListBullet"/>
            </w:pPr>
            <w:r w:rsidRPr="00DA4450">
              <w:t xml:space="preserve">Supporting therapists </w:t>
            </w:r>
            <w:r w:rsidR="00822891">
              <w:t>must</w:t>
            </w:r>
            <w:r w:rsidRPr="00DA4450">
              <w:t xml:space="preserve"> be properly trained on evidence-informed protocols for </w:t>
            </w:r>
            <w:r>
              <w:t>PAT.</w:t>
            </w:r>
          </w:p>
          <w:p w14:paraId="6600ACBF" w14:textId="77777777" w:rsidR="00705565" w:rsidRPr="00326732" w:rsidRDefault="00705565" w:rsidP="00D36100">
            <w:pPr>
              <w:pStyle w:val="Numberbullet0"/>
              <w:numPr>
                <w:ilvl w:val="0"/>
                <w:numId w:val="0"/>
              </w:numPr>
              <w:spacing w:before="0"/>
              <w:rPr>
                <w:b/>
                <w:bCs/>
              </w:rPr>
            </w:pPr>
            <w:r w:rsidRPr="00326732">
              <w:rPr>
                <w:b/>
                <w:bCs/>
              </w:rPr>
              <w:t>Authorised Prescriber oversight</w:t>
            </w:r>
          </w:p>
          <w:p w14:paraId="405BFA36" w14:textId="2F0DE71A" w:rsidR="00705565" w:rsidRPr="00326732" w:rsidRDefault="00705565" w:rsidP="00D36100">
            <w:pPr>
              <w:pStyle w:val="ListBullet"/>
            </w:pPr>
            <w:r>
              <w:t>Declare the AP</w:t>
            </w:r>
            <w:r w:rsidR="000C6CDB">
              <w:t xml:space="preserve"> psychiatrist</w:t>
            </w:r>
            <w:r>
              <w:t xml:space="preserve"> will be</w:t>
            </w:r>
            <w:r w:rsidRPr="00326732">
              <w:t xml:space="preserve"> present in-person during the administration of the psychedelic (this does not need to be the full dosing day)</w:t>
            </w:r>
          </w:p>
          <w:p w14:paraId="730F8465" w14:textId="36B105C5" w:rsidR="00705565" w:rsidRPr="00326732" w:rsidRDefault="00705565" w:rsidP="00D36100">
            <w:pPr>
              <w:pStyle w:val="ListBullet"/>
            </w:pPr>
            <w:r w:rsidRPr="00326732">
              <w:t>The AP</w:t>
            </w:r>
            <w:r w:rsidR="000C6CDB">
              <w:t xml:space="preserve"> psychiatrist </w:t>
            </w:r>
            <w:r w:rsidRPr="00326732">
              <w:t xml:space="preserve">is responsible for </w:t>
            </w:r>
            <w:r>
              <w:t xml:space="preserve">conducting </w:t>
            </w:r>
            <w:r w:rsidRPr="00326732">
              <w:t>patient screening</w:t>
            </w:r>
            <w:r>
              <w:t xml:space="preserve"> and</w:t>
            </w:r>
            <w:r w:rsidRPr="00326732">
              <w:t xml:space="preserve"> obtaining written informed consent</w:t>
            </w:r>
            <w:r>
              <w:t xml:space="preserve"> </w:t>
            </w:r>
          </w:p>
          <w:p w14:paraId="67085C8A" w14:textId="225BA777" w:rsidR="00705565" w:rsidRPr="001205E8" w:rsidRDefault="00705565" w:rsidP="00D36100">
            <w:pPr>
              <w:pStyle w:val="ListBullet"/>
            </w:pPr>
            <w:r w:rsidRPr="00326732">
              <w:t>The AP</w:t>
            </w:r>
            <w:r>
              <w:t xml:space="preserve"> </w:t>
            </w:r>
            <w:r w:rsidR="000C6CDB">
              <w:t xml:space="preserve">psychiatrist </w:t>
            </w:r>
            <w:r>
              <w:t>is</w:t>
            </w:r>
            <w:r w:rsidRPr="00326732">
              <w:t xml:space="preserve"> responsible for overall psychotherapeutic management of the patient</w:t>
            </w:r>
          </w:p>
        </w:tc>
        <w:tc>
          <w:tcPr>
            <w:tcW w:w="455" w:type="pct"/>
            <w:shd w:val="clear" w:color="auto" w:fill="auto"/>
          </w:tcPr>
          <w:p w14:paraId="06AEED79" w14:textId="01492BA2" w:rsidR="00705565" w:rsidRPr="00326732" w:rsidDel="009D6732" w:rsidRDefault="00705565" w:rsidP="00D36100">
            <w:pPr>
              <w:ind w:left="0"/>
              <w:jc w:val="center"/>
              <w:rPr>
                <w:rFonts w:cs="Arial"/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7991D222" w14:textId="7FD8F194" w:rsidTr="00F00878">
        <w:trPr>
          <w:cantSplit w:val="0"/>
        </w:trPr>
        <w:tc>
          <w:tcPr>
            <w:tcW w:w="239" w:type="pct"/>
            <w:shd w:val="clear" w:color="auto" w:fill="DEE7F7" w:themeFill="accent2" w:themeFillTint="33"/>
          </w:tcPr>
          <w:p w14:paraId="26F2BBD6" w14:textId="77777777" w:rsidR="00705565" w:rsidRPr="00FE432A" w:rsidRDefault="00705565" w:rsidP="00D36100">
            <w:pPr>
              <w:ind w:left="0"/>
              <w:rPr>
                <w:b/>
                <w:bCs/>
                <w:color w:val="001871"/>
                <w:sz w:val="22"/>
                <w:szCs w:val="22"/>
              </w:rPr>
            </w:pPr>
            <w:r w:rsidRPr="00FE432A">
              <w:rPr>
                <w:b/>
                <w:bCs/>
                <w:color w:val="001871"/>
                <w:sz w:val="22"/>
                <w:szCs w:val="22"/>
              </w:rPr>
              <w:t>3</w:t>
            </w:r>
          </w:p>
        </w:tc>
        <w:tc>
          <w:tcPr>
            <w:tcW w:w="4306" w:type="pct"/>
            <w:shd w:val="clear" w:color="auto" w:fill="DEE7F7" w:themeFill="accent2" w:themeFillTint="33"/>
          </w:tcPr>
          <w:p w14:paraId="2681A226" w14:textId="1DC2148E" w:rsidR="00705565" w:rsidRPr="00FE432A" w:rsidRDefault="00705565" w:rsidP="00D36100">
            <w:pPr>
              <w:ind w:left="0"/>
              <w:rPr>
                <w:b/>
                <w:bCs/>
                <w:color w:val="001871"/>
                <w:sz w:val="22"/>
                <w:szCs w:val="22"/>
              </w:rPr>
            </w:pPr>
            <w:r w:rsidRPr="00FE432A">
              <w:rPr>
                <w:b/>
                <w:bCs/>
                <w:color w:val="001871"/>
                <w:sz w:val="22"/>
                <w:szCs w:val="22"/>
              </w:rPr>
              <w:t>HREC approval</w:t>
            </w:r>
          </w:p>
        </w:tc>
        <w:tc>
          <w:tcPr>
            <w:tcW w:w="455" w:type="pct"/>
            <w:shd w:val="clear" w:color="auto" w:fill="DEE7F7" w:themeFill="accent2" w:themeFillTint="33"/>
          </w:tcPr>
          <w:p w14:paraId="40B8A491" w14:textId="77777777" w:rsidR="00705565" w:rsidRPr="001025DA" w:rsidDel="007A7442" w:rsidRDefault="00705565" w:rsidP="00D36100">
            <w:pPr>
              <w:rPr>
                <w:b/>
                <w:bCs/>
                <w:color w:val="001871"/>
                <w:sz w:val="22"/>
                <w:szCs w:val="22"/>
              </w:rPr>
            </w:pPr>
          </w:p>
        </w:tc>
      </w:tr>
      <w:tr w:rsidR="00705565" w:rsidRPr="00835D5F" w14:paraId="076A927D" w14:textId="068E1470" w:rsidTr="00FE432A">
        <w:trPr>
          <w:cantSplit w:val="0"/>
        </w:trPr>
        <w:tc>
          <w:tcPr>
            <w:tcW w:w="239" w:type="pct"/>
          </w:tcPr>
          <w:p w14:paraId="6A37688C" w14:textId="77777777" w:rsidR="00705565" w:rsidRPr="00835D5F" w:rsidRDefault="00705565" w:rsidP="00D36100">
            <w:pPr>
              <w:spacing w:after="8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7B3A7269" w14:textId="215EB7FF" w:rsidR="00705565" w:rsidRPr="00835D5F" w:rsidRDefault="00705565" w:rsidP="00D36100">
            <w:pPr>
              <w:spacing w:after="80"/>
              <w:ind w:left="0"/>
              <w:rPr>
                <w:sz w:val="24"/>
                <w:szCs w:val="24"/>
              </w:rPr>
            </w:pPr>
            <w:r w:rsidRPr="00326732">
              <w:rPr>
                <w:rFonts w:asciiTheme="majorHAnsi" w:hAnsiTheme="majorHAnsi" w:cstheme="majorHAnsi"/>
                <w:szCs w:val="18"/>
              </w:rPr>
              <w:t>Apply for</w:t>
            </w:r>
            <w:r>
              <w:rPr>
                <w:rFonts w:asciiTheme="majorHAnsi" w:hAnsiTheme="majorHAnsi" w:cstheme="majorHAnsi"/>
                <w:b/>
                <w:bCs/>
                <w:szCs w:val="18"/>
              </w:rPr>
              <w:t xml:space="preserve"> </w:t>
            </w:r>
            <w:r>
              <w:rPr>
                <w:szCs w:val="18"/>
              </w:rPr>
              <w:t>approval from a HREC</w:t>
            </w:r>
            <w:r w:rsidRPr="00326732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registered with the National Health and Medical Research Council (NHMRC) </w:t>
            </w:r>
            <w:r w:rsidRPr="00E818AB">
              <w:rPr>
                <w:szCs w:val="18"/>
              </w:rPr>
              <w:t>dated within the last three months. This approval must have at least 24 months until its expiry and be signed by the Chair. It</w:t>
            </w:r>
            <w:r>
              <w:rPr>
                <w:szCs w:val="18"/>
              </w:rPr>
              <w:t xml:space="preserve"> should not be forward dated. </w:t>
            </w:r>
          </w:p>
        </w:tc>
        <w:tc>
          <w:tcPr>
            <w:tcW w:w="455" w:type="pct"/>
            <w:shd w:val="clear" w:color="auto" w:fill="auto"/>
          </w:tcPr>
          <w:p w14:paraId="13B2C44A" w14:textId="68AD98BA" w:rsidR="00705565" w:rsidRPr="00326732" w:rsidDel="00395A94" w:rsidRDefault="00705565" w:rsidP="00D36100">
            <w:pPr>
              <w:spacing w:after="80"/>
              <w:ind w:left="0"/>
              <w:jc w:val="center"/>
              <w:rPr>
                <w:rFonts w:asciiTheme="majorHAnsi" w:hAnsiTheme="majorHAnsi" w:cstheme="majorHAnsi"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1CDFDF0F" w14:textId="4C20F5D1" w:rsidTr="00F00878">
        <w:trPr>
          <w:cantSplit w:val="0"/>
        </w:trPr>
        <w:tc>
          <w:tcPr>
            <w:tcW w:w="239" w:type="pct"/>
            <w:shd w:val="clear" w:color="auto" w:fill="DEE7F7" w:themeFill="accent2" w:themeFillTint="33"/>
          </w:tcPr>
          <w:p w14:paraId="1E82845A" w14:textId="77777777" w:rsidR="00705565" w:rsidRPr="00FE432A" w:rsidRDefault="00705565" w:rsidP="00D36100">
            <w:pPr>
              <w:ind w:left="0"/>
              <w:rPr>
                <w:b/>
                <w:bCs/>
                <w:color w:val="001871"/>
                <w:sz w:val="22"/>
                <w:szCs w:val="22"/>
              </w:rPr>
            </w:pPr>
            <w:r w:rsidRPr="00FE432A">
              <w:rPr>
                <w:b/>
                <w:bCs/>
                <w:color w:val="001871"/>
                <w:sz w:val="22"/>
                <w:szCs w:val="22"/>
              </w:rPr>
              <w:t>4</w:t>
            </w:r>
          </w:p>
        </w:tc>
        <w:tc>
          <w:tcPr>
            <w:tcW w:w="4306" w:type="pct"/>
            <w:shd w:val="clear" w:color="auto" w:fill="DEE7F7" w:themeFill="accent2" w:themeFillTint="33"/>
          </w:tcPr>
          <w:p w14:paraId="2BA2CB8C" w14:textId="21565FBA" w:rsidR="00705565" w:rsidRPr="00FE432A" w:rsidRDefault="00705565" w:rsidP="00D36100">
            <w:pPr>
              <w:ind w:left="0"/>
              <w:rPr>
                <w:b/>
                <w:bCs/>
                <w:color w:val="001871"/>
                <w:sz w:val="22"/>
                <w:szCs w:val="22"/>
              </w:rPr>
            </w:pPr>
            <w:r w:rsidRPr="00FE432A">
              <w:rPr>
                <w:b/>
                <w:bCs/>
                <w:color w:val="001871"/>
                <w:sz w:val="22"/>
                <w:szCs w:val="22"/>
              </w:rPr>
              <w:t xml:space="preserve">Submit an AP application </w:t>
            </w:r>
          </w:p>
        </w:tc>
        <w:tc>
          <w:tcPr>
            <w:tcW w:w="455" w:type="pct"/>
            <w:shd w:val="clear" w:color="auto" w:fill="DEE7F7" w:themeFill="accent2" w:themeFillTint="33"/>
          </w:tcPr>
          <w:p w14:paraId="27832FD7" w14:textId="77777777" w:rsidR="00705565" w:rsidRPr="001025DA" w:rsidRDefault="00705565" w:rsidP="00D36100">
            <w:pPr>
              <w:jc w:val="center"/>
              <w:rPr>
                <w:b/>
                <w:bCs/>
                <w:color w:val="001871"/>
                <w:sz w:val="22"/>
                <w:szCs w:val="22"/>
              </w:rPr>
            </w:pPr>
          </w:p>
        </w:tc>
      </w:tr>
      <w:tr w:rsidR="00705565" w:rsidRPr="00835D5F" w14:paraId="478E69FF" w14:textId="6ECF0792" w:rsidTr="00FE432A">
        <w:trPr>
          <w:cantSplit w:val="0"/>
          <w:trHeight w:val="733"/>
        </w:trPr>
        <w:tc>
          <w:tcPr>
            <w:tcW w:w="239" w:type="pct"/>
          </w:tcPr>
          <w:p w14:paraId="537D0C7A" w14:textId="77777777" w:rsidR="00705565" w:rsidRPr="00835D5F" w:rsidRDefault="00705565" w:rsidP="00D36100">
            <w:pPr>
              <w:spacing w:after="8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72F64872" w14:textId="52606735" w:rsidR="00705565" w:rsidRDefault="00705565" w:rsidP="00D36100">
            <w:pPr>
              <w:spacing w:after="80"/>
              <w:ind w:left="0"/>
              <w:rPr>
                <w:rFonts w:eastAsia="Times New Roman"/>
                <w:szCs w:val="18"/>
                <w:lang w:val="en"/>
              </w:rPr>
            </w:pPr>
            <w:r w:rsidRPr="00326732">
              <w:rPr>
                <w:rFonts w:asciiTheme="majorHAnsi" w:hAnsiTheme="majorHAnsi" w:cstheme="majorHAnsi"/>
                <w:szCs w:val="18"/>
              </w:rPr>
              <w:t xml:space="preserve">Submit application through the </w:t>
            </w:r>
            <w:hyperlink r:id="rId14" w:history="1">
              <w:r w:rsidRPr="00326732">
                <w:rPr>
                  <w:rStyle w:val="Hyperlink"/>
                  <w:szCs w:val="18"/>
                </w:rPr>
                <w:t>SAS &amp; Authorised Prescriber Online System</w:t>
              </w:r>
            </w:hyperlink>
            <w:r w:rsidRPr="00326732">
              <w:rPr>
                <w:rFonts w:eastAsia="Times New Roman"/>
                <w:szCs w:val="18"/>
                <w:lang w:val="en"/>
              </w:rPr>
              <w:t xml:space="preserve"> </w:t>
            </w:r>
          </w:p>
          <w:p w14:paraId="05A19880" w14:textId="1E00420E" w:rsidR="00705565" w:rsidRPr="00326732" w:rsidRDefault="00705565" w:rsidP="00D36100">
            <w:pPr>
              <w:spacing w:after="80"/>
              <w:ind w:left="0"/>
              <w:rPr>
                <w:b/>
                <w:i/>
                <w:szCs w:val="18"/>
              </w:rPr>
            </w:pPr>
            <w:r w:rsidRPr="00326732">
              <w:rPr>
                <w:rFonts w:eastAsia="Times New Roman"/>
                <w:szCs w:val="18"/>
                <w:lang w:val="en"/>
              </w:rPr>
              <w:t>Further information can be found in</w:t>
            </w:r>
            <w:r>
              <w:rPr>
                <w:rFonts w:eastAsia="Times New Roman"/>
                <w:szCs w:val="18"/>
                <w:lang w:val="en"/>
              </w:rPr>
              <w:t xml:space="preserve"> the</w:t>
            </w:r>
            <w:r w:rsidRPr="001501D5">
              <w:rPr>
                <w:szCs w:val="18"/>
              </w:rPr>
              <w:t xml:space="preserve"> </w:t>
            </w:r>
            <w:hyperlink r:id="rId15" w:history="1">
              <w:r w:rsidRPr="001501D5">
                <w:rPr>
                  <w:rStyle w:val="Hyperlink"/>
                  <w:szCs w:val="18"/>
                </w:rPr>
                <w:t>SAS &amp; Authorised Prescriber Scheme Online system guidance document</w:t>
              </w:r>
            </w:hyperlink>
            <w:r w:rsidRPr="00326732">
              <w:rPr>
                <w:b/>
                <w:bCs/>
                <w:szCs w:val="18"/>
              </w:rPr>
              <w:t xml:space="preserve"> </w:t>
            </w:r>
          </w:p>
          <w:p w14:paraId="639CEB91" w14:textId="2E6226D4" w:rsidR="00705565" w:rsidRPr="00AD160C" w:rsidRDefault="00705565" w:rsidP="00D36100">
            <w:pPr>
              <w:pStyle w:val="Numberbullet0"/>
              <w:numPr>
                <w:ilvl w:val="0"/>
                <w:numId w:val="0"/>
              </w:numPr>
              <w:spacing w:before="0"/>
            </w:pPr>
            <w:r w:rsidRPr="00AD160C">
              <w:t xml:space="preserve">ATTACH: HREC approval, clinical </w:t>
            </w:r>
            <w:r w:rsidR="00445147">
              <w:t xml:space="preserve">treatment </w:t>
            </w:r>
            <w:r w:rsidRPr="00AD160C">
              <w:t>protocol, patient information, consent forms and other supporting documents</w:t>
            </w:r>
          </w:p>
        </w:tc>
        <w:tc>
          <w:tcPr>
            <w:tcW w:w="455" w:type="pct"/>
            <w:shd w:val="clear" w:color="auto" w:fill="auto"/>
          </w:tcPr>
          <w:p w14:paraId="17625C49" w14:textId="20CB83E0" w:rsidR="00705565" w:rsidRPr="00326732" w:rsidDel="005349B8" w:rsidRDefault="00705565" w:rsidP="00D36100">
            <w:pPr>
              <w:spacing w:after="80"/>
              <w:ind w:left="0"/>
              <w:jc w:val="center"/>
              <w:rPr>
                <w:rFonts w:asciiTheme="majorHAnsi" w:hAnsiTheme="majorHAnsi" w:cstheme="majorHAnsi"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5D3FBA82" w14:textId="337B13E5" w:rsidTr="00F00878">
        <w:trPr>
          <w:cantSplit w:val="0"/>
        </w:trPr>
        <w:tc>
          <w:tcPr>
            <w:tcW w:w="239" w:type="pct"/>
            <w:shd w:val="clear" w:color="auto" w:fill="DEE7F7" w:themeFill="accent2" w:themeFillTint="33"/>
          </w:tcPr>
          <w:p w14:paraId="0BAF0CF6" w14:textId="77777777" w:rsidR="00705565" w:rsidRPr="00FE432A" w:rsidRDefault="00705565" w:rsidP="00D36100">
            <w:pPr>
              <w:ind w:left="0"/>
              <w:rPr>
                <w:b/>
                <w:bCs/>
                <w:color w:val="001871"/>
                <w:sz w:val="22"/>
                <w:szCs w:val="22"/>
              </w:rPr>
            </w:pPr>
            <w:r w:rsidRPr="00FE432A">
              <w:rPr>
                <w:b/>
                <w:bCs/>
                <w:color w:val="001871"/>
                <w:sz w:val="22"/>
                <w:szCs w:val="22"/>
              </w:rPr>
              <w:t>5</w:t>
            </w:r>
          </w:p>
        </w:tc>
        <w:tc>
          <w:tcPr>
            <w:tcW w:w="4306" w:type="pct"/>
            <w:shd w:val="clear" w:color="auto" w:fill="DEE7F7" w:themeFill="accent2" w:themeFillTint="33"/>
          </w:tcPr>
          <w:p w14:paraId="1FC768A1" w14:textId="461EBC89" w:rsidR="00705565" w:rsidRPr="00FE432A" w:rsidRDefault="00705565" w:rsidP="00D36100">
            <w:pPr>
              <w:ind w:left="0"/>
              <w:rPr>
                <w:b/>
                <w:bCs/>
                <w:color w:val="001871"/>
                <w:sz w:val="22"/>
                <w:szCs w:val="22"/>
              </w:rPr>
            </w:pPr>
            <w:r w:rsidRPr="00FE432A">
              <w:rPr>
                <w:b/>
                <w:bCs/>
                <w:color w:val="001871"/>
                <w:sz w:val="22"/>
                <w:szCs w:val="22"/>
              </w:rPr>
              <w:t xml:space="preserve">Other considerations </w:t>
            </w:r>
          </w:p>
        </w:tc>
        <w:tc>
          <w:tcPr>
            <w:tcW w:w="455" w:type="pct"/>
            <w:shd w:val="clear" w:color="auto" w:fill="DEE7F7" w:themeFill="accent2" w:themeFillTint="33"/>
          </w:tcPr>
          <w:p w14:paraId="13B6F496" w14:textId="77777777" w:rsidR="00705565" w:rsidRPr="001025DA" w:rsidRDefault="00705565" w:rsidP="00D36100">
            <w:pPr>
              <w:rPr>
                <w:b/>
                <w:bCs/>
                <w:color w:val="001871"/>
                <w:sz w:val="22"/>
                <w:szCs w:val="22"/>
              </w:rPr>
            </w:pPr>
          </w:p>
        </w:tc>
      </w:tr>
      <w:tr w:rsidR="00705565" w:rsidRPr="00835D5F" w14:paraId="5A611E70" w14:textId="6CD1E167" w:rsidTr="00FE432A">
        <w:trPr>
          <w:cantSplit w:val="0"/>
          <w:trHeight w:val="939"/>
        </w:trPr>
        <w:tc>
          <w:tcPr>
            <w:tcW w:w="239" w:type="pct"/>
            <w:vMerge w:val="restart"/>
          </w:tcPr>
          <w:p w14:paraId="70E2EA5C" w14:textId="77777777" w:rsidR="00705565" w:rsidRPr="00835D5F" w:rsidRDefault="00705565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50F910DF" w14:textId="77777777" w:rsidR="00705565" w:rsidRPr="00326732" w:rsidRDefault="00705565" w:rsidP="00D36100">
            <w:pPr>
              <w:pStyle w:val="Numberbullet2"/>
              <w:rPr>
                <w:b/>
                <w:bCs/>
                <w:szCs w:val="18"/>
              </w:rPr>
            </w:pPr>
            <w:r w:rsidRPr="00326732">
              <w:rPr>
                <w:b/>
                <w:bCs/>
                <w:szCs w:val="18"/>
              </w:rPr>
              <w:t>Sponsor supply</w:t>
            </w:r>
          </w:p>
          <w:p w14:paraId="3705AD4F" w14:textId="12B526C9" w:rsidR="00705565" w:rsidRPr="00326732" w:rsidRDefault="00705565" w:rsidP="00D36100">
            <w:pPr>
              <w:pStyle w:val="Numberbullet2"/>
              <w:rPr>
                <w:szCs w:val="18"/>
              </w:rPr>
            </w:pPr>
            <w:r w:rsidRPr="00326732">
              <w:rPr>
                <w:szCs w:val="18"/>
              </w:rPr>
              <w:t>Once approved</w:t>
            </w:r>
            <w:r>
              <w:rPr>
                <w:szCs w:val="18"/>
              </w:rPr>
              <w:t>,</w:t>
            </w:r>
            <w:r w:rsidRPr="00326732">
              <w:rPr>
                <w:szCs w:val="18"/>
              </w:rPr>
              <w:t xml:space="preserve"> the AP </w:t>
            </w:r>
            <w:r w:rsidR="00445147">
              <w:rPr>
                <w:szCs w:val="18"/>
              </w:rPr>
              <w:t xml:space="preserve">psychiatrist </w:t>
            </w:r>
            <w:r w:rsidRPr="00326732">
              <w:rPr>
                <w:szCs w:val="18"/>
              </w:rPr>
              <w:t xml:space="preserve">or a pharmacist </w:t>
            </w:r>
            <w:r>
              <w:rPr>
                <w:szCs w:val="18"/>
              </w:rPr>
              <w:t>will need to</w:t>
            </w:r>
            <w:r w:rsidRPr="00326732">
              <w:rPr>
                <w:szCs w:val="18"/>
              </w:rPr>
              <w:t xml:space="preserve"> contact </w:t>
            </w:r>
            <w:r>
              <w:rPr>
                <w:szCs w:val="18"/>
              </w:rPr>
              <w:t xml:space="preserve">a </w:t>
            </w:r>
            <w:r w:rsidRPr="00326732">
              <w:rPr>
                <w:szCs w:val="18"/>
              </w:rPr>
              <w:t xml:space="preserve">sponsor/supplier to arrange supply.  The sponsor requires a copy of the TGA approval letter to release the stock. </w:t>
            </w:r>
          </w:p>
        </w:tc>
        <w:tc>
          <w:tcPr>
            <w:tcW w:w="455" w:type="pct"/>
            <w:shd w:val="clear" w:color="auto" w:fill="auto"/>
          </w:tcPr>
          <w:p w14:paraId="4AC10E20" w14:textId="6FD07849" w:rsidR="00705565" w:rsidRPr="00326732" w:rsidRDefault="00705565" w:rsidP="00D36100">
            <w:pPr>
              <w:pStyle w:val="Numberbullet2"/>
              <w:jc w:val="center"/>
              <w:rPr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63012F20" w14:textId="6B47B611" w:rsidTr="00FE432A">
        <w:trPr>
          <w:cantSplit w:val="0"/>
          <w:trHeight w:val="936"/>
        </w:trPr>
        <w:tc>
          <w:tcPr>
            <w:tcW w:w="239" w:type="pct"/>
            <w:vMerge/>
          </w:tcPr>
          <w:p w14:paraId="66B5818E" w14:textId="77777777" w:rsidR="00705565" w:rsidRPr="00835D5F" w:rsidRDefault="00705565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0450784A" w14:textId="293DA5DD" w:rsidR="00705565" w:rsidRPr="00326732" w:rsidRDefault="00705565" w:rsidP="00D36100">
            <w:pPr>
              <w:pStyle w:val="Numberbullet2"/>
              <w:rPr>
                <w:b/>
                <w:bCs/>
                <w:szCs w:val="18"/>
              </w:rPr>
            </w:pPr>
            <w:r w:rsidRPr="00326732">
              <w:rPr>
                <w:b/>
                <w:bCs/>
                <w:szCs w:val="18"/>
              </w:rPr>
              <w:t>Import permission</w:t>
            </w:r>
          </w:p>
          <w:p w14:paraId="15B4B5CE" w14:textId="4E081763" w:rsidR="00705565" w:rsidRPr="00326732" w:rsidRDefault="00705565" w:rsidP="00D36100">
            <w:pPr>
              <w:pStyle w:val="Numberbullet2"/>
              <w:rPr>
                <w:szCs w:val="18"/>
              </w:rPr>
            </w:pPr>
            <w:r w:rsidRPr="00326732">
              <w:rPr>
                <w:szCs w:val="18"/>
              </w:rPr>
              <w:t xml:space="preserve">Importers must obtain </w:t>
            </w:r>
            <w:r>
              <w:rPr>
                <w:szCs w:val="18"/>
              </w:rPr>
              <w:t>a</w:t>
            </w:r>
            <w:r w:rsidRPr="00326732">
              <w:rPr>
                <w:szCs w:val="18"/>
              </w:rPr>
              <w:t xml:space="preserve"> licence and/or permission</w:t>
            </w:r>
            <w:r>
              <w:rPr>
                <w:szCs w:val="18"/>
              </w:rPr>
              <w:t xml:space="preserve"> to import</w:t>
            </w:r>
            <w:r w:rsidRPr="00326732">
              <w:rPr>
                <w:szCs w:val="18"/>
              </w:rPr>
              <w:t xml:space="preserve"> </w:t>
            </w:r>
            <w:r w:rsidRPr="0012089B">
              <w:rPr>
                <w:szCs w:val="18"/>
              </w:rPr>
              <w:t xml:space="preserve">MDMA and </w:t>
            </w:r>
            <w:proofErr w:type="spellStart"/>
            <w:r w:rsidRPr="0012089B">
              <w:rPr>
                <w:szCs w:val="18"/>
              </w:rPr>
              <w:t>psilocybine</w:t>
            </w:r>
            <w:proofErr w:type="spellEnd"/>
            <w:r w:rsidRPr="0012089B">
              <w:rPr>
                <w:szCs w:val="18"/>
              </w:rPr>
              <w:t xml:space="preserve"> </w:t>
            </w:r>
            <w:r w:rsidRPr="00326732">
              <w:rPr>
                <w:szCs w:val="18"/>
              </w:rPr>
              <w:t xml:space="preserve">from the </w:t>
            </w:r>
            <w:hyperlink r:id="rId16" w:history="1">
              <w:r w:rsidRPr="00326732">
                <w:rPr>
                  <w:rStyle w:val="Hyperlink"/>
                  <w:szCs w:val="18"/>
                </w:rPr>
                <w:t>Office of Drug Control (ODC)</w:t>
              </w:r>
            </w:hyperlink>
            <w:r w:rsidRPr="00326732">
              <w:rPr>
                <w:szCs w:val="18"/>
              </w:rPr>
              <w:t xml:space="preserve"> prior to importing the product. ODC can be contacted at </w:t>
            </w:r>
            <w:hyperlink r:id="rId17" w:history="1">
              <w:r w:rsidRPr="00326732">
                <w:rPr>
                  <w:rStyle w:val="Hyperlink"/>
                  <w:szCs w:val="18"/>
                </w:rPr>
                <w:t>ncs@health.gov.au</w:t>
              </w:r>
            </w:hyperlink>
            <w:r w:rsidRPr="00326732">
              <w:rPr>
                <w:szCs w:val="18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14:paraId="39209F37" w14:textId="60D43399" w:rsidR="00705565" w:rsidRPr="00326732" w:rsidRDefault="00705565" w:rsidP="00D36100">
            <w:pPr>
              <w:pStyle w:val="Numberbullet2"/>
              <w:jc w:val="center"/>
              <w:rPr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1338B0E1" w14:textId="3388D055" w:rsidTr="00FE432A">
        <w:trPr>
          <w:cantSplit w:val="0"/>
          <w:trHeight w:val="928"/>
        </w:trPr>
        <w:tc>
          <w:tcPr>
            <w:tcW w:w="239" w:type="pct"/>
            <w:vMerge/>
          </w:tcPr>
          <w:p w14:paraId="3F79DD08" w14:textId="77777777" w:rsidR="00705565" w:rsidRPr="00835D5F" w:rsidRDefault="00705565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6F3172A6" w14:textId="78FFA0B4" w:rsidR="00705565" w:rsidRPr="00326732" w:rsidRDefault="00705565" w:rsidP="00D36100">
            <w:pPr>
              <w:pStyle w:val="Numberbullet2"/>
              <w:rPr>
                <w:b/>
                <w:bCs/>
                <w:szCs w:val="18"/>
              </w:rPr>
            </w:pPr>
            <w:r w:rsidRPr="00326732">
              <w:rPr>
                <w:b/>
                <w:bCs/>
                <w:szCs w:val="18"/>
              </w:rPr>
              <w:t>State/territory requirements</w:t>
            </w:r>
          </w:p>
          <w:p w14:paraId="7429D28E" w14:textId="491B386B" w:rsidR="00705565" w:rsidRPr="00326732" w:rsidRDefault="00705565" w:rsidP="00D36100">
            <w:pPr>
              <w:pStyle w:val="Numberbullet2"/>
              <w:rPr>
                <w:szCs w:val="18"/>
              </w:rPr>
            </w:pPr>
            <w:hyperlink r:id="rId18" w:history="1">
              <w:r w:rsidRPr="00326732">
                <w:t>State/territory departments</w:t>
              </w:r>
            </w:hyperlink>
            <w:r w:rsidRPr="00326732">
              <w:rPr>
                <w:szCs w:val="18"/>
              </w:rPr>
              <w:t xml:space="preserve"> should be contacted directly for further information on </w:t>
            </w:r>
            <w:r>
              <w:rPr>
                <w:szCs w:val="18"/>
              </w:rPr>
              <w:t>complying with all state/territory laws</w:t>
            </w:r>
            <w:r w:rsidRPr="00326732">
              <w:rPr>
                <w:szCs w:val="18"/>
              </w:rPr>
              <w:t>.  </w:t>
            </w:r>
          </w:p>
        </w:tc>
        <w:tc>
          <w:tcPr>
            <w:tcW w:w="455" w:type="pct"/>
            <w:shd w:val="clear" w:color="auto" w:fill="auto"/>
          </w:tcPr>
          <w:p w14:paraId="22AD0E12" w14:textId="7A664101" w:rsidR="00705565" w:rsidRPr="00326732" w:rsidRDefault="00705565" w:rsidP="00D36100">
            <w:pPr>
              <w:pStyle w:val="Numberbullet2"/>
              <w:jc w:val="center"/>
              <w:rPr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7F3AB624" w14:textId="64017D10" w:rsidTr="00FE432A">
        <w:trPr>
          <w:cantSplit w:val="0"/>
          <w:trHeight w:val="865"/>
        </w:trPr>
        <w:tc>
          <w:tcPr>
            <w:tcW w:w="239" w:type="pct"/>
            <w:vMerge/>
          </w:tcPr>
          <w:p w14:paraId="00E654ED" w14:textId="77777777" w:rsidR="00705565" w:rsidRPr="00835D5F" w:rsidRDefault="00705565" w:rsidP="000F7A07">
            <w:pPr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65379897" w14:textId="4C95D9C1" w:rsidR="00705565" w:rsidRPr="00326732" w:rsidRDefault="00705565" w:rsidP="000F7A07">
            <w:pPr>
              <w:ind w:left="0"/>
              <w:rPr>
                <w:b/>
                <w:bCs/>
                <w:szCs w:val="18"/>
              </w:rPr>
            </w:pPr>
            <w:r w:rsidRPr="00326732">
              <w:rPr>
                <w:b/>
                <w:bCs/>
                <w:szCs w:val="18"/>
              </w:rPr>
              <w:t>Patient reporting</w:t>
            </w:r>
          </w:p>
          <w:p w14:paraId="4EB59364" w14:textId="1B85BC12" w:rsidR="007812F3" w:rsidRPr="00326732" w:rsidRDefault="00705565" w:rsidP="000F7A07">
            <w:pPr>
              <w:ind w:left="0"/>
              <w:rPr>
                <w:szCs w:val="18"/>
              </w:rPr>
            </w:pPr>
            <w:r w:rsidRPr="00326732">
              <w:rPr>
                <w:szCs w:val="18"/>
              </w:rPr>
              <w:t xml:space="preserve">APs must report the number of patients treated to the TGA every 6 months (1 January to 30 June and 1 July to 31 December). </w:t>
            </w:r>
            <w:r>
              <w:rPr>
                <w:szCs w:val="18"/>
              </w:rPr>
              <w:t>R</w:t>
            </w:r>
            <w:r w:rsidRPr="00326732">
              <w:rPr>
                <w:szCs w:val="18"/>
              </w:rPr>
              <w:t xml:space="preserve">eports can be submitted using the </w:t>
            </w:r>
            <w:hyperlink r:id="rId19" w:history="1">
              <w:r w:rsidRPr="00326732">
                <w:rPr>
                  <w:rStyle w:val="Hyperlink"/>
                  <w:szCs w:val="18"/>
                </w:rPr>
                <w:t xml:space="preserve">SAS &amp; </w:t>
              </w:r>
              <w:r>
                <w:rPr>
                  <w:rStyle w:val="Hyperlink"/>
                  <w:szCs w:val="18"/>
                </w:rPr>
                <w:t>AP</w:t>
              </w:r>
              <w:r w:rsidRPr="00326732">
                <w:rPr>
                  <w:rStyle w:val="Hyperlink"/>
                  <w:szCs w:val="18"/>
                </w:rPr>
                <w:t xml:space="preserve"> Online System</w:t>
              </w:r>
            </w:hyperlink>
            <w:r w:rsidRPr="00326732">
              <w:rPr>
                <w:rStyle w:val="Hyperlink"/>
                <w:szCs w:val="18"/>
              </w:rPr>
              <w:t>.</w:t>
            </w:r>
            <w:r w:rsidR="00822891">
              <w:rPr>
                <w:rStyle w:val="Hyperlink"/>
                <w:szCs w:val="18"/>
              </w:rPr>
              <w:t xml:space="preserve"> </w:t>
            </w:r>
            <w:r w:rsidR="00822891" w:rsidRPr="00F00878">
              <w:rPr>
                <w:rStyle w:val="Hyperlink"/>
                <w:color w:val="auto"/>
                <w:u w:val="none"/>
              </w:rPr>
              <w:t xml:space="preserve">See </w:t>
            </w:r>
            <w:r w:rsidR="00822891">
              <w:rPr>
                <w:rStyle w:val="Hyperlink"/>
              </w:rPr>
              <w:t>AP reporting user guide</w:t>
            </w:r>
          </w:p>
        </w:tc>
        <w:tc>
          <w:tcPr>
            <w:tcW w:w="455" w:type="pct"/>
            <w:shd w:val="clear" w:color="auto" w:fill="auto"/>
          </w:tcPr>
          <w:p w14:paraId="2827B551" w14:textId="22DFDF4A" w:rsidR="00705565" w:rsidRPr="00326732" w:rsidRDefault="00705565" w:rsidP="000F7A07">
            <w:pPr>
              <w:ind w:left="0"/>
              <w:jc w:val="center"/>
              <w:rPr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  <w:tr w:rsidR="00705565" w:rsidRPr="00835D5F" w14:paraId="41414AB7" w14:textId="1663AA7D" w:rsidTr="00FE432A">
        <w:trPr>
          <w:cantSplit w:val="0"/>
          <w:trHeight w:val="1121"/>
        </w:trPr>
        <w:tc>
          <w:tcPr>
            <w:tcW w:w="239" w:type="pct"/>
            <w:vMerge/>
          </w:tcPr>
          <w:p w14:paraId="1227E4E5" w14:textId="77777777" w:rsidR="00705565" w:rsidRPr="00835D5F" w:rsidRDefault="00705565" w:rsidP="00D361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06" w:type="pct"/>
          </w:tcPr>
          <w:p w14:paraId="7F1D0962" w14:textId="77777777" w:rsidR="00705565" w:rsidRPr="00326732" w:rsidRDefault="00705565" w:rsidP="00D36100">
            <w:pPr>
              <w:pStyle w:val="Numberbullet2"/>
              <w:rPr>
                <w:b/>
                <w:bCs/>
                <w:szCs w:val="18"/>
              </w:rPr>
            </w:pPr>
            <w:r w:rsidRPr="00326732">
              <w:rPr>
                <w:b/>
                <w:bCs/>
                <w:szCs w:val="18"/>
              </w:rPr>
              <w:t>Protocol amendments</w:t>
            </w:r>
          </w:p>
          <w:p w14:paraId="1F84D9A5" w14:textId="0181C444" w:rsidR="00705565" w:rsidRPr="00326732" w:rsidRDefault="00705565" w:rsidP="00D36100">
            <w:pPr>
              <w:spacing w:after="0"/>
              <w:ind w:left="0"/>
              <w:rPr>
                <w:szCs w:val="18"/>
              </w:rPr>
            </w:pPr>
            <w:r w:rsidRPr="005D33F2">
              <w:rPr>
                <w:szCs w:val="18"/>
              </w:rPr>
              <w:t xml:space="preserve">Prescribers must ensure amendments to </w:t>
            </w:r>
            <w:r>
              <w:rPr>
                <w:szCs w:val="18"/>
              </w:rPr>
              <w:t>the</w:t>
            </w:r>
            <w:r w:rsidRPr="005D33F2">
              <w:rPr>
                <w:szCs w:val="18"/>
              </w:rPr>
              <w:t xml:space="preserve"> </w:t>
            </w:r>
            <w:r>
              <w:rPr>
                <w:szCs w:val="18"/>
              </w:rPr>
              <w:t>treatment</w:t>
            </w:r>
            <w:r w:rsidRPr="005D33F2">
              <w:rPr>
                <w:szCs w:val="18"/>
              </w:rPr>
              <w:t xml:space="preserve"> protocol are </w:t>
            </w:r>
            <w:r>
              <w:rPr>
                <w:szCs w:val="18"/>
              </w:rPr>
              <w:t>approved</w:t>
            </w:r>
            <w:r w:rsidRPr="005D33F2">
              <w:rPr>
                <w:szCs w:val="18"/>
              </w:rPr>
              <w:t xml:space="preserve"> by the HREC before they are submitted to the TGA</w:t>
            </w:r>
            <w:r>
              <w:rPr>
                <w:szCs w:val="18"/>
              </w:rPr>
              <w:t xml:space="preserve"> for review</w:t>
            </w:r>
            <w:r w:rsidRPr="005D33F2">
              <w:rPr>
                <w:szCs w:val="18"/>
              </w:rPr>
              <w:t>.</w:t>
            </w:r>
            <w:r>
              <w:t xml:space="preserve"> </w:t>
            </w:r>
            <w:r w:rsidRPr="005D33F2">
              <w:rPr>
                <w:szCs w:val="18"/>
              </w:rPr>
              <w:t>Once the TGA delegate confirms acceptance of the amendment, a confirmation email will be sent to the AP</w:t>
            </w:r>
            <w:r w:rsidR="00445147">
              <w:rPr>
                <w:szCs w:val="18"/>
              </w:rPr>
              <w:t xml:space="preserve"> psychiatrist</w:t>
            </w:r>
            <w:r w:rsidRPr="005D33F2">
              <w:rPr>
                <w:szCs w:val="18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14:paraId="08902A85" w14:textId="39250421" w:rsidR="00705565" w:rsidRPr="00326732" w:rsidRDefault="00705565" w:rsidP="00D36100">
            <w:pPr>
              <w:pStyle w:val="Numberbullet2"/>
              <w:jc w:val="center"/>
              <w:rPr>
                <w:b/>
                <w:bCs/>
                <w:szCs w:val="18"/>
              </w:rPr>
            </w:pPr>
            <w:r w:rsidRPr="00835D5F"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tick if the good is not prohibited from being advertised to the public"/>
                  <w:statusText w:type="text" w:val="The good is not prohibited from being advertised to the publi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D5F">
              <w:rPr>
                <w:sz w:val="24"/>
                <w:szCs w:val="24"/>
              </w:rPr>
              <w:instrText xml:space="preserve"> FORMCHECKBOX </w:instrText>
            </w:r>
            <w:r w:rsidRPr="00835D5F">
              <w:rPr>
                <w:sz w:val="24"/>
                <w:szCs w:val="24"/>
              </w:rPr>
            </w:r>
            <w:r w:rsidRPr="00835D5F">
              <w:rPr>
                <w:sz w:val="24"/>
                <w:szCs w:val="24"/>
              </w:rPr>
              <w:fldChar w:fldCharType="separate"/>
            </w:r>
            <w:r w:rsidRPr="00835D5F">
              <w:rPr>
                <w:sz w:val="24"/>
                <w:szCs w:val="24"/>
              </w:rPr>
              <w:fldChar w:fldCharType="end"/>
            </w:r>
          </w:p>
        </w:tc>
      </w:tr>
    </w:tbl>
    <w:p w14:paraId="7328F306" w14:textId="77777777" w:rsidR="00AE17EE" w:rsidRPr="009A2501" w:rsidRDefault="00AE17EE" w:rsidP="00142446"/>
    <w:sectPr w:rsidR="00AE17EE" w:rsidRPr="009A2501" w:rsidSect="00D3276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478C" w14:textId="77777777" w:rsidR="00BB278D" w:rsidRDefault="00BB278D" w:rsidP="000B1A45">
      <w:r>
        <w:separator/>
      </w:r>
    </w:p>
  </w:endnote>
  <w:endnote w:type="continuationSeparator" w:id="0">
    <w:p w14:paraId="3B3CCA0B" w14:textId="77777777" w:rsidR="00BB278D" w:rsidRDefault="00BB278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35F8" w14:textId="6193ADC0" w:rsidR="00A57DE4" w:rsidRDefault="00A57D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7D8B9E" wp14:editId="029767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401170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3220C" w14:textId="653E32B3" w:rsidR="00A57DE4" w:rsidRPr="00A57DE4" w:rsidRDefault="00A57DE4" w:rsidP="00A57D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7DE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D8B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7A03220C" w14:textId="653E32B3" w:rsidR="00A57DE4" w:rsidRPr="00A57DE4" w:rsidRDefault="00A57DE4" w:rsidP="00A57D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7DE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52D8" w14:textId="52090295" w:rsidR="00212A35" w:rsidRPr="002C3C78" w:rsidRDefault="00A57DE4" w:rsidP="009D5FEA">
    <w:pPr>
      <w:pStyle w:val="Footer"/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42B988" wp14:editId="717EAF41">
              <wp:simplePos x="726141" y="1013908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039003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A2793" w14:textId="79FD30F4" w:rsidR="00A57DE4" w:rsidRPr="00A57DE4" w:rsidRDefault="00A57DE4" w:rsidP="00A57D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7DE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2B9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68EA2793" w14:textId="79FD30F4" w:rsidR="00A57DE4" w:rsidRPr="00A57DE4" w:rsidRDefault="00A57DE4" w:rsidP="00A57D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7DE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75EF">
      <w:t xml:space="preserve">Checklist for prescribing psychiatrists of psychedelics – </w:t>
    </w:r>
    <w:r w:rsidR="0099587D">
      <w:t>May</w:t>
    </w:r>
    <w:r>
      <w:t xml:space="preserve"> 2026</w:t>
    </w:r>
    <w:r w:rsidR="00212A35" w:rsidRPr="002C3C78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t xml:space="preserve">Page </w:t>
        </w:r>
        <w:r w:rsidR="006D7E16" w:rsidRPr="002C3C78">
          <w:fldChar w:fldCharType="begin"/>
        </w:r>
        <w:r w:rsidR="006D7E16" w:rsidRPr="002C3C78">
          <w:instrText xml:space="preserve"> PAGE </w:instrText>
        </w:r>
        <w:r w:rsidR="006D7E16" w:rsidRPr="002C3C78">
          <w:fldChar w:fldCharType="separate"/>
        </w:r>
        <w:r w:rsidR="009B4FA4">
          <w:rPr>
            <w:noProof/>
          </w:rPr>
          <w:t>3</w:t>
        </w:r>
        <w:r w:rsidR="006D7E16" w:rsidRPr="002C3C78">
          <w:rPr>
            <w:noProof/>
          </w:rPr>
          <w:fldChar w:fldCharType="end"/>
        </w:r>
        <w:r w:rsidR="00212A35" w:rsidRPr="002C3C78">
          <w:t xml:space="preserve"> of </w:t>
        </w:r>
        <w:fldSimple w:instr=" NUMPAGES  ">
          <w:r w:rsidR="009B4FA4">
            <w:rPr>
              <w:noProof/>
            </w:rPr>
            <w:t>3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CA68" w14:textId="4F0F1F6F" w:rsidR="00212A35" w:rsidRPr="002C3C78" w:rsidRDefault="00A57DE4" w:rsidP="009B4FA4">
    <w:pPr>
      <w:pStyle w:val="Footer"/>
      <w:spacing w:before="120" w:after="0"/>
    </w:pPr>
    <w:r>
      <w:rPr>
        <w:noProof/>
        <w:color w:val="006BA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235D532" wp14:editId="2D720BC7">
              <wp:simplePos x="726141" y="96549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409210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4E308" w14:textId="25169C79" w:rsidR="00A57DE4" w:rsidRPr="00A57DE4" w:rsidRDefault="00A57DE4" w:rsidP="00A57D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7DE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5D5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7FD4E308" w14:textId="25169C79" w:rsidR="00A57DE4" w:rsidRPr="00A57DE4" w:rsidRDefault="00A57DE4" w:rsidP="00A57D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7DE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109" w:rsidRPr="00B16BE8">
      <w:rPr>
        <w:noProof/>
        <w:color w:val="006BA6"/>
      </w:rPr>
      <w:drawing>
        <wp:anchor distT="0" distB="0" distL="114300" distR="114300" simplePos="0" relativeHeight="251659264" behindDoc="1" locked="0" layoutInCell="1" allowOverlap="1" wp14:anchorId="02C19817" wp14:editId="57F45D28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</w:rPr>
      <w:t>Post:</w:t>
    </w:r>
    <w:r w:rsidR="00B16BE8">
      <w:t xml:space="preserve"> </w:t>
    </w:r>
    <w:r w:rsidR="00212A35" w:rsidRPr="002C3C78">
      <w:t xml:space="preserve">PO Box </w:t>
    </w:r>
    <w:r w:rsidR="009D14EE" w:rsidRPr="002C3C78">
      <w:t>100</w:t>
    </w:r>
    <w:r w:rsidR="009D14EE">
      <w:t>,</w:t>
    </w:r>
    <w:r w:rsidR="009D14EE" w:rsidRPr="002C3C78">
      <w:t xml:space="preserve"> Woden</w:t>
    </w:r>
    <w:r w:rsidR="006B52C8">
      <w:t>,</w:t>
    </w:r>
    <w:r w:rsidR="00212A35" w:rsidRPr="002C3C78">
      <w:t xml:space="preserve"> ACT</w:t>
    </w:r>
    <w:r w:rsidR="006B52C8">
      <w:t>,</w:t>
    </w:r>
    <w:r w:rsidR="00212A35" w:rsidRPr="002C3C78">
      <w:t xml:space="preserve"> 2606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6B52C8">
      <w:rPr>
        <w:rFonts w:ascii="Cambria" w:hAnsi="Cambria"/>
        <w:sz w:val="22"/>
        <w:szCs w:val="22"/>
      </w:rPr>
      <w:t>-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>40 939 406 804</w:t>
    </w:r>
  </w:p>
  <w:p w14:paraId="5E4CC81A" w14:textId="77777777" w:rsidR="00212A35" w:rsidRPr="002C3C78" w:rsidRDefault="00212A35" w:rsidP="00212A35">
    <w:pPr>
      <w:spacing w:after="0"/>
      <w:rPr>
        <w:rStyle w:val="FooterChar"/>
      </w:rPr>
    </w:pPr>
    <w:r w:rsidRPr="00B16BE8">
      <w:rPr>
        <w:rStyle w:val="FooterChar"/>
        <w:color w:val="006BA6"/>
      </w:rPr>
      <w:t xml:space="preserve">Phone: </w:t>
    </w:r>
    <w:r w:rsidRPr="002C3C78">
      <w:rPr>
        <w:rStyle w:val="FooterChar"/>
      </w:rPr>
      <w:t xml:space="preserve">1800 020 653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 xml:space="preserve">Fax: </w:t>
    </w:r>
    <w:r w:rsidRPr="002C3C78">
      <w:rPr>
        <w:rStyle w:val="FooterChar"/>
      </w:rPr>
      <w:t xml:space="preserve">02 </w:t>
    </w:r>
    <w:r w:rsidR="007648FE" w:rsidRPr="002C3C78">
      <w:rPr>
        <w:rStyle w:val="FooterChar"/>
      </w:rPr>
      <w:t>6203 1605</w:t>
    </w:r>
    <w:r w:rsidRPr="002C3C78">
      <w:rPr>
        <w:rStyle w:val="FooterChar"/>
      </w:rPr>
      <w:t xml:space="preserve">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>Email:</w:t>
    </w:r>
    <w:r w:rsidRPr="002C3C78">
      <w:rPr>
        <w:rStyle w:val="FooterChar"/>
      </w:rPr>
      <w:t xml:space="preserve"> </w:t>
    </w:r>
    <w:r w:rsidRPr="009D14EE">
      <w:rPr>
        <w:rStyle w:val="FooterChar"/>
      </w:rPr>
      <w:t>info@tga.gov</w:t>
    </w:r>
    <w:r w:rsidRPr="002C3C78">
      <w:rPr>
        <w:rStyle w:val="FooterChar"/>
      </w:rPr>
      <w:t xml:space="preserve">.au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42A582DC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6299FD99" w14:textId="77777777" w:rsidR="00212A35" w:rsidRPr="002C3C78" w:rsidRDefault="00212A35" w:rsidP="000B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3996" w14:textId="77777777" w:rsidR="00BB278D" w:rsidRDefault="00BB278D" w:rsidP="000B1A45">
      <w:r>
        <w:separator/>
      </w:r>
    </w:p>
  </w:footnote>
  <w:footnote w:type="continuationSeparator" w:id="0">
    <w:p w14:paraId="2D04F7F4" w14:textId="77777777" w:rsidR="00BB278D" w:rsidRDefault="00BB278D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403C" w14:textId="0C371FE4" w:rsidR="00A57DE4" w:rsidRDefault="00A57D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CF18C3" wp14:editId="0B0D9E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408275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1B01" w14:textId="55F4F950" w:rsidR="00A57DE4" w:rsidRPr="00A57DE4" w:rsidRDefault="00A57DE4" w:rsidP="00A57D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7DE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F18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6C8C1B01" w14:textId="55F4F950" w:rsidR="00A57DE4" w:rsidRPr="00A57DE4" w:rsidRDefault="00A57DE4" w:rsidP="00A57D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7DE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7487" w14:textId="27E91B6F" w:rsidR="00A57DE4" w:rsidRDefault="00A57D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CE2A0C" wp14:editId="40740A71">
              <wp:simplePos x="726141" y="174812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47381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909CC" w14:textId="3589B8E4" w:rsidR="00A57DE4" w:rsidRPr="00A57DE4" w:rsidRDefault="00A57DE4" w:rsidP="00A57D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7DE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E2A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42C909CC" w14:textId="3589B8E4" w:rsidR="00A57DE4" w:rsidRPr="00A57DE4" w:rsidRDefault="00A57DE4" w:rsidP="00A57D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7DE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67EE" w14:textId="21B6E1C3" w:rsidR="00A57DE4" w:rsidRDefault="00A57D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FFB42D" wp14:editId="3F5DE85B">
              <wp:simplePos x="726141" y="174812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557320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21F74" w14:textId="172D8760" w:rsidR="00A57DE4" w:rsidRPr="00A57DE4" w:rsidRDefault="00A57DE4" w:rsidP="00A57D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7DE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FB4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4A721F74" w14:textId="172D8760" w:rsidR="00A57DE4" w:rsidRPr="00A57DE4" w:rsidRDefault="00A57DE4" w:rsidP="00A57D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7DE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A7EA9A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04E5EC4"/>
    <w:multiLevelType w:val="multilevel"/>
    <w:tmpl w:val="EC203224"/>
    <w:lvl w:ilvl="0">
      <w:start w:val="1"/>
      <w:numFmt w:val="decimal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lvlText w:val="(%2)"/>
      <w:lvlJc w:val="left"/>
      <w:pPr>
        <w:ind w:left="785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01EB3FE8"/>
    <w:multiLevelType w:val="hybridMultilevel"/>
    <w:tmpl w:val="CDD881E6"/>
    <w:lvl w:ilvl="0" w:tplc="E8A816DE">
      <w:start w:val="1"/>
      <w:numFmt w:val="lowerLetter"/>
      <w:lvlText w:val="%1."/>
      <w:lvlJc w:val="left"/>
      <w:pPr>
        <w:ind w:left="826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026F14C6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02AE7EB2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05CF0EBF"/>
    <w:multiLevelType w:val="hybridMultilevel"/>
    <w:tmpl w:val="D0F0282A"/>
    <w:lvl w:ilvl="0" w:tplc="537C150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B03453"/>
    <w:multiLevelType w:val="hybridMultilevel"/>
    <w:tmpl w:val="B428FE32"/>
    <w:lvl w:ilvl="0" w:tplc="6682E2E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ED0DE5"/>
    <w:multiLevelType w:val="hybridMultilevel"/>
    <w:tmpl w:val="7222FF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46681E"/>
    <w:multiLevelType w:val="hybridMultilevel"/>
    <w:tmpl w:val="477A7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9D30623"/>
    <w:multiLevelType w:val="hybridMultilevel"/>
    <w:tmpl w:val="827C5ECE"/>
    <w:lvl w:ilvl="0" w:tplc="E8A816DE">
      <w:start w:val="1"/>
      <w:numFmt w:val="lowerLetter"/>
      <w:lvlText w:val="%1."/>
      <w:lvlJc w:val="left"/>
      <w:pPr>
        <w:ind w:left="713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0B5F79F4"/>
    <w:multiLevelType w:val="hybridMultilevel"/>
    <w:tmpl w:val="8CA2C288"/>
    <w:lvl w:ilvl="0" w:tplc="FFFFFFFF">
      <w:start w:val="1"/>
      <w:numFmt w:val="lowerRoman"/>
      <w:lvlText w:val="(%1)"/>
      <w:lvlJc w:val="left"/>
      <w:pPr>
        <w:ind w:left="833" w:hanging="72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0D4679B6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0D7321C5"/>
    <w:multiLevelType w:val="hybridMultilevel"/>
    <w:tmpl w:val="58C04AE0"/>
    <w:lvl w:ilvl="0" w:tplc="2C7C09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E353F22"/>
    <w:multiLevelType w:val="hybridMultilevel"/>
    <w:tmpl w:val="82849534"/>
    <w:lvl w:ilvl="0" w:tplc="6682E2E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713EDE"/>
    <w:multiLevelType w:val="hybridMultilevel"/>
    <w:tmpl w:val="347A96F6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10053F11"/>
    <w:multiLevelType w:val="multilevel"/>
    <w:tmpl w:val="6D827B38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25" w15:restartNumberingAfterBreak="0">
    <w:nsid w:val="135017D0"/>
    <w:multiLevelType w:val="hybridMultilevel"/>
    <w:tmpl w:val="794A7F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3613049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14791098"/>
    <w:multiLevelType w:val="hybridMultilevel"/>
    <w:tmpl w:val="B5AC22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90705"/>
    <w:multiLevelType w:val="hybridMultilevel"/>
    <w:tmpl w:val="12127C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3A6425"/>
    <w:multiLevelType w:val="hybridMultilevel"/>
    <w:tmpl w:val="A97A56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68F13E9"/>
    <w:multiLevelType w:val="multilevel"/>
    <w:tmpl w:val="4C7A391A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1D2379C7"/>
    <w:multiLevelType w:val="multilevel"/>
    <w:tmpl w:val="EC203224"/>
    <w:lvl w:ilvl="0">
      <w:start w:val="1"/>
      <w:numFmt w:val="decimal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lvlText w:val="(%2)"/>
      <w:lvlJc w:val="left"/>
      <w:pPr>
        <w:ind w:left="785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32" w15:restartNumberingAfterBreak="0">
    <w:nsid w:val="1D5D281B"/>
    <w:multiLevelType w:val="hybridMultilevel"/>
    <w:tmpl w:val="B3C668F8"/>
    <w:lvl w:ilvl="0" w:tplc="2C7C099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875B17"/>
    <w:multiLevelType w:val="hybridMultilevel"/>
    <w:tmpl w:val="B92EBE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94468E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299C12A4"/>
    <w:multiLevelType w:val="hybridMultilevel"/>
    <w:tmpl w:val="B428FE3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BA78D7"/>
    <w:multiLevelType w:val="multilevel"/>
    <w:tmpl w:val="B100E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37" w15:restartNumberingAfterBreak="0">
    <w:nsid w:val="2A152CCF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2FE10A7E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2FFC1234"/>
    <w:multiLevelType w:val="hybridMultilevel"/>
    <w:tmpl w:val="46CC5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0CF2F8D"/>
    <w:multiLevelType w:val="hybridMultilevel"/>
    <w:tmpl w:val="33A6E384"/>
    <w:lvl w:ilvl="0" w:tplc="F3906E06">
      <w:start w:val="1"/>
      <w:numFmt w:val="lowerLetter"/>
      <w:lvlText w:val="(%1)"/>
      <w:lvlJc w:val="left"/>
      <w:pPr>
        <w:ind w:left="36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1B106B3"/>
    <w:multiLevelType w:val="hybridMultilevel"/>
    <w:tmpl w:val="52645C4E"/>
    <w:lvl w:ilvl="0" w:tplc="6682E2E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7AD6D668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860ECC"/>
    <w:multiLevelType w:val="hybridMultilevel"/>
    <w:tmpl w:val="BA8C0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6727043"/>
    <w:multiLevelType w:val="hybridMultilevel"/>
    <w:tmpl w:val="F7CE5B7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302FC3"/>
    <w:multiLevelType w:val="hybridMultilevel"/>
    <w:tmpl w:val="8CA2C288"/>
    <w:lvl w:ilvl="0" w:tplc="FFFFFFFF">
      <w:start w:val="1"/>
      <w:numFmt w:val="lowerRoman"/>
      <w:lvlText w:val="(%1)"/>
      <w:lvlJc w:val="left"/>
      <w:pPr>
        <w:ind w:left="833" w:hanging="72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6" w15:restartNumberingAfterBreak="0">
    <w:nsid w:val="393C03B3"/>
    <w:multiLevelType w:val="hybridMultilevel"/>
    <w:tmpl w:val="3C308CFA"/>
    <w:lvl w:ilvl="0" w:tplc="FFFFFFFF">
      <w:start w:val="1"/>
      <w:numFmt w:val="decimal"/>
      <w:lvlText w:val="%1."/>
      <w:lvlJc w:val="left"/>
      <w:pPr>
        <w:ind w:left="586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7" w15:restartNumberingAfterBreak="0">
    <w:nsid w:val="3978635C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8" w15:restartNumberingAfterBreak="0">
    <w:nsid w:val="3A0332EA"/>
    <w:multiLevelType w:val="hybridMultilevel"/>
    <w:tmpl w:val="16AE73F8"/>
    <w:lvl w:ilvl="0" w:tplc="FFFFFFFF">
      <w:start w:val="1"/>
      <w:numFmt w:val="decimal"/>
      <w:lvlText w:val="%1."/>
      <w:lvlJc w:val="left"/>
      <w:pPr>
        <w:ind w:left="586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9" w15:restartNumberingAfterBreak="0">
    <w:nsid w:val="3C500CF1"/>
    <w:multiLevelType w:val="hybridMultilevel"/>
    <w:tmpl w:val="8CA2C288"/>
    <w:lvl w:ilvl="0" w:tplc="FFFFFFFF">
      <w:start w:val="1"/>
      <w:numFmt w:val="lowerRoman"/>
      <w:lvlText w:val="(%1)"/>
      <w:lvlJc w:val="left"/>
      <w:pPr>
        <w:ind w:left="833" w:hanging="72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0" w15:restartNumberingAfterBreak="0">
    <w:nsid w:val="3C9153CD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1" w15:restartNumberingAfterBreak="0">
    <w:nsid w:val="40D15761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2" w15:restartNumberingAfterBreak="0">
    <w:nsid w:val="411042F6"/>
    <w:multiLevelType w:val="hybridMultilevel"/>
    <w:tmpl w:val="25DCC416"/>
    <w:lvl w:ilvl="0" w:tplc="2C7C09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491331A"/>
    <w:multiLevelType w:val="hybridMultilevel"/>
    <w:tmpl w:val="49824D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5F75995"/>
    <w:multiLevelType w:val="hybridMultilevel"/>
    <w:tmpl w:val="8CA2C288"/>
    <w:lvl w:ilvl="0" w:tplc="FFFFFFFF">
      <w:start w:val="1"/>
      <w:numFmt w:val="lowerRoman"/>
      <w:lvlText w:val="(%1)"/>
      <w:lvlJc w:val="left"/>
      <w:pPr>
        <w:ind w:left="833" w:hanging="72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5" w15:restartNumberingAfterBreak="0">
    <w:nsid w:val="4C3009BD"/>
    <w:multiLevelType w:val="hybridMultilevel"/>
    <w:tmpl w:val="DDA47D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9B5E95"/>
    <w:multiLevelType w:val="hybridMultilevel"/>
    <w:tmpl w:val="37B4514C"/>
    <w:lvl w:ilvl="0" w:tplc="4E683AD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7285E78"/>
    <w:multiLevelType w:val="multilevel"/>
    <w:tmpl w:val="EC203224"/>
    <w:lvl w:ilvl="0">
      <w:start w:val="1"/>
      <w:numFmt w:val="decimal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lvlText w:val="(%2)"/>
      <w:lvlJc w:val="left"/>
      <w:pPr>
        <w:ind w:left="785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58" w15:restartNumberingAfterBreak="0">
    <w:nsid w:val="57D84098"/>
    <w:multiLevelType w:val="hybridMultilevel"/>
    <w:tmpl w:val="95D242C8"/>
    <w:lvl w:ilvl="0" w:tplc="0C09000F">
      <w:start w:val="1"/>
      <w:numFmt w:val="decimal"/>
      <w:lvlText w:val="%1."/>
      <w:lvlJc w:val="left"/>
      <w:pPr>
        <w:ind w:left="473" w:hanging="360"/>
      </w:p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9" w15:restartNumberingAfterBreak="0">
    <w:nsid w:val="57F22A56"/>
    <w:multiLevelType w:val="hybridMultilevel"/>
    <w:tmpl w:val="A38CD3F8"/>
    <w:lvl w:ilvl="0" w:tplc="E1D2BF10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81F748E"/>
    <w:multiLevelType w:val="hybridMultilevel"/>
    <w:tmpl w:val="630E89F4"/>
    <w:lvl w:ilvl="0" w:tplc="0C09000F">
      <w:start w:val="1"/>
      <w:numFmt w:val="decimal"/>
      <w:lvlText w:val="%1."/>
      <w:lvlJc w:val="left"/>
      <w:pPr>
        <w:ind w:left="473" w:hanging="360"/>
      </w:p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1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122F18"/>
    <w:multiLevelType w:val="multilevel"/>
    <w:tmpl w:val="EC203224"/>
    <w:lvl w:ilvl="0">
      <w:start w:val="1"/>
      <w:numFmt w:val="decimal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lvlText w:val="(%2)"/>
      <w:lvlJc w:val="left"/>
      <w:pPr>
        <w:ind w:left="785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63" w15:restartNumberingAfterBreak="0">
    <w:nsid w:val="5A327E9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C2549A5"/>
    <w:multiLevelType w:val="hybridMultilevel"/>
    <w:tmpl w:val="D7BCDE8E"/>
    <w:lvl w:ilvl="0" w:tplc="8396A5CE">
      <w:start w:val="1"/>
      <w:numFmt w:val="lowerRoman"/>
      <w:lvlText w:val="(%1)"/>
      <w:lvlJc w:val="left"/>
      <w:pPr>
        <w:ind w:left="473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5" w15:restartNumberingAfterBreak="0">
    <w:nsid w:val="63B847CB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6" w15:restartNumberingAfterBreak="0">
    <w:nsid w:val="64FC6C7E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7" w15:restartNumberingAfterBreak="0">
    <w:nsid w:val="652B75E2"/>
    <w:multiLevelType w:val="hybridMultilevel"/>
    <w:tmpl w:val="BA6A0BB0"/>
    <w:lvl w:ilvl="0" w:tplc="0C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B61E04"/>
    <w:multiLevelType w:val="hybridMultilevel"/>
    <w:tmpl w:val="4B2AE5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C14E84"/>
    <w:multiLevelType w:val="hybridMultilevel"/>
    <w:tmpl w:val="66A2CA56"/>
    <w:lvl w:ilvl="0" w:tplc="4E683AD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1C10FB"/>
    <w:multiLevelType w:val="hybridMultilevel"/>
    <w:tmpl w:val="7F008926"/>
    <w:lvl w:ilvl="0" w:tplc="317EF63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0E0E51"/>
    <w:multiLevelType w:val="hybridMultilevel"/>
    <w:tmpl w:val="88C8F8D8"/>
    <w:lvl w:ilvl="0" w:tplc="FC9A4E34">
      <w:start w:val="1"/>
      <w:numFmt w:val="decimal"/>
      <w:lvlText w:val="%1."/>
      <w:lvlJc w:val="left"/>
      <w:pPr>
        <w:ind w:left="473" w:hanging="360"/>
      </w:pPr>
      <w:rPr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2" w15:restartNumberingAfterBreak="0">
    <w:nsid w:val="6D7D2524"/>
    <w:multiLevelType w:val="hybridMultilevel"/>
    <w:tmpl w:val="B92EBE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B75FA1"/>
    <w:multiLevelType w:val="hybridMultilevel"/>
    <w:tmpl w:val="BD46CB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7776C99"/>
    <w:multiLevelType w:val="hybridMultilevel"/>
    <w:tmpl w:val="F408764A"/>
    <w:lvl w:ilvl="0" w:tplc="5ECC192C">
      <w:start w:val="1"/>
      <w:numFmt w:val="lowerRoman"/>
      <w:lvlText w:val="(%1)"/>
      <w:lvlJc w:val="left"/>
      <w:pPr>
        <w:ind w:left="833" w:hanging="720"/>
      </w:pPr>
      <w:rPr>
        <w:rFonts w:hint="default"/>
        <w:b w:val="0"/>
        <w:bCs/>
        <w:i w:val="0"/>
        <w:iCs w:val="0"/>
        <w:color w:val="auto"/>
      </w:rPr>
    </w:lvl>
    <w:lvl w:ilvl="1" w:tplc="0C090019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5" w15:restartNumberingAfterBreak="0">
    <w:nsid w:val="787B558D"/>
    <w:multiLevelType w:val="hybridMultilevel"/>
    <w:tmpl w:val="932EC2D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6" w15:restartNumberingAfterBreak="0">
    <w:nsid w:val="78FE707A"/>
    <w:multiLevelType w:val="hybridMultilevel"/>
    <w:tmpl w:val="89F4E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2C5176"/>
    <w:multiLevelType w:val="hybridMultilevel"/>
    <w:tmpl w:val="BF525400"/>
    <w:lvl w:ilvl="0" w:tplc="FFFFFFFF">
      <w:start w:val="1"/>
      <w:numFmt w:val="decimal"/>
      <w:lvlText w:val="%1."/>
      <w:lvlJc w:val="left"/>
      <w:pPr>
        <w:ind w:left="586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8" w15:restartNumberingAfterBreak="0">
    <w:nsid w:val="7BEC6FA3"/>
    <w:multiLevelType w:val="hybridMultilevel"/>
    <w:tmpl w:val="7A98C0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D79E6FB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1763F0"/>
    <w:multiLevelType w:val="hybridMultilevel"/>
    <w:tmpl w:val="B29A3AFA"/>
    <w:lvl w:ilvl="0" w:tplc="D58C1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F91E85"/>
    <w:multiLevelType w:val="hybridMultilevel"/>
    <w:tmpl w:val="0EBCC54E"/>
    <w:lvl w:ilvl="0" w:tplc="C6CAC474">
      <w:start w:val="5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C94778"/>
    <w:multiLevelType w:val="hybridMultilevel"/>
    <w:tmpl w:val="18061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B05A57"/>
    <w:multiLevelType w:val="hybridMultilevel"/>
    <w:tmpl w:val="630E89F4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85270336">
    <w:abstractNumId w:val="9"/>
  </w:num>
  <w:num w:numId="2" w16cid:durableId="1383753966">
    <w:abstractNumId w:val="7"/>
  </w:num>
  <w:num w:numId="3" w16cid:durableId="947127843">
    <w:abstractNumId w:val="6"/>
  </w:num>
  <w:num w:numId="4" w16cid:durableId="1072388191">
    <w:abstractNumId w:val="5"/>
  </w:num>
  <w:num w:numId="5" w16cid:durableId="1170175178">
    <w:abstractNumId w:val="4"/>
  </w:num>
  <w:num w:numId="6" w16cid:durableId="392969136">
    <w:abstractNumId w:val="8"/>
  </w:num>
  <w:num w:numId="7" w16cid:durableId="730546176">
    <w:abstractNumId w:val="3"/>
  </w:num>
  <w:num w:numId="8" w16cid:durableId="821190666">
    <w:abstractNumId w:val="2"/>
  </w:num>
  <w:num w:numId="9" w16cid:durableId="1896774428">
    <w:abstractNumId w:val="1"/>
  </w:num>
  <w:num w:numId="10" w16cid:durableId="965349753">
    <w:abstractNumId w:val="0"/>
  </w:num>
  <w:num w:numId="11" w16cid:durableId="598831884">
    <w:abstractNumId w:val="61"/>
  </w:num>
  <w:num w:numId="12" w16cid:durableId="1511021519">
    <w:abstractNumId w:val="43"/>
  </w:num>
  <w:num w:numId="13" w16cid:durableId="1979142975">
    <w:abstractNumId w:val="30"/>
  </w:num>
  <w:num w:numId="14" w16cid:durableId="1284186768">
    <w:abstractNumId w:val="30"/>
  </w:num>
  <w:num w:numId="15" w16cid:durableId="1376464888">
    <w:abstractNumId w:val="30"/>
  </w:num>
  <w:num w:numId="16" w16cid:durableId="323054461">
    <w:abstractNumId w:val="30"/>
  </w:num>
  <w:num w:numId="17" w16cid:durableId="1240477904">
    <w:abstractNumId w:val="24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Theme="majorHAnsi" w:hAnsiTheme="majorHAnsi" w:cstheme="majorHAnsi" w:hint="default"/>
        </w:rPr>
      </w:lvl>
    </w:lvlOverride>
  </w:num>
  <w:num w:numId="18" w16cid:durableId="1492721872">
    <w:abstractNumId w:val="24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19" w16cid:durableId="751582279">
    <w:abstractNumId w:val="24"/>
  </w:num>
  <w:num w:numId="20" w16cid:durableId="1629581426">
    <w:abstractNumId w:val="24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21" w16cid:durableId="1655375343">
    <w:abstractNumId w:val="30"/>
  </w:num>
  <w:num w:numId="22" w16cid:durableId="842404148">
    <w:abstractNumId w:val="30"/>
  </w:num>
  <w:num w:numId="23" w16cid:durableId="1282999023">
    <w:abstractNumId w:val="30"/>
    <w:lvlOverride w:ilvl="0">
      <w:lvl w:ilvl="0">
        <w:start w:val="1"/>
        <w:numFmt w:val="bullet"/>
        <w:pStyle w:val="ListBullet"/>
        <w:lvlText w:val=""/>
        <w:lvlJc w:val="left"/>
        <w:pPr>
          <w:ind w:left="-720" w:hanging="360"/>
        </w:pPr>
        <w:rPr>
          <w:rFonts w:ascii="Symbol" w:hAnsi="Symbol" w:hint="default"/>
          <w:sz w:val="18"/>
          <w:szCs w:val="18"/>
        </w:rPr>
      </w:lvl>
    </w:lvlOverride>
  </w:num>
  <w:num w:numId="24" w16cid:durableId="192232883">
    <w:abstractNumId w:val="24"/>
    <w:lvlOverride w:ilvl="0">
      <w:lvl w:ilvl="0">
        <w:start w:val="1"/>
        <w:numFmt w:val="lowerLetter"/>
        <w:pStyle w:val="Numberbullet0"/>
        <w:lvlText w:val="(%1)"/>
        <w:lvlJc w:val="left"/>
        <w:pPr>
          <w:ind w:left="360" w:hanging="360"/>
        </w:pPr>
        <w:rPr>
          <w:rFonts w:hint="default"/>
          <w:b w:val="0"/>
          <w:bCs w:val="0"/>
          <w:i w:val="0"/>
          <w:iCs/>
        </w:rPr>
      </w:lvl>
    </w:lvlOverride>
  </w:num>
  <w:num w:numId="25" w16cid:durableId="648486823">
    <w:abstractNumId w:val="74"/>
  </w:num>
  <w:num w:numId="26" w16cid:durableId="2135366295">
    <w:abstractNumId w:val="40"/>
  </w:num>
  <w:num w:numId="27" w16cid:durableId="1022823774">
    <w:abstractNumId w:val="56"/>
  </w:num>
  <w:num w:numId="28" w16cid:durableId="2003584445">
    <w:abstractNumId w:val="80"/>
  </w:num>
  <w:num w:numId="29" w16cid:durableId="1637906233">
    <w:abstractNumId w:val="24"/>
  </w:num>
  <w:num w:numId="30" w16cid:durableId="1712344373">
    <w:abstractNumId w:val="14"/>
  </w:num>
  <w:num w:numId="31" w16cid:durableId="1356424537">
    <w:abstractNumId w:val="32"/>
  </w:num>
  <w:num w:numId="32" w16cid:durableId="524363741">
    <w:abstractNumId w:val="52"/>
  </w:num>
  <w:num w:numId="33" w16cid:durableId="817693773">
    <w:abstractNumId w:val="21"/>
  </w:num>
  <w:num w:numId="34" w16cid:durableId="2030183833">
    <w:abstractNumId w:val="62"/>
  </w:num>
  <w:num w:numId="35" w16cid:durableId="1457676438">
    <w:abstractNumId w:val="69"/>
  </w:num>
  <w:num w:numId="36" w16cid:durableId="1648512437">
    <w:abstractNumId w:val="59"/>
  </w:num>
  <w:num w:numId="37" w16cid:durableId="222183931">
    <w:abstractNumId w:val="79"/>
  </w:num>
  <w:num w:numId="38" w16cid:durableId="52388051">
    <w:abstractNumId w:val="24"/>
    <w:lvlOverride w:ilvl="0">
      <w:lvl w:ilvl="0">
        <w:start w:val="1"/>
        <w:numFmt w:val="decimal"/>
        <w:pStyle w:val="Numberbullet0"/>
        <w:lvlText w:val="%1."/>
        <w:lvlJc w:val="left"/>
        <w:pPr>
          <w:ind w:left="360" w:hanging="360"/>
        </w:pPr>
        <w:rPr>
          <w:rFonts w:ascii="Arial" w:hAnsi="Arial" w:hint="default"/>
          <w:sz w:val="20"/>
          <w:szCs w:val="20"/>
        </w:rPr>
      </w:lvl>
    </w:lvlOverride>
  </w:num>
  <w:num w:numId="39" w16cid:durableId="97868244">
    <w:abstractNumId w:val="64"/>
  </w:num>
  <w:num w:numId="40" w16cid:durableId="1770546619">
    <w:abstractNumId w:val="15"/>
  </w:num>
  <w:num w:numId="41" w16cid:durableId="314574779">
    <w:abstractNumId w:val="41"/>
  </w:num>
  <w:num w:numId="42" w16cid:durableId="371613435">
    <w:abstractNumId w:val="22"/>
  </w:num>
  <w:num w:numId="43" w16cid:durableId="1492452807">
    <w:abstractNumId w:val="24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</w:num>
  <w:num w:numId="44" w16cid:durableId="1354577075">
    <w:abstractNumId w:val="19"/>
  </w:num>
  <w:num w:numId="45" w16cid:durableId="2076319522">
    <w:abstractNumId w:val="54"/>
  </w:num>
  <w:num w:numId="46" w16cid:durableId="738137447">
    <w:abstractNumId w:val="49"/>
  </w:num>
  <w:num w:numId="47" w16cid:durableId="187181682">
    <w:abstractNumId w:val="45"/>
  </w:num>
  <w:num w:numId="48" w16cid:durableId="1654140996">
    <w:abstractNumId w:val="35"/>
  </w:num>
  <w:num w:numId="49" w16cid:durableId="1315180014">
    <w:abstractNumId w:val="23"/>
  </w:num>
  <w:num w:numId="50" w16cid:durableId="1048065860">
    <w:abstractNumId w:val="18"/>
  </w:num>
  <w:num w:numId="51" w16cid:durableId="759565846">
    <w:abstractNumId w:val="11"/>
  </w:num>
  <w:num w:numId="52" w16cid:durableId="1454591743">
    <w:abstractNumId w:val="58"/>
  </w:num>
  <w:num w:numId="53" w16cid:durableId="220792218">
    <w:abstractNumId w:val="25"/>
  </w:num>
  <w:num w:numId="54" w16cid:durableId="1004622790">
    <w:abstractNumId w:val="28"/>
  </w:num>
  <w:num w:numId="55" w16cid:durableId="334066991">
    <w:abstractNumId w:val="60"/>
  </w:num>
  <w:num w:numId="56" w16cid:durableId="98722977">
    <w:abstractNumId w:val="20"/>
  </w:num>
  <w:num w:numId="57" w16cid:durableId="660617287">
    <w:abstractNumId w:val="46"/>
  </w:num>
  <w:num w:numId="58" w16cid:durableId="1735810645">
    <w:abstractNumId w:val="34"/>
  </w:num>
  <w:num w:numId="59" w16cid:durableId="853227626">
    <w:abstractNumId w:val="78"/>
  </w:num>
  <w:num w:numId="60" w16cid:durableId="1497846852">
    <w:abstractNumId w:val="16"/>
  </w:num>
  <w:num w:numId="61" w16cid:durableId="1063453033">
    <w:abstractNumId w:val="55"/>
  </w:num>
  <w:num w:numId="62" w16cid:durableId="105465049">
    <w:abstractNumId w:val="47"/>
  </w:num>
  <w:num w:numId="63" w16cid:durableId="949506137">
    <w:abstractNumId w:val="48"/>
  </w:num>
  <w:num w:numId="64" w16cid:durableId="57097516">
    <w:abstractNumId w:val="82"/>
  </w:num>
  <w:num w:numId="65" w16cid:durableId="409163184">
    <w:abstractNumId w:val="26"/>
  </w:num>
  <w:num w:numId="66" w16cid:durableId="1668172718">
    <w:abstractNumId w:val="71"/>
  </w:num>
  <w:num w:numId="67" w16cid:durableId="1549804406">
    <w:abstractNumId w:val="51"/>
  </w:num>
  <w:num w:numId="68" w16cid:durableId="641234348">
    <w:abstractNumId w:val="33"/>
  </w:num>
  <w:num w:numId="69" w16cid:durableId="132676608">
    <w:abstractNumId w:val="72"/>
  </w:num>
  <w:num w:numId="70" w16cid:durableId="1587570854">
    <w:abstractNumId w:val="66"/>
  </w:num>
  <w:num w:numId="71" w16cid:durableId="911894941">
    <w:abstractNumId w:val="38"/>
  </w:num>
  <w:num w:numId="72" w16cid:durableId="1491365428">
    <w:abstractNumId w:val="27"/>
  </w:num>
  <w:num w:numId="73" w16cid:durableId="1830436941">
    <w:abstractNumId w:val="76"/>
  </w:num>
  <w:num w:numId="74" w16cid:durableId="1245526901">
    <w:abstractNumId w:val="37"/>
  </w:num>
  <w:num w:numId="75" w16cid:durableId="1781147906">
    <w:abstractNumId w:val="77"/>
  </w:num>
  <w:num w:numId="76" w16cid:durableId="921337419">
    <w:abstractNumId w:val="50"/>
  </w:num>
  <w:num w:numId="77" w16cid:durableId="2007319669">
    <w:abstractNumId w:val="65"/>
  </w:num>
  <w:num w:numId="78" w16cid:durableId="754976969">
    <w:abstractNumId w:val="31"/>
  </w:num>
  <w:num w:numId="79" w16cid:durableId="1997950363">
    <w:abstractNumId w:val="57"/>
  </w:num>
  <w:num w:numId="80" w16cid:durableId="1159229837">
    <w:abstractNumId w:val="10"/>
  </w:num>
  <w:num w:numId="81" w16cid:durableId="1157771699">
    <w:abstractNumId w:val="13"/>
  </w:num>
  <w:num w:numId="82" w16cid:durableId="690838693">
    <w:abstractNumId w:val="12"/>
  </w:num>
  <w:num w:numId="83" w16cid:durableId="668872910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Arial" w:hAnsi="Arial" w:cs="Arial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84" w16cid:durableId="1533345845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Theme="majorHAnsi" w:hAnsiTheme="majorHAnsi" w:cstheme="majorHAnsi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85" w16cid:durableId="1455174410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Theme="majorHAnsi" w:hAnsiTheme="majorHAnsi" w:cstheme="majorHAnsi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86" w16cid:durableId="252471803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Theme="majorHAnsi" w:hAnsiTheme="majorHAnsi" w:cstheme="majorHAnsi" w:hint="default"/>
          <w:sz w:val="18"/>
          <w:szCs w:val="18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87" w16cid:durableId="1098595811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Arial" w:hAnsi="Arial" w:cs="Arial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88" w16cid:durableId="717095912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Arial" w:hAnsi="Arial" w:cs="Arial" w:hint="default"/>
          <w:sz w:val="18"/>
          <w:szCs w:val="18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89" w16cid:durableId="1612202893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Arial" w:hAnsi="Arial" w:cs="Arial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90" w16cid:durableId="1654793768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Arial" w:hAnsi="Arial" w:cs="Arial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91" w16cid:durableId="268706171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Arial" w:hAnsi="Arial" w:cs="Arial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92" w16cid:durableId="2049529220">
    <w:abstractNumId w:val="24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Arial" w:hAnsi="Arial" w:cs="Arial" w:hint="default"/>
          <w:sz w:val="18"/>
          <w:szCs w:val="18"/>
        </w:rPr>
      </w:lvl>
    </w:lvlOverride>
  </w:num>
  <w:num w:numId="93" w16cid:durableId="545992627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Arial" w:hAnsi="Arial" w:cs="Arial" w:hint="default"/>
          <w:b w:val="0"/>
          <w:bCs w:val="0"/>
          <w:sz w:val="18"/>
          <w:szCs w:val="18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94" w16cid:durableId="1301109812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95" w16cid:durableId="1821146954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96" w16cid:durableId="1382511494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97" w16cid:durableId="905264029">
    <w:abstractNumId w:val="24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98" w16cid:durableId="1415400166">
    <w:abstractNumId w:val="24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99" w16cid:durableId="133255915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100" w16cid:durableId="832377246">
    <w:abstractNumId w:val="70"/>
  </w:num>
  <w:num w:numId="101" w16cid:durableId="1878666435">
    <w:abstractNumId w:val="24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102" w16cid:durableId="842470965">
    <w:abstractNumId w:val="24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103" w16cid:durableId="979963376">
    <w:abstractNumId w:val="24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104" w16cid:durableId="187640503">
    <w:abstractNumId w:val="63"/>
  </w:num>
  <w:num w:numId="105" w16cid:durableId="747112093">
    <w:abstractNumId w:val="67"/>
  </w:num>
  <w:num w:numId="106" w16cid:durableId="2134206528">
    <w:abstractNumId w:val="3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sz w:val="18"/>
          <w:szCs w:val="18"/>
        </w:rPr>
      </w:lvl>
    </w:lvlOverride>
  </w:num>
  <w:num w:numId="107" w16cid:durableId="1483351385">
    <w:abstractNumId w:val="3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sz w:val="18"/>
          <w:szCs w:val="18"/>
        </w:rPr>
      </w:lvl>
    </w:lvlOverride>
  </w:num>
  <w:num w:numId="108" w16cid:durableId="2095126375">
    <w:abstractNumId w:val="17"/>
  </w:num>
  <w:num w:numId="109" w16cid:durableId="1929344343">
    <w:abstractNumId w:val="68"/>
  </w:num>
  <w:num w:numId="110" w16cid:durableId="2133355805">
    <w:abstractNumId w:val="53"/>
  </w:num>
  <w:num w:numId="111" w16cid:durableId="1342242851">
    <w:abstractNumId w:val="75"/>
  </w:num>
  <w:num w:numId="112" w16cid:durableId="1313172847">
    <w:abstractNumId w:val="81"/>
  </w:num>
  <w:num w:numId="113" w16cid:durableId="1612012226">
    <w:abstractNumId w:val="29"/>
  </w:num>
  <w:num w:numId="114" w16cid:durableId="2058703678">
    <w:abstractNumId w:val="42"/>
  </w:num>
  <w:num w:numId="115" w16cid:durableId="2054577337">
    <w:abstractNumId w:val="73"/>
  </w:num>
  <w:num w:numId="116" w16cid:durableId="2144812707">
    <w:abstractNumId w:val="39"/>
  </w:num>
  <w:num w:numId="117" w16cid:durableId="334265514">
    <w:abstractNumId w:val="36"/>
  </w:num>
  <w:num w:numId="118" w16cid:durableId="1149327537">
    <w:abstractNumId w:val="44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UDqmtg0IimU3NSVuAuMe/hubuynETquIeeqpfXGPy5g=" w:saltValue="EcogGprjKORsEjSp7WQaRA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E8"/>
    <w:rsid w:val="00001318"/>
    <w:rsid w:val="00015911"/>
    <w:rsid w:val="00015F5B"/>
    <w:rsid w:val="00024198"/>
    <w:rsid w:val="00027566"/>
    <w:rsid w:val="000326C8"/>
    <w:rsid w:val="0004171F"/>
    <w:rsid w:val="00043BB2"/>
    <w:rsid w:val="00045EBC"/>
    <w:rsid w:val="00046BDF"/>
    <w:rsid w:val="000475AB"/>
    <w:rsid w:val="00050813"/>
    <w:rsid w:val="00050B92"/>
    <w:rsid w:val="0005278F"/>
    <w:rsid w:val="00052B04"/>
    <w:rsid w:val="0005332B"/>
    <w:rsid w:val="0005431B"/>
    <w:rsid w:val="00056622"/>
    <w:rsid w:val="00057449"/>
    <w:rsid w:val="00061F11"/>
    <w:rsid w:val="00065610"/>
    <w:rsid w:val="00071101"/>
    <w:rsid w:val="00072A33"/>
    <w:rsid w:val="00072EEB"/>
    <w:rsid w:val="00075975"/>
    <w:rsid w:val="000857AB"/>
    <w:rsid w:val="0009311B"/>
    <w:rsid w:val="00093D5A"/>
    <w:rsid w:val="000A0872"/>
    <w:rsid w:val="000A1BF4"/>
    <w:rsid w:val="000A2831"/>
    <w:rsid w:val="000A5AFC"/>
    <w:rsid w:val="000B1A45"/>
    <w:rsid w:val="000B4F2E"/>
    <w:rsid w:val="000C5512"/>
    <w:rsid w:val="000C6CDB"/>
    <w:rsid w:val="000C7843"/>
    <w:rsid w:val="000D4EAA"/>
    <w:rsid w:val="000D6BF6"/>
    <w:rsid w:val="000D7317"/>
    <w:rsid w:val="000E2CF3"/>
    <w:rsid w:val="000F06FC"/>
    <w:rsid w:val="000F2279"/>
    <w:rsid w:val="000F7A07"/>
    <w:rsid w:val="0010007E"/>
    <w:rsid w:val="001016A9"/>
    <w:rsid w:val="001025DA"/>
    <w:rsid w:val="00103B59"/>
    <w:rsid w:val="00104407"/>
    <w:rsid w:val="001150D4"/>
    <w:rsid w:val="001205E8"/>
    <w:rsid w:val="00124720"/>
    <w:rsid w:val="00124BC2"/>
    <w:rsid w:val="001264C4"/>
    <w:rsid w:val="00131511"/>
    <w:rsid w:val="00131BCC"/>
    <w:rsid w:val="00134923"/>
    <w:rsid w:val="00140213"/>
    <w:rsid w:val="00142446"/>
    <w:rsid w:val="001431D7"/>
    <w:rsid w:val="00143424"/>
    <w:rsid w:val="00146A75"/>
    <w:rsid w:val="001500BC"/>
    <w:rsid w:val="001501D5"/>
    <w:rsid w:val="00153894"/>
    <w:rsid w:val="00154958"/>
    <w:rsid w:val="0016372C"/>
    <w:rsid w:val="0016442C"/>
    <w:rsid w:val="00166069"/>
    <w:rsid w:val="0017002E"/>
    <w:rsid w:val="0017014F"/>
    <w:rsid w:val="00172699"/>
    <w:rsid w:val="0017363B"/>
    <w:rsid w:val="00173790"/>
    <w:rsid w:val="00180C44"/>
    <w:rsid w:val="0018162D"/>
    <w:rsid w:val="001829E8"/>
    <w:rsid w:val="001842C2"/>
    <w:rsid w:val="00190A4F"/>
    <w:rsid w:val="00192757"/>
    <w:rsid w:val="001953E8"/>
    <w:rsid w:val="001A0018"/>
    <w:rsid w:val="001A5625"/>
    <w:rsid w:val="001A694E"/>
    <w:rsid w:val="001C7E45"/>
    <w:rsid w:val="001C7F11"/>
    <w:rsid w:val="001D0DB4"/>
    <w:rsid w:val="001E11E4"/>
    <w:rsid w:val="001E3056"/>
    <w:rsid w:val="001E3CF4"/>
    <w:rsid w:val="001E4385"/>
    <w:rsid w:val="001F223E"/>
    <w:rsid w:val="001F2CFB"/>
    <w:rsid w:val="001F6EC0"/>
    <w:rsid w:val="001F6EEE"/>
    <w:rsid w:val="001F7AA3"/>
    <w:rsid w:val="0020049C"/>
    <w:rsid w:val="00201B41"/>
    <w:rsid w:val="00202147"/>
    <w:rsid w:val="002022AC"/>
    <w:rsid w:val="00206055"/>
    <w:rsid w:val="00207203"/>
    <w:rsid w:val="0021073A"/>
    <w:rsid w:val="00212A35"/>
    <w:rsid w:val="002179AC"/>
    <w:rsid w:val="00221E5B"/>
    <w:rsid w:val="0022461C"/>
    <w:rsid w:val="00225B54"/>
    <w:rsid w:val="00235662"/>
    <w:rsid w:val="00256774"/>
    <w:rsid w:val="002572E6"/>
    <w:rsid w:val="00260487"/>
    <w:rsid w:val="00262965"/>
    <w:rsid w:val="00266D7C"/>
    <w:rsid w:val="0027030D"/>
    <w:rsid w:val="00271889"/>
    <w:rsid w:val="0027601B"/>
    <w:rsid w:val="002764F8"/>
    <w:rsid w:val="00276A45"/>
    <w:rsid w:val="002804A3"/>
    <w:rsid w:val="00290049"/>
    <w:rsid w:val="0029141B"/>
    <w:rsid w:val="002919BF"/>
    <w:rsid w:val="00296E61"/>
    <w:rsid w:val="00296F1B"/>
    <w:rsid w:val="00297168"/>
    <w:rsid w:val="002A6B69"/>
    <w:rsid w:val="002B57F1"/>
    <w:rsid w:val="002B73E9"/>
    <w:rsid w:val="002C1CCF"/>
    <w:rsid w:val="002C3C78"/>
    <w:rsid w:val="002C3CFD"/>
    <w:rsid w:val="002C57FE"/>
    <w:rsid w:val="002C5A88"/>
    <w:rsid w:val="002C7940"/>
    <w:rsid w:val="002D26E5"/>
    <w:rsid w:val="002D2F46"/>
    <w:rsid w:val="002D383A"/>
    <w:rsid w:val="002E692D"/>
    <w:rsid w:val="002F0E52"/>
    <w:rsid w:val="002F1B2D"/>
    <w:rsid w:val="00302919"/>
    <w:rsid w:val="0030608B"/>
    <w:rsid w:val="0030663E"/>
    <w:rsid w:val="0031373D"/>
    <w:rsid w:val="00317F01"/>
    <w:rsid w:val="0032218A"/>
    <w:rsid w:val="0032274A"/>
    <w:rsid w:val="003241EC"/>
    <w:rsid w:val="003245FB"/>
    <w:rsid w:val="0032561A"/>
    <w:rsid w:val="00326732"/>
    <w:rsid w:val="0032736E"/>
    <w:rsid w:val="003273C6"/>
    <w:rsid w:val="00330A9F"/>
    <w:rsid w:val="0033572E"/>
    <w:rsid w:val="00337345"/>
    <w:rsid w:val="00342B19"/>
    <w:rsid w:val="003443AE"/>
    <w:rsid w:val="00345F61"/>
    <w:rsid w:val="00347E6B"/>
    <w:rsid w:val="00351B27"/>
    <w:rsid w:val="003604EF"/>
    <w:rsid w:val="0036068A"/>
    <w:rsid w:val="00362150"/>
    <w:rsid w:val="003664E8"/>
    <w:rsid w:val="003819AA"/>
    <w:rsid w:val="00382B8B"/>
    <w:rsid w:val="00383F75"/>
    <w:rsid w:val="00395A94"/>
    <w:rsid w:val="003A0B79"/>
    <w:rsid w:val="003A3511"/>
    <w:rsid w:val="003A3A28"/>
    <w:rsid w:val="003B0CE7"/>
    <w:rsid w:val="003B0D4B"/>
    <w:rsid w:val="003B1A0B"/>
    <w:rsid w:val="003B3D45"/>
    <w:rsid w:val="003B67D1"/>
    <w:rsid w:val="003B78B4"/>
    <w:rsid w:val="003C5EED"/>
    <w:rsid w:val="003C6C55"/>
    <w:rsid w:val="003C6EA4"/>
    <w:rsid w:val="003D0532"/>
    <w:rsid w:val="003D3476"/>
    <w:rsid w:val="003D5E1F"/>
    <w:rsid w:val="003D6D7F"/>
    <w:rsid w:val="003E00AF"/>
    <w:rsid w:val="003E08BC"/>
    <w:rsid w:val="003E360B"/>
    <w:rsid w:val="003E64B8"/>
    <w:rsid w:val="003E773A"/>
    <w:rsid w:val="003E7A58"/>
    <w:rsid w:val="003F6956"/>
    <w:rsid w:val="003F75BE"/>
    <w:rsid w:val="004007A0"/>
    <w:rsid w:val="004034A0"/>
    <w:rsid w:val="00403FC1"/>
    <w:rsid w:val="00405109"/>
    <w:rsid w:val="00412E60"/>
    <w:rsid w:val="004142E2"/>
    <w:rsid w:val="00421612"/>
    <w:rsid w:val="004234D2"/>
    <w:rsid w:val="00425A4F"/>
    <w:rsid w:val="0043163F"/>
    <w:rsid w:val="00433032"/>
    <w:rsid w:val="00433827"/>
    <w:rsid w:val="004351F7"/>
    <w:rsid w:val="00442427"/>
    <w:rsid w:val="00445147"/>
    <w:rsid w:val="004456C1"/>
    <w:rsid w:val="00447476"/>
    <w:rsid w:val="00451DBF"/>
    <w:rsid w:val="004520DC"/>
    <w:rsid w:val="004529DD"/>
    <w:rsid w:val="004553EA"/>
    <w:rsid w:val="00457D72"/>
    <w:rsid w:val="00457ED7"/>
    <w:rsid w:val="0046470A"/>
    <w:rsid w:val="004676E9"/>
    <w:rsid w:val="00472CAB"/>
    <w:rsid w:val="00472FAF"/>
    <w:rsid w:val="00473710"/>
    <w:rsid w:val="004738C2"/>
    <w:rsid w:val="00474243"/>
    <w:rsid w:val="004774F4"/>
    <w:rsid w:val="00480198"/>
    <w:rsid w:val="004848CA"/>
    <w:rsid w:val="00484978"/>
    <w:rsid w:val="00485627"/>
    <w:rsid w:val="004866A7"/>
    <w:rsid w:val="00497EB4"/>
    <w:rsid w:val="004A472C"/>
    <w:rsid w:val="004A7061"/>
    <w:rsid w:val="004B1BF3"/>
    <w:rsid w:val="004B6064"/>
    <w:rsid w:val="004B607F"/>
    <w:rsid w:val="004B7394"/>
    <w:rsid w:val="004C6249"/>
    <w:rsid w:val="004D2AA8"/>
    <w:rsid w:val="004D57EA"/>
    <w:rsid w:val="004D7812"/>
    <w:rsid w:val="004E1127"/>
    <w:rsid w:val="004E19F5"/>
    <w:rsid w:val="004E76AB"/>
    <w:rsid w:val="004F0B54"/>
    <w:rsid w:val="004F2350"/>
    <w:rsid w:val="004F6B3D"/>
    <w:rsid w:val="005037AB"/>
    <w:rsid w:val="005043A6"/>
    <w:rsid w:val="005118E8"/>
    <w:rsid w:val="00511E7A"/>
    <w:rsid w:val="00513015"/>
    <w:rsid w:val="0051358B"/>
    <w:rsid w:val="00514031"/>
    <w:rsid w:val="00515494"/>
    <w:rsid w:val="00520208"/>
    <w:rsid w:val="005211BD"/>
    <w:rsid w:val="005314AC"/>
    <w:rsid w:val="0053374A"/>
    <w:rsid w:val="005349B8"/>
    <w:rsid w:val="00543B5D"/>
    <w:rsid w:val="005477DC"/>
    <w:rsid w:val="00551D04"/>
    <w:rsid w:val="00553158"/>
    <w:rsid w:val="005533BF"/>
    <w:rsid w:val="0055365D"/>
    <w:rsid w:val="005551CE"/>
    <w:rsid w:val="0055748F"/>
    <w:rsid w:val="00560E52"/>
    <w:rsid w:val="005617E2"/>
    <w:rsid w:val="00561C8C"/>
    <w:rsid w:val="00561FE2"/>
    <w:rsid w:val="00565739"/>
    <w:rsid w:val="00575C18"/>
    <w:rsid w:val="00576B11"/>
    <w:rsid w:val="00580910"/>
    <w:rsid w:val="00580CDD"/>
    <w:rsid w:val="00581323"/>
    <w:rsid w:val="00584C32"/>
    <w:rsid w:val="005854DB"/>
    <w:rsid w:val="005855BC"/>
    <w:rsid w:val="00587799"/>
    <w:rsid w:val="00587900"/>
    <w:rsid w:val="0059045D"/>
    <w:rsid w:val="00590909"/>
    <w:rsid w:val="00596F07"/>
    <w:rsid w:val="0059714C"/>
    <w:rsid w:val="00597403"/>
    <w:rsid w:val="005A0837"/>
    <w:rsid w:val="005A4323"/>
    <w:rsid w:val="005B0CB4"/>
    <w:rsid w:val="005B493C"/>
    <w:rsid w:val="005C1825"/>
    <w:rsid w:val="005C1E50"/>
    <w:rsid w:val="005C7E88"/>
    <w:rsid w:val="005C7F77"/>
    <w:rsid w:val="005D0EAB"/>
    <w:rsid w:val="005D33F2"/>
    <w:rsid w:val="005D366B"/>
    <w:rsid w:val="005D6DDA"/>
    <w:rsid w:val="005E26D2"/>
    <w:rsid w:val="005E29E0"/>
    <w:rsid w:val="005F00AA"/>
    <w:rsid w:val="005F44D7"/>
    <w:rsid w:val="005F5F2C"/>
    <w:rsid w:val="00600621"/>
    <w:rsid w:val="00600EE7"/>
    <w:rsid w:val="00614E24"/>
    <w:rsid w:val="00616222"/>
    <w:rsid w:val="0062143B"/>
    <w:rsid w:val="006220D6"/>
    <w:rsid w:val="006323B8"/>
    <w:rsid w:val="006419C4"/>
    <w:rsid w:val="00646924"/>
    <w:rsid w:val="00646B5E"/>
    <w:rsid w:val="00647308"/>
    <w:rsid w:val="00652C62"/>
    <w:rsid w:val="00654399"/>
    <w:rsid w:val="00656793"/>
    <w:rsid w:val="00661F0D"/>
    <w:rsid w:val="00666816"/>
    <w:rsid w:val="00666D03"/>
    <w:rsid w:val="00671BF1"/>
    <w:rsid w:val="00671DC4"/>
    <w:rsid w:val="006724C8"/>
    <w:rsid w:val="00672825"/>
    <w:rsid w:val="00673973"/>
    <w:rsid w:val="00673B35"/>
    <w:rsid w:val="00674D40"/>
    <w:rsid w:val="00675321"/>
    <w:rsid w:val="00680EEA"/>
    <w:rsid w:val="00681DE0"/>
    <w:rsid w:val="00682925"/>
    <w:rsid w:val="006909D6"/>
    <w:rsid w:val="006A022F"/>
    <w:rsid w:val="006A12E6"/>
    <w:rsid w:val="006A2B76"/>
    <w:rsid w:val="006A2BD8"/>
    <w:rsid w:val="006A3B06"/>
    <w:rsid w:val="006A636A"/>
    <w:rsid w:val="006B0C06"/>
    <w:rsid w:val="006B52C8"/>
    <w:rsid w:val="006C0C21"/>
    <w:rsid w:val="006C625E"/>
    <w:rsid w:val="006D01DC"/>
    <w:rsid w:val="006D1416"/>
    <w:rsid w:val="006D244D"/>
    <w:rsid w:val="006D7E16"/>
    <w:rsid w:val="006D7FF7"/>
    <w:rsid w:val="006E1856"/>
    <w:rsid w:val="006E2D63"/>
    <w:rsid w:val="006E595D"/>
    <w:rsid w:val="006E772C"/>
    <w:rsid w:val="006E7F04"/>
    <w:rsid w:val="0070100D"/>
    <w:rsid w:val="00703502"/>
    <w:rsid w:val="007040D6"/>
    <w:rsid w:val="007049AA"/>
    <w:rsid w:val="00705565"/>
    <w:rsid w:val="00713B8D"/>
    <w:rsid w:val="0071671C"/>
    <w:rsid w:val="00721498"/>
    <w:rsid w:val="00725C1A"/>
    <w:rsid w:val="00727646"/>
    <w:rsid w:val="0073030D"/>
    <w:rsid w:val="00731C73"/>
    <w:rsid w:val="007332DA"/>
    <w:rsid w:val="00733813"/>
    <w:rsid w:val="007338B4"/>
    <w:rsid w:val="00736258"/>
    <w:rsid w:val="0074195B"/>
    <w:rsid w:val="00741CBB"/>
    <w:rsid w:val="00741EF9"/>
    <w:rsid w:val="007423CC"/>
    <w:rsid w:val="00744129"/>
    <w:rsid w:val="0075061E"/>
    <w:rsid w:val="00750E27"/>
    <w:rsid w:val="00750EEC"/>
    <w:rsid w:val="00760648"/>
    <w:rsid w:val="00761C99"/>
    <w:rsid w:val="007648FE"/>
    <w:rsid w:val="0077187F"/>
    <w:rsid w:val="0077320A"/>
    <w:rsid w:val="0078017E"/>
    <w:rsid w:val="007812F3"/>
    <w:rsid w:val="0078414E"/>
    <w:rsid w:val="007A0E92"/>
    <w:rsid w:val="007A3AD9"/>
    <w:rsid w:val="007A6481"/>
    <w:rsid w:val="007A7442"/>
    <w:rsid w:val="007C109F"/>
    <w:rsid w:val="007C34DF"/>
    <w:rsid w:val="007C7666"/>
    <w:rsid w:val="007D513A"/>
    <w:rsid w:val="007D7744"/>
    <w:rsid w:val="007E2E21"/>
    <w:rsid w:val="007E7D23"/>
    <w:rsid w:val="007F39A5"/>
    <w:rsid w:val="007F6D4E"/>
    <w:rsid w:val="007F7754"/>
    <w:rsid w:val="00800A0E"/>
    <w:rsid w:val="00804D18"/>
    <w:rsid w:val="008054F6"/>
    <w:rsid w:val="00806E71"/>
    <w:rsid w:val="0081178E"/>
    <w:rsid w:val="00814C9E"/>
    <w:rsid w:val="00822891"/>
    <w:rsid w:val="0082458F"/>
    <w:rsid w:val="00834896"/>
    <w:rsid w:val="00840627"/>
    <w:rsid w:val="008440DC"/>
    <w:rsid w:val="00847A0A"/>
    <w:rsid w:val="00864217"/>
    <w:rsid w:val="008664DD"/>
    <w:rsid w:val="00866B4C"/>
    <w:rsid w:val="0086734C"/>
    <w:rsid w:val="00867B1B"/>
    <w:rsid w:val="00872EC7"/>
    <w:rsid w:val="00874249"/>
    <w:rsid w:val="00874D1C"/>
    <w:rsid w:val="00875161"/>
    <w:rsid w:val="00877AC8"/>
    <w:rsid w:val="00887236"/>
    <w:rsid w:val="008934FA"/>
    <w:rsid w:val="008A0091"/>
    <w:rsid w:val="008A258E"/>
    <w:rsid w:val="008A2606"/>
    <w:rsid w:val="008A37C9"/>
    <w:rsid w:val="008A4AAC"/>
    <w:rsid w:val="008A6762"/>
    <w:rsid w:val="008B5011"/>
    <w:rsid w:val="008B7E66"/>
    <w:rsid w:val="008C3A9F"/>
    <w:rsid w:val="008C54CE"/>
    <w:rsid w:val="008D0B66"/>
    <w:rsid w:val="008D0FE8"/>
    <w:rsid w:val="008D4A49"/>
    <w:rsid w:val="008D67F3"/>
    <w:rsid w:val="008E03CF"/>
    <w:rsid w:val="008E0799"/>
    <w:rsid w:val="008E597F"/>
    <w:rsid w:val="008E6439"/>
    <w:rsid w:val="008F433E"/>
    <w:rsid w:val="008F4F7C"/>
    <w:rsid w:val="008F5013"/>
    <w:rsid w:val="008F51A3"/>
    <w:rsid w:val="008F5E2D"/>
    <w:rsid w:val="008F6525"/>
    <w:rsid w:val="008F7EB0"/>
    <w:rsid w:val="00901CFB"/>
    <w:rsid w:val="0090602B"/>
    <w:rsid w:val="00910445"/>
    <w:rsid w:val="00913E19"/>
    <w:rsid w:val="00915592"/>
    <w:rsid w:val="00916146"/>
    <w:rsid w:val="00916625"/>
    <w:rsid w:val="00917135"/>
    <w:rsid w:val="00920BF9"/>
    <w:rsid w:val="00927A1F"/>
    <w:rsid w:val="00927D72"/>
    <w:rsid w:val="00931B68"/>
    <w:rsid w:val="00933319"/>
    <w:rsid w:val="00933E41"/>
    <w:rsid w:val="00934543"/>
    <w:rsid w:val="00946312"/>
    <w:rsid w:val="00946C27"/>
    <w:rsid w:val="00947387"/>
    <w:rsid w:val="00950EBF"/>
    <w:rsid w:val="00950F31"/>
    <w:rsid w:val="00955FBC"/>
    <w:rsid w:val="00957EEC"/>
    <w:rsid w:val="00963B56"/>
    <w:rsid w:val="009648F1"/>
    <w:rsid w:val="00964D31"/>
    <w:rsid w:val="00971D5B"/>
    <w:rsid w:val="009875EF"/>
    <w:rsid w:val="00990B8A"/>
    <w:rsid w:val="00990DE4"/>
    <w:rsid w:val="009926B4"/>
    <w:rsid w:val="00994A5B"/>
    <w:rsid w:val="0099587D"/>
    <w:rsid w:val="00997D31"/>
    <w:rsid w:val="009A2501"/>
    <w:rsid w:val="009A3E7F"/>
    <w:rsid w:val="009A4C84"/>
    <w:rsid w:val="009A6687"/>
    <w:rsid w:val="009B0F4F"/>
    <w:rsid w:val="009B2ED2"/>
    <w:rsid w:val="009B4CCC"/>
    <w:rsid w:val="009B4FA4"/>
    <w:rsid w:val="009B6B01"/>
    <w:rsid w:val="009D0FB8"/>
    <w:rsid w:val="009D14EE"/>
    <w:rsid w:val="009D5FEA"/>
    <w:rsid w:val="009D6732"/>
    <w:rsid w:val="009E2D36"/>
    <w:rsid w:val="009E482C"/>
    <w:rsid w:val="009F7773"/>
    <w:rsid w:val="00A02EBA"/>
    <w:rsid w:val="00A069A2"/>
    <w:rsid w:val="00A074F9"/>
    <w:rsid w:val="00A117F6"/>
    <w:rsid w:val="00A13469"/>
    <w:rsid w:val="00A14C6A"/>
    <w:rsid w:val="00A17B95"/>
    <w:rsid w:val="00A22D70"/>
    <w:rsid w:val="00A25E7C"/>
    <w:rsid w:val="00A34938"/>
    <w:rsid w:val="00A353C1"/>
    <w:rsid w:val="00A435EF"/>
    <w:rsid w:val="00A50EA0"/>
    <w:rsid w:val="00A52CC1"/>
    <w:rsid w:val="00A54949"/>
    <w:rsid w:val="00A54C0B"/>
    <w:rsid w:val="00A57A9C"/>
    <w:rsid w:val="00A57DE4"/>
    <w:rsid w:val="00A60FBD"/>
    <w:rsid w:val="00A621BC"/>
    <w:rsid w:val="00A7006B"/>
    <w:rsid w:val="00A72E19"/>
    <w:rsid w:val="00A7340E"/>
    <w:rsid w:val="00A752B6"/>
    <w:rsid w:val="00A841DD"/>
    <w:rsid w:val="00A91DF7"/>
    <w:rsid w:val="00A9211E"/>
    <w:rsid w:val="00A9258A"/>
    <w:rsid w:val="00AA6920"/>
    <w:rsid w:val="00AB177B"/>
    <w:rsid w:val="00AB2A43"/>
    <w:rsid w:val="00AC1F27"/>
    <w:rsid w:val="00AC2B3E"/>
    <w:rsid w:val="00AC4D09"/>
    <w:rsid w:val="00AD160C"/>
    <w:rsid w:val="00AD1C82"/>
    <w:rsid w:val="00AD208E"/>
    <w:rsid w:val="00AD55FC"/>
    <w:rsid w:val="00AE17EE"/>
    <w:rsid w:val="00AE2010"/>
    <w:rsid w:val="00AE3D69"/>
    <w:rsid w:val="00AE5851"/>
    <w:rsid w:val="00AE6655"/>
    <w:rsid w:val="00AE7EDD"/>
    <w:rsid w:val="00AF1F38"/>
    <w:rsid w:val="00AF6D97"/>
    <w:rsid w:val="00AF7203"/>
    <w:rsid w:val="00B02582"/>
    <w:rsid w:val="00B04FB8"/>
    <w:rsid w:val="00B05C45"/>
    <w:rsid w:val="00B16BE8"/>
    <w:rsid w:val="00B17B58"/>
    <w:rsid w:val="00B203DF"/>
    <w:rsid w:val="00B26438"/>
    <w:rsid w:val="00B26A3F"/>
    <w:rsid w:val="00B2739C"/>
    <w:rsid w:val="00B33A66"/>
    <w:rsid w:val="00B33BC0"/>
    <w:rsid w:val="00B340CE"/>
    <w:rsid w:val="00B419FB"/>
    <w:rsid w:val="00B42796"/>
    <w:rsid w:val="00B44036"/>
    <w:rsid w:val="00B441BB"/>
    <w:rsid w:val="00B5029D"/>
    <w:rsid w:val="00B503B7"/>
    <w:rsid w:val="00B528BA"/>
    <w:rsid w:val="00B55AA7"/>
    <w:rsid w:val="00B57256"/>
    <w:rsid w:val="00B57F92"/>
    <w:rsid w:val="00B64A5B"/>
    <w:rsid w:val="00B72317"/>
    <w:rsid w:val="00B7374C"/>
    <w:rsid w:val="00B74311"/>
    <w:rsid w:val="00B765F5"/>
    <w:rsid w:val="00B76B71"/>
    <w:rsid w:val="00B86C73"/>
    <w:rsid w:val="00BA7570"/>
    <w:rsid w:val="00BA79ED"/>
    <w:rsid w:val="00BA7B75"/>
    <w:rsid w:val="00BB278D"/>
    <w:rsid w:val="00BB3004"/>
    <w:rsid w:val="00BB79DE"/>
    <w:rsid w:val="00BB7AC9"/>
    <w:rsid w:val="00BC07B9"/>
    <w:rsid w:val="00BC5A7B"/>
    <w:rsid w:val="00BD48B3"/>
    <w:rsid w:val="00BD4B5B"/>
    <w:rsid w:val="00BE60C7"/>
    <w:rsid w:val="00BF08CA"/>
    <w:rsid w:val="00BF2DDF"/>
    <w:rsid w:val="00C002CB"/>
    <w:rsid w:val="00C03B91"/>
    <w:rsid w:val="00C1555F"/>
    <w:rsid w:val="00C210B7"/>
    <w:rsid w:val="00C33514"/>
    <w:rsid w:val="00C42306"/>
    <w:rsid w:val="00C454A7"/>
    <w:rsid w:val="00C46D26"/>
    <w:rsid w:val="00C46F88"/>
    <w:rsid w:val="00C471E5"/>
    <w:rsid w:val="00C47EA1"/>
    <w:rsid w:val="00C52DB5"/>
    <w:rsid w:val="00C610F5"/>
    <w:rsid w:val="00C623B1"/>
    <w:rsid w:val="00C62EE5"/>
    <w:rsid w:val="00C6369C"/>
    <w:rsid w:val="00C655B6"/>
    <w:rsid w:val="00C66089"/>
    <w:rsid w:val="00C663FB"/>
    <w:rsid w:val="00C711DF"/>
    <w:rsid w:val="00C77E5F"/>
    <w:rsid w:val="00C8047E"/>
    <w:rsid w:val="00C857A7"/>
    <w:rsid w:val="00C86316"/>
    <w:rsid w:val="00C90F77"/>
    <w:rsid w:val="00C91204"/>
    <w:rsid w:val="00C959F5"/>
    <w:rsid w:val="00CA22B6"/>
    <w:rsid w:val="00CA6718"/>
    <w:rsid w:val="00CA7362"/>
    <w:rsid w:val="00CB3877"/>
    <w:rsid w:val="00CB6F99"/>
    <w:rsid w:val="00CC661F"/>
    <w:rsid w:val="00CC7B2D"/>
    <w:rsid w:val="00CD04D4"/>
    <w:rsid w:val="00CD4A1F"/>
    <w:rsid w:val="00CE1AC5"/>
    <w:rsid w:val="00CE2429"/>
    <w:rsid w:val="00CE4A02"/>
    <w:rsid w:val="00CF2D86"/>
    <w:rsid w:val="00CF3944"/>
    <w:rsid w:val="00CF68C6"/>
    <w:rsid w:val="00CF6A32"/>
    <w:rsid w:val="00D004A1"/>
    <w:rsid w:val="00D06E37"/>
    <w:rsid w:val="00D16CA3"/>
    <w:rsid w:val="00D2154D"/>
    <w:rsid w:val="00D2788A"/>
    <w:rsid w:val="00D3276C"/>
    <w:rsid w:val="00D351D3"/>
    <w:rsid w:val="00D36100"/>
    <w:rsid w:val="00D40C40"/>
    <w:rsid w:val="00D41AE5"/>
    <w:rsid w:val="00D43992"/>
    <w:rsid w:val="00D451E3"/>
    <w:rsid w:val="00D46A8F"/>
    <w:rsid w:val="00D503F5"/>
    <w:rsid w:val="00D50D84"/>
    <w:rsid w:val="00D5180A"/>
    <w:rsid w:val="00D51C78"/>
    <w:rsid w:val="00D5335F"/>
    <w:rsid w:val="00D63892"/>
    <w:rsid w:val="00D657EA"/>
    <w:rsid w:val="00D65F2E"/>
    <w:rsid w:val="00D71A6D"/>
    <w:rsid w:val="00D744A9"/>
    <w:rsid w:val="00D7529F"/>
    <w:rsid w:val="00D7618D"/>
    <w:rsid w:val="00D76C31"/>
    <w:rsid w:val="00D818E8"/>
    <w:rsid w:val="00D819E9"/>
    <w:rsid w:val="00D81EE0"/>
    <w:rsid w:val="00D82D89"/>
    <w:rsid w:val="00D84A16"/>
    <w:rsid w:val="00D84D3F"/>
    <w:rsid w:val="00D9301E"/>
    <w:rsid w:val="00D95B87"/>
    <w:rsid w:val="00D971D9"/>
    <w:rsid w:val="00DA0A55"/>
    <w:rsid w:val="00DA1D2B"/>
    <w:rsid w:val="00DA4450"/>
    <w:rsid w:val="00DA545F"/>
    <w:rsid w:val="00DA74D4"/>
    <w:rsid w:val="00DB15E1"/>
    <w:rsid w:val="00DC246E"/>
    <w:rsid w:val="00DC276A"/>
    <w:rsid w:val="00DC3884"/>
    <w:rsid w:val="00DC720A"/>
    <w:rsid w:val="00DC7445"/>
    <w:rsid w:val="00DD01D7"/>
    <w:rsid w:val="00DD73C6"/>
    <w:rsid w:val="00DD7C41"/>
    <w:rsid w:val="00DE1689"/>
    <w:rsid w:val="00DE3522"/>
    <w:rsid w:val="00DE5CB3"/>
    <w:rsid w:val="00DE6AB2"/>
    <w:rsid w:val="00DE799F"/>
    <w:rsid w:val="00DF2208"/>
    <w:rsid w:val="00DF5628"/>
    <w:rsid w:val="00E003C8"/>
    <w:rsid w:val="00E0247C"/>
    <w:rsid w:val="00E02E51"/>
    <w:rsid w:val="00E05DFD"/>
    <w:rsid w:val="00E0708E"/>
    <w:rsid w:val="00E1603D"/>
    <w:rsid w:val="00E16E89"/>
    <w:rsid w:val="00E220DC"/>
    <w:rsid w:val="00E25393"/>
    <w:rsid w:val="00E26BEE"/>
    <w:rsid w:val="00E26FE5"/>
    <w:rsid w:val="00E27BE1"/>
    <w:rsid w:val="00E31A5B"/>
    <w:rsid w:val="00E31DA8"/>
    <w:rsid w:val="00E40540"/>
    <w:rsid w:val="00E43FE6"/>
    <w:rsid w:val="00E46A9C"/>
    <w:rsid w:val="00E47C1B"/>
    <w:rsid w:val="00E51EC6"/>
    <w:rsid w:val="00E54E14"/>
    <w:rsid w:val="00E5574F"/>
    <w:rsid w:val="00E620AB"/>
    <w:rsid w:val="00E63672"/>
    <w:rsid w:val="00E64364"/>
    <w:rsid w:val="00E743F0"/>
    <w:rsid w:val="00E774C5"/>
    <w:rsid w:val="00E77608"/>
    <w:rsid w:val="00E80317"/>
    <w:rsid w:val="00E80C50"/>
    <w:rsid w:val="00E818AB"/>
    <w:rsid w:val="00E90D85"/>
    <w:rsid w:val="00E9243D"/>
    <w:rsid w:val="00E9335A"/>
    <w:rsid w:val="00EA18E2"/>
    <w:rsid w:val="00EA40F9"/>
    <w:rsid w:val="00EA418C"/>
    <w:rsid w:val="00EA53C9"/>
    <w:rsid w:val="00EA5533"/>
    <w:rsid w:val="00EA6AD3"/>
    <w:rsid w:val="00EA7EFC"/>
    <w:rsid w:val="00EB09CD"/>
    <w:rsid w:val="00EB5E7E"/>
    <w:rsid w:val="00EC08AB"/>
    <w:rsid w:val="00EC11FA"/>
    <w:rsid w:val="00EC21AB"/>
    <w:rsid w:val="00EC2817"/>
    <w:rsid w:val="00EC4A51"/>
    <w:rsid w:val="00EC5A23"/>
    <w:rsid w:val="00EC64A1"/>
    <w:rsid w:val="00EC6552"/>
    <w:rsid w:val="00ED48C4"/>
    <w:rsid w:val="00EE69C9"/>
    <w:rsid w:val="00EE7595"/>
    <w:rsid w:val="00EF45B3"/>
    <w:rsid w:val="00F00878"/>
    <w:rsid w:val="00F00ED0"/>
    <w:rsid w:val="00F04233"/>
    <w:rsid w:val="00F10ECD"/>
    <w:rsid w:val="00F134F6"/>
    <w:rsid w:val="00F14CCC"/>
    <w:rsid w:val="00F17CB2"/>
    <w:rsid w:val="00F26A26"/>
    <w:rsid w:val="00F32884"/>
    <w:rsid w:val="00F363CA"/>
    <w:rsid w:val="00F36E35"/>
    <w:rsid w:val="00F403A7"/>
    <w:rsid w:val="00F40BE2"/>
    <w:rsid w:val="00F437E0"/>
    <w:rsid w:val="00F457AE"/>
    <w:rsid w:val="00F547D6"/>
    <w:rsid w:val="00F55298"/>
    <w:rsid w:val="00F57C1C"/>
    <w:rsid w:val="00F60B1F"/>
    <w:rsid w:val="00F647AF"/>
    <w:rsid w:val="00F66D92"/>
    <w:rsid w:val="00F85525"/>
    <w:rsid w:val="00F86D90"/>
    <w:rsid w:val="00FA3F1B"/>
    <w:rsid w:val="00FA6729"/>
    <w:rsid w:val="00FA6793"/>
    <w:rsid w:val="00FB2A4E"/>
    <w:rsid w:val="00FB4DE0"/>
    <w:rsid w:val="00FB6F43"/>
    <w:rsid w:val="00FC01A5"/>
    <w:rsid w:val="00FC48C9"/>
    <w:rsid w:val="00FC5DAE"/>
    <w:rsid w:val="00FC775A"/>
    <w:rsid w:val="00FD366B"/>
    <w:rsid w:val="00FD6D8C"/>
    <w:rsid w:val="00FE2373"/>
    <w:rsid w:val="00FE303F"/>
    <w:rsid w:val="00FE432A"/>
    <w:rsid w:val="00FE5007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9D81A"/>
  <w15:docId w15:val="{26C162A7-D209-4943-B361-C87B32EB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4EE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360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B52C8"/>
    <w:pPr>
      <w:tabs>
        <w:tab w:val="right" w:pos="9639"/>
      </w:tabs>
    </w:pPr>
    <w:rPr>
      <w:rFonts w:cstheme="majorHAnsi"/>
      <w:sz w:val="18"/>
      <w:szCs w:val="14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B52C8"/>
    <w:rPr>
      <w:rFonts w:ascii="Arial" w:hAnsi="Arial" w:cstheme="majorHAnsi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uiPriority w:val="3"/>
    <w:qFormat/>
    <w:rsid w:val="00A435EF"/>
    <w:pPr>
      <w:numPr>
        <w:numId w:val="18"/>
      </w:numPr>
      <w:spacing w:before="80"/>
    </w:pPr>
    <w:rPr>
      <w:rFonts w:eastAsia="Cambria" w:cs="Arial"/>
      <w:iCs/>
      <w:sz w:val="18"/>
      <w:szCs w:val="21"/>
    </w:rPr>
  </w:style>
  <w:style w:type="paragraph" w:customStyle="1" w:styleId="Numberbullet2">
    <w:name w:val="Number bullet 2"/>
    <w:basedOn w:val="ListBullet2"/>
    <w:uiPriority w:val="3"/>
    <w:qFormat/>
    <w:rsid w:val="004B1BF3"/>
    <w:pPr>
      <w:numPr>
        <w:ilvl w:val="0"/>
        <w:numId w:val="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9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2A35"/>
  </w:style>
  <w:style w:type="character" w:customStyle="1" w:styleId="CommentTextChar">
    <w:name w:val="Comment Text Char"/>
    <w:basedOn w:val="DefaultParagraphFont"/>
    <w:link w:val="CommentText"/>
    <w:uiPriority w:val="99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C50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link w:val="ListParagraph"/>
    <w:uiPriority w:val="34"/>
    <w:qFormat/>
    <w:locked/>
    <w:rsid w:val="00E80C50"/>
    <w:rPr>
      <w:rFonts w:ascii="Arial" w:hAnsi="Arial"/>
    </w:rPr>
  </w:style>
  <w:style w:type="paragraph" w:styleId="Revision">
    <w:name w:val="Revision"/>
    <w:hidden/>
    <w:uiPriority w:val="99"/>
    <w:semiHidden/>
    <w:rsid w:val="00877AC8"/>
    <w:pPr>
      <w:spacing w:after="0"/>
    </w:pPr>
    <w:rPr>
      <w:rFonts w:ascii="Arial" w:hAnsi="Arial"/>
    </w:rPr>
  </w:style>
  <w:style w:type="paragraph" w:customStyle="1" w:styleId="ListBullet-dotick">
    <w:name w:val="List Bullet - do (tick)"/>
    <w:basedOn w:val="ListBullet"/>
    <w:autoRedefine/>
    <w:uiPriority w:val="1"/>
    <w:qFormat/>
    <w:rsid w:val="00D9301E"/>
    <w:pPr>
      <w:numPr>
        <w:numId w:val="0"/>
      </w:numPr>
      <w:tabs>
        <w:tab w:val="left" w:pos="425"/>
      </w:tabs>
      <w:spacing w:before="120" w:after="180" w:line="240" w:lineRule="atLeast"/>
    </w:pPr>
    <w:rPr>
      <w:rFonts w:eastAsia="Cambria" w:cs="Arial"/>
      <w:color w:val="auto"/>
      <w:lang w:eastAsia="en-US"/>
    </w:rPr>
  </w:style>
  <w:style w:type="character" w:styleId="Strong">
    <w:name w:val="Strong"/>
    <w:basedOn w:val="DefaultParagraphFont"/>
    <w:uiPriority w:val="22"/>
    <w:qFormat/>
    <w:rsid w:val="00600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anzcp.org/clinical-guidelines-publications/clinical-guidelines-publications-library/therapeutic-use-of-mdma-for-ptsd-and-psilocybin-for-treatment-resistant-depression" TargetMode="External"/><Relationship Id="rId18" Type="http://schemas.openxmlformats.org/officeDocument/2006/relationships/hyperlink" Target="https://www.tga.gov.au/how-we-regulate/ingredients-and-scheduling-medicines-and-chemicals/poisons-standard-and-scheduling-medicines-and-chemicals/scheduling/contacts-stateterritory-medicines-poisons-regulation-unit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tga.gov.au/products/regulations-all-products/manufacturing/good-manufacturing-practice-overviewfacturing-practice-gmp" TargetMode="External"/><Relationship Id="rId17" Type="http://schemas.openxmlformats.org/officeDocument/2006/relationships/hyperlink" Target="mailto:ncs@health.gov.au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odc.gov.au/importer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resources/guidance/complying-quality-requirements-mdma-and-psilocybin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tga.gov.au/sites/default/files/authorised-prescriber-scheme-online-system-guidance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tga.gov.au/resources/guidance/becoming-authorised-prescriber-unapproved-therapeutic-goods-australia" TargetMode="External"/><Relationship Id="rId19" Type="http://schemas.openxmlformats.org/officeDocument/2006/relationships/hyperlink" Target="https://compliance.health.gov.au/s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resources/guidance/accessing-mdma-34-methylenedioxy-methamphetamine-and-psilocybin-psychiatrist" TargetMode="External"/><Relationship Id="rId14" Type="http://schemas.openxmlformats.org/officeDocument/2006/relationships/hyperlink" Target="https://compliance.health.gov.au/sa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16</TotalTime>
  <Pages>3</Pages>
  <Words>1473</Words>
  <Characters>9149</Characters>
  <Application>Microsoft Office Word</Application>
  <DocSecurity>0</DocSecurity>
  <Lines>228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>Department of Health, Disability and Ageing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prescribing psychiatrists of MDMA and psilocybine</dc:title>
  <dc:subject>checklist</dc:subject>
  <dc:creator>Therapeutic Goods Administration</dc:creator>
  <cp:lastModifiedBy>LACK, Janet</cp:lastModifiedBy>
  <cp:revision>4</cp:revision>
  <cp:lastPrinted>2005-05-30T03:22:00Z</cp:lastPrinted>
  <dcterms:created xsi:type="dcterms:W3CDTF">2026-06-10T22:26:00Z</dcterms:created>
  <dcterms:modified xsi:type="dcterms:W3CDTF">2026-06-10T23:14:00Z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56c4b574,61cd0a6c,2120fd3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5bd89709,4fe0902f,137208e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2026-01-05T02:44:55Z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82d825cd-27ab-4e66-ad64-f663240e636f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