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A47D61B" w:rsidR="00F02AEC" w:rsidRPr="00215D48" w:rsidRDefault="00346EC2" w:rsidP="007452E8">
            <w:pPr>
              <w:pStyle w:val="Title"/>
            </w:pPr>
            <w:r w:rsidRPr="00346EC2">
              <w:t>Australian Public Assessment Report for</w:t>
            </w:r>
            <w:r w:rsidR="00E0481D">
              <w:t xml:space="preserve"> </w:t>
            </w:r>
            <w:r w:rsidR="0036009D">
              <w:t>Zynlonta</w:t>
            </w:r>
            <w:r w:rsidR="00E0481D" w:rsidRPr="00E0481D">
              <w:t xml:space="preserve"> </w:t>
            </w:r>
          </w:p>
        </w:tc>
      </w:tr>
      <w:tr w:rsidR="00F02AEC" w:rsidRPr="00215D48" w14:paraId="318A40A3" w14:textId="77777777" w:rsidTr="00346EC2">
        <w:trPr>
          <w:trHeight w:val="995"/>
        </w:trPr>
        <w:tc>
          <w:tcPr>
            <w:tcW w:w="8720" w:type="dxa"/>
          </w:tcPr>
          <w:p w14:paraId="1AA7C701" w14:textId="4EDDD731" w:rsidR="00F02AEC" w:rsidRPr="00215D48" w:rsidRDefault="00346EC2" w:rsidP="007452E8">
            <w:pPr>
              <w:pStyle w:val="Subtitle"/>
              <w:ind w:left="0"/>
            </w:pPr>
            <w:r w:rsidRPr="00346EC2">
              <w:t xml:space="preserve">Active ingredient: </w:t>
            </w:r>
            <w:r w:rsidR="00E0481D">
              <w:t xml:space="preserve"> </w:t>
            </w:r>
            <w:r w:rsidR="00E0481D" w:rsidRPr="00E0481D">
              <w:t>loncastuximab tesirine</w:t>
            </w:r>
          </w:p>
        </w:tc>
      </w:tr>
      <w:tr w:rsidR="00346EC2" w:rsidRPr="00215D48" w14:paraId="362CCAE4" w14:textId="77777777" w:rsidTr="007452E8">
        <w:trPr>
          <w:trHeight w:val="1916"/>
        </w:trPr>
        <w:tc>
          <w:tcPr>
            <w:tcW w:w="8720" w:type="dxa"/>
          </w:tcPr>
          <w:p w14:paraId="709C45C0" w14:textId="7FC4F9B5" w:rsidR="00346EC2" w:rsidRPr="00215D48" w:rsidRDefault="00346EC2" w:rsidP="007452E8">
            <w:pPr>
              <w:pStyle w:val="Subtitle"/>
              <w:ind w:left="0"/>
            </w:pPr>
            <w:r w:rsidRPr="00346EC2">
              <w:t xml:space="preserve">Sponsor: </w:t>
            </w:r>
            <w:r w:rsidR="00E0481D" w:rsidRPr="00E0481D">
              <w:t>Swedish Orphan Biovitrum Pty Ltd</w:t>
            </w:r>
          </w:p>
        </w:tc>
      </w:tr>
      <w:tr w:rsidR="00F02AEC" w:rsidRPr="00215D48" w14:paraId="37F2AA1F" w14:textId="77777777" w:rsidTr="007452E8">
        <w:tc>
          <w:tcPr>
            <w:tcW w:w="8720" w:type="dxa"/>
          </w:tcPr>
          <w:p w14:paraId="1FDE8DCD" w14:textId="4CBD56CF" w:rsidR="00F02AEC" w:rsidRPr="00215D48" w:rsidRDefault="00E77C7D" w:rsidP="007452E8">
            <w:pPr>
              <w:pStyle w:val="Date"/>
            </w:pPr>
            <w:r>
              <w:t>June</w:t>
            </w:r>
            <w:r w:rsidR="00F02AEC" w:rsidRPr="00215D48">
              <w:t xml:space="preserve"> </w:t>
            </w:r>
            <w:r w:rsidR="00E0481D">
              <w:t>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0D16D24" w:rsidR="00175CD8" w:rsidRPr="00346EC2" w:rsidRDefault="00F02AEC" w:rsidP="00346EC2">
      <w:pPr>
        <w:pStyle w:val="LegalCopy"/>
        <w:rPr>
          <w:rFonts w:cs="Arial"/>
        </w:rPr>
      </w:pPr>
      <w:r w:rsidRPr="00215D48">
        <w:rPr>
          <w:rFonts w:cs="Arial"/>
        </w:rPr>
        <w:t>© Commonwealth of Australia 20</w:t>
      </w:r>
      <w:r>
        <w:rPr>
          <w:rFonts w:cs="Arial"/>
        </w:rPr>
        <w:t>2</w:t>
      </w:r>
      <w:r w:rsidR="0009023D">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4C6389FA" w14:textId="456AA95E" w:rsidR="009C7E5A"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2504972" w:history="1">
            <w:r w:rsidR="009C7E5A" w:rsidRPr="00F54A33">
              <w:rPr>
                <w:rStyle w:val="Hyperlink"/>
                <w:noProof/>
              </w:rPr>
              <w:t>List of abbreviations</w:t>
            </w:r>
            <w:r w:rsidR="009C7E5A">
              <w:rPr>
                <w:noProof/>
                <w:webHidden/>
              </w:rPr>
              <w:tab/>
            </w:r>
            <w:r w:rsidR="009C7E5A">
              <w:rPr>
                <w:noProof/>
                <w:webHidden/>
              </w:rPr>
              <w:fldChar w:fldCharType="begin"/>
            </w:r>
            <w:r w:rsidR="009C7E5A">
              <w:rPr>
                <w:noProof/>
                <w:webHidden/>
              </w:rPr>
              <w:instrText xml:space="preserve"> PAGEREF _Toc232504972 \h </w:instrText>
            </w:r>
            <w:r w:rsidR="009C7E5A">
              <w:rPr>
                <w:noProof/>
                <w:webHidden/>
              </w:rPr>
            </w:r>
            <w:r w:rsidR="009C7E5A">
              <w:rPr>
                <w:noProof/>
                <w:webHidden/>
              </w:rPr>
              <w:fldChar w:fldCharType="separate"/>
            </w:r>
            <w:r w:rsidR="009C7E5A">
              <w:rPr>
                <w:noProof/>
                <w:webHidden/>
              </w:rPr>
              <w:t>4</w:t>
            </w:r>
            <w:r w:rsidR="009C7E5A">
              <w:rPr>
                <w:noProof/>
                <w:webHidden/>
              </w:rPr>
              <w:fldChar w:fldCharType="end"/>
            </w:r>
          </w:hyperlink>
        </w:p>
        <w:p w14:paraId="21B11763" w14:textId="4ADC555D" w:rsidR="009C7E5A" w:rsidRDefault="009C7E5A">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2504973" w:history="1">
            <w:r w:rsidRPr="00F54A33">
              <w:rPr>
                <w:rStyle w:val="Hyperlink"/>
                <w:noProof/>
              </w:rPr>
              <w:t>Product submission</w:t>
            </w:r>
            <w:r>
              <w:rPr>
                <w:noProof/>
                <w:webHidden/>
              </w:rPr>
              <w:tab/>
            </w:r>
            <w:r>
              <w:rPr>
                <w:noProof/>
                <w:webHidden/>
              </w:rPr>
              <w:fldChar w:fldCharType="begin"/>
            </w:r>
            <w:r>
              <w:rPr>
                <w:noProof/>
                <w:webHidden/>
              </w:rPr>
              <w:instrText xml:space="preserve"> PAGEREF _Toc232504973 \h </w:instrText>
            </w:r>
            <w:r>
              <w:rPr>
                <w:noProof/>
                <w:webHidden/>
              </w:rPr>
            </w:r>
            <w:r>
              <w:rPr>
                <w:noProof/>
                <w:webHidden/>
              </w:rPr>
              <w:fldChar w:fldCharType="separate"/>
            </w:r>
            <w:r>
              <w:rPr>
                <w:noProof/>
                <w:webHidden/>
              </w:rPr>
              <w:t>5</w:t>
            </w:r>
            <w:r>
              <w:rPr>
                <w:noProof/>
                <w:webHidden/>
              </w:rPr>
              <w:fldChar w:fldCharType="end"/>
            </w:r>
          </w:hyperlink>
        </w:p>
        <w:p w14:paraId="21DAE318" w14:textId="4D584C8F" w:rsidR="009C7E5A" w:rsidRDefault="009C7E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504974" w:history="1">
            <w:r w:rsidRPr="00F54A33">
              <w:rPr>
                <w:rStyle w:val="Hyperlink"/>
                <w:noProof/>
                <w:lang w:eastAsia="en-AU"/>
              </w:rPr>
              <w:t>Submission details</w:t>
            </w:r>
            <w:r>
              <w:rPr>
                <w:noProof/>
                <w:webHidden/>
              </w:rPr>
              <w:tab/>
            </w:r>
            <w:r>
              <w:rPr>
                <w:noProof/>
                <w:webHidden/>
              </w:rPr>
              <w:fldChar w:fldCharType="begin"/>
            </w:r>
            <w:r>
              <w:rPr>
                <w:noProof/>
                <w:webHidden/>
              </w:rPr>
              <w:instrText xml:space="preserve"> PAGEREF _Toc232504974 \h </w:instrText>
            </w:r>
            <w:r>
              <w:rPr>
                <w:noProof/>
                <w:webHidden/>
              </w:rPr>
            </w:r>
            <w:r>
              <w:rPr>
                <w:noProof/>
                <w:webHidden/>
              </w:rPr>
              <w:fldChar w:fldCharType="separate"/>
            </w:r>
            <w:r>
              <w:rPr>
                <w:noProof/>
                <w:webHidden/>
              </w:rPr>
              <w:t>5</w:t>
            </w:r>
            <w:r>
              <w:rPr>
                <w:noProof/>
                <w:webHidden/>
              </w:rPr>
              <w:fldChar w:fldCharType="end"/>
            </w:r>
          </w:hyperlink>
        </w:p>
        <w:p w14:paraId="6546D70C" w14:textId="2DC92BD7" w:rsidR="009C7E5A" w:rsidRDefault="009C7E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504975" w:history="1">
            <w:r w:rsidRPr="00F54A33">
              <w:rPr>
                <w:rStyle w:val="Hyperlink"/>
                <w:noProof/>
              </w:rPr>
              <w:t>Product background</w:t>
            </w:r>
            <w:r>
              <w:rPr>
                <w:noProof/>
                <w:webHidden/>
              </w:rPr>
              <w:tab/>
            </w:r>
            <w:r>
              <w:rPr>
                <w:noProof/>
                <w:webHidden/>
              </w:rPr>
              <w:fldChar w:fldCharType="begin"/>
            </w:r>
            <w:r>
              <w:rPr>
                <w:noProof/>
                <w:webHidden/>
              </w:rPr>
              <w:instrText xml:space="preserve"> PAGEREF _Toc232504975 \h </w:instrText>
            </w:r>
            <w:r>
              <w:rPr>
                <w:noProof/>
                <w:webHidden/>
              </w:rPr>
            </w:r>
            <w:r>
              <w:rPr>
                <w:noProof/>
                <w:webHidden/>
              </w:rPr>
              <w:fldChar w:fldCharType="separate"/>
            </w:r>
            <w:r>
              <w:rPr>
                <w:noProof/>
                <w:webHidden/>
              </w:rPr>
              <w:t>6</w:t>
            </w:r>
            <w:r>
              <w:rPr>
                <w:noProof/>
                <w:webHidden/>
              </w:rPr>
              <w:fldChar w:fldCharType="end"/>
            </w:r>
          </w:hyperlink>
        </w:p>
        <w:p w14:paraId="69B4E490" w14:textId="36A89285"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76" w:history="1">
            <w:r w:rsidRPr="00F54A33">
              <w:rPr>
                <w:rStyle w:val="Hyperlink"/>
                <w:noProof/>
              </w:rPr>
              <w:t>Disease or condition</w:t>
            </w:r>
            <w:r>
              <w:rPr>
                <w:noProof/>
                <w:webHidden/>
              </w:rPr>
              <w:tab/>
            </w:r>
            <w:r>
              <w:rPr>
                <w:noProof/>
                <w:webHidden/>
              </w:rPr>
              <w:fldChar w:fldCharType="begin"/>
            </w:r>
            <w:r>
              <w:rPr>
                <w:noProof/>
                <w:webHidden/>
              </w:rPr>
              <w:instrText xml:space="preserve"> PAGEREF _Toc232504976 \h </w:instrText>
            </w:r>
            <w:r>
              <w:rPr>
                <w:noProof/>
                <w:webHidden/>
              </w:rPr>
            </w:r>
            <w:r>
              <w:rPr>
                <w:noProof/>
                <w:webHidden/>
              </w:rPr>
              <w:fldChar w:fldCharType="separate"/>
            </w:r>
            <w:r>
              <w:rPr>
                <w:noProof/>
                <w:webHidden/>
              </w:rPr>
              <w:t>6</w:t>
            </w:r>
            <w:r>
              <w:rPr>
                <w:noProof/>
                <w:webHidden/>
              </w:rPr>
              <w:fldChar w:fldCharType="end"/>
            </w:r>
          </w:hyperlink>
        </w:p>
        <w:p w14:paraId="5BB15628" w14:textId="1E436C0D"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77" w:history="1">
            <w:r w:rsidRPr="00F54A33">
              <w:rPr>
                <w:rStyle w:val="Hyperlink"/>
                <w:noProof/>
              </w:rPr>
              <w:t>Current treatment options</w:t>
            </w:r>
            <w:r>
              <w:rPr>
                <w:noProof/>
                <w:webHidden/>
              </w:rPr>
              <w:tab/>
            </w:r>
            <w:r>
              <w:rPr>
                <w:noProof/>
                <w:webHidden/>
              </w:rPr>
              <w:fldChar w:fldCharType="begin"/>
            </w:r>
            <w:r>
              <w:rPr>
                <w:noProof/>
                <w:webHidden/>
              </w:rPr>
              <w:instrText xml:space="preserve"> PAGEREF _Toc232504977 \h </w:instrText>
            </w:r>
            <w:r>
              <w:rPr>
                <w:noProof/>
                <w:webHidden/>
              </w:rPr>
            </w:r>
            <w:r>
              <w:rPr>
                <w:noProof/>
                <w:webHidden/>
              </w:rPr>
              <w:fldChar w:fldCharType="separate"/>
            </w:r>
            <w:r>
              <w:rPr>
                <w:noProof/>
                <w:webHidden/>
              </w:rPr>
              <w:t>7</w:t>
            </w:r>
            <w:r>
              <w:rPr>
                <w:noProof/>
                <w:webHidden/>
              </w:rPr>
              <w:fldChar w:fldCharType="end"/>
            </w:r>
          </w:hyperlink>
        </w:p>
        <w:p w14:paraId="3D43214F" w14:textId="3E625A66"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78" w:history="1">
            <w:r w:rsidRPr="00F54A33">
              <w:rPr>
                <w:rStyle w:val="Hyperlink"/>
                <w:noProof/>
              </w:rPr>
              <w:t>Clinical rationale</w:t>
            </w:r>
            <w:r>
              <w:rPr>
                <w:noProof/>
                <w:webHidden/>
              </w:rPr>
              <w:tab/>
            </w:r>
            <w:r>
              <w:rPr>
                <w:noProof/>
                <w:webHidden/>
              </w:rPr>
              <w:fldChar w:fldCharType="begin"/>
            </w:r>
            <w:r>
              <w:rPr>
                <w:noProof/>
                <w:webHidden/>
              </w:rPr>
              <w:instrText xml:space="preserve"> PAGEREF _Toc232504978 \h </w:instrText>
            </w:r>
            <w:r>
              <w:rPr>
                <w:noProof/>
                <w:webHidden/>
              </w:rPr>
            </w:r>
            <w:r>
              <w:rPr>
                <w:noProof/>
                <w:webHidden/>
              </w:rPr>
              <w:fldChar w:fldCharType="separate"/>
            </w:r>
            <w:r>
              <w:rPr>
                <w:noProof/>
                <w:webHidden/>
              </w:rPr>
              <w:t>9</w:t>
            </w:r>
            <w:r>
              <w:rPr>
                <w:noProof/>
                <w:webHidden/>
              </w:rPr>
              <w:fldChar w:fldCharType="end"/>
            </w:r>
          </w:hyperlink>
        </w:p>
        <w:p w14:paraId="5361B94D" w14:textId="60D8D2F2" w:rsidR="009C7E5A" w:rsidRDefault="009C7E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504979" w:history="1">
            <w:r w:rsidRPr="00F54A33">
              <w:rPr>
                <w:rStyle w:val="Hyperlink"/>
                <w:noProof/>
              </w:rPr>
              <w:t>Regulatory status</w:t>
            </w:r>
            <w:r>
              <w:rPr>
                <w:noProof/>
                <w:webHidden/>
              </w:rPr>
              <w:tab/>
            </w:r>
            <w:r>
              <w:rPr>
                <w:noProof/>
                <w:webHidden/>
              </w:rPr>
              <w:fldChar w:fldCharType="begin"/>
            </w:r>
            <w:r>
              <w:rPr>
                <w:noProof/>
                <w:webHidden/>
              </w:rPr>
              <w:instrText xml:space="preserve"> PAGEREF _Toc232504979 \h </w:instrText>
            </w:r>
            <w:r>
              <w:rPr>
                <w:noProof/>
                <w:webHidden/>
              </w:rPr>
            </w:r>
            <w:r>
              <w:rPr>
                <w:noProof/>
                <w:webHidden/>
              </w:rPr>
              <w:fldChar w:fldCharType="separate"/>
            </w:r>
            <w:r>
              <w:rPr>
                <w:noProof/>
                <w:webHidden/>
              </w:rPr>
              <w:t>9</w:t>
            </w:r>
            <w:r>
              <w:rPr>
                <w:noProof/>
                <w:webHidden/>
              </w:rPr>
              <w:fldChar w:fldCharType="end"/>
            </w:r>
          </w:hyperlink>
        </w:p>
        <w:p w14:paraId="670EA480" w14:textId="14258B4D"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80" w:history="1">
            <w:r w:rsidRPr="00F54A33">
              <w:rPr>
                <w:rStyle w:val="Hyperlink"/>
                <w:noProof/>
              </w:rPr>
              <w:t>Australian regulatory status</w:t>
            </w:r>
            <w:r>
              <w:rPr>
                <w:noProof/>
                <w:webHidden/>
              </w:rPr>
              <w:tab/>
            </w:r>
            <w:r>
              <w:rPr>
                <w:noProof/>
                <w:webHidden/>
              </w:rPr>
              <w:fldChar w:fldCharType="begin"/>
            </w:r>
            <w:r>
              <w:rPr>
                <w:noProof/>
                <w:webHidden/>
              </w:rPr>
              <w:instrText xml:space="preserve"> PAGEREF _Toc232504980 \h </w:instrText>
            </w:r>
            <w:r>
              <w:rPr>
                <w:noProof/>
                <w:webHidden/>
              </w:rPr>
            </w:r>
            <w:r>
              <w:rPr>
                <w:noProof/>
                <w:webHidden/>
              </w:rPr>
              <w:fldChar w:fldCharType="separate"/>
            </w:r>
            <w:r>
              <w:rPr>
                <w:noProof/>
                <w:webHidden/>
              </w:rPr>
              <w:t>9</w:t>
            </w:r>
            <w:r>
              <w:rPr>
                <w:noProof/>
                <w:webHidden/>
              </w:rPr>
              <w:fldChar w:fldCharType="end"/>
            </w:r>
          </w:hyperlink>
        </w:p>
        <w:p w14:paraId="37C9A10F" w14:textId="4CF33857"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81" w:history="1">
            <w:r w:rsidRPr="00F54A33">
              <w:rPr>
                <w:rStyle w:val="Hyperlink"/>
                <w:noProof/>
              </w:rPr>
              <w:t>International regulatory status</w:t>
            </w:r>
            <w:r>
              <w:rPr>
                <w:noProof/>
                <w:webHidden/>
              </w:rPr>
              <w:tab/>
            </w:r>
            <w:r>
              <w:rPr>
                <w:noProof/>
                <w:webHidden/>
              </w:rPr>
              <w:fldChar w:fldCharType="begin"/>
            </w:r>
            <w:r>
              <w:rPr>
                <w:noProof/>
                <w:webHidden/>
              </w:rPr>
              <w:instrText xml:space="preserve"> PAGEREF _Toc232504981 \h </w:instrText>
            </w:r>
            <w:r>
              <w:rPr>
                <w:noProof/>
                <w:webHidden/>
              </w:rPr>
            </w:r>
            <w:r>
              <w:rPr>
                <w:noProof/>
                <w:webHidden/>
              </w:rPr>
              <w:fldChar w:fldCharType="separate"/>
            </w:r>
            <w:r>
              <w:rPr>
                <w:noProof/>
                <w:webHidden/>
              </w:rPr>
              <w:t>9</w:t>
            </w:r>
            <w:r>
              <w:rPr>
                <w:noProof/>
                <w:webHidden/>
              </w:rPr>
              <w:fldChar w:fldCharType="end"/>
            </w:r>
          </w:hyperlink>
        </w:p>
        <w:p w14:paraId="4D349F21" w14:textId="115AB580" w:rsidR="009C7E5A" w:rsidRDefault="009C7E5A">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2504982" w:history="1">
            <w:r w:rsidRPr="00F54A33">
              <w:rPr>
                <w:rStyle w:val="Hyperlink"/>
                <w:noProof/>
              </w:rPr>
              <w:t>Registration timeline</w:t>
            </w:r>
            <w:r>
              <w:rPr>
                <w:noProof/>
                <w:webHidden/>
              </w:rPr>
              <w:tab/>
            </w:r>
            <w:r>
              <w:rPr>
                <w:noProof/>
                <w:webHidden/>
              </w:rPr>
              <w:fldChar w:fldCharType="begin"/>
            </w:r>
            <w:r>
              <w:rPr>
                <w:noProof/>
                <w:webHidden/>
              </w:rPr>
              <w:instrText xml:space="preserve"> PAGEREF _Toc232504982 \h </w:instrText>
            </w:r>
            <w:r>
              <w:rPr>
                <w:noProof/>
                <w:webHidden/>
              </w:rPr>
            </w:r>
            <w:r>
              <w:rPr>
                <w:noProof/>
                <w:webHidden/>
              </w:rPr>
              <w:fldChar w:fldCharType="separate"/>
            </w:r>
            <w:r>
              <w:rPr>
                <w:noProof/>
                <w:webHidden/>
              </w:rPr>
              <w:t>13</w:t>
            </w:r>
            <w:r>
              <w:rPr>
                <w:noProof/>
                <w:webHidden/>
              </w:rPr>
              <w:fldChar w:fldCharType="end"/>
            </w:r>
          </w:hyperlink>
        </w:p>
        <w:p w14:paraId="76C9974B" w14:textId="538D67EC" w:rsidR="009C7E5A" w:rsidRDefault="009C7E5A">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2504983" w:history="1">
            <w:r w:rsidRPr="00F54A33">
              <w:rPr>
                <w:rStyle w:val="Hyperlink"/>
                <w:noProof/>
              </w:rPr>
              <w:t>Assessment overview</w:t>
            </w:r>
            <w:r>
              <w:rPr>
                <w:noProof/>
                <w:webHidden/>
              </w:rPr>
              <w:tab/>
            </w:r>
            <w:r>
              <w:rPr>
                <w:noProof/>
                <w:webHidden/>
              </w:rPr>
              <w:fldChar w:fldCharType="begin"/>
            </w:r>
            <w:r>
              <w:rPr>
                <w:noProof/>
                <w:webHidden/>
              </w:rPr>
              <w:instrText xml:space="preserve"> PAGEREF _Toc232504983 \h </w:instrText>
            </w:r>
            <w:r>
              <w:rPr>
                <w:noProof/>
                <w:webHidden/>
              </w:rPr>
            </w:r>
            <w:r>
              <w:rPr>
                <w:noProof/>
                <w:webHidden/>
              </w:rPr>
              <w:fldChar w:fldCharType="separate"/>
            </w:r>
            <w:r>
              <w:rPr>
                <w:noProof/>
                <w:webHidden/>
              </w:rPr>
              <w:t>14</w:t>
            </w:r>
            <w:r>
              <w:rPr>
                <w:noProof/>
                <w:webHidden/>
              </w:rPr>
              <w:fldChar w:fldCharType="end"/>
            </w:r>
          </w:hyperlink>
        </w:p>
        <w:p w14:paraId="2EBDFE13" w14:textId="7EC191F7" w:rsidR="009C7E5A" w:rsidRDefault="009C7E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504984" w:history="1">
            <w:r w:rsidRPr="00F54A33">
              <w:rPr>
                <w:rStyle w:val="Hyperlink"/>
                <w:noProof/>
              </w:rPr>
              <w:t>Quality evaluation summary</w:t>
            </w:r>
            <w:r>
              <w:rPr>
                <w:noProof/>
                <w:webHidden/>
              </w:rPr>
              <w:tab/>
            </w:r>
            <w:r>
              <w:rPr>
                <w:noProof/>
                <w:webHidden/>
              </w:rPr>
              <w:fldChar w:fldCharType="begin"/>
            </w:r>
            <w:r>
              <w:rPr>
                <w:noProof/>
                <w:webHidden/>
              </w:rPr>
              <w:instrText xml:space="preserve"> PAGEREF _Toc232504984 \h </w:instrText>
            </w:r>
            <w:r>
              <w:rPr>
                <w:noProof/>
                <w:webHidden/>
              </w:rPr>
            </w:r>
            <w:r>
              <w:rPr>
                <w:noProof/>
                <w:webHidden/>
              </w:rPr>
              <w:fldChar w:fldCharType="separate"/>
            </w:r>
            <w:r>
              <w:rPr>
                <w:noProof/>
                <w:webHidden/>
              </w:rPr>
              <w:t>14</w:t>
            </w:r>
            <w:r>
              <w:rPr>
                <w:noProof/>
                <w:webHidden/>
              </w:rPr>
              <w:fldChar w:fldCharType="end"/>
            </w:r>
          </w:hyperlink>
        </w:p>
        <w:p w14:paraId="49C8F30C" w14:textId="02EA3433" w:rsidR="009C7E5A" w:rsidRDefault="009C7E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504985" w:history="1">
            <w:r w:rsidRPr="00F54A33">
              <w:rPr>
                <w:rStyle w:val="Hyperlink"/>
                <w:noProof/>
              </w:rPr>
              <w:t>Nonclinical evaluation summary</w:t>
            </w:r>
            <w:r>
              <w:rPr>
                <w:noProof/>
                <w:webHidden/>
              </w:rPr>
              <w:tab/>
            </w:r>
            <w:r>
              <w:rPr>
                <w:noProof/>
                <w:webHidden/>
              </w:rPr>
              <w:fldChar w:fldCharType="begin"/>
            </w:r>
            <w:r>
              <w:rPr>
                <w:noProof/>
                <w:webHidden/>
              </w:rPr>
              <w:instrText xml:space="preserve"> PAGEREF _Toc232504985 \h </w:instrText>
            </w:r>
            <w:r>
              <w:rPr>
                <w:noProof/>
                <w:webHidden/>
              </w:rPr>
            </w:r>
            <w:r>
              <w:rPr>
                <w:noProof/>
                <w:webHidden/>
              </w:rPr>
              <w:fldChar w:fldCharType="separate"/>
            </w:r>
            <w:r>
              <w:rPr>
                <w:noProof/>
                <w:webHidden/>
              </w:rPr>
              <w:t>15</w:t>
            </w:r>
            <w:r>
              <w:rPr>
                <w:noProof/>
                <w:webHidden/>
              </w:rPr>
              <w:fldChar w:fldCharType="end"/>
            </w:r>
          </w:hyperlink>
        </w:p>
        <w:p w14:paraId="3D20EC86" w14:textId="755A5D70"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86" w:history="1">
            <w:r w:rsidRPr="00F54A33">
              <w:rPr>
                <w:rStyle w:val="Hyperlink"/>
                <w:noProof/>
                <w:lang w:val="en-US"/>
              </w:rPr>
              <w:t>Conclusions</w:t>
            </w:r>
            <w:r>
              <w:rPr>
                <w:noProof/>
                <w:webHidden/>
              </w:rPr>
              <w:tab/>
            </w:r>
            <w:r>
              <w:rPr>
                <w:noProof/>
                <w:webHidden/>
              </w:rPr>
              <w:fldChar w:fldCharType="begin"/>
            </w:r>
            <w:r>
              <w:rPr>
                <w:noProof/>
                <w:webHidden/>
              </w:rPr>
              <w:instrText xml:space="preserve"> PAGEREF _Toc232504986 \h </w:instrText>
            </w:r>
            <w:r>
              <w:rPr>
                <w:noProof/>
                <w:webHidden/>
              </w:rPr>
            </w:r>
            <w:r>
              <w:rPr>
                <w:noProof/>
                <w:webHidden/>
              </w:rPr>
              <w:fldChar w:fldCharType="separate"/>
            </w:r>
            <w:r>
              <w:rPr>
                <w:noProof/>
                <w:webHidden/>
              </w:rPr>
              <w:t>16</w:t>
            </w:r>
            <w:r>
              <w:rPr>
                <w:noProof/>
                <w:webHidden/>
              </w:rPr>
              <w:fldChar w:fldCharType="end"/>
            </w:r>
          </w:hyperlink>
        </w:p>
        <w:p w14:paraId="331EB05D" w14:textId="1EEDA256" w:rsidR="009C7E5A" w:rsidRDefault="009C7E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504987" w:history="1">
            <w:r w:rsidRPr="00F54A33">
              <w:rPr>
                <w:rStyle w:val="Hyperlink"/>
                <w:noProof/>
              </w:rPr>
              <w:t>Clinical evaluation summary</w:t>
            </w:r>
            <w:r>
              <w:rPr>
                <w:noProof/>
                <w:webHidden/>
              </w:rPr>
              <w:tab/>
            </w:r>
            <w:r>
              <w:rPr>
                <w:noProof/>
                <w:webHidden/>
              </w:rPr>
              <w:fldChar w:fldCharType="begin"/>
            </w:r>
            <w:r>
              <w:rPr>
                <w:noProof/>
                <w:webHidden/>
              </w:rPr>
              <w:instrText xml:space="preserve"> PAGEREF _Toc232504987 \h </w:instrText>
            </w:r>
            <w:r>
              <w:rPr>
                <w:noProof/>
                <w:webHidden/>
              </w:rPr>
            </w:r>
            <w:r>
              <w:rPr>
                <w:noProof/>
                <w:webHidden/>
              </w:rPr>
              <w:fldChar w:fldCharType="separate"/>
            </w:r>
            <w:r>
              <w:rPr>
                <w:noProof/>
                <w:webHidden/>
              </w:rPr>
              <w:t>17</w:t>
            </w:r>
            <w:r>
              <w:rPr>
                <w:noProof/>
                <w:webHidden/>
              </w:rPr>
              <w:fldChar w:fldCharType="end"/>
            </w:r>
          </w:hyperlink>
        </w:p>
        <w:p w14:paraId="3B60B7E7" w14:textId="57C92A4C"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88" w:history="1">
            <w:r w:rsidRPr="00F54A33">
              <w:rPr>
                <w:rStyle w:val="Hyperlink"/>
                <w:noProof/>
              </w:rPr>
              <w:t>Pharmacology</w:t>
            </w:r>
            <w:r>
              <w:rPr>
                <w:noProof/>
                <w:webHidden/>
              </w:rPr>
              <w:tab/>
            </w:r>
            <w:r>
              <w:rPr>
                <w:noProof/>
                <w:webHidden/>
              </w:rPr>
              <w:fldChar w:fldCharType="begin"/>
            </w:r>
            <w:r>
              <w:rPr>
                <w:noProof/>
                <w:webHidden/>
              </w:rPr>
              <w:instrText xml:space="preserve"> PAGEREF _Toc232504988 \h </w:instrText>
            </w:r>
            <w:r>
              <w:rPr>
                <w:noProof/>
                <w:webHidden/>
              </w:rPr>
            </w:r>
            <w:r>
              <w:rPr>
                <w:noProof/>
                <w:webHidden/>
              </w:rPr>
              <w:fldChar w:fldCharType="separate"/>
            </w:r>
            <w:r>
              <w:rPr>
                <w:noProof/>
                <w:webHidden/>
              </w:rPr>
              <w:t>19</w:t>
            </w:r>
            <w:r>
              <w:rPr>
                <w:noProof/>
                <w:webHidden/>
              </w:rPr>
              <w:fldChar w:fldCharType="end"/>
            </w:r>
          </w:hyperlink>
        </w:p>
        <w:p w14:paraId="087BE3C6" w14:textId="55D0EF36"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89" w:history="1">
            <w:r w:rsidRPr="00F54A33">
              <w:rPr>
                <w:rStyle w:val="Hyperlink"/>
                <w:noProof/>
              </w:rPr>
              <w:t>Efficacy</w:t>
            </w:r>
            <w:r>
              <w:rPr>
                <w:noProof/>
                <w:webHidden/>
              </w:rPr>
              <w:tab/>
            </w:r>
            <w:r>
              <w:rPr>
                <w:noProof/>
                <w:webHidden/>
              </w:rPr>
              <w:fldChar w:fldCharType="begin"/>
            </w:r>
            <w:r>
              <w:rPr>
                <w:noProof/>
                <w:webHidden/>
              </w:rPr>
              <w:instrText xml:space="preserve"> PAGEREF _Toc232504989 \h </w:instrText>
            </w:r>
            <w:r>
              <w:rPr>
                <w:noProof/>
                <w:webHidden/>
              </w:rPr>
            </w:r>
            <w:r>
              <w:rPr>
                <w:noProof/>
                <w:webHidden/>
              </w:rPr>
              <w:fldChar w:fldCharType="separate"/>
            </w:r>
            <w:r>
              <w:rPr>
                <w:noProof/>
                <w:webHidden/>
              </w:rPr>
              <w:t>21</w:t>
            </w:r>
            <w:r>
              <w:rPr>
                <w:noProof/>
                <w:webHidden/>
              </w:rPr>
              <w:fldChar w:fldCharType="end"/>
            </w:r>
          </w:hyperlink>
        </w:p>
        <w:p w14:paraId="13DDE804" w14:textId="022F14F6"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90" w:history="1">
            <w:r w:rsidRPr="00F54A33">
              <w:rPr>
                <w:rStyle w:val="Hyperlink"/>
                <w:noProof/>
              </w:rPr>
              <w:t>Safety</w:t>
            </w:r>
            <w:r>
              <w:rPr>
                <w:noProof/>
                <w:webHidden/>
              </w:rPr>
              <w:tab/>
            </w:r>
            <w:r>
              <w:rPr>
                <w:noProof/>
                <w:webHidden/>
              </w:rPr>
              <w:fldChar w:fldCharType="begin"/>
            </w:r>
            <w:r>
              <w:rPr>
                <w:noProof/>
                <w:webHidden/>
              </w:rPr>
              <w:instrText xml:space="preserve"> PAGEREF _Toc232504990 \h </w:instrText>
            </w:r>
            <w:r>
              <w:rPr>
                <w:noProof/>
                <w:webHidden/>
              </w:rPr>
            </w:r>
            <w:r>
              <w:rPr>
                <w:noProof/>
                <w:webHidden/>
              </w:rPr>
              <w:fldChar w:fldCharType="separate"/>
            </w:r>
            <w:r>
              <w:rPr>
                <w:noProof/>
                <w:webHidden/>
              </w:rPr>
              <w:t>25</w:t>
            </w:r>
            <w:r>
              <w:rPr>
                <w:noProof/>
                <w:webHidden/>
              </w:rPr>
              <w:fldChar w:fldCharType="end"/>
            </w:r>
          </w:hyperlink>
        </w:p>
        <w:p w14:paraId="431AA710" w14:textId="3C85916D" w:rsidR="009C7E5A" w:rsidRDefault="009C7E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504991" w:history="1">
            <w:r w:rsidRPr="00F54A33">
              <w:rPr>
                <w:rStyle w:val="Hyperlink"/>
                <w:noProof/>
                <w:lang w:eastAsia="en-AU"/>
              </w:rPr>
              <w:t>Risk management plan</w:t>
            </w:r>
            <w:r>
              <w:rPr>
                <w:noProof/>
                <w:webHidden/>
              </w:rPr>
              <w:tab/>
            </w:r>
            <w:r>
              <w:rPr>
                <w:noProof/>
                <w:webHidden/>
              </w:rPr>
              <w:fldChar w:fldCharType="begin"/>
            </w:r>
            <w:r>
              <w:rPr>
                <w:noProof/>
                <w:webHidden/>
              </w:rPr>
              <w:instrText xml:space="preserve"> PAGEREF _Toc232504991 \h </w:instrText>
            </w:r>
            <w:r>
              <w:rPr>
                <w:noProof/>
                <w:webHidden/>
              </w:rPr>
            </w:r>
            <w:r>
              <w:rPr>
                <w:noProof/>
                <w:webHidden/>
              </w:rPr>
              <w:fldChar w:fldCharType="separate"/>
            </w:r>
            <w:r>
              <w:rPr>
                <w:noProof/>
                <w:webHidden/>
              </w:rPr>
              <w:t>31</w:t>
            </w:r>
            <w:r>
              <w:rPr>
                <w:noProof/>
                <w:webHidden/>
              </w:rPr>
              <w:fldChar w:fldCharType="end"/>
            </w:r>
          </w:hyperlink>
        </w:p>
        <w:p w14:paraId="7087E0D5" w14:textId="1B863060" w:rsidR="009C7E5A" w:rsidRDefault="009C7E5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504992" w:history="1">
            <w:r w:rsidRPr="00F54A33">
              <w:rPr>
                <w:rStyle w:val="Hyperlink"/>
                <w:noProof/>
              </w:rPr>
              <w:t>Risk-benefit analysis</w:t>
            </w:r>
            <w:r>
              <w:rPr>
                <w:noProof/>
                <w:webHidden/>
              </w:rPr>
              <w:tab/>
            </w:r>
            <w:r>
              <w:rPr>
                <w:noProof/>
                <w:webHidden/>
              </w:rPr>
              <w:fldChar w:fldCharType="begin"/>
            </w:r>
            <w:r>
              <w:rPr>
                <w:noProof/>
                <w:webHidden/>
              </w:rPr>
              <w:instrText xml:space="preserve"> PAGEREF _Toc232504992 \h </w:instrText>
            </w:r>
            <w:r>
              <w:rPr>
                <w:noProof/>
                <w:webHidden/>
              </w:rPr>
            </w:r>
            <w:r>
              <w:rPr>
                <w:noProof/>
                <w:webHidden/>
              </w:rPr>
              <w:fldChar w:fldCharType="separate"/>
            </w:r>
            <w:r>
              <w:rPr>
                <w:noProof/>
                <w:webHidden/>
              </w:rPr>
              <w:t>32</w:t>
            </w:r>
            <w:r>
              <w:rPr>
                <w:noProof/>
                <w:webHidden/>
              </w:rPr>
              <w:fldChar w:fldCharType="end"/>
            </w:r>
          </w:hyperlink>
        </w:p>
        <w:p w14:paraId="27C94B49" w14:textId="7B2E4C41"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93" w:history="1">
            <w:r w:rsidRPr="00F54A33">
              <w:rPr>
                <w:rStyle w:val="Hyperlink"/>
                <w:noProof/>
              </w:rPr>
              <w:t>Defining the condition</w:t>
            </w:r>
            <w:r>
              <w:rPr>
                <w:noProof/>
                <w:webHidden/>
              </w:rPr>
              <w:tab/>
            </w:r>
            <w:r>
              <w:rPr>
                <w:noProof/>
                <w:webHidden/>
              </w:rPr>
              <w:fldChar w:fldCharType="begin"/>
            </w:r>
            <w:r>
              <w:rPr>
                <w:noProof/>
                <w:webHidden/>
              </w:rPr>
              <w:instrText xml:space="preserve"> PAGEREF _Toc232504993 \h </w:instrText>
            </w:r>
            <w:r>
              <w:rPr>
                <w:noProof/>
                <w:webHidden/>
              </w:rPr>
            </w:r>
            <w:r>
              <w:rPr>
                <w:noProof/>
                <w:webHidden/>
              </w:rPr>
              <w:fldChar w:fldCharType="separate"/>
            </w:r>
            <w:r>
              <w:rPr>
                <w:noProof/>
                <w:webHidden/>
              </w:rPr>
              <w:t>32</w:t>
            </w:r>
            <w:r>
              <w:rPr>
                <w:noProof/>
                <w:webHidden/>
              </w:rPr>
              <w:fldChar w:fldCharType="end"/>
            </w:r>
          </w:hyperlink>
        </w:p>
        <w:p w14:paraId="7059E564" w14:textId="6C1AB6DC"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94" w:history="1">
            <w:r w:rsidRPr="00F54A33">
              <w:rPr>
                <w:rStyle w:val="Hyperlink"/>
                <w:noProof/>
              </w:rPr>
              <w:t>Indication</w:t>
            </w:r>
            <w:r>
              <w:rPr>
                <w:noProof/>
                <w:webHidden/>
              </w:rPr>
              <w:tab/>
            </w:r>
            <w:r>
              <w:rPr>
                <w:noProof/>
                <w:webHidden/>
              </w:rPr>
              <w:fldChar w:fldCharType="begin"/>
            </w:r>
            <w:r>
              <w:rPr>
                <w:noProof/>
                <w:webHidden/>
              </w:rPr>
              <w:instrText xml:space="preserve"> PAGEREF _Toc232504994 \h </w:instrText>
            </w:r>
            <w:r>
              <w:rPr>
                <w:noProof/>
                <w:webHidden/>
              </w:rPr>
            </w:r>
            <w:r>
              <w:rPr>
                <w:noProof/>
                <w:webHidden/>
              </w:rPr>
              <w:fldChar w:fldCharType="separate"/>
            </w:r>
            <w:r>
              <w:rPr>
                <w:noProof/>
                <w:webHidden/>
              </w:rPr>
              <w:t>33</w:t>
            </w:r>
            <w:r>
              <w:rPr>
                <w:noProof/>
                <w:webHidden/>
              </w:rPr>
              <w:fldChar w:fldCharType="end"/>
            </w:r>
          </w:hyperlink>
        </w:p>
        <w:p w14:paraId="43C21E2C" w14:textId="2F00116A"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95" w:history="1">
            <w:r w:rsidRPr="00F54A33">
              <w:rPr>
                <w:rStyle w:val="Hyperlink"/>
                <w:noProof/>
              </w:rPr>
              <w:t>Confirmatory study</w:t>
            </w:r>
            <w:r>
              <w:rPr>
                <w:noProof/>
                <w:webHidden/>
              </w:rPr>
              <w:tab/>
            </w:r>
            <w:r>
              <w:rPr>
                <w:noProof/>
                <w:webHidden/>
              </w:rPr>
              <w:fldChar w:fldCharType="begin"/>
            </w:r>
            <w:r>
              <w:rPr>
                <w:noProof/>
                <w:webHidden/>
              </w:rPr>
              <w:instrText xml:space="preserve"> PAGEREF _Toc232504995 \h </w:instrText>
            </w:r>
            <w:r>
              <w:rPr>
                <w:noProof/>
                <w:webHidden/>
              </w:rPr>
            </w:r>
            <w:r>
              <w:rPr>
                <w:noProof/>
                <w:webHidden/>
              </w:rPr>
              <w:fldChar w:fldCharType="separate"/>
            </w:r>
            <w:r>
              <w:rPr>
                <w:noProof/>
                <w:webHidden/>
              </w:rPr>
              <w:t>33</w:t>
            </w:r>
            <w:r>
              <w:rPr>
                <w:noProof/>
                <w:webHidden/>
              </w:rPr>
              <w:fldChar w:fldCharType="end"/>
            </w:r>
          </w:hyperlink>
        </w:p>
        <w:p w14:paraId="090C46BE" w14:textId="575B178D" w:rsidR="009C7E5A" w:rsidRDefault="009C7E5A">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2504996" w:history="1">
            <w:r w:rsidRPr="00F54A33">
              <w:rPr>
                <w:rStyle w:val="Hyperlink"/>
                <w:noProof/>
              </w:rPr>
              <w:t>Assessment outcome</w:t>
            </w:r>
            <w:r>
              <w:rPr>
                <w:noProof/>
                <w:webHidden/>
              </w:rPr>
              <w:tab/>
            </w:r>
            <w:r>
              <w:rPr>
                <w:noProof/>
                <w:webHidden/>
              </w:rPr>
              <w:fldChar w:fldCharType="begin"/>
            </w:r>
            <w:r>
              <w:rPr>
                <w:noProof/>
                <w:webHidden/>
              </w:rPr>
              <w:instrText xml:space="preserve"> PAGEREF _Toc232504996 \h </w:instrText>
            </w:r>
            <w:r>
              <w:rPr>
                <w:noProof/>
                <w:webHidden/>
              </w:rPr>
            </w:r>
            <w:r>
              <w:rPr>
                <w:noProof/>
                <w:webHidden/>
              </w:rPr>
              <w:fldChar w:fldCharType="separate"/>
            </w:r>
            <w:r>
              <w:rPr>
                <w:noProof/>
                <w:webHidden/>
              </w:rPr>
              <w:t>34</w:t>
            </w:r>
            <w:r>
              <w:rPr>
                <w:noProof/>
                <w:webHidden/>
              </w:rPr>
              <w:fldChar w:fldCharType="end"/>
            </w:r>
          </w:hyperlink>
        </w:p>
        <w:p w14:paraId="3702A8D0" w14:textId="030F3FA2" w:rsidR="009C7E5A" w:rsidRDefault="009C7E5A">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504997" w:history="1">
            <w:r w:rsidRPr="00F54A33">
              <w:rPr>
                <w:rStyle w:val="Hyperlink"/>
                <w:noProof/>
              </w:rPr>
              <w:t>Specific conditions of registration</w:t>
            </w:r>
            <w:r>
              <w:rPr>
                <w:noProof/>
                <w:webHidden/>
              </w:rPr>
              <w:tab/>
            </w:r>
            <w:r>
              <w:rPr>
                <w:noProof/>
                <w:webHidden/>
              </w:rPr>
              <w:fldChar w:fldCharType="begin"/>
            </w:r>
            <w:r>
              <w:rPr>
                <w:noProof/>
                <w:webHidden/>
              </w:rPr>
              <w:instrText xml:space="preserve"> PAGEREF _Toc232504997 \h </w:instrText>
            </w:r>
            <w:r>
              <w:rPr>
                <w:noProof/>
                <w:webHidden/>
              </w:rPr>
            </w:r>
            <w:r>
              <w:rPr>
                <w:noProof/>
                <w:webHidden/>
              </w:rPr>
              <w:fldChar w:fldCharType="separate"/>
            </w:r>
            <w:r>
              <w:rPr>
                <w:noProof/>
                <w:webHidden/>
              </w:rPr>
              <w:t>34</w:t>
            </w:r>
            <w:r>
              <w:rPr>
                <w:noProof/>
                <w:webHidden/>
              </w:rPr>
              <w:fldChar w:fldCharType="end"/>
            </w:r>
          </w:hyperlink>
        </w:p>
        <w:p w14:paraId="7C12F978" w14:textId="1D2B5C2F" w:rsidR="009C7E5A" w:rsidRDefault="009C7E5A">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2504998" w:history="1">
            <w:r w:rsidRPr="00F54A33">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_Toc232504998 \h </w:instrText>
            </w:r>
            <w:r>
              <w:rPr>
                <w:noProof/>
                <w:webHidden/>
              </w:rPr>
            </w:r>
            <w:r>
              <w:rPr>
                <w:noProof/>
                <w:webHidden/>
              </w:rPr>
              <w:fldChar w:fldCharType="separate"/>
            </w:r>
            <w:r>
              <w:rPr>
                <w:noProof/>
                <w:webHidden/>
              </w:rPr>
              <w:t>35</w:t>
            </w:r>
            <w:r>
              <w:rPr>
                <w:noProof/>
                <w:webHidden/>
              </w:rPr>
              <w:fldChar w:fldCharType="end"/>
            </w:r>
          </w:hyperlink>
        </w:p>
        <w:p w14:paraId="64FFD53B" w14:textId="7EF95C7D" w:rsidR="00E0481D" w:rsidRDefault="00F02AEC" w:rsidP="00E0481D">
          <w:r w:rsidRPr="00215D48">
            <w:fldChar w:fldCharType="end"/>
          </w:r>
        </w:p>
      </w:sdtContent>
    </w:sdt>
    <w:bookmarkStart w:id="0" w:name="_Toc98931917" w:displacedByCustomXml="prev"/>
    <w:bookmarkStart w:id="1" w:name="_Toc103679287" w:displacedByCustomXml="prev"/>
    <w:bookmarkStart w:id="2" w:name="_Toc323739589" w:displacedByCustomXml="prev"/>
    <w:bookmarkStart w:id="3" w:name="_Toc356305216" w:displacedByCustomXml="prev"/>
    <w:p w14:paraId="37520ABE" w14:textId="77777777" w:rsidR="00A13BFA" w:rsidRDefault="00A13BFA">
      <w:pPr>
        <w:rPr>
          <w:rFonts w:ascii="Arial" w:eastAsia="Times New Roman" w:hAnsi="Arial" w:cs="Times New Roman"/>
          <w:b/>
          <w:bCs/>
          <w:color w:val="001871"/>
          <w:sz w:val="38"/>
          <w:szCs w:val="38"/>
        </w:rPr>
      </w:pPr>
      <w:r>
        <w:br w:type="page"/>
      </w:r>
    </w:p>
    <w:p w14:paraId="1E73AB93" w14:textId="671BF9FB" w:rsidR="00324B33" w:rsidRDefault="00324B33" w:rsidP="00324B33">
      <w:pPr>
        <w:pStyle w:val="Heading2"/>
      </w:pPr>
      <w:bookmarkStart w:id="4" w:name="_Toc232504972"/>
      <w:r>
        <w:lastRenderedPageBreak/>
        <w:t>List of abbreviations</w:t>
      </w:r>
      <w:bookmarkEnd w:id="1"/>
      <w:bookmarkEnd w:id="0"/>
      <w:bookmarkEnd w:id="4"/>
    </w:p>
    <w:tbl>
      <w:tblPr>
        <w:tblStyle w:val="TableTGAblue2023"/>
        <w:tblW w:w="5000" w:type="pct"/>
        <w:tblLook w:val="04A0" w:firstRow="1" w:lastRow="0" w:firstColumn="1" w:lastColumn="0" w:noHBand="0" w:noVBand="1"/>
      </w:tblPr>
      <w:tblGrid>
        <w:gridCol w:w="2530"/>
        <w:gridCol w:w="6530"/>
      </w:tblGrid>
      <w:tr w:rsidR="00EE7FC7" w:rsidRPr="00D01DDB" w14:paraId="50ED6045" w14:textId="77777777" w:rsidTr="00DC76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396" w:type="pct"/>
          </w:tcPr>
          <w:p w14:paraId="3817B512" w14:textId="77777777" w:rsidR="00EE7FC7" w:rsidRPr="00D01DDB" w:rsidRDefault="00EE7FC7" w:rsidP="00DC7677">
            <w:pPr>
              <w:rPr>
                <w:szCs w:val="22"/>
              </w:rPr>
            </w:pPr>
            <w:r w:rsidRPr="00D01DDB">
              <w:rPr>
                <w:szCs w:val="22"/>
              </w:rPr>
              <w:t>Abbreviation</w:t>
            </w:r>
          </w:p>
        </w:tc>
        <w:tc>
          <w:tcPr>
            <w:tcW w:w="3604" w:type="pct"/>
          </w:tcPr>
          <w:p w14:paraId="008A33AF" w14:textId="77777777" w:rsidR="00EE7FC7" w:rsidRPr="00D01DDB" w:rsidRDefault="00EE7FC7" w:rsidP="00DC7677">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EE7FC7" w:rsidRPr="00D01DDB" w14:paraId="4B36BE89"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3D930A8A" w14:textId="77777777" w:rsidR="00EE7FC7" w:rsidRPr="00533B92" w:rsidRDefault="00EE7FC7" w:rsidP="00DC7677">
            <w:r>
              <w:t>ADA</w:t>
            </w:r>
          </w:p>
        </w:tc>
        <w:tc>
          <w:tcPr>
            <w:tcW w:w="3604" w:type="pct"/>
          </w:tcPr>
          <w:p w14:paraId="4D081C69" w14:textId="77777777" w:rsidR="00EE7FC7" w:rsidRPr="00533B92" w:rsidRDefault="00EE7FC7" w:rsidP="00DC7677">
            <w:pPr>
              <w:cnfStyle w:val="000000000000" w:firstRow="0" w:lastRow="0" w:firstColumn="0" w:lastColumn="0" w:oddVBand="0" w:evenVBand="0" w:oddHBand="0" w:evenHBand="0" w:firstRowFirstColumn="0" w:firstRowLastColumn="0" w:lastRowFirstColumn="0" w:lastRowLastColumn="0"/>
            </w:pPr>
            <w:r>
              <w:t>Anti-drug antibodies</w:t>
            </w:r>
          </w:p>
        </w:tc>
      </w:tr>
      <w:tr w:rsidR="00EE7FC7" w:rsidRPr="00D01DDB" w14:paraId="30C97C32"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0E38782C" w14:textId="6F4F14A4" w:rsidR="00EE7FC7" w:rsidRPr="00D01DDB" w:rsidRDefault="00EE7FC7" w:rsidP="00DC7677">
            <w:pPr>
              <w:rPr>
                <w:szCs w:val="22"/>
              </w:rPr>
            </w:pPr>
            <w:r w:rsidRPr="00533B92">
              <w:t>Ab</w:t>
            </w:r>
          </w:p>
        </w:tc>
        <w:tc>
          <w:tcPr>
            <w:tcW w:w="3604" w:type="pct"/>
          </w:tcPr>
          <w:p w14:paraId="2766E0C4" w14:textId="153ACA31" w:rsidR="00EE7FC7" w:rsidRPr="00D01DDB" w:rsidRDefault="00EE7FC7" w:rsidP="00DC7677">
            <w:pPr>
              <w:cnfStyle w:val="000000000000" w:firstRow="0" w:lastRow="0" w:firstColumn="0" w:lastColumn="0" w:oddVBand="0" w:evenVBand="0" w:oddHBand="0" w:evenHBand="0" w:firstRowFirstColumn="0" w:firstRowLastColumn="0" w:lastRowFirstColumn="0" w:lastRowLastColumn="0"/>
              <w:rPr>
                <w:szCs w:val="22"/>
              </w:rPr>
            </w:pPr>
            <w:r>
              <w:t>A</w:t>
            </w:r>
            <w:r w:rsidRPr="00533B92">
              <w:t>ntibody</w:t>
            </w:r>
          </w:p>
        </w:tc>
      </w:tr>
      <w:tr w:rsidR="00EE7FC7" w:rsidRPr="00D01DDB" w14:paraId="7BFA32BF"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3CAE5E75" w14:textId="77777777" w:rsidR="00EE7FC7" w:rsidRPr="00D01DDB" w:rsidRDefault="00EE7FC7" w:rsidP="00DC7677">
            <w:pPr>
              <w:rPr>
                <w:szCs w:val="22"/>
              </w:rPr>
            </w:pPr>
            <w:r w:rsidRPr="00D01DDB">
              <w:rPr>
                <w:szCs w:val="22"/>
              </w:rPr>
              <w:t>ARTG</w:t>
            </w:r>
          </w:p>
        </w:tc>
        <w:tc>
          <w:tcPr>
            <w:tcW w:w="3604" w:type="pct"/>
          </w:tcPr>
          <w:p w14:paraId="086A959C" w14:textId="77777777" w:rsidR="00EE7FC7" w:rsidRPr="00D01DDB" w:rsidRDefault="00EE7FC7" w:rsidP="00DC767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EE7FC7" w:rsidRPr="00D01DDB" w14:paraId="6863AE98"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4879C89D" w14:textId="34F85B32" w:rsidR="00EE7FC7" w:rsidRPr="00D01DDB" w:rsidRDefault="00EE7FC7" w:rsidP="00DC7677">
            <w:pPr>
              <w:rPr>
                <w:szCs w:val="22"/>
              </w:rPr>
            </w:pPr>
            <w:r w:rsidRPr="00C034EB">
              <w:t>ASCT</w:t>
            </w:r>
          </w:p>
        </w:tc>
        <w:tc>
          <w:tcPr>
            <w:tcW w:w="3604" w:type="pct"/>
          </w:tcPr>
          <w:p w14:paraId="0312195D" w14:textId="7BFD70A4" w:rsidR="00EE7FC7" w:rsidRPr="00D01DDB" w:rsidRDefault="00EE7FC7" w:rsidP="00DC7677">
            <w:pPr>
              <w:cnfStyle w:val="000000000000" w:firstRow="0" w:lastRow="0" w:firstColumn="0" w:lastColumn="0" w:oddVBand="0" w:evenVBand="0" w:oddHBand="0" w:evenHBand="0" w:firstRowFirstColumn="0" w:firstRowLastColumn="0" w:lastRowFirstColumn="0" w:lastRowLastColumn="0"/>
              <w:rPr>
                <w:szCs w:val="22"/>
              </w:rPr>
            </w:pPr>
            <w:r>
              <w:t>A</w:t>
            </w:r>
            <w:r w:rsidRPr="00C034EB">
              <w:t xml:space="preserve">utologous stem cell transplant </w:t>
            </w:r>
          </w:p>
        </w:tc>
      </w:tr>
      <w:tr w:rsidR="00EE7FC7" w:rsidRPr="00D01DDB" w14:paraId="254B3B0D"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532DE4B2" w14:textId="77777777" w:rsidR="00EE7FC7" w:rsidRPr="00C034EB" w:rsidRDefault="00EE7FC7" w:rsidP="00DC7677">
            <w:proofErr w:type="spellStart"/>
            <w:r>
              <w:t>C</w:t>
            </w:r>
            <w:r w:rsidRPr="00EE7FC7">
              <w:rPr>
                <w:vertAlign w:val="subscript"/>
              </w:rPr>
              <w:t>avg</w:t>
            </w:r>
            <w:proofErr w:type="spellEnd"/>
          </w:p>
        </w:tc>
        <w:tc>
          <w:tcPr>
            <w:tcW w:w="3604" w:type="pct"/>
          </w:tcPr>
          <w:p w14:paraId="22AB6B97" w14:textId="77777777" w:rsidR="00EE7FC7" w:rsidRPr="00C034EB" w:rsidRDefault="00EE7FC7" w:rsidP="00DC7677">
            <w:pPr>
              <w:cnfStyle w:val="000000000000" w:firstRow="0" w:lastRow="0" w:firstColumn="0" w:lastColumn="0" w:oddVBand="0" w:evenVBand="0" w:oddHBand="0" w:evenHBand="0" w:firstRowFirstColumn="0" w:firstRowLastColumn="0" w:lastRowFirstColumn="0" w:lastRowLastColumn="0"/>
            </w:pPr>
            <w:r>
              <w:t>Average concentration</w:t>
            </w:r>
          </w:p>
        </w:tc>
      </w:tr>
      <w:tr w:rsidR="00EE7FC7" w:rsidRPr="00D01DDB" w14:paraId="6F82E925"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5225283B" w14:textId="77777777" w:rsidR="00EE7FC7" w:rsidRPr="00C034EB" w:rsidRDefault="00EE7FC7" w:rsidP="00DC7677">
            <w:r>
              <w:t>CL</w:t>
            </w:r>
          </w:p>
        </w:tc>
        <w:tc>
          <w:tcPr>
            <w:tcW w:w="3604" w:type="pct"/>
          </w:tcPr>
          <w:p w14:paraId="76853659" w14:textId="77777777" w:rsidR="00EE7FC7" w:rsidRPr="00C034EB" w:rsidRDefault="00EE7FC7" w:rsidP="00DC7677">
            <w:pPr>
              <w:cnfStyle w:val="000000000000" w:firstRow="0" w:lastRow="0" w:firstColumn="0" w:lastColumn="0" w:oddVBand="0" w:evenVBand="0" w:oddHBand="0" w:evenHBand="0" w:firstRowFirstColumn="0" w:firstRowLastColumn="0" w:lastRowFirstColumn="0" w:lastRowLastColumn="0"/>
            </w:pPr>
            <w:r>
              <w:t>Clearance</w:t>
            </w:r>
          </w:p>
        </w:tc>
      </w:tr>
      <w:tr w:rsidR="00EE7FC7" w:rsidRPr="00D01DDB" w14:paraId="44ABB538"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0C37112D" w14:textId="77777777" w:rsidR="00EE7FC7" w:rsidRPr="00D01DDB" w:rsidRDefault="00EE7FC7" w:rsidP="00DC7677">
            <w:pPr>
              <w:rPr>
                <w:szCs w:val="22"/>
              </w:rPr>
            </w:pPr>
            <w:r w:rsidRPr="00D01DDB">
              <w:rPr>
                <w:szCs w:val="22"/>
              </w:rPr>
              <w:t>CMI</w:t>
            </w:r>
          </w:p>
        </w:tc>
        <w:tc>
          <w:tcPr>
            <w:tcW w:w="3604" w:type="pct"/>
          </w:tcPr>
          <w:p w14:paraId="379AB202" w14:textId="77777777" w:rsidR="00EE7FC7" w:rsidRPr="00D01DDB" w:rsidRDefault="00EE7FC7" w:rsidP="00DC767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EE7FC7" w:rsidRPr="00D01DDB" w14:paraId="682E3C6C"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0A53EB8E" w14:textId="4E853024" w:rsidR="00EE7FC7" w:rsidRPr="00D01DDB" w:rsidRDefault="00EE7FC7" w:rsidP="00DC7677">
            <w:pPr>
              <w:rPr>
                <w:szCs w:val="22"/>
              </w:rPr>
            </w:pPr>
            <w:r w:rsidRPr="0037417D">
              <w:t>CR</w:t>
            </w:r>
          </w:p>
        </w:tc>
        <w:tc>
          <w:tcPr>
            <w:tcW w:w="3604" w:type="pct"/>
          </w:tcPr>
          <w:p w14:paraId="508061A1" w14:textId="621007B8" w:rsidR="00EE7FC7" w:rsidRPr="00D01DDB" w:rsidRDefault="00EE7FC7" w:rsidP="00DC7677">
            <w:pPr>
              <w:cnfStyle w:val="000000000000" w:firstRow="0" w:lastRow="0" w:firstColumn="0" w:lastColumn="0" w:oddVBand="0" w:evenVBand="0" w:oddHBand="0" w:evenHBand="0" w:firstRowFirstColumn="0" w:firstRowLastColumn="0" w:lastRowFirstColumn="0" w:lastRowLastColumn="0"/>
              <w:rPr>
                <w:szCs w:val="22"/>
              </w:rPr>
            </w:pPr>
            <w:r>
              <w:t>C</w:t>
            </w:r>
            <w:r w:rsidRPr="0037417D">
              <w:t>omplete response</w:t>
            </w:r>
          </w:p>
        </w:tc>
      </w:tr>
      <w:tr w:rsidR="00EE7FC7" w:rsidRPr="00D01DDB" w14:paraId="64CF3E07"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50D0DA65" w14:textId="1C807A0D" w:rsidR="00EE7FC7" w:rsidRPr="0037417D" w:rsidRDefault="00EE7FC7" w:rsidP="00DC7677">
            <w:r w:rsidRPr="00E17D43">
              <w:t>CRR</w:t>
            </w:r>
          </w:p>
        </w:tc>
        <w:tc>
          <w:tcPr>
            <w:tcW w:w="3604" w:type="pct"/>
          </w:tcPr>
          <w:p w14:paraId="77572264" w14:textId="5676C499" w:rsidR="00EE7FC7" w:rsidRPr="0037417D" w:rsidRDefault="00EE7FC7" w:rsidP="00DC7677">
            <w:pPr>
              <w:cnfStyle w:val="000000000000" w:firstRow="0" w:lastRow="0" w:firstColumn="0" w:lastColumn="0" w:oddVBand="0" w:evenVBand="0" w:oddHBand="0" w:evenHBand="0" w:firstRowFirstColumn="0" w:firstRowLastColumn="0" w:lastRowFirstColumn="0" w:lastRowLastColumn="0"/>
            </w:pPr>
            <w:r>
              <w:t>C</w:t>
            </w:r>
            <w:r w:rsidRPr="00E17D43">
              <w:t>omplete response rate</w:t>
            </w:r>
          </w:p>
        </w:tc>
      </w:tr>
      <w:tr w:rsidR="00EE7FC7" w:rsidRPr="00D01DDB" w14:paraId="4571BA1A"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7D8B7B5D" w14:textId="3B8927C4" w:rsidR="00EE7FC7" w:rsidRPr="0037417D" w:rsidRDefault="00EE7FC7" w:rsidP="00DC7677">
            <w:r w:rsidRPr="00662212">
              <w:t>DCO</w:t>
            </w:r>
          </w:p>
        </w:tc>
        <w:tc>
          <w:tcPr>
            <w:tcW w:w="3604" w:type="pct"/>
          </w:tcPr>
          <w:p w14:paraId="6B08A368" w14:textId="04E9A7E5" w:rsidR="00EE7FC7" w:rsidRPr="0037417D" w:rsidRDefault="008B6021" w:rsidP="00DC7677">
            <w:pPr>
              <w:cnfStyle w:val="000000000000" w:firstRow="0" w:lastRow="0" w:firstColumn="0" w:lastColumn="0" w:oddVBand="0" w:evenVBand="0" w:oddHBand="0" w:evenHBand="0" w:firstRowFirstColumn="0" w:firstRowLastColumn="0" w:lastRowFirstColumn="0" w:lastRowLastColumn="0"/>
            </w:pPr>
            <w:r>
              <w:t>D</w:t>
            </w:r>
            <w:r w:rsidR="00EE7FC7" w:rsidRPr="00662212">
              <w:t>ata cut-off</w:t>
            </w:r>
          </w:p>
        </w:tc>
      </w:tr>
      <w:tr w:rsidR="00BF3359" w:rsidRPr="00D01DDB" w14:paraId="0C669352"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36FD51E2" w14:textId="65FB31DE" w:rsidR="00BF3359" w:rsidRPr="00D01DDB" w:rsidRDefault="00BF3359" w:rsidP="00BF3359">
            <w:pPr>
              <w:rPr>
                <w:szCs w:val="22"/>
              </w:rPr>
            </w:pPr>
            <w:r w:rsidRPr="00C20C10">
              <w:t>DLBC</w:t>
            </w:r>
          </w:p>
        </w:tc>
        <w:tc>
          <w:tcPr>
            <w:tcW w:w="3604" w:type="pct"/>
          </w:tcPr>
          <w:p w14:paraId="2F3B2E28" w14:textId="46FF34A0" w:rsidR="00BF3359" w:rsidRPr="00D01DDB" w:rsidRDefault="00BF3359" w:rsidP="00BF3359">
            <w:pPr>
              <w:cnfStyle w:val="000000000000" w:firstRow="0" w:lastRow="0" w:firstColumn="0" w:lastColumn="0" w:oddVBand="0" w:evenVBand="0" w:oddHBand="0" w:evenHBand="0" w:firstRowFirstColumn="0" w:firstRowLastColumn="0" w:lastRowFirstColumn="0" w:lastRowLastColumn="0"/>
              <w:rPr>
                <w:szCs w:val="22"/>
              </w:rPr>
            </w:pPr>
            <w:r w:rsidRPr="00C20C10">
              <w:t>Diffuse large B-cell lymphoma</w:t>
            </w:r>
          </w:p>
        </w:tc>
      </w:tr>
      <w:tr w:rsidR="00BF3359" w:rsidRPr="00D01DDB" w14:paraId="5961E8D6"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562E5BA6" w14:textId="77777777" w:rsidR="00BF3359" w:rsidRPr="00C20C10" w:rsidRDefault="00BF3359" w:rsidP="00BF3359">
            <w:r w:rsidRPr="00AF33A1">
              <w:t xml:space="preserve">ER </w:t>
            </w:r>
          </w:p>
        </w:tc>
        <w:tc>
          <w:tcPr>
            <w:tcW w:w="3604" w:type="pct"/>
          </w:tcPr>
          <w:p w14:paraId="4B7EC53F" w14:textId="77777777" w:rsidR="00BF3359" w:rsidRPr="00C20C10" w:rsidRDefault="00BF3359" w:rsidP="00BF3359">
            <w:pPr>
              <w:cnfStyle w:val="000000000000" w:firstRow="0" w:lastRow="0" w:firstColumn="0" w:lastColumn="0" w:oddVBand="0" w:evenVBand="0" w:oddHBand="0" w:evenHBand="0" w:firstRowFirstColumn="0" w:firstRowLastColumn="0" w:lastRowFirstColumn="0" w:lastRowLastColumn="0"/>
            </w:pPr>
            <w:r w:rsidRPr="00AF33A1">
              <w:t>E</w:t>
            </w:r>
            <w:r>
              <w:t>xposure-response</w:t>
            </w:r>
          </w:p>
        </w:tc>
      </w:tr>
      <w:tr w:rsidR="00BF3359" w:rsidRPr="00D01DDB" w14:paraId="171EB591"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587CCF35" w14:textId="200E6C8A" w:rsidR="00BF3359" w:rsidRPr="00D01932" w:rsidRDefault="00BF3359" w:rsidP="00BF3359">
            <w:r w:rsidRPr="00DD7D6C">
              <w:rPr>
                <w:iCs/>
              </w:rPr>
              <w:t>NHL</w:t>
            </w:r>
          </w:p>
        </w:tc>
        <w:tc>
          <w:tcPr>
            <w:tcW w:w="3604" w:type="pct"/>
          </w:tcPr>
          <w:p w14:paraId="4725FB18" w14:textId="032FD81F" w:rsidR="00BF3359" w:rsidRPr="00F71F24" w:rsidRDefault="00BF3359" w:rsidP="00BF3359">
            <w:pPr>
              <w:cnfStyle w:val="000000000000" w:firstRow="0" w:lastRow="0" w:firstColumn="0" w:lastColumn="0" w:oddVBand="0" w:evenVBand="0" w:oddHBand="0" w:evenHBand="0" w:firstRowFirstColumn="0" w:firstRowLastColumn="0" w:lastRowFirstColumn="0" w:lastRowLastColumn="0"/>
            </w:pPr>
            <w:r>
              <w:rPr>
                <w:iCs/>
              </w:rPr>
              <w:t>N</w:t>
            </w:r>
            <w:r w:rsidRPr="00DD7D6C">
              <w:rPr>
                <w:iCs/>
              </w:rPr>
              <w:t>on-Hodgkin lymphom</w:t>
            </w:r>
            <w:r>
              <w:rPr>
                <w:iCs/>
              </w:rPr>
              <w:t>a</w:t>
            </w:r>
          </w:p>
        </w:tc>
      </w:tr>
      <w:tr w:rsidR="00BF3359" w:rsidRPr="00D01DDB" w14:paraId="0572C189"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10283A18" w14:textId="505A6304" w:rsidR="00BF3359" w:rsidRPr="00DD7D6C" w:rsidRDefault="00BF3359" w:rsidP="00BF3359">
            <w:pPr>
              <w:rPr>
                <w:iCs/>
              </w:rPr>
            </w:pPr>
            <w:r w:rsidRPr="001971AF">
              <w:rPr>
                <w:iCs/>
              </w:rPr>
              <w:t>NOS</w:t>
            </w:r>
          </w:p>
        </w:tc>
        <w:tc>
          <w:tcPr>
            <w:tcW w:w="3604" w:type="pct"/>
          </w:tcPr>
          <w:p w14:paraId="724969F5" w14:textId="4ED3EA30" w:rsidR="00BF3359" w:rsidRPr="00DD7D6C" w:rsidRDefault="00BF3359" w:rsidP="00BF3359">
            <w:pPr>
              <w:tabs>
                <w:tab w:val="left" w:pos="3411"/>
              </w:tabs>
              <w:cnfStyle w:val="000000000000" w:firstRow="0" w:lastRow="0" w:firstColumn="0" w:lastColumn="0" w:oddVBand="0" w:evenVBand="0" w:oddHBand="0" w:evenHBand="0" w:firstRowFirstColumn="0" w:firstRowLastColumn="0" w:lastRowFirstColumn="0" w:lastRowLastColumn="0"/>
              <w:rPr>
                <w:iCs/>
              </w:rPr>
            </w:pPr>
            <w:r>
              <w:rPr>
                <w:iCs/>
              </w:rPr>
              <w:t>N</w:t>
            </w:r>
            <w:r w:rsidRPr="001971AF">
              <w:rPr>
                <w:iCs/>
              </w:rPr>
              <w:t>ot otherwise specified</w:t>
            </w:r>
          </w:p>
        </w:tc>
      </w:tr>
      <w:tr w:rsidR="00BF3359" w:rsidRPr="00D01DDB" w14:paraId="014AD258"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1E775D0B" w14:textId="5796A071" w:rsidR="00BF3359" w:rsidRPr="001971AF" w:rsidRDefault="00BF3359" w:rsidP="00BF3359">
            <w:pPr>
              <w:rPr>
                <w:iCs/>
              </w:rPr>
            </w:pPr>
            <w:r w:rsidRPr="00065FD7">
              <w:t>ORR</w:t>
            </w:r>
          </w:p>
        </w:tc>
        <w:tc>
          <w:tcPr>
            <w:tcW w:w="3604" w:type="pct"/>
          </w:tcPr>
          <w:p w14:paraId="64393248" w14:textId="5E24C60B" w:rsidR="00BF3359" w:rsidRPr="001971AF" w:rsidRDefault="00BF3359" w:rsidP="00BF3359">
            <w:pPr>
              <w:tabs>
                <w:tab w:val="left" w:pos="3411"/>
              </w:tabs>
              <w:cnfStyle w:val="000000000000" w:firstRow="0" w:lastRow="0" w:firstColumn="0" w:lastColumn="0" w:oddVBand="0" w:evenVBand="0" w:oddHBand="0" w:evenHBand="0" w:firstRowFirstColumn="0" w:firstRowLastColumn="0" w:lastRowFirstColumn="0" w:lastRowLastColumn="0"/>
              <w:rPr>
                <w:iCs/>
              </w:rPr>
            </w:pPr>
            <w:r>
              <w:t>O</w:t>
            </w:r>
            <w:r w:rsidRPr="00065FD7">
              <w:t>verall response rate</w:t>
            </w:r>
          </w:p>
        </w:tc>
      </w:tr>
      <w:tr w:rsidR="00BF3359" w:rsidRPr="00D01DDB" w14:paraId="4A09B0D8"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2E7439CF" w14:textId="77777777" w:rsidR="00BF3359" w:rsidRPr="00065FD7" w:rsidRDefault="00BF3359" w:rsidP="00BF3359">
            <w:r>
              <w:t>OS</w:t>
            </w:r>
          </w:p>
        </w:tc>
        <w:tc>
          <w:tcPr>
            <w:tcW w:w="3604" w:type="pct"/>
          </w:tcPr>
          <w:p w14:paraId="3BDA8AC0" w14:textId="77777777" w:rsidR="00BF3359" w:rsidRPr="00065FD7" w:rsidRDefault="00BF3359" w:rsidP="00BF3359">
            <w:pPr>
              <w:tabs>
                <w:tab w:val="left" w:pos="3411"/>
              </w:tabs>
              <w:cnfStyle w:val="000000000000" w:firstRow="0" w:lastRow="0" w:firstColumn="0" w:lastColumn="0" w:oddVBand="0" w:evenVBand="0" w:oddHBand="0" w:evenHBand="0" w:firstRowFirstColumn="0" w:firstRowLastColumn="0" w:lastRowFirstColumn="0" w:lastRowLastColumn="0"/>
            </w:pPr>
            <w:r>
              <w:t>Overall survival</w:t>
            </w:r>
          </w:p>
        </w:tc>
      </w:tr>
      <w:tr w:rsidR="00BF3359" w:rsidRPr="00D01DDB" w14:paraId="32CDC15D"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70D21C64" w14:textId="61725B40" w:rsidR="00BF3359" w:rsidRPr="00065FD7" w:rsidRDefault="00BF3359" w:rsidP="00BF3359">
            <w:r w:rsidRPr="00C33664">
              <w:t>PR</w:t>
            </w:r>
          </w:p>
        </w:tc>
        <w:tc>
          <w:tcPr>
            <w:tcW w:w="3604" w:type="pct"/>
          </w:tcPr>
          <w:p w14:paraId="479824EF" w14:textId="759D9E78" w:rsidR="00BF3359" w:rsidRPr="00065FD7" w:rsidRDefault="00BF3359" w:rsidP="00BF3359">
            <w:pPr>
              <w:tabs>
                <w:tab w:val="left" w:pos="3411"/>
              </w:tabs>
              <w:cnfStyle w:val="000000000000" w:firstRow="0" w:lastRow="0" w:firstColumn="0" w:lastColumn="0" w:oddVBand="0" w:evenVBand="0" w:oddHBand="0" w:evenHBand="0" w:firstRowFirstColumn="0" w:firstRowLastColumn="0" w:lastRowFirstColumn="0" w:lastRowLastColumn="0"/>
            </w:pPr>
            <w:r>
              <w:t>P</w:t>
            </w:r>
            <w:r w:rsidRPr="00C33664">
              <w:t>artial response</w:t>
            </w:r>
          </w:p>
        </w:tc>
      </w:tr>
      <w:tr w:rsidR="00BF3359" w:rsidRPr="00D01DDB" w14:paraId="26000C39"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1A7FCCC7" w14:textId="2B863AB1" w:rsidR="00BF3359" w:rsidRPr="00C33664" w:rsidRDefault="00BF3359" w:rsidP="00BF3359">
            <w:r w:rsidRPr="003E5F53">
              <w:t>PK</w:t>
            </w:r>
          </w:p>
        </w:tc>
        <w:tc>
          <w:tcPr>
            <w:tcW w:w="3604" w:type="pct"/>
          </w:tcPr>
          <w:p w14:paraId="33DFA66A" w14:textId="0E5F58C2" w:rsidR="00BF3359" w:rsidRPr="00C33664" w:rsidRDefault="00BF3359" w:rsidP="00BF3359">
            <w:pPr>
              <w:tabs>
                <w:tab w:val="left" w:pos="3411"/>
              </w:tabs>
              <w:cnfStyle w:val="000000000000" w:firstRow="0" w:lastRow="0" w:firstColumn="0" w:lastColumn="0" w:oddVBand="0" w:evenVBand="0" w:oddHBand="0" w:evenHBand="0" w:firstRowFirstColumn="0" w:firstRowLastColumn="0" w:lastRowFirstColumn="0" w:lastRowLastColumn="0"/>
            </w:pPr>
            <w:r>
              <w:t>P</w:t>
            </w:r>
            <w:r w:rsidRPr="003E5F53">
              <w:t>harmacokinetics</w:t>
            </w:r>
          </w:p>
        </w:tc>
      </w:tr>
      <w:tr w:rsidR="00BF3359" w:rsidRPr="00D01DDB" w14:paraId="2211CC8F"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6AE1A6C5" w14:textId="3850CFAD" w:rsidR="00BF3359" w:rsidRPr="001971AF" w:rsidRDefault="00BF3359" w:rsidP="00BF3359">
            <w:pPr>
              <w:rPr>
                <w:iCs/>
              </w:rPr>
            </w:pPr>
            <w:r w:rsidRPr="004E6035">
              <w:t>PBD</w:t>
            </w:r>
          </w:p>
        </w:tc>
        <w:tc>
          <w:tcPr>
            <w:tcW w:w="3604" w:type="pct"/>
          </w:tcPr>
          <w:p w14:paraId="6DC7B904" w14:textId="39219DF7" w:rsidR="00BF3359" w:rsidRPr="001971AF" w:rsidRDefault="00BF3359" w:rsidP="00BF3359">
            <w:pPr>
              <w:cnfStyle w:val="000000000000" w:firstRow="0" w:lastRow="0" w:firstColumn="0" w:lastColumn="0" w:oddVBand="0" w:evenVBand="0" w:oddHBand="0" w:evenHBand="0" w:firstRowFirstColumn="0" w:firstRowLastColumn="0" w:lastRowFirstColumn="0" w:lastRowLastColumn="0"/>
              <w:rPr>
                <w:iCs/>
              </w:rPr>
            </w:pPr>
            <w:proofErr w:type="spellStart"/>
            <w:r>
              <w:t>P</w:t>
            </w:r>
            <w:r w:rsidRPr="004E6035">
              <w:t>yrrolobenzodiazepin</w:t>
            </w:r>
            <w:r>
              <w:t>e</w:t>
            </w:r>
            <w:proofErr w:type="spellEnd"/>
          </w:p>
        </w:tc>
      </w:tr>
      <w:tr w:rsidR="00BF3359" w:rsidRPr="00D01DDB" w14:paraId="305F2919"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1FE15867" w14:textId="77777777" w:rsidR="00BF3359" w:rsidRPr="00D01DDB" w:rsidRDefault="00BF3359" w:rsidP="00BF3359">
            <w:pPr>
              <w:rPr>
                <w:szCs w:val="22"/>
              </w:rPr>
            </w:pPr>
            <w:r w:rsidRPr="00D01DDB">
              <w:rPr>
                <w:szCs w:val="22"/>
              </w:rPr>
              <w:t>PI</w:t>
            </w:r>
          </w:p>
        </w:tc>
        <w:tc>
          <w:tcPr>
            <w:tcW w:w="3604" w:type="pct"/>
          </w:tcPr>
          <w:p w14:paraId="230921B7" w14:textId="77777777" w:rsidR="00BF3359" w:rsidRPr="00D01DDB" w:rsidRDefault="00BF3359" w:rsidP="00BF335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BF3359" w:rsidRPr="00D01DDB" w14:paraId="06E1F53D"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4DB85FB9" w14:textId="77777777" w:rsidR="00BF3359" w:rsidRPr="00D01DDB" w:rsidRDefault="00BF3359" w:rsidP="00BF3359">
            <w:pPr>
              <w:rPr>
                <w:szCs w:val="22"/>
              </w:rPr>
            </w:pPr>
            <w:r w:rsidRPr="00D01DDB">
              <w:rPr>
                <w:szCs w:val="22"/>
              </w:rPr>
              <w:t>PSUR</w:t>
            </w:r>
          </w:p>
        </w:tc>
        <w:tc>
          <w:tcPr>
            <w:tcW w:w="3604" w:type="pct"/>
          </w:tcPr>
          <w:p w14:paraId="353D2C87" w14:textId="77777777" w:rsidR="00BF3359" w:rsidRPr="00D01DDB" w:rsidRDefault="00BF3359" w:rsidP="00BF335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BF3359" w:rsidRPr="00D01DDB" w14:paraId="570E8531"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2589CF7F" w14:textId="30C03335" w:rsidR="00BF3359" w:rsidRPr="00D01DDB" w:rsidRDefault="00BF3359" w:rsidP="00BF3359">
            <w:pPr>
              <w:rPr>
                <w:szCs w:val="22"/>
              </w:rPr>
            </w:pPr>
            <w:r w:rsidRPr="00861D9B">
              <w:t xml:space="preserve">Q3W </w:t>
            </w:r>
          </w:p>
        </w:tc>
        <w:tc>
          <w:tcPr>
            <w:tcW w:w="3604" w:type="pct"/>
          </w:tcPr>
          <w:p w14:paraId="32EA06AA" w14:textId="0790CF0D" w:rsidR="00BF3359" w:rsidRPr="00D01DDB" w:rsidRDefault="00BF3359" w:rsidP="00BF3359">
            <w:pPr>
              <w:cnfStyle w:val="000000000000" w:firstRow="0" w:lastRow="0" w:firstColumn="0" w:lastColumn="0" w:oddVBand="0" w:evenVBand="0" w:oddHBand="0" w:evenHBand="0" w:firstRowFirstColumn="0" w:firstRowLastColumn="0" w:lastRowFirstColumn="0" w:lastRowLastColumn="0"/>
              <w:rPr>
                <w:szCs w:val="22"/>
              </w:rPr>
            </w:pPr>
            <w:r>
              <w:t xml:space="preserve">Dosing </w:t>
            </w:r>
            <w:r w:rsidRPr="00861D9B">
              <w:t>every 3 weeks</w:t>
            </w:r>
          </w:p>
        </w:tc>
      </w:tr>
      <w:tr w:rsidR="00BF3359" w:rsidRPr="00D01DDB" w14:paraId="7A1F5551"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6318960B" w14:textId="77777777" w:rsidR="00BF3359" w:rsidRPr="00D01DDB" w:rsidRDefault="00BF3359" w:rsidP="00BF3359">
            <w:pPr>
              <w:rPr>
                <w:szCs w:val="22"/>
              </w:rPr>
            </w:pPr>
            <w:r w:rsidRPr="00D01DDB">
              <w:rPr>
                <w:szCs w:val="22"/>
              </w:rPr>
              <w:t>RMP</w:t>
            </w:r>
          </w:p>
        </w:tc>
        <w:tc>
          <w:tcPr>
            <w:tcW w:w="3604" w:type="pct"/>
          </w:tcPr>
          <w:p w14:paraId="41411DC1" w14:textId="77777777" w:rsidR="00BF3359" w:rsidRPr="00D01DDB" w:rsidRDefault="00BF3359" w:rsidP="00BF335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BF3359" w:rsidRPr="00D01DDB" w14:paraId="49EDE779"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1F190D52" w14:textId="646B43E6" w:rsidR="00BF3359" w:rsidRPr="00D01DDB" w:rsidRDefault="00BF3359" w:rsidP="00BF3359">
            <w:pPr>
              <w:rPr>
                <w:szCs w:val="22"/>
              </w:rPr>
            </w:pPr>
            <w:r w:rsidRPr="00401798">
              <w:t>TEAEs</w:t>
            </w:r>
          </w:p>
        </w:tc>
        <w:tc>
          <w:tcPr>
            <w:tcW w:w="3604" w:type="pct"/>
          </w:tcPr>
          <w:p w14:paraId="1F20D73C" w14:textId="4505E577" w:rsidR="00BF3359" w:rsidRPr="00D01DDB" w:rsidRDefault="00BF3359" w:rsidP="00BF3359">
            <w:pPr>
              <w:cnfStyle w:val="000000000000" w:firstRow="0" w:lastRow="0" w:firstColumn="0" w:lastColumn="0" w:oddVBand="0" w:evenVBand="0" w:oddHBand="0" w:evenHBand="0" w:firstRowFirstColumn="0" w:firstRowLastColumn="0" w:lastRowFirstColumn="0" w:lastRowLastColumn="0"/>
              <w:rPr>
                <w:szCs w:val="22"/>
              </w:rPr>
            </w:pPr>
            <w:r>
              <w:t>T</w:t>
            </w:r>
            <w:r w:rsidRPr="00401798">
              <w:t>reatment-emergent adverse events</w:t>
            </w:r>
          </w:p>
        </w:tc>
      </w:tr>
      <w:tr w:rsidR="00BF3359" w:rsidRPr="00D01DDB" w14:paraId="6250A292" w14:textId="77777777" w:rsidTr="00DC7677">
        <w:trPr>
          <w:trHeight w:val="386"/>
        </w:trPr>
        <w:tc>
          <w:tcPr>
            <w:cnfStyle w:val="001000000000" w:firstRow="0" w:lastRow="0" w:firstColumn="1" w:lastColumn="0" w:oddVBand="0" w:evenVBand="0" w:oddHBand="0" w:evenHBand="0" w:firstRowFirstColumn="0" w:firstRowLastColumn="0" w:lastRowFirstColumn="0" w:lastRowLastColumn="0"/>
            <w:tcW w:w="1396" w:type="pct"/>
          </w:tcPr>
          <w:p w14:paraId="46D5DC28" w14:textId="77777777" w:rsidR="00BF3359" w:rsidRPr="00D01DDB" w:rsidRDefault="00BF3359" w:rsidP="00BF3359">
            <w:pPr>
              <w:rPr>
                <w:szCs w:val="22"/>
              </w:rPr>
            </w:pPr>
            <w:r w:rsidRPr="00D01DDB">
              <w:rPr>
                <w:szCs w:val="22"/>
              </w:rPr>
              <w:t>TGA</w:t>
            </w:r>
          </w:p>
        </w:tc>
        <w:tc>
          <w:tcPr>
            <w:tcW w:w="3604" w:type="pct"/>
          </w:tcPr>
          <w:p w14:paraId="156BC426" w14:textId="77777777" w:rsidR="00BF3359" w:rsidRPr="00D01DDB" w:rsidRDefault="00BF3359" w:rsidP="00BF335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32504973"/>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32504974"/>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3543"/>
        <w:gridCol w:w="5527"/>
      </w:tblGrid>
      <w:tr w:rsidR="00324B33" w:rsidRPr="00BD5DBD" w14:paraId="77D11C95" w14:textId="77777777" w:rsidTr="009C7E5A">
        <w:tc>
          <w:tcPr>
            <w:tcW w:w="1953" w:type="pct"/>
          </w:tcPr>
          <w:p w14:paraId="10E57D62" w14:textId="13728BD6" w:rsidR="00324B33" w:rsidRPr="00BD5DBD" w:rsidRDefault="00324B33" w:rsidP="007452E8">
            <w:pPr>
              <w:rPr>
                <w:i/>
                <w:szCs w:val="22"/>
              </w:rPr>
            </w:pPr>
            <w:r w:rsidRPr="00BD5DBD">
              <w:rPr>
                <w:i/>
                <w:szCs w:val="22"/>
              </w:rPr>
              <w:t>Type of submission:</w:t>
            </w:r>
          </w:p>
        </w:tc>
        <w:tc>
          <w:tcPr>
            <w:tcW w:w="3047" w:type="pct"/>
          </w:tcPr>
          <w:p w14:paraId="4F07C303" w14:textId="42AE557B" w:rsidR="00324B33" w:rsidRPr="00BD5DBD" w:rsidRDefault="003302FF" w:rsidP="007452E8">
            <w:pPr>
              <w:rPr>
                <w:szCs w:val="22"/>
              </w:rPr>
            </w:pPr>
            <w:r>
              <w:rPr>
                <w:szCs w:val="22"/>
              </w:rPr>
              <w:t>New biological entity</w:t>
            </w:r>
          </w:p>
        </w:tc>
      </w:tr>
      <w:tr w:rsidR="00324B33" w:rsidRPr="00BD5DBD" w14:paraId="13482B61" w14:textId="77777777" w:rsidTr="009C7E5A">
        <w:tc>
          <w:tcPr>
            <w:tcW w:w="1953" w:type="pct"/>
          </w:tcPr>
          <w:p w14:paraId="2C427FCF" w14:textId="33F8F22E" w:rsidR="00324B33" w:rsidRPr="00BD5DBD" w:rsidRDefault="00324B33" w:rsidP="007452E8">
            <w:pPr>
              <w:rPr>
                <w:i/>
                <w:szCs w:val="22"/>
              </w:rPr>
            </w:pPr>
            <w:r w:rsidRPr="00BD5DBD">
              <w:rPr>
                <w:i/>
                <w:szCs w:val="22"/>
              </w:rPr>
              <w:t>Product name:</w:t>
            </w:r>
          </w:p>
        </w:tc>
        <w:tc>
          <w:tcPr>
            <w:tcW w:w="3047" w:type="pct"/>
          </w:tcPr>
          <w:p w14:paraId="0E2DEF76" w14:textId="504B171F" w:rsidR="00324B33" w:rsidRPr="00BD5DBD" w:rsidRDefault="0036009D" w:rsidP="007452E8">
            <w:pPr>
              <w:rPr>
                <w:szCs w:val="22"/>
              </w:rPr>
            </w:pPr>
            <w:r>
              <w:rPr>
                <w:szCs w:val="22"/>
              </w:rPr>
              <w:t>Zynlonta</w:t>
            </w:r>
          </w:p>
        </w:tc>
      </w:tr>
      <w:tr w:rsidR="00324B33" w:rsidRPr="00BD5DBD" w14:paraId="01255B5B" w14:textId="77777777" w:rsidTr="009C7E5A">
        <w:tc>
          <w:tcPr>
            <w:tcW w:w="1953" w:type="pct"/>
          </w:tcPr>
          <w:p w14:paraId="52B4F3D7" w14:textId="3F7DAA91" w:rsidR="00324B33" w:rsidRPr="00BD5DBD" w:rsidRDefault="00324B33" w:rsidP="007452E8">
            <w:pPr>
              <w:rPr>
                <w:i/>
                <w:szCs w:val="22"/>
              </w:rPr>
            </w:pPr>
            <w:r w:rsidRPr="00BD5DBD">
              <w:rPr>
                <w:i/>
                <w:szCs w:val="22"/>
              </w:rPr>
              <w:t>Active ingredient:</w:t>
            </w:r>
          </w:p>
        </w:tc>
        <w:tc>
          <w:tcPr>
            <w:tcW w:w="3047" w:type="pct"/>
          </w:tcPr>
          <w:p w14:paraId="02FB6383" w14:textId="03F388F1" w:rsidR="00324B33" w:rsidRPr="00BD5DBD" w:rsidRDefault="002B2A53" w:rsidP="007452E8">
            <w:pPr>
              <w:rPr>
                <w:szCs w:val="22"/>
              </w:rPr>
            </w:pPr>
            <w:r w:rsidRPr="002B2A53">
              <w:rPr>
                <w:szCs w:val="22"/>
              </w:rPr>
              <w:t>loncastuximab tesirine</w:t>
            </w:r>
          </w:p>
        </w:tc>
      </w:tr>
      <w:tr w:rsidR="00324B33" w:rsidRPr="00BD5DBD" w14:paraId="219A281B" w14:textId="77777777" w:rsidTr="009C7E5A">
        <w:tc>
          <w:tcPr>
            <w:tcW w:w="1953" w:type="pct"/>
          </w:tcPr>
          <w:p w14:paraId="112E5F78" w14:textId="77777777" w:rsidR="00324B33" w:rsidRPr="00BD5DBD" w:rsidRDefault="00324B33" w:rsidP="007452E8">
            <w:pPr>
              <w:rPr>
                <w:i/>
                <w:szCs w:val="22"/>
              </w:rPr>
            </w:pPr>
            <w:r w:rsidRPr="00BD5DBD">
              <w:rPr>
                <w:i/>
                <w:szCs w:val="22"/>
              </w:rPr>
              <w:t>Decision:</w:t>
            </w:r>
          </w:p>
        </w:tc>
        <w:tc>
          <w:tcPr>
            <w:tcW w:w="3047" w:type="pct"/>
          </w:tcPr>
          <w:p w14:paraId="3B114BEA" w14:textId="19C96392" w:rsidR="00324B33" w:rsidRPr="00BD5DBD" w:rsidRDefault="00324B33" w:rsidP="007452E8">
            <w:pPr>
              <w:rPr>
                <w:szCs w:val="22"/>
              </w:rPr>
            </w:pPr>
            <w:r w:rsidRPr="00BD5DBD">
              <w:rPr>
                <w:szCs w:val="22"/>
              </w:rPr>
              <w:t>Approved</w:t>
            </w:r>
          </w:p>
        </w:tc>
      </w:tr>
      <w:tr w:rsidR="00AE1947" w:rsidRPr="00BD5DBD" w14:paraId="32B72632" w14:textId="77777777" w:rsidTr="009C7E5A">
        <w:tc>
          <w:tcPr>
            <w:tcW w:w="1953" w:type="pct"/>
          </w:tcPr>
          <w:p w14:paraId="332A5CD5" w14:textId="65682B5F" w:rsidR="00AE1947" w:rsidRPr="00BD5DBD" w:rsidRDefault="00AE1947" w:rsidP="007F1E37">
            <w:r w:rsidRPr="00BD5DBD">
              <w:rPr>
                <w:i/>
                <w:szCs w:val="22"/>
              </w:rPr>
              <w:t>Date of decision:</w:t>
            </w:r>
          </w:p>
        </w:tc>
        <w:tc>
          <w:tcPr>
            <w:tcW w:w="3047" w:type="pct"/>
          </w:tcPr>
          <w:p w14:paraId="7B381CD6" w14:textId="563A0AD7" w:rsidR="00AE1947" w:rsidRPr="00BD5DBD" w:rsidRDefault="0094402A" w:rsidP="00DC7677">
            <w:pPr>
              <w:rPr>
                <w:szCs w:val="22"/>
              </w:rPr>
            </w:pPr>
            <w:r>
              <w:rPr>
                <w:szCs w:val="22"/>
              </w:rPr>
              <w:t>9 April 2026</w:t>
            </w:r>
          </w:p>
        </w:tc>
      </w:tr>
      <w:tr w:rsidR="004A20BC" w:rsidRPr="00BD5DBD" w14:paraId="1BD35D08" w14:textId="77777777" w:rsidTr="009C7E5A">
        <w:tc>
          <w:tcPr>
            <w:tcW w:w="1953" w:type="pct"/>
          </w:tcPr>
          <w:p w14:paraId="33570637" w14:textId="296FA222" w:rsidR="004A20BC" w:rsidRPr="00BD5DBD" w:rsidRDefault="004A20BC" w:rsidP="007F1E37">
            <w:pPr>
              <w:rPr>
                <w:i/>
                <w:szCs w:val="22"/>
              </w:rPr>
            </w:pPr>
            <w:r w:rsidRPr="004A20BC">
              <w:rPr>
                <w:i/>
                <w:szCs w:val="22"/>
              </w:rPr>
              <w:t>Approved therapeutic use for the current submission:</w:t>
            </w:r>
          </w:p>
        </w:tc>
        <w:tc>
          <w:tcPr>
            <w:tcW w:w="3047" w:type="pct"/>
          </w:tcPr>
          <w:p w14:paraId="14FDAE05" w14:textId="2BD17928" w:rsidR="002E6280" w:rsidRPr="002E6280" w:rsidRDefault="0036009D" w:rsidP="002E6280">
            <w:pPr>
              <w:rPr>
                <w:szCs w:val="22"/>
              </w:rPr>
            </w:pPr>
            <w:r>
              <w:rPr>
                <w:szCs w:val="22"/>
              </w:rPr>
              <w:t>Zynlonta</w:t>
            </w:r>
            <w:r w:rsidR="002E6280" w:rsidRPr="002E6280">
              <w:rPr>
                <w:szCs w:val="22"/>
              </w:rPr>
              <w:t xml:space="preserve"> monotherapy is provisionally approved for the treatment of adult patients with relapsed or refractory diffuse large B-cell lymphoma after two or more lines of systemic therapy.</w:t>
            </w:r>
          </w:p>
          <w:p w14:paraId="6309AAB7" w14:textId="0DDCB4B6" w:rsidR="002E6280" w:rsidRPr="002E6280" w:rsidRDefault="0036009D" w:rsidP="002E6280">
            <w:pPr>
              <w:rPr>
                <w:szCs w:val="22"/>
              </w:rPr>
            </w:pPr>
            <w:r>
              <w:rPr>
                <w:szCs w:val="22"/>
              </w:rPr>
              <w:t>Zynlonta</w:t>
            </w:r>
            <w:r w:rsidR="002E6280" w:rsidRPr="002E6280">
              <w:rPr>
                <w:szCs w:val="22"/>
              </w:rPr>
              <w:t xml:space="preserve"> is not indicated for patients with primary central nervous system lymphoma.</w:t>
            </w:r>
          </w:p>
          <w:p w14:paraId="2C96449F" w14:textId="04E71177" w:rsidR="004A20BC" w:rsidRPr="00BD5DBD" w:rsidRDefault="002E6280" w:rsidP="002E6280">
            <w:pPr>
              <w:rPr>
                <w:szCs w:val="22"/>
              </w:rPr>
            </w:pPr>
            <w:r w:rsidRPr="002E6280">
              <w:rPr>
                <w:szCs w:val="22"/>
              </w:rPr>
              <w:t>The decision to approve this indication has been granted on the results from an open-label, uncontrolled Phase 2 study based on the overall response rate. Continued approval of this indication depends on verification and description of benefit in confirmatory trials.</w:t>
            </w:r>
          </w:p>
        </w:tc>
      </w:tr>
      <w:tr w:rsidR="00324B33" w:rsidRPr="00BD5DBD" w14:paraId="60A25F5A" w14:textId="77777777" w:rsidTr="009C7E5A">
        <w:tc>
          <w:tcPr>
            <w:tcW w:w="1953" w:type="pct"/>
          </w:tcPr>
          <w:p w14:paraId="5C5E4CBA" w14:textId="77777777" w:rsidR="00324B33" w:rsidRPr="00BD5DBD" w:rsidRDefault="00324B33" w:rsidP="007452E8">
            <w:pPr>
              <w:rPr>
                <w:i/>
                <w:szCs w:val="22"/>
              </w:rPr>
            </w:pPr>
            <w:r w:rsidRPr="00BD5DBD">
              <w:rPr>
                <w:i/>
                <w:szCs w:val="22"/>
              </w:rPr>
              <w:t>Date of entry onto ARTG:</w:t>
            </w:r>
          </w:p>
        </w:tc>
        <w:tc>
          <w:tcPr>
            <w:tcW w:w="3047" w:type="pct"/>
          </w:tcPr>
          <w:p w14:paraId="28B270E9" w14:textId="10DC83B7" w:rsidR="00324B33" w:rsidRPr="00BD5DBD" w:rsidRDefault="002C36F2" w:rsidP="007452E8">
            <w:pPr>
              <w:rPr>
                <w:szCs w:val="22"/>
              </w:rPr>
            </w:pPr>
            <w:r>
              <w:rPr>
                <w:szCs w:val="22"/>
              </w:rPr>
              <w:t>13 April 2026</w:t>
            </w:r>
          </w:p>
        </w:tc>
      </w:tr>
      <w:tr w:rsidR="00324B33" w:rsidRPr="00BD5DBD" w14:paraId="547E08D7" w14:textId="77777777" w:rsidTr="009C7E5A">
        <w:tc>
          <w:tcPr>
            <w:tcW w:w="1953" w:type="pct"/>
          </w:tcPr>
          <w:p w14:paraId="5030EF30" w14:textId="5B9E9D1A" w:rsidR="00324B33" w:rsidRPr="00BD5DBD" w:rsidRDefault="00324B33" w:rsidP="007452E8">
            <w:pPr>
              <w:rPr>
                <w:i/>
                <w:szCs w:val="22"/>
              </w:rPr>
            </w:pPr>
            <w:r w:rsidRPr="00BD5DBD">
              <w:rPr>
                <w:i/>
                <w:szCs w:val="22"/>
              </w:rPr>
              <w:t>ARTG number:</w:t>
            </w:r>
          </w:p>
        </w:tc>
        <w:tc>
          <w:tcPr>
            <w:tcW w:w="3047" w:type="pct"/>
          </w:tcPr>
          <w:p w14:paraId="0054E912" w14:textId="12B62AA6" w:rsidR="00324B33" w:rsidRPr="00BD5DBD" w:rsidRDefault="00E81BAF" w:rsidP="007452E8">
            <w:pPr>
              <w:rPr>
                <w:szCs w:val="22"/>
              </w:rPr>
            </w:pPr>
            <w:hyperlink r:id="rId20" w:history="1">
              <w:r w:rsidRPr="00E81BAF">
                <w:rPr>
                  <w:rStyle w:val="Hyperlink"/>
                  <w:szCs w:val="22"/>
                </w:rPr>
                <w:t>481165</w:t>
              </w:r>
            </w:hyperlink>
          </w:p>
        </w:tc>
      </w:tr>
      <w:tr w:rsidR="00324B33" w:rsidRPr="00BD5DBD" w14:paraId="7618393F" w14:textId="77777777" w:rsidTr="009C7E5A">
        <w:tc>
          <w:tcPr>
            <w:tcW w:w="1953" w:type="pct"/>
          </w:tcPr>
          <w:p w14:paraId="02260DE2" w14:textId="193007BD" w:rsidR="00324B33" w:rsidRPr="00BD5DBD" w:rsidRDefault="00324B33" w:rsidP="007E4FF8">
            <w:pPr>
              <w:rPr>
                <w:i/>
                <w:szCs w:val="22"/>
              </w:rPr>
            </w:pPr>
            <w:r w:rsidRPr="00BD5DBD">
              <w:rPr>
                <w:rFonts w:ascii="Wingdings 3" w:hAnsi="Wingdings 3"/>
                <w:szCs w:val="22"/>
                <w:lang w:eastAsia="en-AU"/>
              </w:rPr>
              <w:t></w:t>
            </w:r>
            <w:hyperlink r:id="rId21" w:history="1">
              <w:r w:rsidRPr="00BD5DBD">
                <w:rPr>
                  <w:rStyle w:val="Hyperlink"/>
                  <w:i/>
                  <w:szCs w:val="22"/>
                </w:rPr>
                <w:t>Black Triangle Scheme</w:t>
              </w:r>
            </w:hyperlink>
          </w:p>
        </w:tc>
        <w:tc>
          <w:tcPr>
            <w:tcW w:w="3047" w:type="pct"/>
          </w:tcPr>
          <w:p w14:paraId="6FF3C6A2" w14:textId="590D5C54" w:rsidR="00324B33" w:rsidRPr="00BD5DBD" w:rsidRDefault="00324B33" w:rsidP="007452E8">
            <w:pPr>
              <w:rPr>
                <w:szCs w:val="22"/>
              </w:rPr>
            </w:pPr>
            <w:r w:rsidRPr="00BD5DBD">
              <w:rPr>
                <w:szCs w:val="22"/>
              </w:rPr>
              <w:t>Yes</w:t>
            </w:r>
          </w:p>
        </w:tc>
      </w:tr>
      <w:tr w:rsidR="00324B33" w:rsidRPr="00BD5DBD" w14:paraId="179E09FE" w14:textId="77777777" w:rsidTr="009C7E5A">
        <w:tc>
          <w:tcPr>
            <w:tcW w:w="1953" w:type="pct"/>
          </w:tcPr>
          <w:p w14:paraId="1A592498" w14:textId="77777777" w:rsidR="00324B33" w:rsidRPr="00BD5DBD" w:rsidRDefault="00324B33" w:rsidP="007452E8">
            <w:pPr>
              <w:rPr>
                <w:i/>
                <w:szCs w:val="22"/>
              </w:rPr>
            </w:pPr>
            <w:r w:rsidRPr="00BD5DBD">
              <w:rPr>
                <w:i/>
                <w:szCs w:val="22"/>
              </w:rPr>
              <w:t>Sponsor’s name and address:</w:t>
            </w:r>
          </w:p>
        </w:tc>
        <w:tc>
          <w:tcPr>
            <w:tcW w:w="3047" w:type="pct"/>
          </w:tcPr>
          <w:p w14:paraId="68DD94B0" w14:textId="7070ED58" w:rsidR="00324B33" w:rsidRPr="00BD5DBD" w:rsidRDefault="00004D0C" w:rsidP="00004D0C">
            <w:pPr>
              <w:rPr>
                <w:szCs w:val="22"/>
              </w:rPr>
            </w:pPr>
            <w:r w:rsidRPr="00004D0C">
              <w:rPr>
                <w:szCs w:val="22"/>
              </w:rPr>
              <w:t>Swedish Orphan Biovitrum Pty Ltd Suite 3, Level 2, Building D,</w:t>
            </w:r>
            <w:r>
              <w:rPr>
                <w:szCs w:val="22"/>
              </w:rPr>
              <w:t xml:space="preserve"> </w:t>
            </w:r>
            <w:r w:rsidRPr="00004D0C">
              <w:rPr>
                <w:szCs w:val="22"/>
              </w:rPr>
              <w:t>12-24 Talavera Road, Macquarie Park, NSW 2113</w:t>
            </w:r>
          </w:p>
        </w:tc>
      </w:tr>
      <w:tr w:rsidR="00324B33" w:rsidRPr="00BD5DBD" w14:paraId="5322B989" w14:textId="77777777" w:rsidTr="009C7E5A">
        <w:tc>
          <w:tcPr>
            <w:tcW w:w="1953" w:type="pct"/>
          </w:tcPr>
          <w:p w14:paraId="24F217E3" w14:textId="4AF09732" w:rsidR="00324B33" w:rsidRPr="00BD5DBD" w:rsidRDefault="00324B33" w:rsidP="007452E8">
            <w:pPr>
              <w:rPr>
                <w:i/>
                <w:szCs w:val="22"/>
              </w:rPr>
            </w:pPr>
            <w:r w:rsidRPr="00BD5DBD">
              <w:rPr>
                <w:i/>
                <w:szCs w:val="22"/>
              </w:rPr>
              <w:t>Dose form:</w:t>
            </w:r>
          </w:p>
        </w:tc>
        <w:tc>
          <w:tcPr>
            <w:tcW w:w="3047" w:type="pct"/>
          </w:tcPr>
          <w:p w14:paraId="768B254C" w14:textId="16F7624C" w:rsidR="00324B33" w:rsidRPr="00BD5DBD" w:rsidRDefault="003D0925" w:rsidP="007452E8">
            <w:pPr>
              <w:rPr>
                <w:szCs w:val="22"/>
              </w:rPr>
            </w:pPr>
            <w:r>
              <w:rPr>
                <w:szCs w:val="22"/>
              </w:rPr>
              <w:t>P</w:t>
            </w:r>
            <w:r w:rsidRPr="003D0925">
              <w:rPr>
                <w:szCs w:val="22"/>
              </w:rPr>
              <w:t>owder</w:t>
            </w:r>
          </w:p>
        </w:tc>
      </w:tr>
      <w:tr w:rsidR="00324B33" w:rsidRPr="00BD5DBD" w14:paraId="115243E6" w14:textId="77777777" w:rsidTr="009C7E5A">
        <w:tc>
          <w:tcPr>
            <w:tcW w:w="1953" w:type="pct"/>
          </w:tcPr>
          <w:p w14:paraId="7634B062" w14:textId="0AE54404" w:rsidR="00324B33" w:rsidRPr="00BD5DBD" w:rsidRDefault="00324B33" w:rsidP="007452E8">
            <w:pPr>
              <w:rPr>
                <w:i/>
                <w:szCs w:val="22"/>
              </w:rPr>
            </w:pPr>
            <w:r w:rsidRPr="00BD5DBD">
              <w:rPr>
                <w:i/>
                <w:szCs w:val="22"/>
              </w:rPr>
              <w:t>Strength:</w:t>
            </w:r>
          </w:p>
        </w:tc>
        <w:tc>
          <w:tcPr>
            <w:tcW w:w="3047" w:type="pct"/>
          </w:tcPr>
          <w:p w14:paraId="5E5F83DB" w14:textId="4A675501" w:rsidR="00324B33" w:rsidRPr="00BD5DBD" w:rsidRDefault="00380EFC" w:rsidP="007452E8">
            <w:pPr>
              <w:rPr>
                <w:szCs w:val="22"/>
              </w:rPr>
            </w:pPr>
            <w:r w:rsidRPr="00380EFC">
              <w:rPr>
                <w:szCs w:val="22"/>
              </w:rPr>
              <w:t>Each vial of powder for concentrate for solution for infusion contains 10 mg of loncastuximab tesirine. After reconstitution, each vial contains 5 mg/mL of loncastuximab tesirine.</w:t>
            </w:r>
          </w:p>
        </w:tc>
      </w:tr>
      <w:tr w:rsidR="00324B33" w:rsidRPr="00BD5DBD" w14:paraId="34B07BA6" w14:textId="77777777" w:rsidTr="009C7E5A">
        <w:tc>
          <w:tcPr>
            <w:tcW w:w="1953" w:type="pct"/>
          </w:tcPr>
          <w:p w14:paraId="1C039224" w14:textId="186F01AE" w:rsidR="00324B33" w:rsidRPr="00BD5DBD" w:rsidRDefault="00324B33" w:rsidP="007452E8">
            <w:pPr>
              <w:rPr>
                <w:i/>
                <w:szCs w:val="22"/>
              </w:rPr>
            </w:pPr>
            <w:r w:rsidRPr="00BD5DBD">
              <w:rPr>
                <w:i/>
                <w:szCs w:val="22"/>
              </w:rPr>
              <w:t>Container:</w:t>
            </w:r>
          </w:p>
        </w:tc>
        <w:tc>
          <w:tcPr>
            <w:tcW w:w="3047" w:type="pct"/>
          </w:tcPr>
          <w:p w14:paraId="500A42C6" w14:textId="63BFA84B" w:rsidR="00324B33" w:rsidRPr="00BD5DBD" w:rsidRDefault="0036009D" w:rsidP="007452E8">
            <w:pPr>
              <w:rPr>
                <w:szCs w:val="22"/>
              </w:rPr>
            </w:pPr>
            <w:r>
              <w:rPr>
                <w:szCs w:val="22"/>
              </w:rPr>
              <w:t>Zynlonta</w:t>
            </w:r>
            <w:r w:rsidR="007B4524" w:rsidRPr="007B4524">
              <w:rPr>
                <w:szCs w:val="22"/>
              </w:rPr>
              <w:t xml:space="preserve"> is supplied in a pack containing one single vial (clear Type 1 glass) closed with a stopper (fluoropolymer-coated rubber), with an aluminium seal with plastic flip-off cap.</w:t>
            </w:r>
          </w:p>
        </w:tc>
      </w:tr>
      <w:tr w:rsidR="00324B33" w:rsidRPr="00BD5DBD" w14:paraId="5AFDEED3" w14:textId="77777777" w:rsidTr="009C7E5A">
        <w:tc>
          <w:tcPr>
            <w:tcW w:w="1953" w:type="pct"/>
          </w:tcPr>
          <w:p w14:paraId="03884BD1" w14:textId="635F1C90" w:rsidR="00324B33" w:rsidRPr="00BD5DBD" w:rsidRDefault="00324B33" w:rsidP="007452E8">
            <w:pPr>
              <w:rPr>
                <w:i/>
                <w:szCs w:val="22"/>
              </w:rPr>
            </w:pPr>
            <w:r w:rsidRPr="00BD5DBD">
              <w:rPr>
                <w:i/>
                <w:szCs w:val="22"/>
              </w:rPr>
              <w:t>Route of administration:</w:t>
            </w:r>
          </w:p>
        </w:tc>
        <w:tc>
          <w:tcPr>
            <w:tcW w:w="3047" w:type="pct"/>
          </w:tcPr>
          <w:p w14:paraId="1ED1357E" w14:textId="3D59A26F" w:rsidR="00324B33" w:rsidRPr="00BD5DBD" w:rsidRDefault="006C5D08" w:rsidP="007452E8">
            <w:pPr>
              <w:rPr>
                <w:szCs w:val="22"/>
              </w:rPr>
            </w:pPr>
            <w:r>
              <w:rPr>
                <w:szCs w:val="22"/>
              </w:rPr>
              <w:t>Intravenous infusion</w:t>
            </w:r>
          </w:p>
        </w:tc>
      </w:tr>
      <w:tr w:rsidR="00324B33" w:rsidRPr="00BD5DBD" w14:paraId="70D7E9FA" w14:textId="77777777" w:rsidTr="009C7E5A">
        <w:tc>
          <w:tcPr>
            <w:tcW w:w="1953" w:type="pct"/>
          </w:tcPr>
          <w:p w14:paraId="5ABFFC80" w14:textId="77777777" w:rsidR="00324B33" w:rsidRPr="00BD5DBD" w:rsidRDefault="00324B33" w:rsidP="007452E8">
            <w:pPr>
              <w:rPr>
                <w:i/>
                <w:szCs w:val="22"/>
              </w:rPr>
            </w:pPr>
            <w:r w:rsidRPr="00BD5DBD">
              <w:rPr>
                <w:i/>
                <w:szCs w:val="22"/>
              </w:rPr>
              <w:t>Dosage:</w:t>
            </w:r>
          </w:p>
        </w:tc>
        <w:tc>
          <w:tcPr>
            <w:tcW w:w="3047" w:type="pct"/>
          </w:tcPr>
          <w:p w14:paraId="4BD4ECF7" w14:textId="33C80699" w:rsidR="00666911" w:rsidRDefault="00EF1B4E" w:rsidP="00EF1B4E">
            <w:pPr>
              <w:rPr>
                <w:szCs w:val="22"/>
              </w:rPr>
            </w:pPr>
            <w:r w:rsidRPr="00EF1B4E">
              <w:rPr>
                <w:szCs w:val="22"/>
              </w:rPr>
              <w:t xml:space="preserve">The recommended dose of </w:t>
            </w:r>
            <w:r w:rsidR="0036009D">
              <w:rPr>
                <w:szCs w:val="22"/>
              </w:rPr>
              <w:t>Zynlonta</w:t>
            </w:r>
            <w:r w:rsidRPr="00EF1B4E">
              <w:rPr>
                <w:szCs w:val="22"/>
              </w:rPr>
              <w:t xml:space="preserve"> is 0.15 mg/kg every 3 weeks for first 2 cycles, followed by</w:t>
            </w:r>
            <w:r>
              <w:rPr>
                <w:szCs w:val="22"/>
              </w:rPr>
              <w:t xml:space="preserve"> </w:t>
            </w:r>
            <w:r w:rsidRPr="00EF1B4E">
              <w:rPr>
                <w:szCs w:val="22"/>
              </w:rPr>
              <w:t>0.075 mg/kg every 3 weeks for subsequent cycles</w:t>
            </w:r>
            <w:r>
              <w:rPr>
                <w:szCs w:val="22"/>
              </w:rPr>
              <w:t>.</w:t>
            </w:r>
          </w:p>
          <w:p w14:paraId="3D0B2D5C" w14:textId="10FE7DDD" w:rsidR="00324B33" w:rsidRPr="00BD5DBD" w:rsidRDefault="00324B33" w:rsidP="007452E8">
            <w:pPr>
              <w:rPr>
                <w:szCs w:val="22"/>
              </w:rPr>
            </w:pPr>
            <w:r w:rsidRPr="00BD5DBD">
              <w:rPr>
                <w:szCs w:val="22"/>
              </w:rPr>
              <w:t xml:space="preserve">For further information regarding dosage, refer to the </w:t>
            </w:r>
            <w:hyperlink r:id="rId22" w:history="1">
              <w:r w:rsidRPr="000A1A6D">
                <w:rPr>
                  <w:rStyle w:val="Hyperlink"/>
                  <w:szCs w:val="22"/>
                </w:rPr>
                <w:t>Product Information</w:t>
              </w:r>
            </w:hyperlink>
            <w:r w:rsidRPr="00BD5DBD">
              <w:rPr>
                <w:szCs w:val="22"/>
              </w:rPr>
              <w:t>.</w:t>
            </w:r>
          </w:p>
        </w:tc>
      </w:tr>
      <w:tr w:rsidR="0017005C" w:rsidRPr="00BD5DBD" w14:paraId="7B7BB6AE" w14:textId="77777777" w:rsidTr="009C7E5A">
        <w:tc>
          <w:tcPr>
            <w:tcW w:w="1953" w:type="pct"/>
          </w:tcPr>
          <w:p w14:paraId="3A76AFF7" w14:textId="702AF04A" w:rsidR="008C2A5F" w:rsidRPr="008C2A5F" w:rsidRDefault="0070330F" w:rsidP="009C7E5A">
            <w:r w:rsidRPr="00BD5DBD">
              <w:rPr>
                <w:i/>
                <w:szCs w:val="22"/>
              </w:rPr>
              <w:lastRenderedPageBreak/>
              <w:t>Pregnancy category:</w:t>
            </w:r>
          </w:p>
        </w:tc>
        <w:tc>
          <w:tcPr>
            <w:tcW w:w="3047" w:type="pct"/>
          </w:tcPr>
          <w:p w14:paraId="35E401AF" w14:textId="77777777" w:rsidR="007E4FF8" w:rsidRPr="007E4FF8" w:rsidRDefault="007E4FF8" w:rsidP="007E4FF8">
            <w:pPr>
              <w:rPr>
                <w:b/>
                <w:bCs/>
              </w:rPr>
            </w:pPr>
            <w:r w:rsidRPr="007E4FF8">
              <w:rPr>
                <w:b/>
                <w:bCs/>
              </w:rPr>
              <w:t>Category D</w:t>
            </w:r>
          </w:p>
          <w:p w14:paraId="07217151" w14:textId="77777777" w:rsidR="007E4FF8" w:rsidRPr="007E4FF8" w:rsidRDefault="007E4FF8" w:rsidP="007E4FF8">
            <w:r w:rsidRPr="007E4FF8">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3"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4"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32504975"/>
      <w:r>
        <w:t>Product background</w:t>
      </w:r>
      <w:bookmarkEnd w:id="11"/>
      <w:bookmarkEnd w:id="12"/>
      <w:bookmarkEnd w:id="13"/>
      <w:bookmarkEnd w:id="14"/>
    </w:p>
    <w:p w14:paraId="59BF31D1" w14:textId="720E5201" w:rsidR="001500A8" w:rsidRDefault="00324B33" w:rsidP="00065839">
      <w:r w:rsidRPr="00065839">
        <w:t xml:space="preserve">This AusPAR describes the submission by </w:t>
      </w:r>
      <w:r w:rsidR="00BF3C00" w:rsidRPr="00BF3C00">
        <w:t xml:space="preserve">Swedish Orphan Biovitrum Pty Ltd </w:t>
      </w:r>
      <w:r w:rsidRPr="00065839">
        <w:t xml:space="preserve">(the sponsor) to register </w:t>
      </w:r>
      <w:r w:rsidR="0036009D">
        <w:t>Zynlonta</w:t>
      </w:r>
      <w:r w:rsidR="00BF3C00" w:rsidRPr="00BF3C00">
        <w:t xml:space="preserve"> </w:t>
      </w:r>
      <w:r w:rsidRPr="00065839">
        <w:t>(</w:t>
      </w:r>
      <w:r w:rsidR="00BF3C00" w:rsidRPr="00BF3C00">
        <w:t>loncastuximab tesirine</w:t>
      </w:r>
      <w:r w:rsidRPr="00065839">
        <w:t>) for the following proposed indication:</w:t>
      </w:r>
      <w:r w:rsidR="00D63760" w:rsidRPr="00065839">
        <w:rPr>
          <w:vertAlign w:val="superscript"/>
        </w:rPr>
        <w:footnoteReference w:id="1"/>
      </w:r>
    </w:p>
    <w:p w14:paraId="51E4BA0F" w14:textId="13B9B213" w:rsidR="00BF3C00" w:rsidRPr="00065839" w:rsidRDefault="0036009D" w:rsidP="008C2A5F">
      <w:pPr>
        <w:pStyle w:val="Indication"/>
      </w:pPr>
      <w:r>
        <w:t>Zynlonta</w:t>
      </w:r>
      <w:r w:rsidR="008C2A5F" w:rsidRPr="008C2A5F">
        <w:t xml:space="preserve"> is indicated for the treatment of adult patients with relapsed or refractory diffuse large B-cell lymphoma after two or more lines of systemic therapy.</w:t>
      </w:r>
    </w:p>
    <w:p w14:paraId="1E63A2AE" w14:textId="5FCD6C6F" w:rsidR="00CB6813" w:rsidRDefault="00005DFC" w:rsidP="00CB6813">
      <w:pPr>
        <w:pStyle w:val="Heading4"/>
      </w:pPr>
      <w:bookmarkStart w:id="15" w:name="_Toc314842485"/>
      <w:bookmarkStart w:id="16" w:name="_Toc247691504"/>
      <w:bookmarkStart w:id="17" w:name="_Toc232504976"/>
      <w:r>
        <w:t>D</w:t>
      </w:r>
      <w:r w:rsidR="00CB6813" w:rsidRPr="00C12D65">
        <w:t>isease</w:t>
      </w:r>
      <w:r w:rsidR="006428C5">
        <w:t xml:space="preserve"> or condition</w:t>
      </w:r>
      <w:bookmarkEnd w:id="17"/>
    </w:p>
    <w:p w14:paraId="3D8B904E" w14:textId="1DF0FB77" w:rsidR="00A5421E" w:rsidRPr="00A5421E" w:rsidRDefault="00A5421E" w:rsidP="00A5421E">
      <w:pPr>
        <w:rPr>
          <w:iCs/>
        </w:rPr>
      </w:pPr>
      <w:r w:rsidRPr="00A5421E">
        <w:rPr>
          <w:iCs/>
        </w:rPr>
        <w:t>Diffuse large B-cell lymphoma (DLBCL) is a malignancy arising from mature B-cells and is the most common form of non-Hodgkin lymphoma (NHL), accounting for around 30-40% of all cases of NHL</w:t>
      </w:r>
      <w:r w:rsidR="00E577CD">
        <w:rPr>
          <w:iCs/>
        </w:rPr>
        <w:t>.</w:t>
      </w:r>
      <w:r w:rsidR="00E72B4D">
        <w:rPr>
          <w:rStyle w:val="FootnoteReference"/>
          <w:iCs/>
        </w:rPr>
        <w:footnoteReference w:id="2"/>
      </w:r>
      <w:r w:rsidRPr="00A5421E">
        <w:rPr>
          <w:iCs/>
        </w:rPr>
        <w:t xml:space="preserve"> The current World Health Organization (WHO) classification of haematolymphoid tumours (5</w:t>
      </w:r>
      <w:r w:rsidRPr="00A5421E">
        <w:rPr>
          <w:iCs/>
          <w:vertAlign w:val="superscript"/>
        </w:rPr>
        <w:t>th</w:t>
      </w:r>
      <w:r w:rsidRPr="00A5421E">
        <w:rPr>
          <w:iCs/>
        </w:rPr>
        <w:t xml:space="preserve"> edition) classifies DLBCL not otherwise specified (NOS) as encompassing all patients with nodal and extra-nodal large B-cell lymphoma that do not belong to a specific diagnostic category of mature B-cell neoplasms</w:t>
      </w:r>
      <w:r w:rsidR="00EA4E88">
        <w:rPr>
          <w:iCs/>
        </w:rPr>
        <w:fldChar w:fldCharType="begin"/>
      </w:r>
      <w:r w:rsidR="00EA4E88">
        <w:rPr>
          <w:iCs/>
        </w:rPr>
        <w:instrText xml:space="preserve"> NOTEREF _Ref229392741 \f \h </w:instrText>
      </w:r>
      <w:r w:rsidR="00EA4E88">
        <w:rPr>
          <w:iCs/>
        </w:rPr>
      </w:r>
      <w:r w:rsidR="00EA4E88">
        <w:rPr>
          <w:iCs/>
        </w:rPr>
        <w:fldChar w:fldCharType="separate"/>
      </w:r>
      <w:r w:rsidR="00EA4E88" w:rsidRPr="00EA4E88">
        <w:rPr>
          <w:rStyle w:val="FootnoteReference"/>
        </w:rPr>
        <w:t>3</w:t>
      </w:r>
      <w:r w:rsidR="00EA4E88">
        <w:rPr>
          <w:iCs/>
        </w:rPr>
        <w:fldChar w:fldCharType="end"/>
      </w:r>
      <w:r w:rsidRPr="00A5421E">
        <w:rPr>
          <w:iCs/>
        </w:rPr>
        <w:t>. This classification therefore does not represent a single disease, but a grouping of morphologically, genetically and clinically different diseases.</w:t>
      </w:r>
      <w:bookmarkStart w:id="18" w:name="_Ref229392741"/>
      <w:r w:rsidR="00E577CD">
        <w:rPr>
          <w:rStyle w:val="FootnoteReference"/>
          <w:iCs/>
        </w:rPr>
        <w:footnoteReference w:id="3"/>
      </w:r>
      <w:bookmarkEnd w:id="18"/>
    </w:p>
    <w:p w14:paraId="2E2BCB0A" w14:textId="37E10A36" w:rsidR="00A5421E" w:rsidRPr="00A5421E" w:rsidRDefault="00A5421E" w:rsidP="00A5421E">
      <w:pPr>
        <w:rPr>
          <w:iCs/>
        </w:rPr>
      </w:pPr>
      <w:r w:rsidRPr="00A5421E">
        <w:rPr>
          <w:iCs/>
        </w:rPr>
        <w:t xml:space="preserve">This heterogeneity is reflected in the multiple possible ways in which DLBCL can be sub-categorised. Morphologic variants, based on microscopic appearance of tumour cells, include </w:t>
      </w:r>
      <w:proofErr w:type="spellStart"/>
      <w:r w:rsidRPr="00A5421E">
        <w:rPr>
          <w:iCs/>
        </w:rPr>
        <w:t>centroblastic</w:t>
      </w:r>
      <w:proofErr w:type="spellEnd"/>
      <w:r w:rsidRPr="00A5421E">
        <w:rPr>
          <w:iCs/>
        </w:rPr>
        <w:t>, immunoblastic and anaplastic variants, with other rarer variants described. Immunophenotypic variants are determined by specific antigen expression on tumour cells</w:t>
      </w:r>
      <w:r w:rsidR="00B02C03">
        <w:rPr>
          <w:iCs/>
        </w:rPr>
        <w:t>.</w:t>
      </w:r>
      <w:r w:rsidR="008F760A">
        <w:rPr>
          <w:iCs/>
        </w:rPr>
        <w:fldChar w:fldCharType="begin"/>
      </w:r>
      <w:r w:rsidR="008F760A">
        <w:rPr>
          <w:iCs/>
        </w:rPr>
        <w:instrText xml:space="preserve"> NOTEREF _Ref229392741 \f \h </w:instrText>
      </w:r>
      <w:r w:rsidR="008F760A">
        <w:rPr>
          <w:iCs/>
        </w:rPr>
      </w:r>
      <w:r w:rsidR="008F760A">
        <w:rPr>
          <w:iCs/>
        </w:rPr>
        <w:fldChar w:fldCharType="separate"/>
      </w:r>
      <w:r w:rsidR="008F760A" w:rsidRPr="008F760A">
        <w:rPr>
          <w:rStyle w:val="FootnoteReference"/>
        </w:rPr>
        <w:t>3</w:t>
      </w:r>
      <w:r w:rsidR="008F760A">
        <w:rPr>
          <w:iCs/>
        </w:rPr>
        <w:fldChar w:fldCharType="end"/>
      </w:r>
      <w:r w:rsidRPr="00A5421E">
        <w:rPr>
          <w:iCs/>
          <w:vertAlign w:val="superscript"/>
        </w:rPr>
        <w:t>,</w:t>
      </w:r>
      <w:bookmarkStart w:id="19" w:name="_Ref229392808"/>
      <w:r w:rsidR="00B02C03">
        <w:rPr>
          <w:rStyle w:val="FootnoteReference"/>
          <w:iCs/>
        </w:rPr>
        <w:footnoteReference w:id="4"/>
      </w:r>
      <w:bookmarkEnd w:id="19"/>
      <w:r w:rsidRPr="00A5421E">
        <w:rPr>
          <w:iCs/>
        </w:rPr>
        <w:t xml:space="preserve"> Cytogenetic analysis can identify specific chromosomal abnormalities in DLBCL cells, with translocations involving the </w:t>
      </w:r>
      <w:r w:rsidRPr="00A5421E">
        <w:rPr>
          <w:i/>
        </w:rPr>
        <w:t xml:space="preserve">BCL6, MYC, </w:t>
      </w:r>
      <w:r w:rsidRPr="00A5421E">
        <w:rPr>
          <w:iCs/>
        </w:rPr>
        <w:t>and</w:t>
      </w:r>
      <w:r w:rsidRPr="00A5421E">
        <w:rPr>
          <w:i/>
        </w:rPr>
        <w:t xml:space="preserve"> BCL2</w:t>
      </w:r>
      <w:r w:rsidRPr="00A5421E">
        <w:rPr>
          <w:iCs/>
        </w:rPr>
        <w:t xml:space="preserve"> genes commonly assessed as part of DLBCL diagnostic work-up. Gene expression profiling forms the basis of the molecular ‘cell-of-origin’ </w:t>
      </w:r>
      <w:r w:rsidRPr="00A5421E">
        <w:rPr>
          <w:iCs/>
        </w:rPr>
        <w:lastRenderedPageBreak/>
        <w:t>classification, with two major subcategories denoted ‘germinal centre B-cell-like’ (GCB), and ‘activated B-cell-like’ (ABC).</w:t>
      </w:r>
      <w:r w:rsidR="00B02C03">
        <w:rPr>
          <w:iCs/>
        </w:rPr>
        <w:fldChar w:fldCharType="begin"/>
      </w:r>
      <w:r w:rsidR="00B02C03">
        <w:rPr>
          <w:iCs/>
        </w:rPr>
        <w:instrText xml:space="preserve"> NOTEREF _Ref229392741 \f \h </w:instrText>
      </w:r>
      <w:r w:rsidR="00B02C03">
        <w:rPr>
          <w:iCs/>
        </w:rPr>
      </w:r>
      <w:r w:rsidR="00B02C03">
        <w:rPr>
          <w:iCs/>
        </w:rPr>
        <w:fldChar w:fldCharType="separate"/>
      </w:r>
      <w:r w:rsidR="00B02C03" w:rsidRPr="00B02C03">
        <w:rPr>
          <w:rStyle w:val="FootnoteReference"/>
        </w:rPr>
        <w:t>3</w:t>
      </w:r>
      <w:r w:rsidR="00B02C03">
        <w:rPr>
          <w:iCs/>
        </w:rPr>
        <w:fldChar w:fldCharType="end"/>
      </w:r>
      <w:r w:rsidR="00B02C03" w:rsidRPr="00B02C03">
        <w:rPr>
          <w:iCs/>
          <w:vertAlign w:val="superscript"/>
        </w:rPr>
        <w:t>,</w:t>
      </w:r>
      <w:r w:rsidR="00B02C03">
        <w:rPr>
          <w:iCs/>
        </w:rPr>
        <w:fldChar w:fldCharType="begin"/>
      </w:r>
      <w:r w:rsidR="00B02C03">
        <w:rPr>
          <w:iCs/>
        </w:rPr>
        <w:instrText xml:space="preserve"> NOTEREF _Ref229392808 \f \h </w:instrText>
      </w:r>
      <w:r w:rsidR="00B02C03">
        <w:rPr>
          <w:iCs/>
        </w:rPr>
      </w:r>
      <w:r w:rsidR="00B02C03">
        <w:rPr>
          <w:iCs/>
        </w:rPr>
        <w:fldChar w:fldCharType="separate"/>
      </w:r>
      <w:r w:rsidR="00B02C03" w:rsidRPr="00B02C03">
        <w:rPr>
          <w:rStyle w:val="FootnoteReference"/>
        </w:rPr>
        <w:t>4</w:t>
      </w:r>
      <w:r w:rsidR="00B02C03">
        <w:rPr>
          <w:iCs/>
        </w:rPr>
        <w:fldChar w:fldCharType="end"/>
      </w:r>
      <w:r w:rsidRPr="00A5421E">
        <w:rPr>
          <w:iCs/>
        </w:rPr>
        <w:t xml:space="preserve"> The cell-of-origin is the basis of sub-categorisation of DLBCL in current classification schema, however, in general, accurate prediction of prognosis and response to treatment via sub-categorisation of DLBCL remains elusive.</w:t>
      </w:r>
      <w:r w:rsidR="00A231DF">
        <w:rPr>
          <w:iCs/>
        </w:rPr>
        <w:fldChar w:fldCharType="begin"/>
      </w:r>
      <w:r w:rsidR="00A231DF">
        <w:rPr>
          <w:iCs/>
        </w:rPr>
        <w:instrText xml:space="preserve"> NOTEREF _Ref229392808 \f \h </w:instrText>
      </w:r>
      <w:r w:rsidR="00A231DF">
        <w:rPr>
          <w:iCs/>
        </w:rPr>
      </w:r>
      <w:r w:rsidR="00A231DF">
        <w:rPr>
          <w:iCs/>
        </w:rPr>
        <w:fldChar w:fldCharType="separate"/>
      </w:r>
      <w:r w:rsidR="00A231DF" w:rsidRPr="00A231DF">
        <w:rPr>
          <w:rStyle w:val="FootnoteReference"/>
        </w:rPr>
        <w:t>4</w:t>
      </w:r>
      <w:r w:rsidR="00A231DF">
        <w:rPr>
          <w:iCs/>
        </w:rPr>
        <w:fldChar w:fldCharType="end"/>
      </w:r>
    </w:p>
    <w:p w14:paraId="61191C24" w14:textId="59A1264A" w:rsidR="00A5421E" w:rsidRPr="00A5421E" w:rsidRDefault="00A5421E" w:rsidP="00A5421E">
      <w:r w:rsidRPr="00A5421E">
        <w:t xml:space="preserve">The median age at diagnosis of DLBCL is mid-60s; and the incidence is higher in males. The aetiology of DLBCL involves a combination of genetic, environmental, and immunological factors. Common genetic mutations in DLBCL include </w:t>
      </w:r>
      <w:r w:rsidRPr="00A5421E">
        <w:rPr>
          <w:i/>
          <w:iCs/>
        </w:rPr>
        <w:t>BCL2, BCL6, MYC</w:t>
      </w:r>
      <w:r w:rsidRPr="00A5421E">
        <w:t xml:space="preserve"> and chromosomal translocations, such as </w:t>
      </w:r>
      <w:proofErr w:type="gramStart"/>
      <w:r w:rsidRPr="00A5421E">
        <w:t>t(</w:t>
      </w:r>
      <w:proofErr w:type="gramEnd"/>
      <w:r w:rsidRPr="00A5421E">
        <w:t>14;18). Environmental factors linked to increased risk of DLBCL include viral infections (such as EBV and HIV), and exposure to certain chemicals, including pesticides and herbicides. Individuals with autoimmune diseases, like rheumatoid arthritis or Sjögren's syndrome, may have a higher risk of developing DLBCL.</w:t>
      </w:r>
    </w:p>
    <w:p w14:paraId="1B59854B" w14:textId="46A361C5" w:rsidR="00A5421E" w:rsidRPr="00A5421E" w:rsidRDefault="00F57632" w:rsidP="00A5421E">
      <w:r>
        <w:t>C</w:t>
      </w:r>
      <w:r w:rsidRPr="00F57632">
        <w:t xml:space="preserve">luster of differentiation </w:t>
      </w:r>
      <w:r>
        <w:t>(</w:t>
      </w:r>
      <w:r w:rsidR="00A5421E" w:rsidRPr="00A5421E">
        <w:t>CD</w:t>
      </w:r>
      <w:r>
        <w:t>)</w:t>
      </w:r>
      <w:r w:rsidR="00A5421E" w:rsidRPr="00A5421E">
        <w:t xml:space="preserve">19 expression is maintained at high levels in </w:t>
      </w:r>
      <w:proofErr w:type="gramStart"/>
      <w:r w:rsidR="00A5421E" w:rsidRPr="00A5421E">
        <w:t>the majority of</w:t>
      </w:r>
      <w:proofErr w:type="gramEnd"/>
      <w:r w:rsidR="00A5421E" w:rsidRPr="00A5421E">
        <w:t xml:space="preserve"> B-cell malignancies, including DLBCL, Burkitt lymphoma, and follicular lymphoma, thereby representing an attractive target for their treatment using immunotherapeutic agents.</w:t>
      </w:r>
    </w:p>
    <w:p w14:paraId="545B5D85" w14:textId="77777777" w:rsidR="00A5421E" w:rsidRPr="00A5421E" w:rsidRDefault="00A5421E" w:rsidP="001D3ED1">
      <w:pPr>
        <w:pStyle w:val="Heading4"/>
      </w:pPr>
      <w:bookmarkStart w:id="20" w:name="_Toc232504977"/>
      <w:r w:rsidRPr="00A5421E">
        <w:t>Current treatment options</w:t>
      </w:r>
      <w:bookmarkEnd w:id="20"/>
    </w:p>
    <w:p w14:paraId="67133190" w14:textId="77777777" w:rsidR="00A5421E" w:rsidRPr="00A5421E" w:rsidRDefault="00A5421E" w:rsidP="00A5421E">
      <w:r w:rsidRPr="00A5421E">
        <w:t xml:space="preserve">In patients with advanced disease, the </w:t>
      </w:r>
      <w:proofErr w:type="gramStart"/>
      <w:r w:rsidRPr="00A5421E">
        <w:t>most commonly used</w:t>
      </w:r>
      <w:proofErr w:type="gramEnd"/>
      <w:r w:rsidRPr="00A5421E">
        <w:t xml:space="preserve"> frontline therapy is rituximab, cyclophosphamide, doxorubicin, vincristine and prednisone (R-CHOP). Approximately 60% of DLBCL patients will be cured, with more favourable outcomes seen in patients with limited stage disease. Unfortunately, approximately 10% to 15% of patients exhibit primary refractory disease (nonresponse or relapse within 3 months of therapy) and an additional 20% to 25% of patients relapse, usually within the first 2 years, following initial response.</w:t>
      </w:r>
    </w:p>
    <w:p w14:paraId="66614770" w14:textId="77777777" w:rsidR="00A5421E" w:rsidRPr="00A5421E" w:rsidRDefault="00A5421E" w:rsidP="00A5421E">
      <w:r w:rsidRPr="00A5421E">
        <w:t>Salvage therapy, including high-dose (HD) chemotherapy and autologous stem cell transplant (ASCT), can be effective treatment for DLBCL patients with chemotherapy-sensitive relapse. However, over half of the patients treated in this fashion will not have long-term disease control. The prognosis of patients whose disease is refractory to salvage chemotherapy and are therefore not eligible for HD-ASCT, or who relapse early after HD-ASCT is extremely poor. These patients have a poor response to additional salvage therapy, with an objective response rate of 26% (complete response [CR] rate [CRR] of 7%) and a median survival of approximately 6 months. The management of patients with DLBCL who are ineligible for HD-ASCT or who relapse after HD-ASCT is difficult.</w:t>
      </w:r>
    </w:p>
    <w:p w14:paraId="3CFE83A2" w14:textId="4C64E8EC" w:rsidR="00A5421E" w:rsidRDefault="00A5421E" w:rsidP="00A5421E">
      <w:r w:rsidRPr="00A5421E">
        <w:t>The European Society for Medical Oncology (ESMO) provides the following overview of treatment options for patients with relapsed/refractory (R/R) DLBCL (</w:t>
      </w:r>
      <w:r w:rsidR="001D3ED1">
        <w:t>Figure 1</w:t>
      </w:r>
      <w:r w:rsidRPr="00A5421E">
        <w:t>).</w:t>
      </w:r>
      <w:r w:rsidR="000A57EE">
        <w:rPr>
          <w:rStyle w:val="FootnoteReference"/>
        </w:rPr>
        <w:footnoteReference w:id="5"/>
      </w:r>
    </w:p>
    <w:p w14:paraId="37CB8B22" w14:textId="4DEC111F" w:rsidR="001D3ED1" w:rsidRPr="00A5421E" w:rsidRDefault="001D3ED1" w:rsidP="001D3ED1">
      <w:pPr>
        <w:pStyle w:val="FigureTitle"/>
      </w:pPr>
      <w:r w:rsidRPr="001D3ED1">
        <w:lastRenderedPageBreak/>
        <w:t xml:space="preserve">Figure </w:t>
      </w:r>
      <w:r>
        <w:t>1.</w:t>
      </w:r>
      <w:r w:rsidRPr="001D3ED1">
        <w:t xml:space="preserve"> ESMO Living Guideline – Lymphomas – Relapsed/Refractory DLBCL</w:t>
      </w:r>
    </w:p>
    <w:p w14:paraId="743A9F63" w14:textId="578C5D94" w:rsidR="00A5421E" w:rsidRDefault="0086650A" w:rsidP="00A5421E">
      <w:r w:rsidRPr="00533B23">
        <w:rPr>
          <w:noProof/>
        </w:rPr>
        <w:drawing>
          <wp:inline distT="0" distB="0" distL="0" distR="0" wp14:anchorId="3EEEE4D6" wp14:editId="66D82BC5">
            <wp:extent cx="4164761" cy="3453716"/>
            <wp:effectExtent l="19050" t="19050" r="26670" b="13970"/>
            <wp:docPr id="2021851610" name="Picture 1" descr="Figure 1. ESMO Living Guideline – Lymphomas – Relapsed/Refractory DLB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51610" name="Picture 1" descr="Figure 1. ESMO Living Guideline – Lymphomas – Relapsed/Refractory DLBCL"/>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179309" cy="3465780"/>
                    </a:xfrm>
                    <a:prstGeom prst="rect">
                      <a:avLst/>
                    </a:prstGeom>
                    <a:ln>
                      <a:solidFill>
                        <a:schemeClr val="accent1"/>
                      </a:solidFill>
                    </a:ln>
                  </pic:spPr>
                </pic:pic>
              </a:graphicData>
            </a:graphic>
          </wp:inline>
        </w:drawing>
      </w:r>
    </w:p>
    <w:p w14:paraId="6561011D" w14:textId="77777777" w:rsidR="00A503AF" w:rsidRDefault="00A503AF" w:rsidP="00A503AF">
      <w:pPr>
        <w:pStyle w:val="FigureDescription"/>
      </w:pPr>
      <w:r>
        <w:t>Purple: algorithm title; blue: systemic anticancer therapy or their combination; turquoise: non-systemic anticancer therapies or combination of treatment modalities; white: other aspects of management and non-treatment aspects.</w:t>
      </w:r>
    </w:p>
    <w:p w14:paraId="557496DE" w14:textId="77777777" w:rsidR="00A503AF" w:rsidRDefault="00A503AF" w:rsidP="00A503AF">
      <w:pPr>
        <w:pStyle w:val="FigureDescription"/>
      </w:pPr>
      <w:proofErr w:type="spellStart"/>
      <w:r>
        <w:t>AlloSCT</w:t>
      </w:r>
      <w:proofErr w:type="spellEnd"/>
      <w:r>
        <w:t xml:space="preserve">, allogeneic stem-cell transplantation; ASCT, autologous stem-cell transplantation; CAR-T, chimeric antigen receptor T cell; CMR, complete metabolic response; DLBCL, diffuse large B-cell lymphoma; DS, Deauville Score; EMA, European Medicines Agency; FDA, Food and Drug Administration; </w:t>
      </w:r>
      <w:proofErr w:type="spellStart"/>
      <w:r>
        <w:t>glofitamab</w:t>
      </w:r>
      <w:proofErr w:type="spellEnd"/>
      <w:r>
        <w:t xml:space="preserve">-Gem-Ox, </w:t>
      </w:r>
      <w:proofErr w:type="spellStart"/>
      <w:r>
        <w:t>glofitamab</w:t>
      </w:r>
      <w:proofErr w:type="spellEnd"/>
      <w:r>
        <w:t xml:space="preserve">–gemcitabine–oxaliplatin; </w:t>
      </w:r>
      <w:proofErr w:type="spellStart"/>
      <w:r>
        <w:t>immunoChT</w:t>
      </w:r>
      <w:proofErr w:type="spellEnd"/>
      <w:r>
        <w:t xml:space="preserve">, immunochemotherapy; ISRT, involved site radiotherapy; PET, positron emission tomography; PMD, progressive metabolic disease; PMR, partial metabolic response; Pola-BR, </w:t>
      </w:r>
      <w:proofErr w:type="spellStart"/>
      <w:r>
        <w:t>polatuzumab</w:t>
      </w:r>
      <w:proofErr w:type="spellEnd"/>
      <w:r>
        <w:t xml:space="preserve"> vedotin–</w:t>
      </w:r>
      <w:proofErr w:type="spellStart"/>
      <w:r>
        <w:t>bendamustine</w:t>
      </w:r>
      <w:proofErr w:type="spellEnd"/>
      <w:r>
        <w:t>–rituximab; R-GDP, rituximab–gemcitabine–dexamethasone–cisplatin; R-Gem-Ox, rituximab–gemcitabine–oxaliplatin; r/r, relapsed or refractory; SMD, stable metabolic disease.</w:t>
      </w:r>
    </w:p>
    <w:p w14:paraId="74CC9A9D" w14:textId="77777777" w:rsidR="00A503AF" w:rsidRDefault="00A503AF" w:rsidP="009C7E5A">
      <w:pPr>
        <w:pStyle w:val="FigureDescription"/>
        <w:spacing w:after="0"/>
      </w:pPr>
      <w:r>
        <w:t xml:space="preserve">(a) </w:t>
      </w:r>
      <w:proofErr w:type="spellStart"/>
      <w:r>
        <w:t>Rebiopsy</w:t>
      </w:r>
      <w:proofErr w:type="spellEnd"/>
      <w:r>
        <w:t xml:space="preserve"> at each relapse, where feasible, to confirm DLBCL [V, B].</w:t>
      </w:r>
    </w:p>
    <w:p w14:paraId="68545C50" w14:textId="77777777" w:rsidR="00A503AF" w:rsidRDefault="00A503AF" w:rsidP="009C7E5A">
      <w:pPr>
        <w:pStyle w:val="FigureDescription"/>
        <w:spacing w:after="0"/>
      </w:pPr>
      <w:r>
        <w:t xml:space="preserve">(b) </w:t>
      </w:r>
      <w:proofErr w:type="spellStart"/>
      <w:r>
        <w:t>Axicabtagene</w:t>
      </w:r>
      <w:proofErr w:type="spellEnd"/>
      <w:r>
        <w:t xml:space="preserve"> </w:t>
      </w:r>
      <w:proofErr w:type="spellStart"/>
      <w:r>
        <w:t>ciloleucel</w:t>
      </w:r>
      <w:proofErr w:type="spellEnd"/>
      <w:r>
        <w:t xml:space="preserve"> and </w:t>
      </w:r>
      <w:proofErr w:type="spellStart"/>
      <w:r>
        <w:t>lisocabtagene</w:t>
      </w:r>
      <w:proofErr w:type="spellEnd"/>
      <w:r>
        <w:t xml:space="preserve"> </w:t>
      </w:r>
      <w:proofErr w:type="spellStart"/>
      <w:r>
        <w:t>maraleucel</w:t>
      </w:r>
      <w:proofErr w:type="spellEnd"/>
      <w:r>
        <w:t xml:space="preserve"> are FDA and EMA approved for second-line use.</w:t>
      </w:r>
    </w:p>
    <w:p w14:paraId="07665CD5" w14:textId="77777777" w:rsidR="00A503AF" w:rsidRDefault="00A503AF" w:rsidP="009C7E5A">
      <w:pPr>
        <w:pStyle w:val="FigureDescription"/>
        <w:spacing w:after="0"/>
      </w:pPr>
      <w:r>
        <w:t xml:space="preserve">(c) </w:t>
      </w:r>
      <w:proofErr w:type="spellStart"/>
      <w:r>
        <w:t>Glofitamab</w:t>
      </w:r>
      <w:proofErr w:type="spellEnd"/>
      <w:r>
        <w:t>-Gem-Ox is recommended after one or more line of therapy, if available [I, A; EMA approved, not FDA approved].</w:t>
      </w:r>
    </w:p>
    <w:p w14:paraId="7D03FCD7" w14:textId="77777777" w:rsidR="00A503AF" w:rsidRDefault="00A503AF" w:rsidP="009C7E5A">
      <w:pPr>
        <w:pStyle w:val="FigureDescription"/>
        <w:spacing w:after="0"/>
      </w:pPr>
      <w:r>
        <w:t xml:space="preserve">(d) Caution when selecting Pola-BR for patients who may be candidates for CAR-T therapy as a subsequent treatment line. </w:t>
      </w:r>
      <w:proofErr w:type="spellStart"/>
      <w:r>
        <w:t>Bendamustine</w:t>
      </w:r>
      <w:proofErr w:type="spellEnd"/>
      <w:r>
        <w:t xml:space="preserve"> may have an impact on the quality of T-cells.</w:t>
      </w:r>
    </w:p>
    <w:p w14:paraId="1D07BD6B" w14:textId="77777777" w:rsidR="00A503AF" w:rsidRDefault="00A503AF" w:rsidP="009C7E5A">
      <w:pPr>
        <w:pStyle w:val="FigureDescription"/>
        <w:spacing w:after="0"/>
      </w:pPr>
      <w:r>
        <w:t xml:space="preserve">(e) Consider DS 5 PMR as failure of second-line platinum-based </w:t>
      </w:r>
      <w:proofErr w:type="spellStart"/>
      <w:r>
        <w:t>immunoChT</w:t>
      </w:r>
      <w:proofErr w:type="spellEnd"/>
      <w:r>
        <w:t xml:space="preserve"> on a case-by-case basis.</w:t>
      </w:r>
    </w:p>
    <w:p w14:paraId="4CFA6858" w14:textId="77777777" w:rsidR="00A503AF" w:rsidRDefault="00A503AF" w:rsidP="009C7E5A">
      <w:pPr>
        <w:pStyle w:val="FigureDescription"/>
        <w:spacing w:after="0"/>
      </w:pPr>
      <w:r>
        <w:t>(f) Consider palliative care at each treatment in appropriately selected patients [V, B].</w:t>
      </w:r>
    </w:p>
    <w:p w14:paraId="3D81D3D5" w14:textId="77777777" w:rsidR="00A503AF" w:rsidRDefault="00A503AF" w:rsidP="009C7E5A">
      <w:pPr>
        <w:pStyle w:val="FigureDescription"/>
        <w:spacing w:after="0"/>
      </w:pPr>
      <w:r>
        <w:t>(g) Consider ISRT to initial isolated bulky relapse or residual isolated PET-avid disease before or after ASCT [IV, B].</w:t>
      </w:r>
    </w:p>
    <w:p w14:paraId="38A86061" w14:textId="77777777" w:rsidR="00A503AF" w:rsidRDefault="00A503AF" w:rsidP="009C7E5A">
      <w:pPr>
        <w:pStyle w:val="FigureDescription"/>
        <w:spacing w:after="0"/>
      </w:pPr>
      <w:r>
        <w:t xml:space="preserve">(h) </w:t>
      </w:r>
      <w:proofErr w:type="spellStart"/>
      <w:r>
        <w:t>Axicabtagene</w:t>
      </w:r>
      <w:proofErr w:type="spellEnd"/>
      <w:r>
        <w:t xml:space="preserve"> </w:t>
      </w:r>
      <w:proofErr w:type="spellStart"/>
      <w:r>
        <w:t>ciloleucel</w:t>
      </w:r>
      <w:proofErr w:type="spellEnd"/>
      <w:r>
        <w:t xml:space="preserve">, </w:t>
      </w:r>
      <w:proofErr w:type="spellStart"/>
      <w:r>
        <w:t>lisocabtagene</w:t>
      </w:r>
      <w:proofErr w:type="spellEnd"/>
      <w:r>
        <w:t xml:space="preserve"> </w:t>
      </w:r>
      <w:proofErr w:type="spellStart"/>
      <w:r>
        <w:t>maraleucel</w:t>
      </w:r>
      <w:proofErr w:type="spellEnd"/>
      <w:r>
        <w:t xml:space="preserve"> and </w:t>
      </w:r>
      <w:proofErr w:type="spellStart"/>
      <w:r>
        <w:t>tisagenlecleucel</w:t>
      </w:r>
      <w:proofErr w:type="spellEnd"/>
      <w:r>
        <w:t xml:space="preserve"> are FDA- and EMA-approved options for patients who have received two or more prior lines of therapy according to availability and patient preference.</w:t>
      </w:r>
    </w:p>
    <w:p w14:paraId="2E864673" w14:textId="77777777" w:rsidR="00A503AF" w:rsidRDefault="00A503AF" w:rsidP="009C7E5A">
      <w:pPr>
        <w:pStyle w:val="FigureDescription"/>
        <w:spacing w:after="0"/>
      </w:pPr>
      <w:r>
        <w:t>(</w:t>
      </w:r>
      <w:proofErr w:type="spellStart"/>
      <w:r>
        <w:t>i</w:t>
      </w:r>
      <w:proofErr w:type="spellEnd"/>
      <w:r>
        <w:t xml:space="preserve">) </w:t>
      </w:r>
      <w:proofErr w:type="spellStart"/>
      <w:r>
        <w:t>Epcoritamab</w:t>
      </w:r>
      <w:proofErr w:type="spellEnd"/>
      <w:r>
        <w:t xml:space="preserve"> and </w:t>
      </w:r>
      <w:proofErr w:type="spellStart"/>
      <w:r>
        <w:t>glofitamab</w:t>
      </w:r>
      <w:proofErr w:type="spellEnd"/>
      <w:r>
        <w:t xml:space="preserve"> are FDA and EMA approved for patients who have received two or more prior lines of therapy.</w:t>
      </w:r>
    </w:p>
    <w:p w14:paraId="7049821D" w14:textId="77777777" w:rsidR="00A503AF" w:rsidRDefault="00A503AF" w:rsidP="009C7E5A">
      <w:pPr>
        <w:pStyle w:val="FigureDescription"/>
        <w:spacing w:after="0"/>
      </w:pPr>
      <w:r>
        <w:t>(j) EMA approved, not FDA approved.</w:t>
      </w:r>
    </w:p>
    <w:p w14:paraId="4F1198A8" w14:textId="77777777" w:rsidR="00A503AF" w:rsidRDefault="00A503AF" w:rsidP="009C7E5A">
      <w:pPr>
        <w:pStyle w:val="FigureDescription"/>
        <w:spacing w:after="0"/>
      </w:pPr>
      <w:r>
        <w:t>(k) Option for patients relapsing after second- or third-line CAR-T therapy or relapsing after second-line treatment if CAR-T-unsuitable.</w:t>
      </w:r>
    </w:p>
    <w:p w14:paraId="6F0BF80F" w14:textId="711A4443" w:rsidR="00A503AF" w:rsidRDefault="00A503AF" w:rsidP="009C7E5A">
      <w:pPr>
        <w:pStyle w:val="FigureDescription"/>
        <w:spacing w:after="0"/>
      </w:pPr>
      <w:r>
        <w:t>(l) For selected young, fit patients who relapse after CAR-T therapy and who obtain a subsequent remission.</w:t>
      </w:r>
    </w:p>
    <w:p w14:paraId="37C47E09" w14:textId="14D3762D" w:rsidR="00CB6813" w:rsidRDefault="00CB6813" w:rsidP="00CB6813">
      <w:pPr>
        <w:pStyle w:val="Heading4"/>
      </w:pPr>
      <w:bookmarkStart w:id="21" w:name="_Toc232504978"/>
      <w:r>
        <w:lastRenderedPageBreak/>
        <w:t>C</w:t>
      </w:r>
      <w:r w:rsidRPr="00DE1344">
        <w:t>linical rational</w:t>
      </w:r>
      <w:r w:rsidR="0025785B">
        <w:t>e</w:t>
      </w:r>
      <w:bookmarkEnd w:id="21"/>
    </w:p>
    <w:p w14:paraId="49BB1C2E" w14:textId="7756B895" w:rsidR="00C2046F" w:rsidRDefault="00BD54B1" w:rsidP="00C2046F">
      <w:r w:rsidRPr="00BD54B1">
        <w:t xml:space="preserve">Loncastuximab tesirine is a human CD19-targeted antibody-drug conjugate (ADC), consisting of a humanised immunoglobulin G1 kappa monoclonal antibody specific for human CD19, conjugated to SG3199, a </w:t>
      </w:r>
      <w:proofErr w:type="spellStart"/>
      <w:r w:rsidRPr="00BD54B1">
        <w:t>pyrrolobenzodiazepine</w:t>
      </w:r>
      <w:proofErr w:type="spellEnd"/>
      <w:r w:rsidRPr="00BD54B1">
        <w:t xml:space="preserve"> (PBD) dimer cytotoxic drug, through a protease-cleavable valine-alanine linker. The toxin SG3199 attached to the linker is designated as SG3249, also known as tesirine</w:t>
      </w:r>
      <w:r>
        <w:t>.</w:t>
      </w:r>
      <w:r w:rsidR="00C60573">
        <w:rPr>
          <w:rStyle w:val="FootnoteReference"/>
        </w:rPr>
        <w:footnoteReference w:id="6"/>
      </w:r>
    </w:p>
    <w:p w14:paraId="4CB20267" w14:textId="7547EC01" w:rsidR="00C2046F" w:rsidRPr="00C2046F" w:rsidRDefault="00C2046F" w:rsidP="00C2046F">
      <w:r w:rsidRPr="00C2046F">
        <w:t xml:space="preserve">Expression of CD19 is maintained in haematologic B-cell malignancies, including </w:t>
      </w:r>
      <w:proofErr w:type="spellStart"/>
      <w:r w:rsidRPr="00C2046F">
        <w:t>leukaemias</w:t>
      </w:r>
      <w:proofErr w:type="spellEnd"/>
      <w:r w:rsidRPr="00C2046F">
        <w:t xml:space="preserve"> (B-cell acute lymphoblastic leukaemia [B-ALL], pre-B-ALL, hairy cell leukaemia) and non-Hodgkin lymphomas (NHLs, Burkitt lymphoma, follicular lymphoma, diffuse large B-cell lymphoma [DLBCL])</w:t>
      </w:r>
      <w:r w:rsidR="003D5644">
        <w:t>.</w:t>
      </w:r>
      <w:r w:rsidR="00942353">
        <w:rPr>
          <w:rStyle w:val="FootnoteReference"/>
        </w:rPr>
        <w:footnoteReference w:id="7"/>
      </w:r>
      <w:r w:rsidR="00F07C53" w:rsidRPr="00F07C53">
        <w:rPr>
          <w:vertAlign w:val="superscript"/>
        </w:rPr>
        <w:t>,</w:t>
      </w:r>
      <w:r w:rsidR="00F07C53">
        <w:rPr>
          <w:rStyle w:val="FootnoteReference"/>
        </w:rPr>
        <w:footnoteReference w:id="8"/>
      </w:r>
      <w:r w:rsidR="003D5644">
        <w:t xml:space="preserve"> </w:t>
      </w:r>
      <w:r w:rsidR="003D5644" w:rsidRPr="003D5644">
        <w:t>As CD19 is expressed on all types of B-lymphocytes except plasma cells, it represents an attractive target for treatment of B-cell malignancies</w:t>
      </w:r>
      <w:r w:rsidR="003D5644">
        <w:t>, including DLBCL.</w:t>
      </w:r>
    </w:p>
    <w:p w14:paraId="0D615854" w14:textId="77777777" w:rsidR="00324B33" w:rsidRPr="003F31A2" w:rsidRDefault="00324B33" w:rsidP="00324B33">
      <w:pPr>
        <w:pStyle w:val="Heading3"/>
      </w:pPr>
      <w:bookmarkStart w:id="22" w:name="_Toc103679291"/>
      <w:bookmarkStart w:id="23" w:name="_Toc232504979"/>
      <w:r>
        <w:t>Regulatory status</w:t>
      </w:r>
      <w:bookmarkEnd w:id="15"/>
      <w:bookmarkEnd w:id="16"/>
      <w:bookmarkEnd w:id="22"/>
      <w:bookmarkEnd w:id="23"/>
    </w:p>
    <w:p w14:paraId="72C889D6" w14:textId="7E200950" w:rsidR="0017005C" w:rsidRPr="00BD5DBD" w:rsidRDefault="0017005C" w:rsidP="00741AB9">
      <w:pPr>
        <w:pStyle w:val="Heading4"/>
      </w:pPr>
      <w:bookmarkStart w:id="24" w:name="_Toc232504980"/>
      <w:r w:rsidRPr="00BD5DBD">
        <w:t>Australian regulatory</w:t>
      </w:r>
      <w:r>
        <w:t xml:space="preserve"> sta</w:t>
      </w:r>
      <w:r w:rsidR="0025785B">
        <w:t>t</w:t>
      </w:r>
      <w:r>
        <w:t>us</w:t>
      </w:r>
      <w:bookmarkEnd w:id="24"/>
    </w:p>
    <w:p w14:paraId="6860B3E5" w14:textId="77777777" w:rsidR="007629CC" w:rsidRPr="007629CC" w:rsidRDefault="007629CC" w:rsidP="007629CC">
      <w:pPr>
        <w:pStyle w:val="Instructions"/>
        <w:rPr>
          <w:rFonts w:eastAsiaTheme="minorHAnsi" w:cstheme="minorBidi"/>
          <w:i w:val="0"/>
          <w:color w:val="auto"/>
        </w:rPr>
      </w:pPr>
      <w:r w:rsidRPr="007629CC">
        <w:rPr>
          <w:rFonts w:eastAsiaTheme="minorHAnsi" w:cstheme="minorBidi"/>
          <w:i w:val="0"/>
          <w:color w:val="auto"/>
        </w:rPr>
        <w:t>This is the first application to register loncastuximab tesirine in Australia.</w:t>
      </w:r>
    </w:p>
    <w:p w14:paraId="17905BA7" w14:textId="24243D5E" w:rsidR="00BB182D" w:rsidRPr="00BB182D" w:rsidRDefault="00BB182D" w:rsidP="00BB182D">
      <w:r w:rsidRPr="00BB182D">
        <w:t xml:space="preserve">The sponsor was granted </w:t>
      </w:r>
      <w:hyperlink r:id="rId27" w:history="1">
        <w:r w:rsidRPr="009D2921">
          <w:rPr>
            <w:rStyle w:val="Hyperlink"/>
          </w:rPr>
          <w:t>orphan drug designation</w:t>
        </w:r>
      </w:hyperlink>
      <w:r w:rsidRPr="00BB182D">
        <w:t xml:space="preserve"> for </w:t>
      </w:r>
      <w:r w:rsidR="0036009D">
        <w:t>Zynlonta</w:t>
      </w:r>
      <w:r w:rsidRPr="00BB182D">
        <w:t xml:space="preserve"> on 9 December 2024, for “the treatment of Diffuse Large B-Cell Lymphoma (DLBCL)”. </w:t>
      </w:r>
    </w:p>
    <w:p w14:paraId="2B57F708" w14:textId="12D0CEB0" w:rsidR="00776E9C" w:rsidRDefault="00BB182D" w:rsidP="00BB182D">
      <w:pPr>
        <w:pStyle w:val="Instructions"/>
      </w:pPr>
      <w:r w:rsidRPr="00BB182D">
        <w:rPr>
          <w:rFonts w:eastAsiaTheme="minorHAnsi" w:cstheme="minorBidi"/>
          <w:i w:val="0"/>
          <w:color w:val="auto"/>
        </w:rPr>
        <w:t xml:space="preserve">The sponsor was granted </w:t>
      </w:r>
      <w:hyperlink r:id="rId28" w:history="1">
        <w:r w:rsidRPr="00214787">
          <w:rPr>
            <w:rStyle w:val="Hyperlink"/>
            <w:rFonts w:eastAsiaTheme="minorHAnsi" w:cstheme="minorBidi"/>
            <w:i w:val="0"/>
          </w:rPr>
          <w:t>provisional determination</w:t>
        </w:r>
      </w:hyperlink>
      <w:r w:rsidR="00355B2F">
        <w:rPr>
          <w:rFonts w:eastAsiaTheme="minorHAnsi" w:cstheme="minorBidi"/>
          <w:i w:val="0"/>
          <w:color w:val="auto"/>
        </w:rPr>
        <w:t xml:space="preserve"> </w:t>
      </w:r>
      <w:r w:rsidRPr="00BB182D">
        <w:rPr>
          <w:rFonts w:eastAsiaTheme="minorHAnsi" w:cstheme="minorBidi"/>
          <w:i w:val="0"/>
          <w:color w:val="auto"/>
        </w:rPr>
        <w:t xml:space="preserve">for </w:t>
      </w:r>
      <w:r w:rsidR="0036009D">
        <w:rPr>
          <w:rFonts w:eastAsiaTheme="minorHAnsi" w:cstheme="minorBidi"/>
          <w:i w:val="0"/>
          <w:color w:val="auto"/>
        </w:rPr>
        <w:t>Zynlonta</w:t>
      </w:r>
      <w:r w:rsidRPr="00BB182D">
        <w:rPr>
          <w:rFonts w:eastAsiaTheme="minorHAnsi" w:cstheme="minorBidi"/>
          <w:i w:val="0"/>
          <w:color w:val="auto"/>
        </w:rPr>
        <w:t xml:space="preserve"> on 25 November 2024, for </w:t>
      </w:r>
      <w:r w:rsidRPr="00BB182D">
        <w:rPr>
          <w:rFonts w:eastAsiaTheme="minorHAnsi" w:cstheme="minorBidi"/>
          <w:i w:val="0"/>
          <w:iCs/>
          <w:color w:val="auto"/>
        </w:rPr>
        <w:t>“the treatment of adult patients with relapsed or refractory large B-cell lymphoma after two or more lines of systemic therapy, including diffuse large B-cell lymphoma (DLBCL) not otherwise specified, DLBCL arising from low grade lymphoma, and high-grade B-cell lymphoma (HGBL)”</w:t>
      </w:r>
      <w:r w:rsidRPr="00BB182D">
        <w:rPr>
          <w:rFonts w:eastAsiaTheme="minorHAnsi" w:cstheme="minorBidi"/>
          <w:i w:val="0"/>
          <w:color w:val="auto"/>
        </w:rPr>
        <w:t>.</w:t>
      </w:r>
    </w:p>
    <w:p w14:paraId="546C1031" w14:textId="4EF98FA1" w:rsidR="0017005C" w:rsidRDefault="00131B1B" w:rsidP="0017005C">
      <w:pPr>
        <w:pStyle w:val="Heading4"/>
      </w:pPr>
      <w:bookmarkStart w:id="25" w:name="_Toc232504981"/>
      <w:r>
        <w:t xml:space="preserve">International </w:t>
      </w:r>
      <w:r w:rsidR="0017005C" w:rsidRPr="00BD5DBD">
        <w:t>regulatory</w:t>
      </w:r>
      <w:r w:rsidR="0017005C">
        <w:t xml:space="preserve"> status</w:t>
      </w:r>
      <w:bookmarkEnd w:id="25"/>
    </w:p>
    <w:p w14:paraId="7FDF4A0B" w14:textId="11CE4D04" w:rsidR="008F4A62" w:rsidRDefault="008F4A62" w:rsidP="008F4A62">
      <w:pPr>
        <w:rPr>
          <w:szCs w:val="22"/>
        </w:rPr>
      </w:pPr>
      <w:r w:rsidRPr="00BD5DBD">
        <w:rPr>
          <w:szCs w:val="22"/>
        </w:rPr>
        <w:t xml:space="preserve">At the time the TGA considered this submission, a similar submission had been </w:t>
      </w:r>
      <w:r>
        <w:rPr>
          <w:szCs w:val="22"/>
        </w:rPr>
        <w:t xml:space="preserve">considered by other regulatory agencies. </w:t>
      </w:r>
      <w:r w:rsidR="00380CD4">
        <w:rPr>
          <w:szCs w:val="22"/>
        </w:rPr>
        <w:t>Table 1</w:t>
      </w:r>
      <w:r w:rsidRPr="00BD5DBD">
        <w:rPr>
          <w:szCs w:val="22"/>
        </w:rPr>
        <w:t xml:space="preserve"> summarises these submissions and provides the indications where approved.</w:t>
      </w:r>
      <w:r>
        <w:rPr>
          <w:szCs w:val="22"/>
        </w:rPr>
        <w:t xml:space="preserve"> </w:t>
      </w:r>
    </w:p>
    <w:p w14:paraId="19B9E0AC" w14:textId="05E1648C" w:rsidR="00324B33" w:rsidRDefault="00324B33" w:rsidP="00324B33">
      <w:pPr>
        <w:pStyle w:val="TableTitle"/>
      </w:pPr>
      <w:bookmarkStart w:id="26" w:name="_Ref99705479"/>
      <w:r>
        <w:t>Table</w:t>
      </w:r>
      <w:bookmarkEnd w:id="26"/>
      <w:r w:rsidR="00DA7CC7">
        <w:t xml:space="preserve"> 1</w:t>
      </w:r>
      <w:r w:rsidR="003302FF">
        <w:rPr>
          <w:noProof/>
        </w:rPr>
        <w:t>.</w:t>
      </w:r>
      <w:r>
        <w:t xml:space="preserve"> International regulatory status</w:t>
      </w:r>
      <w:r w:rsidR="00BF502D">
        <w:t xml:space="preserve"> a</w:t>
      </w:r>
      <w:r w:rsidR="00BF502D" w:rsidRPr="00BF502D">
        <w:t>t the time the TGA considered this submission</w:t>
      </w:r>
    </w:p>
    <w:tbl>
      <w:tblPr>
        <w:tblW w:w="9199" w:type="dxa"/>
        <w:tblInd w:w="10"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Caption w:val="Table 1. International regulatory status at the time the TGA considered this submission"/>
        <w:tblDescription w:val="Table 1. International regulatory status at the time the TGA considered this submission"/>
      </w:tblPr>
      <w:tblGrid>
        <w:gridCol w:w="1119"/>
        <w:gridCol w:w="993"/>
        <w:gridCol w:w="1134"/>
        <w:gridCol w:w="1134"/>
        <w:gridCol w:w="1984"/>
        <w:gridCol w:w="2835"/>
      </w:tblGrid>
      <w:tr w:rsidR="00380CD4" w:rsidRPr="00C67422" w14:paraId="069E538A" w14:textId="77777777" w:rsidTr="009C7E5A">
        <w:trPr>
          <w:trHeight w:val="492"/>
          <w:tblHeader/>
        </w:trPr>
        <w:tc>
          <w:tcPr>
            <w:tcW w:w="1119" w:type="dxa"/>
            <w:shd w:val="clear" w:color="auto" w:fill="DEEAF6"/>
          </w:tcPr>
          <w:p w14:paraId="11BF9BAA" w14:textId="77777777" w:rsidR="00380CD4" w:rsidRPr="00AC707C" w:rsidRDefault="00380CD4" w:rsidP="00DC7677">
            <w:pPr>
              <w:pStyle w:val="TableParagraph"/>
              <w:spacing w:before="28"/>
              <w:ind w:left="57"/>
              <w:rPr>
                <w:rFonts w:ascii="Cambria" w:hAnsi="Cambria"/>
                <w:b/>
                <w:color w:val="263287"/>
                <w:sz w:val="20"/>
                <w:szCs w:val="20"/>
              </w:rPr>
            </w:pPr>
            <w:r w:rsidRPr="00AC707C">
              <w:rPr>
                <w:rFonts w:ascii="Cambria" w:hAnsi="Cambria"/>
                <w:b/>
                <w:color w:val="263287"/>
                <w:sz w:val="20"/>
                <w:szCs w:val="20"/>
              </w:rPr>
              <w:t>Country/</w:t>
            </w:r>
            <w:r w:rsidRPr="00AC707C">
              <w:rPr>
                <w:rFonts w:ascii="Cambria" w:hAnsi="Cambria"/>
                <w:b/>
                <w:color w:val="263287"/>
                <w:spacing w:val="-9"/>
                <w:sz w:val="20"/>
                <w:szCs w:val="20"/>
              </w:rPr>
              <w:t xml:space="preserve"> </w:t>
            </w:r>
            <w:r w:rsidRPr="00AC707C">
              <w:rPr>
                <w:rFonts w:ascii="Cambria" w:hAnsi="Cambria"/>
                <w:b/>
                <w:color w:val="263287"/>
                <w:spacing w:val="-2"/>
                <w:sz w:val="20"/>
                <w:szCs w:val="20"/>
              </w:rPr>
              <w:t>Region</w:t>
            </w:r>
          </w:p>
        </w:tc>
        <w:tc>
          <w:tcPr>
            <w:tcW w:w="993" w:type="dxa"/>
            <w:shd w:val="clear" w:color="auto" w:fill="DEEAF6"/>
          </w:tcPr>
          <w:p w14:paraId="7EC38EAA" w14:textId="77777777" w:rsidR="00380CD4" w:rsidRPr="00AC707C" w:rsidRDefault="00380CD4" w:rsidP="00DC7677">
            <w:pPr>
              <w:pStyle w:val="TableParagraph"/>
              <w:spacing w:before="28"/>
              <w:rPr>
                <w:rFonts w:ascii="Cambria" w:hAnsi="Cambria"/>
                <w:b/>
                <w:color w:val="263287"/>
                <w:sz w:val="20"/>
                <w:szCs w:val="20"/>
              </w:rPr>
            </w:pPr>
            <w:r w:rsidRPr="00AC707C">
              <w:rPr>
                <w:rFonts w:ascii="Cambria" w:hAnsi="Cambria"/>
                <w:b/>
                <w:color w:val="263287"/>
                <w:sz w:val="20"/>
                <w:szCs w:val="20"/>
              </w:rPr>
              <w:t>Applicant</w:t>
            </w:r>
            <w:r w:rsidRPr="00AC707C">
              <w:rPr>
                <w:rFonts w:ascii="Cambria" w:hAnsi="Cambria"/>
                <w:b/>
                <w:color w:val="263287"/>
                <w:spacing w:val="-6"/>
                <w:sz w:val="20"/>
                <w:szCs w:val="20"/>
              </w:rPr>
              <w:t xml:space="preserve"> </w:t>
            </w:r>
            <w:r w:rsidRPr="00AC707C">
              <w:rPr>
                <w:rFonts w:ascii="Cambria" w:hAnsi="Cambria"/>
                <w:b/>
                <w:color w:val="263287"/>
                <w:sz w:val="20"/>
                <w:szCs w:val="20"/>
              </w:rPr>
              <w:t>/</w:t>
            </w:r>
            <w:r w:rsidRPr="00AC707C">
              <w:rPr>
                <w:rFonts w:ascii="Cambria" w:hAnsi="Cambria"/>
                <w:b/>
                <w:color w:val="263287"/>
                <w:spacing w:val="-5"/>
                <w:sz w:val="20"/>
                <w:szCs w:val="20"/>
              </w:rPr>
              <w:t xml:space="preserve"> MAH</w:t>
            </w:r>
          </w:p>
        </w:tc>
        <w:tc>
          <w:tcPr>
            <w:tcW w:w="1134" w:type="dxa"/>
            <w:shd w:val="clear" w:color="auto" w:fill="DEEAF6"/>
          </w:tcPr>
          <w:p w14:paraId="2F44FBA8" w14:textId="77777777" w:rsidR="00380CD4" w:rsidRPr="00AC707C" w:rsidRDefault="00380CD4" w:rsidP="00DC7677">
            <w:pPr>
              <w:pStyle w:val="TableParagraph"/>
              <w:spacing w:before="28"/>
              <w:rPr>
                <w:rFonts w:ascii="Cambria" w:hAnsi="Cambria"/>
                <w:b/>
                <w:color w:val="263287"/>
                <w:sz w:val="20"/>
                <w:szCs w:val="20"/>
              </w:rPr>
            </w:pPr>
            <w:r w:rsidRPr="00AC707C">
              <w:rPr>
                <w:rFonts w:ascii="Cambria" w:hAnsi="Cambria"/>
                <w:b/>
                <w:color w:val="263287"/>
                <w:spacing w:val="-2"/>
                <w:sz w:val="20"/>
                <w:szCs w:val="20"/>
              </w:rPr>
              <w:t xml:space="preserve">Submission </w:t>
            </w:r>
            <w:r w:rsidRPr="00AC707C">
              <w:rPr>
                <w:rFonts w:ascii="Cambria" w:hAnsi="Cambria"/>
                <w:b/>
                <w:color w:val="263287"/>
                <w:spacing w:val="-4"/>
                <w:sz w:val="20"/>
                <w:szCs w:val="20"/>
              </w:rPr>
              <w:t>date</w:t>
            </w:r>
          </w:p>
        </w:tc>
        <w:tc>
          <w:tcPr>
            <w:tcW w:w="1134" w:type="dxa"/>
            <w:shd w:val="clear" w:color="auto" w:fill="DEEAF6"/>
          </w:tcPr>
          <w:p w14:paraId="04772517" w14:textId="77777777" w:rsidR="00380CD4" w:rsidRPr="00AC707C" w:rsidRDefault="00380CD4" w:rsidP="00DC7677">
            <w:pPr>
              <w:pStyle w:val="TableParagraph"/>
              <w:spacing w:before="28"/>
              <w:ind w:left="55" w:right="-3"/>
              <w:rPr>
                <w:rFonts w:ascii="Cambria" w:hAnsi="Cambria"/>
                <w:b/>
                <w:color w:val="263287"/>
                <w:sz w:val="20"/>
                <w:szCs w:val="20"/>
              </w:rPr>
            </w:pPr>
            <w:r w:rsidRPr="00AC707C">
              <w:rPr>
                <w:rFonts w:ascii="Cambria" w:hAnsi="Cambria"/>
                <w:b/>
                <w:color w:val="263287"/>
                <w:spacing w:val="-2"/>
                <w:sz w:val="20"/>
                <w:szCs w:val="20"/>
              </w:rPr>
              <w:t>Status</w:t>
            </w:r>
          </w:p>
        </w:tc>
        <w:tc>
          <w:tcPr>
            <w:tcW w:w="1984" w:type="dxa"/>
            <w:shd w:val="clear" w:color="auto" w:fill="DEEAF6"/>
          </w:tcPr>
          <w:p w14:paraId="69D69AA6" w14:textId="77777777" w:rsidR="00380CD4" w:rsidRPr="00AC707C" w:rsidRDefault="00380CD4" w:rsidP="00D36C84">
            <w:pPr>
              <w:pStyle w:val="TableParagraph"/>
              <w:spacing w:before="28"/>
              <w:ind w:left="54" w:right="141"/>
              <w:rPr>
                <w:rFonts w:ascii="Cambria" w:hAnsi="Cambria"/>
                <w:b/>
                <w:color w:val="263287"/>
                <w:sz w:val="20"/>
                <w:szCs w:val="20"/>
              </w:rPr>
            </w:pPr>
            <w:r w:rsidRPr="00AC707C">
              <w:rPr>
                <w:rFonts w:ascii="Cambria" w:hAnsi="Cambria"/>
                <w:b/>
                <w:color w:val="263287"/>
                <w:spacing w:val="-2"/>
                <w:sz w:val="20"/>
                <w:szCs w:val="20"/>
              </w:rPr>
              <w:t>Indications</w:t>
            </w:r>
          </w:p>
        </w:tc>
        <w:tc>
          <w:tcPr>
            <w:tcW w:w="2835" w:type="dxa"/>
            <w:shd w:val="clear" w:color="auto" w:fill="DEEAF6"/>
          </w:tcPr>
          <w:p w14:paraId="68F7D474" w14:textId="77777777" w:rsidR="00380CD4" w:rsidRPr="00AC707C" w:rsidRDefault="00380CD4" w:rsidP="00D36C84">
            <w:pPr>
              <w:pStyle w:val="TableParagraph"/>
              <w:spacing w:before="28"/>
              <w:ind w:left="139" w:right="142"/>
              <w:rPr>
                <w:rFonts w:ascii="Cambria" w:hAnsi="Cambria"/>
                <w:b/>
                <w:color w:val="263287"/>
                <w:sz w:val="20"/>
                <w:szCs w:val="20"/>
              </w:rPr>
            </w:pPr>
            <w:r w:rsidRPr="00AC707C">
              <w:rPr>
                <w:rFonts w:ascii="Cambria" w:hAnsi="Cambria"/>
                <w:b/>
                <w:color w:val="263287"/>
                <w:sz w:val="20"/>
                <w:szCs w:val="20"/>
              </w:rPr>
              <w:t>Other</w:t>
            </w:r>
            <w:r w:rsidRPr="00AC707C">
              <w:rPr>
                <w:rFonts w:ascii="Cambria" w:hAnsi="Cambria"/>
                <w:b/>
                <w:color w:val="263287"/>
                <w:spacing w:val="-7"/>
                <w:sz w:val="20"/>
                <w:szCs w:val="20"/>
              </w:rPr>
              <w:t xml:space="preserve"> </w:t>
            </w:r>
            <w:r w:rsidRPr="00AC707C">
              <w:rPr>
                <w:rFonts w:ascii="Cambria" w:hAnsi="Cambria"/>
                <w:b/>
                <w:color w:val="263287"/>
                <w:sz w:val="20"/>
                <w:szCs w:val="20"/>
              </w:rPr>
              <w:t>relevant</w:t>
            </w:r>
            <w:r w:rsidRPr="00AC707C">
              <w:rPr>
                <w:rFonts w:ascii="Cambria" w:hAnsi="Cambria"/>
                <w:b/>
                <w:color w:val="263287"/>
                <w:spacing w:val="-7"/>
                <w:sz w:val="20"/>
                <w:szCs w:val="20"/>
              </w:rPr>
              <w:t xml:space="preserve"> </w:t>
            </w:r>
            <w:r w:rsidRPr="00AC707C">
              <w:rPr>
                <w:rFonts w:ascii="Cambria" w:hAnsi="Cambria"/>
                <w:b/>
                <w:color w:val="263287"/>
                <w:spacing w:val="-2"/>
                <w:sz w:val="20"/>
                <w:szCs w:val="20"/>
              </w:rPr>
              <w:t>information</w:t>
            </w:r>
          </w:p>
        </w:tc>
      </w:tr>
      <w:tr w:rsidR="00380CD4" w:rsidRPr="00C67422" w14:paraId="6A10762A" w14:textId="77777777" w:rsidTr="009C7E5A">
        <w:trPr>
          <w:trHeight w:val="1636"/>
        </w:trPr>
        <w:tc>
          <w:tcPr>
            <w:tcW w:w="1119" w:type="dxa"/>
          </w:tcPr>
          <w:p w14:paraId="02F7901B" w14:textId="77777777" w:rsidR="00380CD4" w:rsidRPr="00C67422" w:rsidRDefault="00380CD4" w:rsidP="00DC7677">
            <w:pPr>
              <w:pStyle w:val="TableParagraph"/>
              <w:spacing w:before="38"/>
              <w:ind w:left="57"/>
              <w:rPr>
                <w:rFonts w:ascii="Cambria" w:hAnsi="Cambria"/>
                <w:sz w:val="20"/>
                <w:szCs w:val="20"/>
              </w:rPr>
            </w:pPr>
            <w:r w:rsidRPr="00C67422">
              <w:rPr>
                <w:rFonts w:ascii="Cambria" w:hAnsi="Cambria"/>
                <w:spacing w:val="-5"/>
                <w:sz w:val="20"/>
                <w:szCs w:val="20"/>
              </w:rPr>
              <w:t>USA</w:t>
            </w:r>
          </w:p>
        </w:tc>
        <w:tc>
          <w:tcPr>
            <w:tcW w:w="993" w:type="dxa"/>
          </w:tcPr>
          <w:p w14:paraId="6E600D69" w14:textId="77777777" w:rsidR="00380CD4" w:rsidRPr="00C67422" w:rsidRDefault="00380CD4" w:rsidP="00DC7677">
            <w:pPr>
              <w:pStyle w:val="TableParagraph"/>
              <w:spacing w:before="38"/>
              <w:rPr>
                <w:rFonts w:ascii="Cambria" w:hAnsi="Cambria"/>
                <w:sz w:val="20"/>
                <w:szCs w:val="20"/>
              </w:rPr>
            </w:pPr>
            <w:r w:rsidRPr="00C67422">
              <w:rPr>
                <w:rFonts w:ascii="Cambria" w:hAnsi="Cambria"/>
                <w:spacing w:val="-4"/>
                <w:sz w:val="20"/>
                <w:szCs w:val="20"/>
              </w:rPr>
              <w:t>ADCT</w:t>
            </w:r>
          </w:p>
        </w:tc>
        <w:tc>
          <w:tcPr>
            <w:tcW w:w="1134" w:type="dxa"/>
          </w:tcPr>
          <w:p w14:paraId="75EF586D" w14:textId="77777777" w:rsidR="00380CD4" w:rsidRPr="00C67422" w:rsidRDefault="00380CD4" w:rsidP="00DC7677">
            <w:pPr>
              <w:pStyle w:val="TableParagraph"/>
              <w:spacing w:before="38"/>
              <w:rPr>
                <w:rFonts w:ascii="Cambria" w:hAnsi="Cambria"/>
                <w:sz w:val="20"/>
                <w:szCs w:val="20"/>
              </w:rPr>
            </w:pPr>
            <w:r w:rsidRPr="00C67422">
              <w:rPr>
                <w:rFonts w:ascii="Cambria" w:hAnsi="Cambria"/>
                <w:spacing w:val="-2"/>
                <w:sz w:val="20"/>
                <w:szCs w:val="20"/>
              </w:rPr>
              <w:t>21-Sep-</w:t>
            </w:r>
            <w:r w:rsidRPr="00C67422">
              <w:rPr>
                <w:rFonts w:ascii="Cambria" w:hAnsi="Cambria"/>
                <w:spacing w:val="-4"/>
                <w:sz w:val="20"/>
                <w:szCs w:val="20"/>
              </w:rPr>
              <w:t>2020</w:t>
            </w:r>
          </w:p>
        </w:tc>
        <w:tc>
          <w:tcPr>
            <w:tcW w:w="1134" w:type="dxa"/>
          </w:tcPr>
          <w:p w14:paraId="7A2031EC" w14:textId="77777777" w:rsidR="00380CD4" w:rsidRPr="00C67422" w:rsidRDefault="00380CD4" w:rsidP="00DC7677">
            <w:pPr>
              <w:pStyle w:val="TableParagraph"/>
              <w:ind w:left="55" w:right="-3"/>
              <w:rPr>
                <w:rFonts w:ascii="Cambria" w:hAnsi="Cambria"/>
                <w:sz w:val="20"/>
                <w:szCs w:val="20"/>
              </w:rPr>
            </w:pPr>
            <w:r w:rsidRPr="00C67422">
              <w:rPr>
                <w:rFonts w:ascii="Cambria" w:hAnsi="Cambria"/>
                <w:spacing w:val="-2"/>
                <w:sz w:val="20"/>
                <w:szCs w:val="20"/>
              </w:rPr>
              <w:t>Approved; 23-Apr-2021</w:t>
            </w:r>
          </w:p>
        </w:tc>
        <w:tc>
          <w:tcPr>
            <w:tcW w:w="1984" w:type="dxa"/>
          </w:tcPr>
          <w:p w14:paraId="40283354" w14:textId="2D535AEB" w:rsidR="00380CD4" w:rsidRPr="00C67422" w:rsidRDefault="0036009D" w:rsidP="00D36C84">
            <w:pPr>
              <w:pStyle w:val="TableParagraph"/>
              <w:ind w:left="54" w:right="141"/>
              <w:rPr>
                <w:rFonts w:ascii="Cambria" w:hAnsi="Cambria"/>
                <w:sz w:val="20"/>
                <w:szCs w:val="20"/>
              </w:rPr>
            </w:pPr>
            <w:r>
              <w:rPr>
                <w:rFonts w:ascii="Cambria" w:hAnsi="Cambria"/>
                <w:sz w:val="20"/>
                <w:szCs w:val="20"/>
              </w:rPr>
              <w:t>Zynlonta</w:t>
            </w:r>
            <w:r w:rsidR="00380CD4" w:rsidRPr="00C67422">
              <w:rPr>
                <w:rFonts w:ascii="Cambria" w:hAnsi="Cambria"/>
                <w:sz w:val="20"/>
                <w:szCs w:val="20"/>
              </w:rPr>
              <w:t xml:space="preserve"> is indicated for the treatment of adult patients with relapsed or refractory large B-cell lymphoma after two or more lines of systemic therapy, including diffuse large B-cell lymphoma (DLBCL) not otherwise </w:t>
            </w:r>
            <w:r w:rsidR="00380CD4" w:rsidRPr="00C67422">
              <w:rPr>
                <w:rFonts w:ascii="Cambria" w:hAnsi="Cambria"/>
                <w:sz w:val="20"/>
                <w:szCs w:val="20"/>
              </w:rPr>
              <w:lastRenderedPageBreak/>
              <w:t>specified, DLBCL arising from</w:t>
            </w:r>
            <w:r w:rsidR="00380CD4" w:rsidRPr="00C67422">
              <w:rPr>
                <w:rFonts w:ascii="Cambria" w:hAnsi="Cambria"/>
                <w:spacing w:val="-7"/>
                <w:sz w:val="20"/>
                <w:szCs w:val="20"/>
              </w:rPr>
              <w:t xml:space="preserve"> </w:t>
            </w:r>
            <w:r w:rsidR="00380CD4" w:rsidRPr="00C67422">
              <w:rPr>
                <w:rFonts w:ascii="Cambria" w:hAnsi="Cambria"/>
                <w:sz w:val="20"/>
                <w:szCs w:val="20"/>
              </w:rPr>
              <w:t>low</w:t>
            </w:r>
            <w:r w:rsidR="00380CD4" w:rsidRPr="00C67422">
              <w:rPr>
                <w:rFonts w:ascii="Cambria" w:hAnsi="Cambria"/>
                <w:spacing w:val="-8"/>
                <w:sz w:val="20"/>
                <w:szCs w:val="20"/>
              </w:rPr>
              <w:t xml:space="preserve"> </w:t>
            </w:r>
            <w:r w:rsidR="00380CD4" w:rsidRPr="00C67422">
              <w:rPr>
                <w:rFonts w:ascii="Cambria" w:hAnsi="Cambria"/>
                <w:sz w:val="20"/>
                <w:szCs w:val="20"/>
              </w:rPr>
              <w:t>grade</w:t>
            </w:r>
            <w:r w:rsidR="00380CD4" w:rsidRPr="00C67422">
              <w:rPr>
                <w:rFonts w:ascii="Cambria" w:hAnsi="Cambria"/>
                <w:spacing w:val="-7"/>
                <w:sz w:val="20"/>
                <w:szCs w:val="20"/>
              </w:rPr>
              <w:t xml:space="preserve"> </w:t>
            </w:r>
            <w:r w:rsidR="00380CD4" w:rsidRPr="00C67422">
              <w:rPr>
                <w:rFonts w:ascii="Cambria" w:hAnsi="Cambria"/>
                <w:sz w:val="20"/>
                <w:szCs w:val="20"/>
              </w:rPr>
              <w:t>lymphoma,</w:t>
            </w:r>
            <w:r w:rsidR="00380CD4" w:rsidRPr="00C67422">
              <w:rPr>
                <w:rFonts w:ascii="Cambria" w:hAnsi="Cambria"/>
                <w:spacing w:val="-8"/>
                <w:sz w:val="20"/>
                <w:szCs w:val="20"/>
              </w:rPr>
              <w:t xml:space="preserve"> </w:t>
            </w:r>
            <w:r w:rsidR="00380CD4" w:rsidRPr="00C67422">
              <w:rPr>
                <w:rFonts w:ascii="Cambria" w:hAnsi="Cambria"/>
                <w:sz w:val="20"/>
                <w:szCs w:val="20"/>
              </w:rPr>
              <w:t>and</w:t>
            </w:r>
            <w:r w:rsidR="00380CD4" w:rsidRPr="00C67422">
              <w:rPr>
                <w:rFonts w:ascii="Cambria" w:hAnsi="Cambria"/>
                <w:spacing w:val="-7"/>
                <w:sz w:val="20"/>
                <w:szCs w:val="20"/>
              </w:rPr>
              <w:t xml:space="preserve"> </w:t>
            </w:r>
            <w:r w:rsidR="00380CD4" w:rsidRPr="00C67422">
              <w:rPr>
                <w:rFonts w:ascii="Cambria" w:hAnsi="Cambria"/>
                <w:sz w:val="20"/>
                <w:szCs w:val="20"/>
              </w:rPr>
              <w:t>high-grade</w:t>
            </w:r>
            <w:r w:rsidR="00380CD4" w:rsidRPr="00C67422">
              <w:rPr>
                <w:rFonts w:ascii="Cambria" w:hAnsi="Cambria"/>
                <w:spacing w:val="-7"/>
                <w:sz w:val="20"/>
                <w:szCs w:val="20"/>
              </w:rPr>
              <w:t xml:space="preserve"> </w:t>
            </w:r>
            <w:r w:rsidR="00380CD4" w:rsidRPr="00C67422">
              <w:rPr>
                <w:rFonts w:ascii="Cambria" w:hAnsi="Cambria"/>
                <w:sz w:val="20"/>
                <w:szCs w:val="20"/>
              </w:rPr>
              <w:t xml:space="preserve">B-cell </w:t>
            </w:r>
            <w:r w:rsidR="00380CD4" w:rsidRPr="00C67422">
              <w:rPr>
                <w:rFonts w:ascii="Cambria" w:hAnsi="Cambria"/>
                <w:spacing w:val="-2"/>
                <w:sz w:val="20"/>
                <w:szCs w:val="20"/>
              </w:rPr>
              <w:t>lymphoma.</w:t>
            </w:r>
          </w:p>
        </w:tc>
        <w:tc>
          <w:tcPr>
            <w:tcW w:w="2835" w:type="dxa"/>
          </w:tcPr>
          <w:p w14:paraId="6145FC73" w14:textId="77777777" w:rsidR="00380CD4" w:rsidRPr="00C67422" w:rsidRDefault="00380CD4" w:rsidP="00D36C84">
            <w:pPr>
              <w:pStyle w:val="TableParagraph"/>
              <w:spacing w:line="244" w:lineRule="auto"/>
              <w:ind w:left="139" w:right="142"/>
              <w:rPr>
                <w:rFonts w:ascii="Cambria" w:hAnsi="Cambria"/>
                <w:sz w:val="20"/>
                <w:szCs w:val="20"/>
              </w:rPr>
            </w:pPr>
            <w:r w:rsidRPr="00C67422">
              <w:rPr>
                <w:rFonts w:ascii="Cambria" w:hAnsi="Cambria"/>
                <w:b/>
                <w:sz w:val="20"/>
                <w:szCs w:val="20"/>
              </w:rPr>
              <w:lastRenderedPageBreak/>
              <w:t>Approval pathway</w:t>
            </w:r>
            <w:r w:rsidRPr="00C67422">
              <w:rPr>
                <w:rFonts w:ascii="Cambria" w:hAnsi="Cambria"/>
                <w:sz w:val="20"/>
                <w:szCs w:val="20"/>
              </w:rPr>
              <w:t>: Priority Review &amp; Accelerated</w:t>
            </w:r>
            <w:r w:rsidRPr="00C67422">
              <w:rPr>
                <w:rFonts w:ascii="Cambria" w:hAnsi="Cambria"/>
                <w:spacing w:val="-9"/>
                <w:sz w:val="20"/>
                <w:szCs w:val="20"/>
              </w:rPr>
              <w:t xml:space="preserve"> </w:t>
            </w:r>
            <w:r w:rsidRPr="00C67422">
              <w:rPr>
                <w:rFonts w:ascii="Cambria" w:hAnsi="Cambria"/>
                <w:sz w:val="20"/>
                <w:szCs w:val="20"/>
              </w:rPr>
              <w:t>Approval</w:t>
            </w:r>
            <w:r w:rsidRPr="00C67422">
              <w:rPr>
                <w:rFonts w:ascii="Cambria" w:hAnsi="Cambria"/>
                <w:spacing w:val="-11"/>
                <w:sz w:val="20"/>
                <w:szCs w:val="20"/>
              </w:rPr>
              <w:t xml:space="preserve"> </w:t>
            </w:r>
            <w:r w:rsidRPr="00C67422">
              <w:rPr>
                <w:rFonts w:ascii="Cambria" w:hAnsi="Cambria"/>
                <w:sz w:val="20"/>
                <w:szCs w:val="20"/>
              </w:rPr>
              <w:t>(based</w:t>
            </w:r>
            <w:r w:rsidRPr="00C67422">
              <w:rPr>
                <w:rFonts w:ascii="Cambria" w:hAnsi="Cambria"/>
                <w:spacing w:val="-10"/>
                <w:sz w:val="20"/>
                <w:szCs w:val="20"/>
              </w:rPr>
              <w:t xml:space="preserve"> </w:t>
            </w:r>
            <w:r w:rsidRPr="00C67422">
              <w:rPr>
                <w:rFonts w:ascii="Cambria" w:hAnsi="Cambria"/>
                <w:sz w:val="20"/>
                <w:szCs w:val="20"/>
              </w:rPr>
              <w:t>on</w:t>
            </w:r>
            <w:r w:rsidRPr="00C67422">
              <w:rPr>
                <w:rFonts w:ascii="Cambria" w:hAnsi="Cambria"/>
                <w:spacing w:val="-10"/>
                <w:sz w:val="20"/>
                <w:szCs w:val="20"/>
              </w:rPr>
              <w:t xml:space="preserve"> </w:t>
            </w:r>
            <w:r w:rsidRPr="00C67422">
              <w:rPr>
                <w:rFonts w:ascii="Cambria" w:hAnsi="Cambria"/>
                <w:sz w:val="20"/>
                <w:szCs w:val="20"/>
              </w:rPr>
              <w:t xml:space="preserve">LOTIS-2) </w:t>
            </w:r>
            <w:r w:rsidRPr="00C67422">
              <w:rPr>
                <w:rFonts w:ascii="Cambria" w:hAnsi="Cambria"/>
                <w:b/>
                <w:sz w:val="20"/>
                <w:szCs w:val="20"/>
              </w:rPr>
              <w:t>Approval</w:t>
            </w:r>
            <w:r w:rsidRPr="00C67422">
              <w:rPr>
                <w:rFonts w:ascii="Cambria" w:hAnsi="Cambria"/>
                <w:b/>
                <w:spacing w:val="-13"/>
                <w:sz w:val="20"/>
                <w:szCs w:val="20"/>
              </w:rPr>
              <w:t xml:space="preserve"> </w:t>
            </w:r>
            <w:r w:rsidRPr="00C67422">
              <w:rPr>
                <w:rFonts w:ascii="Cambria" w:hAnsi="Cambria"/>
                <w:b/>
                <w:sz w:val="20"/>
                <w:szCs w:val="20"/>
              </w:rPr>
              <w:t>conditions</w:t>
            </w:r>
            <w:r w:rsidRPr="00C67422">
              <w:rPr>
                <w:rFonts w:ascii="Cambria" w:hAnsi="Cambria"/>
                <w:sz w:val="20"/>
                <w:szCs w:val="20"/>
              </w:rPr>
              <w:t>:</w:t>
            </w:r>
            <w:r w:rsidRPr="00C67422">
              <w:rPr>
                <w:rFonts w:ascii="Cambria" w:hAnsi="Cambria"/>
                <w:spacing w:val="-13"/>
                <w:sz w:val="20"/>
                <w:szCs w:val="20"/>
              </w:rPr>
              <w:t xml:space="preserve"> </w:t>
            </w:r>
            <w:r w:rsidRPr="00C67422">
              <w:rPr>
                <w:rFonts w:ascii="Cambria" w:hAnsi="Cambria"/>
                <w:sz w:val="20"/>
                <w:szCs w:val="20"/>
              </w:rPr>
              <w:t>Confirmatory</w:t>
            </w:r>
            <w:r w:rsidRPr="00C67422">
              <w:rPr>
                <w:rFonts w:ascii="Cambria" w:hAnsi="Cambria"/>
                <w:spacing w:val="-13"/>
                <w:sz w:val="20"/>
                <w:szCs w:val="20"/>
              </w:rPr>
              <w:t xml:space="preserve"> </w:t>
            </w:r>
            <w:r w:rsidRPr="00C67422">
              <w:rPr>
                <w:rFonts w:ascii="Cambria" w:hAnsi="Cambria"/>
                <w:sz w:val="20"/>
                <w:szCs w:val="20"/>
              </w:rPr>
              <w:t>study LOTIS-5 completion by Dec 2025</w:t>
            </w:r>
          </w:p>
          <w:p w14:paraId="54F2A6EF" w14:textId="671B1353" w:rsidR="00380CD4" w:rsidRPr="00C67422" w:rsidRDefault="00380CD4" w:rsidP="00D36C84">
            <w:pPr>
              <w:pStyle w:val="TableParagraph"/>
              <w:spacing w:before="3"/>
              <w:ind w:left="139" w:right="142"/>
              <w:rPr>
                <w:rFonts w:ascii="Cambria" w:hAnsi="Cambria"/>
                <w:sz w:val="20"/>
                <w:szCs w:val="20"/>
              </w:rPr>
            </w:pPr>
            <w:r w:rsidRPr="00C67422">
              <w:rPr>
                <w:rFonts w:ascii="Cambria" w:hAnsi="Cambria"/>
                <w:b/>
                <w:sz w:val="20"/>
                <w:szCs w:val="20"/>
              </w:rPr>
              <w:t>Orphan</w:t>
            </w:r>
            <w:r w:rsidRPr="00C67422">
              <w:rPr>
                <w:rFonts w:ascii="Cambria" w:hAnsi="Cambria"/>
                <w:b/>
                <w:spacing w:val="-13"/>
                <w:sz w:val="20"/>
                <w:szCs w:val="20"/>
              </w:rPr>
              <w:t xml:space="preserve"> </w:t>
            </w:r>
            <w:r w:rsidRPr="00C67422">
              <w:rPr>
                <w:rFonts w:ascii="Cambria" w:hAnsi="Cambria"/>
                <w:b/>
                <w:sz w:val="20"/>
                <w:szCs w:val="20"/>
              </w:rPr>
              <w:t>Drug</w:t>
            </w:r>
            <w:r w:rsidRPr="00C67422">
              <w:rPr>
                <w:rFonts w:ascii="Cambria" w:hAnsi="Cambria"/>
                <w:b/>
                <w:spacing w:val="-13"/>
                <w:sz w:val="20"/>
                <w:szCs w:val="20"/>
              </w:rPr>
              <w:t xml:space="preserve"> </w:t>
            </w:r>
            <w:r w:rsidRPr="00C67422">
              <w:rPr>
                <w:rFonts w:ascii="Cambria" w:hAnsi="Cambria"/>
                <w:b/>
                <w:sz w:val="20"/>
                <w:szCs w:val="20"/>
              </w:rPr>
              <w:t>Designation</w:t>
            </w:r>
            <w:r w:rsidRPr="00C67422">
              <w:rPr>
                <w:rFonts w:ascii="Cambria" w:hAnsi="Cambria"/>
                <w:sz w:val="20"/>
                <w:szCs w:val="20"/>
              </w:rPr>
              <w:t>:</w:t>
            </w:r>
            <w:r w:rsidRPr="00C67422">
              <w:rPr>
                <w:rFonts w:ascii="Cambria" w:hAnsi="Cambria"/>
                <w:spacing w:val="-13"/>
                <w:sz w:val="20"/>
                <w:szCs w:val="20"/>
              </w:rPr>
              <w:t xml:space="preserve"> </w:t>
            </w:r>
            <w:r w:rsidRPr="00C67422">
              <w:rPr>
                <w:rFonts w:ascii="Cambria" w:hAnsi="Cambria"/>
                <w:sz w:val="20"/>
                <w:szCs w:val="20"/>
              </w:rPr>
              <w:t xml:space="preserve">Granted </w:t>
            </w:r>
            <w:r w:rsidRPr="00C67422">
              <w:rPr>
                <w:rFonts w:ascii="Cambria" w:hAnsi="Cambria"/>
                <w:spacing w:val="-2"/>
                <w:sz w:val="20"/>
                <w:szCs w:val="20"/>
              </w:rPr>
              <w:t>8</w:t>
            </w:r>
            <w:r w:rsidR="00D36C84">
              <w:rPr>
                <w:rFonts w:ascii="Cambria" w:hAnsi="Cambria"/>
                <w:spacing w:val="-2"/>
                <w:sz w:val="20"/>
                <w:szCs w:val="20"/>
              </w:rPr>
              <w:t xml:space="preserve"> </w:t>
            </w:r>
            <w:r w:rsidRPr="00C67422">
              <w:rPr>
                <w:rFonts w:ascii="Cambria" w:hAnsi="Cambria"/>
                <w:spacing w:val="-2"/>
                <w:sz w:val="20"/>
                <w:szCs w:val="20"/>
              </w:rPr>
              <w:t>June</w:t>
            </w:r>
            <w:r w:rsidR="00D36C84">
              <w:rPr>
                <w:rFonts w:ascii="Cambria" w:hAnsi="Cambria"/>
                <w:spacing w:val="-2"/>
                <w:sz w:val="20"/>
                <w:szCs w:val="20"/>
              </w:rPr>
              <w:t xml:space="preserve"> </w:t>
            </w:r>
            <w:r w:rsidRPr="00C67422">
              <w:rPr>
                <w:rFonts w:ascii="Cambria" w:hAnsi="Cambria"/>
                <w:spacing w:val="-2"/>
                <w:sz w:val="20"/>
                <w:szCs w:val="20"/>
              </w:rPr>
              <w:t>2017</w:t>
            </w:r>
          </w:p>
          <w:p w14:paraId="7BFB12E3" w14:textId="21FBD7EC" w:rsidR="00380CD4" w:rsidRPr="00C67422" w:rsidRDefault="00380CD4" w:rsidP="00D36C84">
            <w:pPr>
              <w:pStyle w:val="TableParagraph"/>
              <w:spacing w:before="12"/>
              <w:ind w:left="139" w:right="142"/>
              <w:rPr>
                <w:rFonts w:ascii="Cambria" w:hAnsi="Cambria"/>
                <w:sz w:val="20"/>
                <w:szCs w:val="20"/>
              </w:rPr>
            </w:pPr>
            <w:r w:rsidRPr="00C67422">
              <w:rPr>
                <w:rFonts w:ascii="Cambria" w:hAnsi="Cambria"/>
                <w:b/>
                <w:spacing w:val="-2"/>
                <w:sz w:val="20"/>
                <w:szCs w:val="20"/>
              </w:rPr>
              <w:t>Marketed/launch</w:t>
            </w:r>
            <w:r w:rsidRPr="00C67422">
              <w:rPr>
                <w:rFonts w:ascii="Cambria" w:hAnsi="Cambria"/>
                <w:b/>
                <w:spacing w:val="12"/>
                <w:sz w:val="20"/>
                <w:szCs w:val="20"/>
              </w:rPr>
              <w:t xml:space="preserve"> </w:t>
            </w:r>
            <w:r w:rsidRPr="00C67422">
              <w:rPr>
                <w:rFonts w:ascii="Cambria" w:hAnsi="Cambria"/>
                <w:b/>
                <w:spacing w:val="-2"/>
                <w:sz w:val="20"/>
                <w:szCs w:val="20"/>
              </w:rPr>
              <w:t>date</w:t>
            </w:r>
            <w:r w:rsidRPr="00C67422">
              <w:rPr>
                <w:rFonts w:ascii="Cambria" w:hAnsi="Cambria"/>
                <w:spacing w:val="-2"/>
                <w:sz w:val="20"/>
                <w:szCs w:val="20"/>
              </w:rPr>
              <w:t>:</w:t>
            </w:r>
            <w:r w:rsidRPr="00C67422">
              <w:rPr>
                <w:rFonts w:ascii="Cambria" w:hAnsi="Cambria"/>
                <w:spacing w:val="12"/>
                <w:sz w:val="20"/>
                <w:szCs w:val="20"/>
              </w:rPr>
              <w:t xml:space="preserve"> </w:t>
            </w:r>
            <w:r w:rsidRPr="00C67422">
              <w:rPr>
                <w:rFonts w:ascii="Cambria" w:hAnsi="Cambria"/>
                <w:spacing w:val="-2"/>
                <w:sz w:val="20"/>
                <w:szCs w:val="20"/>
              </w:rPr>
              <w:t>30</w:t>
            </w:r>
            <w:r w:rsidR="00D36C84">
              <w:rPr>
                <w:rFonts w:ascii="Cambria" w:hAnsi="Cambria"/>
                <w:spacing w:val="-2"/>
                <w:sz w:val="20"/>
                <w:szCs w:val="20"/>
              </w:rPr>
              <w:t xml:space="preserve"> </w:t>
            </w:r>
            <w:r w:rsidRPr="00C67422">
              <w:rPr>
                <w:rFonts w:ascii="Cambria" w:hAnsi="Cambria"/>
                <w:spacing w:val="-2"/>
                <w:sz w:val="20"/>
                <w:szCs w:val="20"/>
              </w:rPr>
              <w:t>Apr</w:t>
            </w:r>
            <w:r w:rsidR="00D36C84">
              <w:rPr>
                <w:rFonts w:ascii="Cambria" w:hAnsi="Cambria"/>
                <w:spacing w:val="-2"/>
                <w:sz w:val="20"/>
                <w:szCs w:val="20"/>
              </w:rPr>
              <w:t xml:space="preserve">il </w:t>
            </w:r>
            <w:r w:rsidRPr="00C67422">
              <w:rPr>
                <w:rFonts w:ascii="Cambria" w:hAnsi="Cambria"/>
                <w:spacing w:val="-4"/>
                <w:sz w:val="20"/>
                <w:szCs w:val="20"/>
              </w:rPr>
              <w:t>2021</w:t>
            </w:r>
          </w:p>
        </w:tc>
      </w:tr>
      <w:tr w:rsidR="00380CD4" w:rsidRPr="00C67422" w14:paraId="74CB7A6D" w14:textId="77777777" w:rsidTr="009C7E5A">
        <w:trPr>
          <w:trHeight w:val="1405"/>
        </w:trPr>
        <w:tc>
          <w:tcPr>
            <w:tcW w:w="1119" w:type="dxa"/>
          </w:tcPr>
          <w:p w14:paraId="14921216" w14:textId="77777777" w:rsidR="00380CD4" w:rsidRPr="00C67422" w:rsidRDefault="00380CD4" w:rsidP="00DC7677">
            <w:pPr>
              <w:pStyle w:val="TableParagraph"/>
              <w:spacing w:line="252" w:lineRule="auto"/>
              <w:ind w:left="57" w:right="-290"/>
              <w:rPr>
                <w:rFonts w:ascii="Cambria" w:hAnsi="Cambria"/>
                <w:i/>
                <w:sz w:val="20"/>
                <w:szCs w:val="20"/>
              </w:rPr>
            </w:pPr>
            <w:r w:rsidRPr="00C67422">
              <w:rPr>
                <w:rFonts w:ascii="Cambria" w:hAnsi="Cambria"/>
                <w:sz w:val="20"/>
                <w:szCs w:val="20"/>
              </w:rPr>
              <w:t xml:space="preserve">European Union </w:t>
            </w:r>
            <w:r w:rsidRPr="00C67422">
              <w:rPr>
                <w:rFonts w:ascii="Cambria" w:hAnsi="Cambria"/>
                <w:i/>
                <w:sz w:val="20"/>
                <w:szCs w:val="20"/>
              </w:rPr>
              <w:t>Procedure:</w:t>
            </w:r>
            <w:r w:rsidRPr="00C67422">
              <w:rPr>
                <w:rFonts w:ascii="Cambria" w:hAnsi="Cambria"/>
                <w:i/>
                <w:spacing w:val="-14"/>
                <w:sz w:val="20"/>
                <w:szCs w:val="20"/>
              </w:rPr>
              <w:t xml:space="preserve"> </w:t>
            </w:r>
            <w:proofErr w:type="spellStart"/>
            <w:r w:rsidRPr="00C67422">
              <w:rPr>
                <w:rFonts w:ascii="Cambria" w:hAnsi="Cambria"/>
                <w:i/>
                <w:sz w:val="20"/>
                <w:szCs w:val="20"/>
              </w:rPr>
              <w:t>centralised</w:t>
            </w:r>
            <w:proofErr w:type="spellEnd"/>
            <w:r w:rsidRPr="00C67422">
              <w:rPr>
                <w:rFonts w:ascii="Cambria" w:hAnsi="Cambria"/>
                <w:i/>
                <w:sz w:val="20"/>
                <w:szCs w:val="20"/>
              </w:rPr>
              <w:t xml:space="preserve"> Rapporteur: Denmark Co-rapporteur:</w:t>
            </w:r>
            <w:r w:rsidRPr="00C67422">
              <w:rPr>
                <w:rFonts w:ascii="Cambria" w:hAnsi="Cambria"/>
                <w:i/>
                <w:spacing w:val="-14"/>
                <w:sz w:val="20"/>
                <w:szCs w:val="20"/>
              </w:rPr>
              <w:t xml:space="preserve"> </w:t>
            </w:r>
            <w:r w:rsidRPr="00C67422">
              <w:rPr>
                <w:rFonts w:ascii="Cambria" w:hAnsi="Cambria"/>
                <w:i/>
                <w:sz w:val="20"/>
                <w:szCs w:val="20"/>
              </w:rPr>
              <w:t>France</w:t>
            </w:r>
          </w:p>
        </w:tc>
        <w:tc>
          <w:tcPr>
            <w:tcW w:w="993" w:type="dxa"/>
          </w:tcPr>
          <w:p w14:paraId="42CC8DE4" w14:textId="77777777" w:rsidR="00380CD4" w:rsidRPr="00C67422" w:rsidRDefault="00380CD4" w:rsidP="00DC7677">
            <w:pPr>
              <w:pStyle w:val="TableParagraph"/>
              <w:rPr>
                <w:rFonts w:ascii="Cambria" w:hAnsi="Cambria"/>
                <w:sz w:val="20"/>
                <w:szCs w:val="20"/>
              </w:rPr>
            </w:pPr>
            <w:r w:rsidRPr="00C67422">
              <w:rPr>
                <w:rFonts w:ascii="Cambria" w:hAnsi="Cambria"/>
                <w:sz w:val="20"/>
                <w:szCs w:val="20"/>
              </w:rPr>
              <w:t>MAH:</w:t>
            </w:r>
            <w:r w:rsidRPr="00C67422">
              <w:rPr>
                <w:rFonts w:ascii="Cambria" w:hAnsi="Cambria"/>
                <w:spacing w:val="-7"/>
                <w:sz w:val="20"/>
                <w:szCs w:val="20"/>
              </w:rPr>
              <w:t xml:space="preserve"> </w:t>
            </w:r>
            <w:r w:rsidRPr="00C67422">
              <w:rPr>
                <w:rFonts w:ascii="Cambria" w:hAnsi="Cambria"/>
                <w:spacing w:val="-4"/>
                <w:sz w:val="20"/>
                <w:szCs w:val="20"/>
              </w:rPr>
              <w:t>Sobi</w:t>
            </w:r>
          </w:p>
          <w:p w14:paraId="3C6C2AA3" w14:textId="77777777" w:rsidR="00380CD4" w:rsidRPr="00C67422" w:rsidRDefault="00380CD4" w:rsidP="00DC7677">
            <w:pPr>
              <w:pStyle w:val="TableParagraph"/>
              <w:spacing w:before="10"/>
              <w:rPr>
                <w:rFonts w:ascii="Cambria" w:hAnsi="Cambria"/>
                <w:sz w:val="20"/>
                <w:szCs w:val="20"/>
              </w:rPr>
            </w:pPr>
            <w:r w:rsidRPr="00C67422">
              <w:rPr>
                <w:rFonts w:ascii="Cambria" w:hAnsi="Cambria"/>
                <w:sz w:val="20"/>
                <w:szCs w:val="20"/>
              </w:rPr>
              <w:t>(Note:</w:t>
            </w:r>
            <w:r w:rsidRPr="00C67422">
              <w:rPr>
                <w:rFonts w:ascii="Cambria" w:hAnsi="Cambria"/>
                <w:spacing w:val="-14"/>
                <w:sz w:val="20"/>
                <w:szCs w:val="20"/>
              </w:rPr>
              <w:t xml:space="preserve"> </w:t>
            </w:r>
            <w:r w:rsidRPr="00C67422">
              <w:rPr>
                <w:rFonts w:ascii="Cambria" w:hAnsi="Cambria"/>
                <w:sz w:val="20"/>
                <w:szCs w:val="20"/>
              </w:rPr>
              <w:t>Applicant</w:t>
            </w:r>
            <w:r w:rsidRPr="00C67422">
              <w:rPr>
                <w:rFonts w:ascii="Cambria" w:hAnsi="Cambria"/>
                <w:spacing w:val="-13"/>
                <w:sz w:val="20"/>
                <w:szCs w:val="20"/>
              </w:rPr>
              <w:t xml:space="preserve"> </w:t>
            </w:r>
            <w:r w:rsidRPr="00C67422">
              <w:rPr>
                <w:rFonts w:ascii="Cambria" w:hAnsi="Cambria"/>
                <w:sz w:val="20"/>
                <w:szCs w:val="20"/>
              </w:rPr>
              <w:t xml:space="preserve">was </w:t>
            </w:r>
            <w:r w:rsidRPr="00C67422">
              <w:rPr>
                <w:rFonts w:ascii="Cambria" w:hAnsi="Cambria"/>
                <w:spacing w:val="-4"/>
                <w:sz w:val="20"/>
                <w:szCs w:val="20"/>
              </w:rPr>
              <w:t>ADCT)</w:t>
            </w:r>
          </w:p>
        </w:tc>
        <w:tc>
          <w:tcPr>
            <w:tcW w:w="1134" w:type="dxa"/>
          </w:tcPr>
          <w:p w14:paraId="1CAC7BA5" w14:textId="77777777" w:rsidR="00380CD4" w:rsidRPr="00C67422" w:rsidRDefault="00380CD4" w:rsidP="00DC7677">
            <w:pPr>
              <w:pStyle w:val="TableParagraph"/>
              <w:rPr>
                <w:rFonts w:ascii="Cambria" w:hAnsi="Cambria"/>
                <w:sz w:val="20"/>
                <w:szCs w:val="20"/>
              </w:rPr>
            </w:pPr>
            <w:r w:rsidRPr="00C67422">
              <w:rPr>
                <w:rFonts w:ascii="Cambria" w:hAnsi="Cambria"/>
                <w:spacing w:val="-2"/>
                <w:sz w:val="20"/>
                <w:szCs w:val="20"/>
              </w:rPr>
              <w:t>6-Oct-</w:t>
            </w:r>
            <w:r w:rsidRPr="00C67422">
              <w:rPr>
                <w:rFonts w:ascii="Cambria" w:hAnsi="Cambria"/>
                <w:spacing w:val="-4"/>
                <w:sz w:val="20"/>
                <w:szCs w:val="20"/>
              </w:rPr>
              <w:t>2021</w:t>
            </w:r>
          </w:p>
        </w:tc>
        <w:tc>
          <w:tcPr>
            <w:tcW w:w="1134" w:type="dxa"/>
          </w:tcPr>
          <w:p w14:paraId="201026E9" w14:textId="77777777" w:rsidR="00380CD4" w:rsidRPr="00C67422" w:rsidRDefault="00380CD4" w:rsidP="00DC7677">
            <w:pPr>
              <w:pStyle w:val="TableParagraph"/>
              <w:spacing w:before="36"/>
              <w:ind w:left="55" w:right="-3"/>
              <w:rPr>
                <w:rFonts w:ascii="Cambria" w:hAnsi="Cambria"/>
                <w:sz w:val="20"/>
                <w:szCs w:val="20"/>
              </w:rPr>
            </w:pPr>
            <w:r w:rsidRPr="00C67422">
              <w:rPr>
                <w:rFonts w:ascii="Cambria" w:hAnsi="Cambria"/>
                <w:spacing w:val="-2"/>
                <w:sz w:val="20"/>
                <w:szCs w:val="20"/>
              </w:rPr>
              <w:t>Approved;</w:t>
            </w:r>
          </w:p>
          <w:p w14:paraId="26B17470" w14:textId="77777777" w:rsidR="00380CD4" w:rsidRPr="00C67422" w:rsidRDefault="00380CD4" w:rsidP="00DC7677">
            <w:pPr>
              <w:pStyle w:val="TableParagraph"/>
              <w:spacing w:before="2"/>
              <w:ind w:left="55" w:right="-3"/>
              <w:rPr>
                <w:rFonts w:ascii="Cambria" w:hAnsi="Cambria"/>
                <w:sz w:val="20"/>
                <w:szCs w:val="20"/>
              </w:rPr>
            </w:pPr>
            <w:r w:rsidRPr="00C67422">
              <w:rPr>
                <w:rFonts w:ascii="Cambria" w:hAnsi="Cambria"/>
                <w:spacing w:val="-2"/>
                <w:sz w:val="20"/>
                <w:szCs w:val="20"/>
              </w:rPr>
              <w:t>20-Dec-2022*</w:t>
            </w:r>
          </w:p>
        </w:tc>
        <w:tc>
          <w:tcPr>
            <w:tcW w:w="1984" w:type="dxa"/>
          </w:tcPr>
          <w:p w14:paraId="00CCC495" w14:textId="6156FE6C" w:rsidR="00380CD4" w:rsidRPr="00C67422" w:rsidRDefault="0036009D" w:rsidP="00D36C84">
            <w:pPr>
              <w:pStyle w:val="TableParagraph"/>
              <w:spacing w:before="36"/>
              <w:ind w:left="54" w:right="141"/>
              <w:rPr>
                <w:rFonts w:ascii="Cambria" w:hAnsi="Cambria"/>
                <w:sz w:val="20"/>
                <w:szCs w:val="20"/>
              </w:rPr>
            </w:pPr>
            <w:r>
              <w:rPr>
                <w:rFonts w:ascii="Cambria" w:hAnsi="Cambria"/>
                <w:sz w:val="20"/>
                <w:szCs w:val="20"/>
              </w:rPr>
              <w:t>Zynlonta</w:t>
            </w:r>
            <w:r w:rsidR="00380CD4" w:rsidRPr="00C67422">
              <w:rPr>
                <w:rFonts w:ascii="Cambria" w:hAnsi="Cambria"/>
                <w:sz w:val="20"/>
                <w:szCs w:val="20"/>
              </w:rPr>
              <w:t xml:space="preserve"> as monotherapy is indicated for the treatment of adult patients with relapsed or refractory diffuse large B-cell lymphoma (DLBCL) and</w:t>
            </w:r>
            <w:r w:rsidR="00380CD4" w:rsidRPr="00C67422">
              <w:rPr>
                <w:rFonts w:ascii="Cambria" w:hAnsi="Cambria"/>
                <w:spacing w:val="-6"/>
                <w:sz w:val="20"/>
                <w:szCs w:val="20"/>
              </w:rPr>
              <w:t xml:space="preserve"> </w:t>
            </w:r>
            <w:r w:rsidR="00380CD4" w:rsidRPr="00C67422">
              <w:rPr>
                <w:rFonts w:ascii="Cambria" w:hAnsi="Cambria"/>
                <w:sz w:val="20"/>
                <w:szCs w:val="20"/>
              </w:rPr>
              <w:t>high-grade</w:t>
            </w:r>
            <w:r w:rsidR="00380CD4" w:rsidRPr="00C67422">
              <w:rPr>
                <w:rFonts w:ascii="Cambria" w:hAnsi="Cambria"/>
                <w:spacing w:val="-6"/>
                <w:sz w:val="20"/>
                <w:szCs w:val="20"/>
              </w:rPr>
              <w:t xml:space="preserve"> </w:t>
            </w:r>
            <w:r w:rsidR="00380CD4" w:rsidRPr="00C67422">
              <w:rPr>
                <w:rFonts w:ascii="Cambria" w:hAnsi="Cambria"/>
                <w:sz w:val="20"/>
                <w:szCs w:val="20"/>
              </w:rPr>
              <w:t>B</w:t>
            </w:r>
            <w:r w:rsidR="00380CD4" w:rsidRPr="00C67422">
              <w:rPr>
                <w:rFonts w:ascii="Cambria" w:hAnsi="Cambria"/>
                <w:spacing w:val="-6"/>
                <w:sz w:val="20"/>
                <w:szCs w:val="20"/>
              </w:rPr>
              <w:t xml:space="preserve"> </w:t>
            </w:r>
            <w:r w:rsidR="00380CD4" w:rsidRPr="00C67422">
              <w:rPr>
                <w:rFonts w:ascii="Cambria" w:hAnsi="Cambria"/>
                <w:sz w:val="20"/>
                <w:szCs w:val="20"/>
              </w:rPr>
              <w:t>cell</w:t>
            </w:r>
            <w:r w:rsidR="00380CD4" w:rsidRPr="00C67422">
              <w:rPr>
                <w:rFonts w:ascii="Cambria" w:hAnsi="Cambria"/>
                <w:spacing w:val="-6"/>
                <w:sz w:val="20"/>
                <w:szCs w:val="20"/>
              </w:rPr>
              <w:t xml:space="preserve"> </w:t>
            </w:r>
            <w:r w:rsidR="00380CD4" w:rsidRPr="00C67422">
              <w:rPr>
                <w:rFonts w:ascii="Cambria" w:hAnsi="Cambria"/>
                <w:sz w:val="20"/>
                <w:szCs w:val="20"/>
              </w:rPr>
              <w:t>lymphoma</w:t>
            </w:r>
            <w:r w:rsidR="00380CD4" w:rsidRPr="00C67422">
              <w:rPr>
                <w:rFonts w:ascii="Cambria" w:hAnsi="Cambria"/>
                <w:spacing w:val="-6"/>
                <w:sz w:val="20"/>
                <w:szCs w:val="20"/>
              </w:rPr>
              <w:t xml:space="preserve"> </w:t>
            </w:r>
            <w:r w:rsidR="00380CD4" w:rsidRPr="00C67422">
              <w:rPr>
                <w:rFonts w:ascii="Cambria" w:hAnsi="Cambria"/>
                <w:sz w:val="20"/>
                <w:szCs w:val="20"/>
              </w:rPr>
              <w:t>(HGBL),</w:t>
            </w:r>
            <w:r w:rsidR="00380CD4" w:rsidRPr="00C67422">
              <w:rPr>
                <w:rFonts w:ascii="Cambria" w:hAnsi="Cambria"/>
                <w:spacing w:val="-5"/>
                <w:sz w:val="20"/>
                <w:szCs w:val="20"/>
              </w:rPr>
              <w:t xml:space="preserve"> </w:t>
            </w:r>
            <w:r w:rsidR="00380CD4" w:rsidRPr="00C67422">
              <w:rPr>
                <w:rFonts w:ascii="Cambria" w:hAnsi="Cambria"/>
                <w:sz w:val="20"/>
                <w:szCs w:val="20"/>
              </w:rPr>
              <w:t>after</w:t>
            </w:r>
            <w:r w:rsidR="00380CD4" w:rsidRPr="00C67422">
              <w:rPr>
                <w:rFonts w:ascii="Cambria" w:hAnsi="Cambria"/>
                <w:spacing w:val="-6"/>
                <w:sz w:val="20"/>
                <w:szCs w:val="20"/>
              </w:rPr>
              <w:t xml:space="preserve"> </w:t>
            </w:r>
            <w:r w:rsidR="00380CD4" w:rsidRPr="00C67422">
              <w:rPr>
                <w:rFonts w:ascii="Cambria" w:hAnsi="Cambria"/>
                <w:sz w:val="20"/>
                <w:szCs w:val="20"/>
              </w:rPr>
              <w:t>two or more lines of systemic therapy.</w:t>
            </w:r>
          </w:p>
        </w:tc>
        <w:tc>
          <w:tcPr>
            <w:tcW w:w="2835" w:type="dxa"/>
          </w:tcPr>
          <w:p w14:paraId="4A9E3E14" w14:textId="77777777" w:rsidR="00380CD4" w:rsidRPr="00C67422" w:rsidRDefault="00380CD4" w:rsidP="00D36C84">
            <w:pPr>
              <w:pStyle w:val="TableParagraph"/>
              <w:spacing w:before="36"/>
              <w:ind w:left="139" w:right="142"/>
              <w:rPr>
                <w:rFonts w:ascii="Cambria" w:hAnsi="Cambria"/>
                <w:sz w:val="20"/>
                <w:szCs w:val="20"/>
              </w:rPr>
            </w:pPr>
            <w:r w:rsidRPr="00C67422">
              <w:rPr>
                <w:rFonts w:ascii="Cambria" w:hAnsi="Cambria"/>
                <w:b/>
                <w:sz w:val="20"/>
                <w:szCs w:val="20"/>
              </w:rPr>
              <w:t>Approval pathway</w:t>
            </w:r>
            <w:r w:rsidRPr="00C67422">
              <w:rPr>
                <w:rFonts w:ascii="Cambria" w:hAnsi="Cambria"/>
                <w:sz w:val="20"/>
                <w:szCs w:val="20"/>
              </w:rPr>
              <w:t>: Conditional Marketing</w:t>
            </w:r>
            <w:r w:rsidRPr="00C67422">
              <w:rPr>
                <w:rFonts w:ascii="Cambria" w:hAnsi="Cambria"/>
                <w:spacing w:val="-10"/>
                <w:sz w:val="20"/>
                <w:szCs w:val="20"/>
              </w:rPr>
              <w:t xml:space="preserve"> </w:t>
            </w:r>
            <w:proofErr w:type="spellStart"/>
            <w:r w:rsidRPr="00C67422">
              <w:rPr>
                <w:rFonts w:ascii="Cambria" w:hAnsi="Cambria"/>
                <w:sz w:val="20"/>
                <w:szCs w:val="20"/>
              </w:rPr>
              <w:t>Authorisation</w:t>
            </w:r>
            <w:proofErr w:type="spellEnd"/>
            <w:r w:rsidRPr="00C67422">
              <w:rPr>
                <w:rFonts w:ascii="Cambria" w:hAnsi="Cambria"/>
                <w:spacing w:val="-10"/>
                <w:sz w:val="20"/>
                <w:szCs w:val="20"/>
              </w:rPr>
              <w:t xml:space="preserve"> </w:t>
            </w:r>
            <w:r w:rsidRPr="00C67422">
              <w:rPr>
                <w:rFonts w:ascii="Cambria" w:hAnsi="Cambria"/>
                <w:sz w:val="20"/>
                <w:szCs w:val="20"/>
              </w:rPr>
              <w:t>(MA)</w:t>
            </w:r>
            <w:r w:rsidRPr="00C67422">
              <w:rPr>
                <w:rFonts w:ascii="Cambria" w:hAnsi="Cambria"/>
                <w:spacing w:val="-10"/>
                <w:sz w:val="20"/>
                <w:szCs w:val="20"/>
              </w:rPr>
              <w:t xml:space="preserve"> </w:t>
            </w:r>
            <w:r w:rsidRPr="00C67422">
              <w:rPr>
                <w:rFonts w:ascii="Cambria" w:hAnsi="Cambria"/>
                <w:sz w:val="20"/>
                <w:szCs w:val="20"/>
              </w:rPr>
              <w:t>(based</w:t>
            </w:r>
            <w:r w:rsidRPr="00C67422">
              <w:rPr>
                <w:rFonts w:ascii="Cambria" w:hAnsi="Cambria"/>
                <w:spacing w:val="-10"/>
                <w:sz w:val="20"/>
                <w:szCs w:val="20"/>
              </w:rPr>
              <w:t xml:space="preserve"> </w:t>
            </w:r>
            <w:r w:rsidRPr="00C67422">
              <w:rPr>
                <w:rFonts w:ascii="Cambria" w:hAnsi="Cambria"/>
                <w:sz w:val="20"/>
                <w:szCs w:val="20"/>
              </w:rPr>
              <w:t xml:space="preserve">on </w:t>
            </w:r>
            <w:r w:rsidRPr="00C67422">
              <w:rPr>
                <w:rFonts w:ascii="Cambria" w:hAnsi="Cambria"/>
                <w:spacing w:val="-2"/>
                <w:sz w:val="20"/>
                <w:szCs w:val="20"/>
              </w:rPr>
              <w:t>LOTIS-2)</w:t>
            </w:r>
          </w:p>
          <w:p w14:paraId="33C056B7" w14:textId="77777777" w:rsidR="00380CD4" w:rsidRPr="00C67422" w:rsidRDefault="00380CD4" w:rsidP="00D36C84">
            <w:pPr>
              <w:pStyle w:val="TableParagraph"/>
              <w:spacing w:before="11" w:line="247" w:lineRule="auto"/>
              <w:ind w:left="139" w:right="142"/>
              <w:rPr>
                <w:rFonts w:ascii="Cambria" w:hAnsi="Cambria"/>
                <w:sz w:val="20"/>
                <w:szCs w:val="20"/>
              </w:rPr>
            </w:pPr>
            <w:r w:rsidRPr="00C67422">
              <w:rPr>
                <w:rFonts w:ascii="Cambria" w:hAnsi="Cambria"/>
                <w:b/>
                <w:sz w:val="20"/>
                <w:szCs w:val="20"/>
              </w:rPr>
              <w:t>Approval</w:t>
            </w:r>
            <w:r w:rsidRPr="00C67422">
              <w:rPr>
                <w:rFonts w:ascii="Cambria" w:hAnsi="Cambria"/>
                <w:b/>
                <w:spacing w:val="-13"/>
                <w:sz w:val="20"/>
                <w:szCs w:val="20"/>
              </w:rPr>
              <w:t xml:space="preserve"> </w:t>
            </w:r>
            <w:r w:rsidRPr="00C67422">
              <w:rPr>
                <w:rFonts w:ascii="Cambria" w:hAnsi="Cambria"/>
                <w:b/>
                <w:sz w:val="20"/>
                <w:szCs w:val="20"/>
              </w:rPr>
              <w:t>conditions</w:t>
            </w:r>
            <w:r w:rsidRPr="00C67422">
              <w:rPr>
                <w:rFonts w:ascii="Cambria" w:hAnsi="Cambria"/>
                <w:sz w:val="20"/>
                <w:szCs w:val="20"/>
              </w:rPr>
              <w:t>:</w:t>
            </w:r>
            <w:r w:rsidRPr="00C67422">
              <w:rPr>
                <w:rFonts w:ascii="Cambria" w:hAnsi="Cambria"/>
                <w:spacing w:val="-13"/>
                <w:sz w:val="20"/>
                <w:szCs w:val="20"/>
              </w:rPr>
              <w:t xml:space="preserve"> </w:t>
            </w:r>
            <w:r w:rsidRPr="00C67422">
              <w:rPr>
                <w:rFonts w:ascii="Cambria" w:hAnsi="Cambria"/>
                <w:sz w:val="20"/>
                <w:szCs w:val="20"/>
              </w:rPr>
              <w:t>Confirmatory</w:t>
            </w:r>
            <w:r w:rsidRPr="00C67422">
              <w:rPr>
                <w:rFonts w:ascii="Cambria" w:hAnsi="Cambria"/>
                <w:spacing w:val="-13"/>
                <w:sz w:val="20"/>
                <w:szCs w:val="20"/>
              </w:rPr>
              <w:t xml:space="preserve"> </w:t>
            </w:r>
            <w:r w:rsidRPr="00C67422">
              <w:rPr>
                <w:rFonts w:ascii="Cambria" w:hAnsi="Cambria"/>
                <w:sz w:val="20"/>
                <w:szCs w:val="20"/>
              </w:rPr>
              <w:t xml:space="preserve">study LOTIS-5 completion by Dec 2025 </w:t>
            </w:r>
            <w:r w:rsidRPr="00C67422">
              <w:rPr>
                <w:rFonts w:ascii="Cambria" w:hAnsi="Cambria"/>
                <w:b/>
                <w:sz w:val="20"/>
                <w:szCs w:val="20"/>
              </w:rPr>
              <w:t>Marketed/launch date</w:t>
            </w:r>
            <w:r w:rsidRPr="00C67422">
              <w:rPr>
                <w:rFonts w:ascii="Cambria" w:hAnsi="Cambria"/>
                <w:sz w:val="20"/>
                <w:szCs w:val="20"/>
              </w:rPr>
              <w:t>: 15-May-2023</w:t>
            </w:r>
          </w:p>
        </w:tc>
      </w:tr>
      <w:tr w:rsidR="00380CD4" w:rsidRPr="00C67422" w14:paraId="6E732EFD" w14:textId="77777777" w:rsidTr="009C7E5A">
        <w:trPr>
          <w:trHeight w:val="1188"/>
        </w:trPr>
        <w:tc>
          <w:tcPr>
            <w:tcW w:w="1119" w:type="dxa"/>
          </w:tcPr>
          <w:p w14:paraId="3D24A088" w14:textId="77777777" w:rsidR="00380CD4" w:rsidRPr="00C67422" w:rsidRDefault="00380CD4" w:rsidP="00DC7677">
            <w:pPr>
              <w:pStyle w:val="TableParagraph"/>
              <w:spacing w:before="38"/>
              <w:ind w:left="57"/>
              <w:rPr>
                <w:rFonts w:ascii="Cambria" w:hAnsi="Cambria"/>
                <w:sz w:val="20"/>
                <w:szCs w:val="20"/>
              </w:rPr>
            </w:pPr>
            <w:r w:rsidRPr="00C67422">
              <w:rPr>
                <w:rFonts w:ascii="Cambria" w:hAnsi="Cambria"/>
                <w:sz w:val="20"/>
                <w:szCs w:val="20"/>
              </w:rPr>
              <w:t>United</w:t>
            </w:r>
            <w:r w:rsidRPr="00C67422">
              <w:rPr>
                <w:rFonts w:ascii="Cambria" w:hAnsi="Cambria"/>
                <w:spacing w:val="-8"/>
                <w:sz w:val="20"/>
                <w:szCs w:val="20"/>
              </w:rPr>
              <w:t xml:space="preserve"> </w:t>
            </w:r>
            <w:r w:rsidRPr="00C67422">
              <w:rPr>
                <w:rFonts w:ascii="Cambria" w:hAnsi="Cambria"/>
                <w:spacing w:val="-2"/>
                <w:sz w:val="20"/>
                <w:szCs w:val="20"/>
              </w:rPr>
              <w:t>Kingdom</w:t>
            </w:r>
          </w:p>
        </w:tc>
        <w:tc>
          <w:tcPr>
            <w:tcW w:w="993" w:type="dxa"/>
          </w:tcPr>
          <w:p w14:paraId="412F61D7" w14:textId="77777777" w:rsidR="00380CD4" w:rsidRPr="00C67422" w:rsidRDefault="00380CD4" w:rsidP="00DC7677">
            <w:pPr>
              <w:pStyle w:val="TableParagraph"/>
              <w:spacing w:before="38"/>
              <w:rPr>
                <w:rFonts w:ascii="Cambria" w:hAnsi="Cambria"/>
                <w:sz w:val="20"/>
                <w:szCs w:val="20"/>
              </w:rPr>
            </w:pPr>
            <w:r w:rsidRPr="00C67422">
              <w:rPr>
                <w:rFonts w:ascii="Cambria" w:hAnsi="Cambria"/>
                <w:sz w:val="20"/>
                <w:szCs w:val="20"/>
              </w:rPr>
              <w:t>MAH:</w:t>
            </w:r>
            <w:r w:rsidRPr="00C67422">
              <w:rPr>
                <w:rFonts w:ascii="Cambria" w:hAnsi="Cambria"/>
                <w:spacing w:val="-7"/>
                <w:sz w:val="20"/>
                <w:szCs w:val="20"/>
              </w:rPr>
              <w:t xml:space="preserve"> </w:t>
            </w:r>
            <w:r w:rsidRPr="00C67422">
              <w:rPr>
                <w:rFonts w:ascii="Cambria" w:hAnsi="Cambria"/>
                <w:spacing w:val="-4"/>
                <w:sz w:val="20"/>
                <w:szCs w:val="20"/>
              </w:rPr>
              <w:t>Sobi</w:t>
            </w:r>
          </w:p>
          <w:p w14:paraId="51C9462D" w14:textId="77777777" w:rsidR="00380CD4" w:rsidRPr="00C67422" w:rsidRDefault="00380CD4" w:rsidP="00DC7677">
            <w:pPr>
              <w:pStyle w:val="TableParagraph"/>
              <w:spacing w:before="10"/>
              <w:rPr>
                <w:rFonts w:ascii="Cambria" w:hAnsi="Cambria"/>
                <w:sz w:val="20"/>
                <w:szCs w:val="20"/>
              </w:rPr>
            </w:pPr>
            <w:r w:rsidRPr="00C67422">
              <w:rPr>
                <w:rFonts w:ascii="Cambria" w:hAnsi="Cambria"/>
                <w:sz w:val="20"/>
                <w:szCs w:val="20"/>
              </w:rPr>
              <w:t>(Note:</w:t>
            </w:r>
            <w:r w:rsidRPr="00C67422">
              <w:rPr>
                <w:rFonts w:ascii="Cambria" w:hAnsi="Cambria"/>
                <w:spacing w:val="-14"/>
                <w:sz w:val="20"/>
                <w:szCs w:val="20"/>
              </w:rPr>
              <w:t xml:space="preserve"> </w:t>
            </w:r>
            <w:r w:rsidRPr="00C67422">
              <w:rPr>
                <w:rFonts w:ascii="Cambria" w:hAnsi="Cambria"/>
                <w:sz w:val="20"/>
                <w:szCs w:val="20"/>
              </w:rPr>
              <w:t>Applicant</w:t>
            </w:r>
            <w:r w:rsidRPr="00C67422">
              <w:rPr>
                <w:rFonts w:ascii="Cambria" w:hAnsi="Cambria"/>
                <w:spacing w:val="-13"/>
                <w:sz w:val="20"/>
                <w:szCs w:val="20"/>
              </w:rPr>
              <w:t xml:space="preserve"> </w:t>
            </w:r>
            <w:r w:rsidRPr="00C67422">
              <w:rPr>
                <w:rFonts w:ascii="Cambria" w:hAnsi="Cambria"/>
                <w:sz w:val="20"/>
                <w:szCs w:val="20"/>
              </w:rPr>
              <w:t xml:space="preserve">was </w:t>
            </w:r>
            <w:r w:rsidRPr="00C67422">
              <w:rPr>
                <w:rFonts w:ascii="Cambria" w:hAnsi="Cambria"/>
                <w:spacing w:val="-4"/>
                <w:sz w:val="20"/>
                <w:szCs w:val="20"/>
              </w:rPr>
              <w:t>ADCT)</w:t>
            </w:r>
          </w:p>
        </w:tc>
        <w:tc>
          <w:tcPr>
            <w:tcW w:w="1134" w:type="dxa"/>
          </w:tcPr>
          <w:p w14:paraId="31961AB8" w14:textId="77777777" w:rsidR="00380CD4" w:rsidRPr="00C67422" w:rsidRDefault="00380CD4" w:rsidP="00DC7677">
            <w:pPr>
              <w:pStyle w:val="TableParagraph"/>
              <w:spacing w:before="38"/>
              <w:rPr>
                <w:rFonts w:ascii="Cambria" w:hAnsi="Cambria"/>
                <w:sz w:val="20"/>
                <w:szCs w:val="20"/>
              </w:rPr>
            </w:pPr>
            <w:r w:rsidRPr="00C67422">
              <w:rPr>
                <w:rFonts w:ascii="Cambria" w:hAnsi="Cambria"/>
                <w:spacing w:val="-2"/>
                <w:sz w:val="20"/>
                <w:szCs w:val="20"/>
              </w:rPr>
              <w:t>20-Sep-</w:t>
            </w:r>
            <w:r w:rsidRPr="00C67422">
              <w:rPr>
                <w:rFonts w:ascii="Cambria" w:hAnsi="Cambria"/>
                <w:spacing w:val="-4"/>
                <w:sz w:val="20"/>
                <w:szCs w:val="20"/>
              </w:rPr>
              <w:t>2022</w:t>
            </w:r>
          </w:p>
        </w:tc>
        <w:tc>
          <w:tcPr>
            <w:tcW w:w="1134" w:type="dxa"/>
          </w:tcPr>
          <w:p w14:paraId="668BCDAC" w14:textId="77777777" w:rsidR="00380CD4" w:rsidRPr="00C67422" w:rsidRDefault="00380CD4" w:rsidP="00DC7677">
            <w:pPr>
              <w:pStyle w:val="TableParagraph"/>
              <w:ind w:left="55" w:right="-3"/>
              <w:rPr>
                <w:rFonts w:ascii="Cambria" w:hAnsi="Cambria"/>
                <w:sz w:val="20"/>
                <w:szCs w:val="20"/>
              </w:rPr>
            </w:pPr>
            <w:r w:rsidRPr="00C67422">
              <w:rPr>
                <w:rFonts w:ascii="Cambria" w:hAnsi="Cambria"/>
                <w:spacing w:val="-2"/>
                <w:sz w:val="20"/>
                <w:szCs w:val="20"/>
              </w:rPr>
              <w:t>Approved; 7-Feb-2023</w:t>
            </w:r>
          </w:p>
        </w:tc>
        <w:tc>
          <w:tcPr>
            <w:tcW w:w="1984" w:type="dxa"/>
          </w:tcPr>
          <w:p w14:paraId="1C5E2E9B" w14:textId="6CE21C47" w:rsidR="00380CD4" w:rsidRPr="00C67422" w:rsidRDefault="0036009D" w:rsidP="00D36C84">
            <w:pPr>
              <w:pStyle w:val="TableParagraph"/>
              <w:ind w:left="54" w:right="141"/>
              <w:rPr>
                <w:rFonts w:ascii="Cambria" w:hAnsi="Cambria"/>
                <w:sz w:val="20"/>
                <w:szCs w:val="20"/>
              </w:rPr>
            </w:pPr>
            <w:r>
              <w:rPr>
                <w:rFonts w:ascii="Cambria" w:hAnsi="Cambria"/>
                <w:sz w:val="20"/>
                <w:szCs w:val="20"/>
              </w:rPr>
              <w:t>Zynlonta</w:t>
            </w:r>
            <w:r w:rsidR="00380CD4" w:rsidRPr="00C67422">
              <w:rPr>
                <w:rFonts w:ascii="Cambria" w:hAnsi="Cambria"/>
                <w:sz w:val="20"/>
                <w:szCs w:val="20"/>
              </w:rPr>
              <w:t xml:space="preserve"> as monotherapy is indicated for the treatment of adult patients with relapsed or refractory diffuse large B-cell lymphoma (DLBCL) and</w:t>
            </w:r>
            <w:r w:rsidR="00380CD4" w:rsidRPr="00C67422">
              <w:rPr>
                <w:rFonts w:ascii="Cambria" w:hAnsi="Cambria"/>
                <w:spacing w:val="-7"/>
                <w:sz w:val="20"/>
                <w:szCs w:val="20"/>
              </w:rPr>
              <w:t xml:space="preserve"> </w:t>
            </w:r>
            <w:r w:rsidR="00380CD4" w:rsidRPr="00C67422">
              <w:rPr>
                <w:rFonts w:ascii="Cambria" w:hAnsi="Cambria"/>
                <w:sz w:val="20"/>
                <w:szCs w:val="20"/>
              </w:rPr>
              <w:t>high-grade</w:t>
            </w:r>
            <w:r w:rsidR="00380CD4" w:rsidRPr="00C67422">
              <w:rPr>
                <w:rFonts w:ascii="Cambria" w:hAnsi="Cambria"/>
                <w:spacing w:val="-7"/>
                <w:sz w:val="20"/>
                <w:szCs w:val="20"/>
              </w:rPr>
              <w:t xml:space="preserve"> </w:t>
            </w:r>
            <w:r w:rsidR="00380CD4" w:rsidRPr="00C67422">
              <w:rPr>
                <w:rFonts w:ascii="Cambria" w:hAnsi="Cambria"/>
                <w:sz w:val="20"/>
                <w:szCs w:val="20"/>
              </w:rPr>
              <w:t>B-cell</w:t>
            </w:r>
            <w:r w:rsidR="00380CD4" w:rsidRPr="00C67422">
              <w:rPr>
                <w:rFonts w:ascii="Cambria" w:hAnsi="Cambria"/>
                <w:spacing w:val="-8"/>
                <w:sz w:val="20"/>
                <w:szCs w:val="20"/>
              </w:rPr>
              <w:t xml:space="preserve"> </w:t>
            </w:r>
            <w:r w:rsidR="00380CD4" w:rsidRPr="00C67422">
              <w:rPr>
                <w:rFonts w:ascii="Cambria" w:hAnsi="Cambria"/>
                <w:sz w:val="20"/>
                <w:szCs w:val="20"/>
              </w:rPr>
              <w:t>lymphoma</w:t>
            </w:r>
            <w:r w:rsidR="00380CD4" w:rsidRPr="00C67422">
              <w:rPr>
                <w:rFonts w:ascii="Cambria" w:hAnsi="Cambria"/>
                <w:spacing w:val="-7"/>
                <w:sz w:val="20"/>
                <w:szCs w:val="20"/>
              </w:rPr>
              <w:t xml:space="preserve"> </w:t>
            </w:r>
            <w:r w:rsidR="00380CD4" w:rsidRPr="00C67422">
              <w:rPr>
                <w:rFonts w:ascii="Cambria" w:hAnsi="Cambria"/>
                <w:sz w:val="20"/>
                <w:szCs w:val="20"/>
              </w:rPr>
              <w:t>(HGBL),</w:t>
            </w:r>
            <w:r w:rsidR="00380CD4" w:rsidRPr="00C67422">
              <w:rPr>
                <w:rFonts w:ascii="Cambria" w:hAnsi="Cambria"/>
                <w:spacing w:val="-6"/>
                <w:sz w:val="20"/>
                <w:szCs w:val="20"/>
              </w:rPr>
              <w:t xml:space="preserve"> </w:t>
            </w:r>
            <w:r w:rsidR="00380CD4" w:rsidRPr="00C67422">
              <w:rPr>
                <w:rFonts w:ascii="Cambria" w:hAnsi="Cambria"/>
                <w:sz w:val="20"/>
                <w:szCs w:val="20"/>
              </w:rPr>
              <w:t>after</w:t>
            </w:r>
            <w:r w:rsidR="00380CD4" w:rsidRPr="00C67422">
              <w:rPr>
                <w:rFonts w:ascii="Cambria" w:hAnsi="Cambria"/>
                <w:spacing w:val="-7"/>
                <w:sz w:val="20"/>
                <w:szCs w:val="20"/>
              </w:rPr>
              <w:t xml:space="preserve"> </w:t>
            </w:r>
            <w:r w:rsidR="00380CD4" w:rsidRPr="00C67422">
              <w:rPr>
                <w:rFonts w:ascii="Cambria" w:hAnsi="Cambria"/>
                <w:sz w:val="20"/>
                <w:szCs w:val="20"/>
              </w:rPr>
              <w:t>two or more lines of systemic therapy.</w:t>
            </w:r>
          </w:p>
        </w:tc>
        <w:tc>
          <w:tcPr>
            <w:tcW w:w="2835" w:type="dxa"/>
          </w:tcPr>
          <w:p w14:paraId="642EB218" w14:textId="77777777" w:rsidR="00380CD4" w:rsidRPr="00C67422" w:rsidRDefault="00380CD4" w:rsidP="00D36C84">
            <w:pPr>
              <w:pStyle w:val="TableParagraph"/>
              <w:spacing w:line="244" w:lineRule="auto"/>
              <w:ind w:left="139" w:right="142"/>
              <w:rPr>
                <w:rFonts w:ascii="Cambria" w:hAnsi="Cambria"/>
                <w:sz w:val="20"/>
                <w:szCs w:val="20"/>
              </w:rPr>
            </w:pPr>
            <w:r w:rsidRPr="00C67422">
              <w:rPr>
                <w:rFonts w:ascii="Cambria" w:hAnsi="Cambria"/>
                <w:b/>
                <w:sz w:val="20"/>
                <w:szCs w:val="20"/>
              </w:rPr>
              <w:t>Approval pathway</w:t>
            </w:r>
            <w:r w:rsidRPr="00C67422">
              <w:rPr>
                <w:rFonts w:ascii="Cambria" w:hAnsi="Cambria"/>
                <w:sz w:val="20"/>
                <w:szCs w:val="20"/>
              </w:rPr>
              <w:t xml:space="preserve">: Conditional Grant of MA (based on LOTIS-2) via ECDRP** </w:t>
            </w:r>
            <w:r w:rsidRPr="00C67422">
              <w:rPr>
                <w:rFonts w:ascii="Cambria" w:hAnsi="Cambria"/>
                <w:b/>
                <w:sz w:val="20"/>
                <w:szCs w:val="20"/>
              </w:rPr>
              <w:t>Approval</w:t>
            </w:r>
            <w:r w:rsidRPr="00C67422">
              <w:rPr>
                <w:rFonts w:ascii="Cambria" w:hAnsi="Cambria"/>
                <w:b/>
                <w:spacing w:val="-13"/>
                <w:sz w:val="20"/>
                <w:szCs w:val="20"/>
              </w:rPr>
              <w:t xml:space="preserve"> </w:t>
            </w:r>
            <w:r w:rsidRPr="00C67422">
              <w:rPr>
                <w:rFonts w:ascii="Cambria" w:hAnsi="Cambria"/>
                <w:b/>
                <w:sz w:val="20"/>
                <w:szCs w:val="20"/>
              </w:rPr>
              <w:t>conditions</w:t>
            </w:r>
            <w:r w:rsidRPr="00C67422">
              <w:rPr>
                <w:rFonts w:ascii="Cambria" w:hAnsi="Cambria"/>
                <w:sz w:val="20"/>
                <w:szCs w:val="20"/>
              </w:rPr>
              <w:t>:</w:t>
            </w:r>
            <w:r w:rsidRPr="00C67422">
              <w:rPr>
                <w:rFonts w:ascii="Cambria" w:hAnsi="Cambria"/>
                <w:spacing w:val="-13"/>
                <w:sz w:val="20"/>
                <w:szCs w:val="20"/>
              </w:rPr>
              <w:t xml:space="preserve"> </w:t>
            </w:r>
            <w:r w:rsidRPr="00C67422">
              <w:rPr>
                <w:rFonts w:ascii="Cambria" w:hAnsi="Cambria"/>
                <w:sz w:val="20"/>
                <w:szCs w:val="20"/>
              </w:rPr>
              <w:t>Confirmatory</w:t>
            </w:r>
            <w:r w:rsidRPr="00C67422">
              <w:rPr>
                <w:rFonts w:ascii="Cambria" w:hAnsi="Cambria"/>
                <w:spacing w:val="-13"/>
                <w:sz w:val="20"/>
                <w:szCs w:val="20"/>
              </w:rPr>
              <w:t xml:space="preserve"> </w:t>
            </w:r>
            <w:r w:rsidRPr="00C67422">
              <w:rPr>
                <w:rFonts w:ascii="Cambria" w:hAnsi="Cambria"/>
                <w:sz w:val="20"/>
                <w:szCs w:val="20"/>
              </w:rPr>
              <w:t xml:space="preserve">study LOTIS-5 completion by Dec 2025 </w:t>
            </w:r>
            <w:r w:rsidRPr="00C67422">
              <w:rPr>
                <w:rFonts w:ascii="Cambria" w:hAnsi="Cambria"/>
                <w:b/>
                <w:sz w:val="20"/>
                <w:szCs w:val="20"/>
              </w:rPr>
              <w:t>Marketed/launch date</w:t>
            </w:r>
            <w:r w:rsidRPr="00C67422">
              <w:rPr>
                <w:rFonts w:ascii="Cambria" w:hAnsi="Cambria"/>
                <w:sz w:val="20"/>
                <w:szCs w:val="20"/>
              </w:rPr>
              <w:t>: 22-Dec-2023</w:t>
            </w:r>
          </w:p>
        </w:tc>
      </w:tr>
      <w:tr w:rsidR="00380CD4" w:rsidRPr="00C67422" w14:paraId="2C87147F" w14:textId="77777777" w:rsidTr="009C7E5A">
        <w:trPr>
          <w:trHeight w:val="2043"/>
        </w:trPr>
        <w:tc>
          <w:tcPr>
            <w:tcW w:w="1119" w:type="dxa"/>
          </w:tcPr>
          <w:p w14:paraId="53DE8BCE" w14:textId="77777777" w:rsidR="00380CD4" w:rsidRPr="00C67422" w:rsidRDefault="00380CD4" w:rsidP="00DC7677">
            <w:pPr>
              <w:pStyle w:val="TableParagraph"/>
              <w:spacing w:before="38"/>
              <w:ind w:left="57"/>
              <w:rPr>
                <w:rFonts w:ascii="Cambria" w:hAnsi="Cambria"/>
                <w:sz w:val="20"/>
                <w:szCs w:val="20"/>
              </w:rPr>
            </w:pPr>
            <w:r w:rsidRPr="00C67422">
              <w:rPr>
                <w:rFonts w:ascii="Cambria" w:hAnsi="Cambria"/>
                <w:spacing w:val="-2"/>
                <w:sz w:val="20"/>
                <w:szCs w:val="20"/>
              </w:rPr>
              <w:t>Taiwan</w:t>
            </w:r>
          </w:p>
        </w:tc>
        <w:tc>
          <w:tcPr>
            <w:tcW w:w="993" w:type="dxa"/>
          </w:tcPr>
          <w:p w14:paraId="1BA64D42" w14:textId="77777777" w:rsidR="00380CD4" w:rsidRPr="00C67422" w:rsidRDefault="00380CD4" w:rsidP="00DC7677">
            <w:pPr>
              <w:pStyle w:val="TableParagraph"/>
              <w:spacing w:before="38" w:line="252" w:lineRule="auto"/>
              <w:rPr>
                <w:rFonts w:ascii="Cambria" w:hAnsi="Cambria"/>
                <w:sz w:val="20"/>
                <w:szCs w:val="20"/>
              </w:rPr>
            </w:pPr>
            <w:r w:rsidRPr="00C67422">
              <w:rPr>
                <w:rFonts w:ascii="Cambria" w:hAnsi="Cambria"/>
                <w:sz w:val="20"/>
                <w:szCs w:val="20"/>
              </w:rPr>
              <w:t>Overland</w:t>
            </w:r>
            <w:r w:rsidRPr="00C67422">
              <w:rPr>
                <w:rFonts w:ascii="Cambria" w:hAnsi="Cambria"/>
                <w:spacing w:val="-14"/>
                <w:sz w:val="20"/>
                <w:szCs w:val="20"/>
              </w:rPr>
              <w:t xml:space="preserve"> </w:t>
            </w:r>
            <w:r w:rsidRPr="00C67422">
              <w:rPr>
                <w:rFonts w:ascii="Cambria" w:hAnsi="Cambria"/>
                <w:sz w:val="20"/>
                <w:szCs w:val="20"/>
              </w:rPr>
              <w:t xml:space="preserve">ADCT </w:t>
            </w:r>
            <w:r w:rsidRPr="00C67422">
              <w:rPr>
                <w:rFonts w:ascii="Cambria" w:hAnsi="Cambria"/>
                <w:spacing w:val="-2"/>
                <w:sz w:val="20"/>
                <w:szCs w:val="20"/>
              </w:rPr>
              <w:t xml:space="preserve">BioPharma </w:t>
            </w:r>
            <w:r w:rsidRPr="00C67422">
              <w:rPr>
                <w:rFonts w:ascii="Cambria" w:hAnsi="Cambria"/>
                <w:sz w:val="20"/>
                <w:szCs w:val="20"/>
              </w:rPr>
              <w:t xml:space="preserve">(MAH - Orient </w:t>
            </w:r>
            <w:proofErr w:type="spellStart"/>
            <w:r w:rsidRPr="00C67422">
              <w:rPr>
                <w:rFonts w:ascii="Cambria" w:hAnsi="Cambria"/>
                <w:spacing w:val="-2"/>
                <w:sz w:val="20"/>
                <w:szCs w:val="20"/>
              </w:rPr>
              <w:t>EuroPharma</w:t>
            </w:r>
            <w:proofErr w:type="spellEnd"/>
            <w:r w:rsidRPr="00C67422">
              <w:rPr>
                <w:rFonts w:ascii="Cambria" w:hAnsi="Cambria"/>
                <w:spacing w:val="-2"/>
                <w:sz w:val="20"/>
                <w:szCs w:val="20"/>
              </w:rPr>
              <w:t xml:space="preserve"> </w:t>
            </w:r>
            <w:r w:rsidRPr="00C67422">
              <w:rPr>
                <w:rFonts w:ascii="Cambria" w:hAnsi="Cambria"/>
                <w:sz w:val="20"/>
                <w:szCs w:val="20"/>
              </w:rPr>
              <w:t>Co., Ltd.)</w:t>
            </w:r>
          </w:p>
        </w:tc>
        <w:tc>
          <w:tcPr>
            <w:tcW w:w="1134" w:type="dxa"/>
          </w:tcPr>
          <w:p w14:paraId="55EE9446" w14:textId="77777777" w:rsidR="00380CD4" w:rsidRPr="00C67422" w:rsidRDefault="00380CD4" w:rsidP="00DC7677">
            <w:pPr>
              <w:pStyle w:val="TableParagraph"/>
              <w:spacing w:before="38"/>
              <w:rPr>
                <w:rFonts w:ascii="Cambria" w:hAnsi="Cambria"/>
                <w:sz w:val="20"/>
                <w:szCs w:val="20"/>
              </w:rPr>
            </w:pPr>
            <w:r w:rsidRPr="00C67422">
              <w:rPr>
                <w:rFonts w:ascii="Cambria" w:hAnsi="Cambria"/>
                <w:spacing w:val="-2"/>
                <w:sz w:val="20"/>
                <w:szCs w:val="20"/>
              </w:rPr>
              <w:t>31-Mar-</w:t>
            </w:r>
            <w:r w:rsidRPr="00C67422">
              <w:rPr>
                <w:rFonts w:ascii="Cambria" w:hAnsi="Cambria"/>
                <w:spacing w:val="-4"/>
                <w:sz w:val="20"/>
                <w:szCs w:val="20"/>
              </w:rPr>
              <w:t>2023</w:t>
            </w:r>
          </w:p>
        </w:tc>
        <w:tc>
          <w:tcPr>
            <w:tcW w:w="1134" w:type="dxa"/>
          </w:tcPr>
          <w:p w14:paraId="3CBB1D38" w14:textId="77777777" w:rsidR="00380CD4" w:rsidRPr="00C67422" w:rsidRDefault="00380CD4" w:rsidP="00DC7677">
            <w:pPr>
              <w:pStyle w:val="TableParagraph"/>
              <w:ind w:left="55" w:right="-3"/>
              <w:rPr>
                <w:rFonts w:ascii="Cambria" w:hAnsi="Cambria"/>
                <w:sz w:val="20"/>
                <w:szCs w:val="20"/>
              </w:rPr>
            </w:pPr>
            <w:r w:rsidRPr="00C67422">
              <w:rPr>
                <w:rFonts w:ascii="Cambria" w:hAnsi="Cambria"/>
                <w:spacing w:val="-2"/>
                <w:sz w:val="20"/>
                <w:szCs w:val="20"/>
              </w:rPr>
              <w:t>Approved; 19-Jul-2024</w:t>
            </w:r>
          </w:p>
        </w:tc>
        <w:tc>
          <w:tcPr>
            <w:tcW w:w="1984" w:type="dxa"/>
          </w:tcPr>
          <w:p w14:paraId="715CB460" w14:textId="77777777" w:rsidR="00380CD4" w:rsidRPr="00C67422" w:rsidRDefault="00380CD4" w:rsidP="00D36C84">
            <w:pPr>
              <w:pStyle w:val="TableParagraph"/>
              <w:ind w:left="54" w:right="141"/>
              <w:rPr>
                <w:rFonts w:ascii="Cambria" w:hAnsi="Cambria"/>
                <w:sz w:val="20"/>
                <w:szCs w:val="20"/>
              </w:rPr>
            </w:pPr>
            <w:r w:rsidRPr="00C67422">
              <w:rPr>
                <w:rFonts w:ascii="Cambria" w:hAnsi="Cambria"/>
                <w:sz w:val="20"/>
                <w:szCs w:val="20"/>
              </w:rPr>
              <w:t>For</w:t>
            </w:r>
            <w:r w:rsidRPr="00C67422">
              <w:rPr>
                <w:rFonts w:ascii="Cambria" w:hAnsi="Cambria"/>
                <w:spacing w:val="-5"/>
                <w:sz w:val="20"/>
                <w:szCs w:val="20"/>
              </w:rPr>
              <w:t xml:space="preserve"> </w:t>
            </w:r>
            <w:r w:rsidRPr="00C67422">
              <w:rPr>
                <w:rFonts w:ascii="Cambria" w:hAnsi="Cambria"/>
                <w:sz w:val="20"/>
                <w:szCs w:val="20"/>
              </w:rPr>
              <w:t>the</w:t>
            </w:r>
            <w:r w:rsidRPr="00C67422">
              <w:rPr>
                <w:rFonts w:ascii="Cambria" w:hAnsi="Cambria"/>
                <w:spacing w:val="-5"/>
                <w:sz w:val="20"/>
                <w:szCs w:val="20"/>
              </w:rPr>
              <w:t xml:space="preserve"> </w:t>
            </w:r>
            <w:r w:rsidRPr="00C67422">
              <w:rPr>
                <w:rFonts w:ascii="Cambria" w:hAnsi="Cambria"/>
                <w:sz w:val="20"/>
                <w:szCs w:val="20"/>
              </w:rPr>
              <w:t>treatment</w:t>
            </w:r>
            <w:r w:rsidRPr="00C67422">
              <w:rPr>
                <w:rFonts w:ascii="Cambria" w:hAnsi="Cambria"/>
                <w:spacing w:val="-5"/>
                <w:sz w:val="20"/>
                <w:szCs w:val="20"/>
              </w:rPr>
              <w:t xml:space="preserve"> </w:t>
            </w:r>
            <w:r w:rsidRPr="00C67422">
              <w:rPr>
                <w:rFonts w:ascii="Cambria" w:hAnsi="Cambria"/>
                <w:sz w:val="20"/>
                <w:szCs w:val="20"/>
              </w:rPr>
              <w:t>of</w:t>
            </w:r>
            <w:r w:rsidRPr="00C67422">
              <w:rPr>
                <w:rFonts w:ascii="Cambria" w:hAnsi="Cambria"/>
                <w:spacing w:val="-5"/>
                <w:sz w:val="20"/>
                <w:szCs w:val="20"/>
              </w:rPr>
              <w:t xml:space="preserve"> </w:t>
            </w:r>
            <w:r w:rsidRPr="00C67422">
              <w:rPr>
                <w:rFonts w:ascii="Cambria" w:hAnsi="Cambria"/>
                <w:sz w:val="20"/>
                <w:szCs w:val="20"/>
              </w:rPr>
              <w:t>adult</w:t>
            </w:r>
            <w:r w:rsidRPr="00C67422">
              <w:rPr>
                <w:rFonts w:ascii="Cambria" w:hAnsi="Cambria"/>
                <w:spacing w:val="-5"/>
                <w:sz w:val="20"/>
                <w:szCs w:val="20"/>
              </w:rPr>
              <w:t xml:space="preserve"> </w:t>
            </w:r>
            <w:r w:rsidRPr="00C67422">
              <w:rPr>
                <w:rFonts w:ascii="Cambria" w:hAnsi="Cambria"/>
                <w:sz w:val="20"/>
                <w:szCs w:val="20"/>
              </w:rPr>
              <w:t>patients</w:t>
            </w:r>
            <w:r w:rsidRPr="00C67422">
              <w:rPr>
                <w:rFonts w:ascii="Cambria" w:hAnsi="Cambria"/>
                <w:spacing w:val="-5"/>
                <w:sz w:val="20"/>
                <w:szCs w:val="20"/>
              </w:rPr>
              <w:t xml:space="preserve"> </w:t>
            </w:r>
            <w:r w:rsidRPr="00C67422">
              <w:rPr>
                <w:rFonts w:ascii="Cambria" w:hAnsi="Cambria"/>
                <w:sz w:val="20"/>
                <w:szCs w:val="20"/>
              </w:rPr>
              <w:t>with</w:t>
            </w:r>
            <w:r w:rsidRPr="00C67422">
              <w:rPr>
                <w:rFonts w:ascii="Cambria" w:hAnsi="Cambria"/>
                <w:spacing w:val="-5"/>
                <w:sz w:val="20"/>
                <w:szCs w:val="20"/>
              </w:rPr>
              <w:t xml:space="preserve"> </w:t>
            </w:r>
            <w:r w:rsidRPr="00C67422">
              <w:rPr>
                <w:rFonts w:ascii="Cambria" w:hAnsi="Cambria"/>
                <w:sz w:val="20"/>
                <w:szCs w:val="20"/>
              </w:rPr>
              <w:t>relapsed</w:t>
            </w:r>
            <w:r w:rsidRPr="00C67422">
              <w:rPr>
                <w:rFonts w:ascii="Cambria" w:hAnsi="Cambria"/>
                <w:spacing w:val="-6"/>
                <w:sz w:val="20"/>
                <w:szCs w:val="20"/>
              </w:rPr>
              <w:t xml:space="preserve"> </w:t>
            </w:r>
            <w:r w:rsidRPr="00C67422">
              <w:rPr>
                <w:rFonts w:ascii="Cambria" w:hAnsi="Cambria"/>
                <w:sz w:val="20"/>
                <w:szCs w:val="20"/>
              </w:rPr>
              <w:t>or refractory large B-cell lymphoma and high-grade</w:t>
            </w:r>
          </w:p>
          <w:p w14:paraId="0C80A836" w14:textId="77777777" w:rsidR="00380CD4" w:rsidRPr="00C67422" w:rsidRDefault="00380CD4" w:rsidP="00D36C84">
            <w:pPr>
              <w:pStyle w:val="TableParagraph"/>
              <w:ind w:left="54" w:right="141"/>
              <w:rPr>
                <w:rFonts w:ascii="Cambria" w:hAnsi="Cambria"/>
                <w:sz w:val="20"/>
                <w:szCs w:val="20"/>
              </w:rPr>
            </w:pPr>
            <w:r w:rsidRPr="00C67422">
              <w:rPr>
                <w:rFonts w:ascii="Cambria" w:hAnsi="Cambria"/>
                <w:sz w:val="20"/>
                <w:szCs w:val="20"/>
              </w:rPr>
              <w:t>B-cell lymphoma after two or more lines of systemic therapy. This indication is approved under accelerated approval based on overall response rate. Continued approval for this indication</w:t>
            </w:r>
            <w:r w:rsidRPr="00C67422">
              <w:rPr>
                <w:rFonts w:ascii="Cambria" w:hAnsi="Cambria"/>
                <w:spacing w:val="-7"/>
                <w:sz w:val="20"/>
                <w:szCs w:val="20"/>
              </w:rPr>
              <w:t xml:space="preserve"> </w:t>
            </w:r>
            <w:r w:rsidRPr="00C67422">
              <w:rPr>
                <w:rFonts w:ascii="Cambria" w:hAnsi="Cambria"/>
                <w:sz w:val="20"/>
                <w:szCs w:val="20"/>
              </w:rPr>
              <w:t>may</w:t>
            </w:r>
            <w:r w:rsidRPr="00C67422">
              <w:rPr>
                <w:rFonts w:ascii="Cambria" w:hAnsi="Cambria"/>
                <w:spacing w:val="-6"/>
                <w:sz w:val="20"/>
                <w:szCs w:val="20"/>
              </w:rPr>
              <w:t xml:space="preserve"> </w:t>
            </w:r>
            <w:r w:rsidRPr="00C67422">
              <w:rPr>
                <w:rFonts w:ascii="Cambria" w:hAnsi="Cambria"/>
                <w:sz w:val="20"/>
                <w:szCs w:val="20"/>
              </w:rPr>
              <w:t>be</w:t>
            </w:r>
            <w:r w:rsidRPr="00C67422">
              <w:rPr>
                <w:rFonts w:ascii="Cambria" w:hAnsi="Cambria"/>
                <w:spacing w:val="-7"/>
                <w:sz w:val="20"/>
                <w:szCs w:val="20"/>
              </w:rPr>
              <w:t xml:space="preserve"> </w:t>
            </w:r>
            <w:r w:rsidRPr="00C67422">
              <w:rPr>
                <w:rFonts w:ascii="Cambria" w:hAnsi="Cambria"/>
                <w:sz w:val="20"/>
                <w:szCs w:val="20"/>
              </w:rPr>
              <w:t>contingent</w:t>
            </w:r>
            <w:r w:rsidRPr="00C67422">
              <w:rPr>
                <w:rFonts w:ascii="Cambria" w:hAnsi="Cambria"/>
                <w:spacing w:val="-6"/>
                <w:sz w:val="20"/>
                <w:szCs w:val="20"/>
              </w:rPr>
              <w:t xml:space="preserve"> </w:t>
            </w:r>
            <w:r w:rsidRPr="00C67422">
              <w:rPr>
                <w:rFonts w:ascii="Cambria" w:hAnsi="Cambria"/>
                <w:sz w:val="20"/>
                <w:szCs w:val="20"/>
              </w:rPr>
              <w:t>upon</w:t>
            </w:r>
            <w:r w:rsidRPr="00C67422">
              <w:rPr>
                <w:rFonts w:ascii="Cambria" w:hAnsi="Cambria"/>
                <w:spacing w:val="-7"/>
                <w:sz w:val="20"/>
                <w:szCs w:val="20"/>
              </w:rPr>
              <w:t xml:space="preserve"> </w:t>
            </w:r>
            <w:r w:rsidRPr="00C67422">
              <w:rPr>
                <w:rFonts w:ascii="Cambria" w:hAnsi="Cambria"/>
                <w:sz w:val="20"/>
                <w:szCs w:val="20"/>
              </w:rPr>
              <w:t>verification</w:t>
            </w:r>
            <w:r w:rsidRPr="00C67422">
              <w:rPr>
                <w:rFonts w:ascii="Cambria" w:hAnsi="Cambria"/>
                <w:spacing w:val="-7"/>
                <w:sz w:val="20"/>
                <w:szCs w:val="20"/>
              </w:rPr>
              <w:t xml:space="preserve"> </w:t>
            </w:r>
            <w:r w:rsidRPr="00C67422">
              <w:rPr>
                <w:rFonts w:ascii="Cambria" w:hAnsi="Cambria"/>
                <w:sz w:val="20"/>
                <w:szCs w:val="20"/>
              </w:rPr>
              <w:t xml:space="preserve">and description of clinical benefit in a confirmatory </w:t>
            </w:r>
            <w:r w:rsidRPr="00C67422">
              <w:rPr>
                <w:rFonts w:ascii="Cambria" w:hAnsi="Cambria"/>
                <w:spacing w:val="-2"/>
                <w:sz w:val="20"/>
                <w:szCs w:val="20"/>
              </w:rPr>
              <w:t>trial(s).</w:t>
            </w:r>
          </w:p>
        </w:tc>
        <w:tc>
          <w:tcPr>
            <w:tcW w:w="2835" w:type="dxa"/>
          </w:tcPr>
          <w:p w14:paraId="3EC1D14C" w14:textId="77777777" w:rsidR="00380CD4" w:rsidRPr="00C67422" w:rsidRDefault="00380CD4" w:rsidP="00D36C84">
            <w:pPr>
              <w:pStyle w:val="TableParagraph"/>
              <w:spacing w:before="38"/>
              <w:ind w:left="139" w:right="142"/>
              <w:rPr>
                <w:rFonts w:ascii="Cambria" w:hAnsi="Cambria"/>
                <w:sz w:val="20"/>
                <w:szCs w:val="20"/>
              </w:rPr>
            </w:pPr>
            <w:r w:rsidRPr="00C67422">
              <w:rPr>
                <w:rFonts w:ascii="Cambria" w:hAnsi="Cambria"/>
                <w:b/>
                <w:sz w:val="20"/>
                <w:szCs w:val="20"/>
              </w:rPr>
              <w:t>Approval</w:t>
            </w:r>
            <w:r w:rsidRPr="00C67422">
              <w:rPr>
                <w:rFonts w:ascii="Cambria" w:hAnsi="Cambria"/>
                <w:b/>
                <w:spacing w:val="-11"/>
                <w:sz w:val="20"/>
                <w:szCs w:val="20"/>
              </w:rPr>
              <w:t xml:space="preserve"> </w:t>
            </w:r>
            <w:r w:rsidRPr="00C67422">
              <w:rPr>
                <w:rFonts w:ascii="Cambria" w:hAnsi="Cambria"/>
                <w:b/>
                <w:sz w:val="20"/>
                <w:szCs w:val="20"/>
              </w:rPr>
              <w:t>Pathway</w:t>
            </w:r>
            <w:r w:rsidRPr="00C67422">
              <w:rPr>
                <w:rFonts w:ascii="Cambria" w:hAnsi="Cambria"/>
                <w:sz w:val="20"/>
                <w:szCs w:val="20"/>
              </w:rPr>
              <w:t>:</w:t>
            </w:r>
            <w:r w:rsidRPr="00C67422">
              <w:rPr>
                <w:rFonts w:ascii="Cambria" w:hAnsi="Cambria"/>
                <w:spacing w:val="-10"/>
                <w:sz w:val="20"/>
                <w:szCs w:val="20"/>
              </w:rPr>
              <w:t xml:space="preserve"> </w:t>
            </w:r>
            <w:r w:rsidRPr="00C67422">
              <w:rPr>
                <w:rFonts w:ascii="Cambria" w:hAnsi="Cambria"/>
                <w:sz w:val="20"/>
                <w:szCs w:val="20"/>
              </w:rPr>
              <w:t>Accelerated</w:t>
            </w:r>
            <w:r w:rsidRPr="00C67422">
              <w:rPr>
                <w:rFonts w:ascii="Cambria" w:hAnsi="Cambria"/>
                <w:spacing w:val="-10"/>
                <w:sz w:val="20"/>
                <w:szCs w:val="20"/>
              </w:rPr>
              <w:t xml:space="preserve"> </w:t>
            </w:r>
            <w:r w:rsidRPr="00C67422">
              <w:rPr>
                <w:rFonts w:ascii="Cambria" w:hAnsi="Cambria"/>
                <w:spacing w:val="-2"/>
                <w:sz w:val="20"/>
                <w:szCs w:val="20"/>
              </w:rPr>
              <w:t>approval</w:t>
            </w:r>
          </w:p>
        </w:tc>
      </w:tr>
      <w:tr w:rsidR="00380CD4" w:rsidRPr="00C67422" w14:paraId="72AF3B5E" w14:textId="77777777" w:rsidTr="009C7E5A">
        <w:trPr>
          <w:trHeight w:val="2043"/>
        </w:trPr>
        <w:tc>
          <w:tcPr>
            <w:tcW w:w="1119" w:type="dxa"/>
          </w:tcPr>
          <w:p w14:paraId="552A1557" w14:textId="77777777" w:rsidR="00380CD4" w:rsidRPr="00C67422" w:rsidRDefault="00380CD4" w:rsidP="00DC7677">
            <w:pPr>
              <w:pStyle w:val="TableParagraph"/>
              <w:spacing w:before="38"/>
              <w:ind w:left="57"/>
              <w:rPr>
                <w:rFonts w:ascii="Cambria" w:hAnsi="Cambria"/>
                <w:spacing w:val="-2"/>
                <w:sz w:val="20"/>
                <w:szCs w:val="20"/>
              </w:rPr>
            </w:pPr>
            <w:r w:rsidRPr="00C67422">
              <w:rPr>
                <w:rFonts w:ascii="Cambria" w:hAnsi="Cambria"/>
                <w:spacing w:val="-2"/>
                <w:sz w:val="20"/>
                <w:szCs w:val="20"/>
              </w:rPr>
              <w:lastRenderedPageBreak/>
              <w:t>Singapore</w:t>
            </w:r>
          </w:p>
        </w:tc>
        <w:tc>
          <w:tcPr>
            <w:tcW w:w="993" w:type="dxa"/>
          </w:tcPr>
          <w:p w14:paraId="4A819634" w14:textId="77777777" w:rsidR="00380CD4" w:rsidRPr="00C67422" w:rsidRDefault="00380CD4" w:rsidP="00DC7677">
            <w:pPr>
              <w:pStyle w:val="TableParagraph"/>
              <w:spacing w:before="38" w:line="252" w:lineRule="auto"/>
              <w:rPr>
                <w:rFonts w:ascii="Cambria" w:hAnsi="Cambria"/>
                <w:sz w:val="20"/>
                <w:szCs w:val="20"/>
              </w:rPr>
            </w:pPr>
            <w:r w:rsidRPr="00C67422">
              <w:rPr>
                <w:rFonts w:ascii="Cambria" w:hAnsi="Cambria"/>
                <w:sz w:val="20"/>
                <w:szCs w:val="20"/>
              </w:rPr>
              <w:t>Overland</w:t>
            </w:r>
            <w:r w:rsidRPr="00C67422">
              <w:rPr>
                <w:rFonts w:ascii="Cambria" w:hAnsi="Cambria"/>
                <w:spacing w:val="-14"/>
                <w:sz w:val="20"/>
                <w:szCs w:val="20"/>
              </w:rPr>
              <w:t xml:space="preserve"> </w:t>
            </w:r>
            <w:r w:rsidRPr="00C67422">
              <w:rPr>
                <w:rFonts w:ascii="Cambria" w:hAnsi="Cambria"/>
                <w:sz w:val="20"/>
                <w:szCs w:val="20"/>
              </w:rPr>
              <w:t xml:space="preserve">ADCT </w:t>
            </w:r>
            <w:r w:rsidRPr="00C67422">
              <w:rPr>
                <w:rFonts w:ascii="Cambria" w:hAnsi="Cambria"/>
                <w:spacing w:val="-2"/>
                <w:sz w:val="20"/>
                <w:szCs w:val="20"/>
              </w:rPr>
              <w:t xml:space="preserve">BioPharma </w:t>
            </w:r>
            <w:r w:rsidRPr="00C67422">
              <w:rPr>
                <w:rFonts w:ascii="Cambria" w:hAnsi="Cambria"/>
                <w:sz w:val="20"/>
                <w:szCs w:val="20"/>
              </w:rPr>
              <w:t xml:space="preserve">(MAH - Orient </w:t>
            </w:r>
            <w:proofErr w:type="spellStart"/>
            <w:r w:rsidRPr="00C67422">
              <w:rPr>
                <w:rFonts w:ascii="Cambria" w:hAnsi="Cambria"/>
                <w:spacing w:val="-2"/>
                <w:sz w:val="20"/>
                <w:szCs w:val="20"/>
              </w:rPr>
              <w:t>EuroPharma</w:t>
            </w:r>
            <w:proofErr w:type="spellEnd"/>
            <w:r w:rsidRPr="00C67422">
              <w:rPr>
                <w:rFonts w:ascii="Cambria" w:hAnsi="Cambria"/>
                <w:spacing w:val="-2"/>
                <w:sz w:val="20"/>
                <w:szCs w:val="20"/>
              </w:rPr>
              <w:t xml:space="preserve"> </w:t>
            </w:r>
            <w:r w:rsidRPr="00C67422">
              <w:rPr>
                <w:rFonts w:ascii="Cambria" w:hAnsi="Cambria"/>
                <w:sz w:val="20"/>
                <w:szCs w:val="20"/>
              </w:rPr>
              <w:t>Co., Ltd.)</w:t>
            </w:r>
          </w:p>
        </w:tc>
        <w:tc>
          <w:tcPr>
            <w:tcW w:w="1134" w:type="dxa"/>
          </w:tcPr>
          <w:p w14:paraId="686C1C6F" w14:textId="77777777" w:rsidR="00380CD4" w:rsidRPr="00C67422" w:rsidRDefault="00380CD4" w:rsidP="00DC7677">
            <w:pPr>
              <w:pStyle w:val="TableParagraph"/>
              <w:spacing w:before="38"/>
              <w:rPr>
                <w:rFonts w:ascii="Cambria" w:hAnsi="Cambria"/>
                <w:spacing w:val="-2"/>
                <w:sz w:val="20"/>
                <w:szCs w:val="20"/>
              </w:rPr>
            </w:pPr>
            <w:r w:rsidRPr="00C67422">
              <w:rPr>
                <w:rFonts w:ascii="Cambria" w:hAnsi="Cambria"/>
                <w:spacing w:val="-2"/>
                <w:sz w:val="20"/>
                <w:szCs w:val="20"/>
              </w:rPr>
              <w:t>4-Nov-</w:t>
            </w:r>
            <w:r w:rsidRPr="00C67422">
              <w:rPr>
                <w:rFonts w:ascii="Cambria" w:hAnsi="Cambria"/>
                <w:spacing w:val="-4"/>
                <w:sz w:val="20"/>
                <w:szCs w:val="20"/>
              </w:rPr>
              <w:t>2022</w:t>
            </w:r>
          </w:p>
        </w:tc>
        <w:tc>
          <w:tcPr>
            <w:tcW w:w="1134" w:type="dxa"/>
          </w:tcPr>
          <w:p w14:paraId="168BBC79" w14:textId="77777777" w:rsidR="00380CD4" w:rsidRPr="00C67422" w:rsidRDefault="00380CD4" w:rsidP="00DC7677">
            <w:pPr>
              <w:pStyle w:val="TableParagraph"/>
              <w:ind w:left="55" w:right="-3"/>
              <w:rPr>
                <w:rFonts w:ascii="Cambria" w:hAnsi="Cambria"/>
                <w:spacing w:val="-2"/>
                <w:sz w:val="20"/>
                <w:szCs w:val="20"/>
              </w:rPr>
            </w:pPr>
            <w:r w:rsidRPr="00C67422">
              <w:rPr>
                <w:rFonts w:ascii="Cambria" w:hAnsi="Cambria"/>
                <w:sz w:val="20"/>
                <w:szCs w:val="20"/>
              </w:rPr>
              <w:t>Approved;</w:t>
            </w:r>
            <w:r w:rsidRPr="00C67422">
              <w:rPr>
                <w:rFonts w:ascii="Cambria" w:hAnsi="Cambria"/>
                <w:spacing w:val="-14"/>
                <w:sz w:val="20"/>
                <w:szCs w:val="20"/>
              </w:rPr>
              <w:t xml:space="preserve"> </w:t>
            </w:r>
            <w:r w:rsidRPr="00C67422">
              <w:rPr>
                <w:rFonts w:ascii="Cambria" w:hAnsi="Cambria"/>
                <w:sz w:val="20"/>
                <w:szCs w:val="20"/>
              </w:rPr>
              <w:t>25-</w:t>
            </w:r>
            <w:r w:rsidRPr="00C67422">
              <w:rPr>
                <w:rFonts w:ascii="Cambria" w:hAnsi="Cambria"/>
                <w:spacing w:val="-2"/>
                <w:sz w:val="20"/>
                <w:szCs w:val="20"/>
              </w:rPr>
              <w:t>Sep-2024</w:t>
            </w:r>
          </w:p>
        </w:tc>
        <w:tc>
          <w:tcPr>
            <w:tcW w:w="1984" w:type="dxa"/>
          </w:tcPr>
          <w:p w14:paraId="09CA21E3" w14:textId="659E33E0" w:rsidR="00380CD4" w:rsidRPr="00C67422" w:rsidRDefault="0036009D" w:rsidP="00D36C84">
            <w:pPr>
              <w:pStyle w:val="TableParagraph"/>
              <w:ind w:left="54" w:right="141"/>
              <w:rPr>
                <w:rFonts w:ascii="Cambria" w:hAnsi="Cambria"/>
                <w:sz w:val="20"/>
                <w:szCs w:val="20"/>
              </w:rPr>
            </w:pPr>
            <w:r>
              <w:rPr>
                <w:rFonts w:ascii="Cambria" w:hAnsi="Cambria"/>
                <w:sz w:val="20"/>
                <w:szCs w:val="20"/>
              </w:rPr>
              <w:t>Zynlonta</w:t>
            </w:r>
            <w:r w:rsidR="00380CD4" w:rsidRPr="00C67422">
              <w:rPr>
                <w:rFonts w:ascii="Cambria" w:hAnsi="Cambria"/>
                <w:sz w:val="20"/>
                <w:szCs w:val="20"/>
              </w:rPr>
              <w:t xml:space="preserve"> is indicated for the treatment of adult patients</w:t>
            </w:r>
            <w:r w:rsidR="00380CD4" w:rsidRPr="00C67422">
              <w:rPr>
                <w:rFonts w:ascii="Cambria" w:hAnsi="Cambria"/>
                <w:spacing w:val="-6"/>
                <w:sz w:val="20"/>
                <w:szCs w:val="20"/>
              </w:rPr>
              <w:t xml:space="preserve"> </w:t>
            </w:r>
            <w:r w:rsidR="00380CD4" w:rsidRPr="00C67422">
              <w:rPr>
                <w:rFonts w:ascii="Cambria" w:hAnsi="Cambria"/>
                <w:sz w:val="20"/>
                <w:szCs w:val="20"/>
              </w:rPr>
              <w:t>with</w:t>
            </w:r>
            <w:r w:rsidR="00380CD4" w:rsidRPr="00C67422">
              <w:rPr>
                <w:rFonts w:ascii="Cambria" w:hAnsi="Cambria"/>
                <w:spacing w:val="-6"/>
                <w:sz w:val="20"/>
                <w:szCs w:val="20"/>
              </w:rPr>
              <w:t xml:space="preserve"> </w:t>
            </w:r>
            <w:r w:rsidR="00380CD4" w:rsidRPr="00C67422">
              <w:rPr>
                <w:rFonts w:ascii="Cambria" w:hAnsi="Cambria"/>
                <w:sz w:val="20"/>
                <w:szCs w:val="20"/>
              </w:rPr>
              <w:t>relapsed</w:t>
            </w:r>
            <w:r w:rsidR="00380CD4" w:rsidRPr="00C67422">
              <w:rPr>
                <w:rFonts w:ascii="Cambria" w:hAnsi="Cambria"/>
                <w:spacing w:val="-6"/>
                <w:sz w:val="20"/>
                <w:szCs w:val="20"/>
              </w:rPr>
              <w:t xml:space="preserve"> </w:t>
            </w:r>
            <w:r w:rsidR="00380CD4" w:rsidRPr="00C67422">
              <w:rPr>
                <w:rFonts w:ascii="Cambria" w:hAnsi="Cambria"/>
                <w:sz w:val="20"/>
                <w:szCs w:val="20"/>
              </w:rPr>
              <w:t>or</w:t>
            </w:r>
            <w:r w:rsidR="00380CD4" w:rsidRPr="00C67422">
              <w:rPr>
                <w:rFonts w:ascii="Cambria" w:hAnsi="Cambria"/>
                <w:spacing w:val="-6"/>
                <w:sz w:val="20"/>
                <w:szCs w:val="20"/>
              </w:rPr>
              <w:t xml:space="preserve"> </w:t>
            </w:r>
            <w:r w:rsidR="00380CD4" w:rsidRPr="00C67422">
              <w:rPr>
                <w:rFonts w:ascii="Cambria" w:hAnsi="Cambria"/>
                <w:sz w:val="20"/>
                <w:szCs w:val="20"/>
              </w:rPr>
              <w:t>refractory</w:t>
            </w:r>
            <w:r w:rsidR="00380CD4" w:rsidRPr="00C67422">
              <w:rPr>
                <w:rFonts w:ascii="Cambria" w:hAnsi="Cambria"/>
                <w:spacing w:val="-6"/>
                <w:sz w:val="20"/>
                <w:szCs w:val="20"/>
              </w:rPr>
              <w:t xml:space="preserve"> </w:t>
            </w:r>
            <w:r w:rsidR="00380CD4" w:rsidRPr="00C67422">
              <w:rPr>
                <w:rFonts w:ascii="Cambria" w:hAnsi="Cambria"/>
                <w:sz w:val="20"/>
                <w:szCs w:val="20"/>
              </w:rPr>
              <w:t>diffuse</w:t>
            </w:r>
            <w:r w:rsidR="00380CD4" w:rsidRPr="00C67422">
              <w:rPr>
                <w:rFonts w:ascii="Cambria" w:hAnsi="Cambria"/>
                <w:spacing w:val="-6"/>
                <w:sz w:val="20"/>
                <w:szCs w:val="20"/>
              </w:rPr>
              <w:t xml:space="preserve"> </w:t>
            </w:r>
            <w:r w:rsidR="00380CD4" w:rsidRPr="00C67422">
              <w:rPr>
                <w:rFonts w:ascii="Cambria" w:hAnsi="Cambria"/>
                <w:sz w:val="20"/>
                <w:szCs w:val="20"/>
              </w:rPr>
              <w:t>large</w:t>
            </w:r>
            <w:r w:rsidR="00380CD4" w:rsidRPr="00C67422">
              <w:rPr>
                <w:rFonts w:ascii="Cambria" w:hAnsi="Cambria"/>
                <w:spacing w:val="-6"/>
                <w:sz w:val="20"/>
                <w:szCs w:val="20"/>
              </w:rPr>
              <w:t xml:space="preserve"> </w:t>
            </w:r>
            <w:r w:rsidR="00380CD4" w:rsidRPr="00C67422">
              <w:rPr>
                <w:rFonts w:ascii="Cambria" w:hAnsi="Cambria"/>
                <w:sz w:val="20"/>
                <w:szCs w:val="20"/>
              </w:rPr>
              <w:t>B-cell lymphoma (DLBCL) after two or more lines of systemic therapy. This indication is approved based on overall response rate [see Clinical Studies (14.1)]. Continued approval for this indication</w:t>
            </w:r>
            <w:r w:rsidR="00380CD4" w:rsidRPr="00C67422">
              <w:rPr>
                <w:rFonts w:ascii="Cambria" w:hAnsi="Cambria"/>
                <w:spacing w:val="-2"/>
                <w:sz w:val="20"/>
                <w:szCs w:val="20"/>
              </w:rPr>
              <w:t xml:space="preserve"> </w:t>
            </w:r>
            <w:r w:rsidR="00380CD4" w:rsidRPr="00C67422">
              <w:rPr>
                <w:rFonts w:ascii="Cambria" w:hAnsi="Cambria"/>
                <w:sz w:val="20"/>
                <w:szCs w:val="20"/>
              </w:rPr>
              <w:t>may</w:t>
            </w:r>
            <w:r w:rsidR="00380CD4" w:rsidRPr="00C67422">
              <w:rPr>
                <w:rFonts w:ascii="Cambria" w:hAnsi="Cambria"/>
                <w:spacing w:val="-1"/>
                <w:sz w:val="20"/>
                <w:szCs w:val="20"/>
              </w:rPr>
              <w:t xml:space="preserve"> </w:t>
            </w:r>
            <w:r w:rsidR="00380CD4" w:rsidRPr="00C67422">
              <w:rPr>
                <w:rFonts w:ascii="Cambria" w:hAnsi="Cambria"/>
                <w:sz w:val="20"/>
                <w:szCs w:val="20"/>
              </w:rPr>
              <w:t>be</w:t>
            </w:r>
            <w:r w:rsidR="00380CD4" w:rsidRPr="00C67422">
              <w:rPr>
                <w:rFonts w:ascii="Cambria" w:hAnsi="Cambria"/>
                <w:spacing w:val="-2"/>
                <w:sz w:val="20"/>
                <w:szCs w:val="20"/>
              </w:rPr>
              <w:t xml:space="preserve"> </w:t>
            </w:r>
            <w:r w:rsidR="00380CD4" w:rsidRPr="00C67422">
              <w:rPr>
                <w:rFonts w:ascii="Cambria" w:hAnsi="Cambria"/>
                <w:sz w:val="20"/>
                <w:szCs w:val="20"/>
              </w:rPr>
              <w:t>contingent</w:t>
            </w:r>
            <w:r w:rsidR="00380CD4" w:rsidRPr="00C67422">
              <w:rPr>
                <w:rFonts w:ascii="Cambria" w:hAnsi="Cambria"/>
                <w:spacing w:val="-1"/>
                <w:sz w:val="20"/>
                <w:szCs w:val="20"/>
              </w:rPr>
              <w:t xml:space="preserve"> </w:t>
            </w:r>
            <w:r w:rsidR="00380CD4" w:rsidRPr="00C67422">
              <w:rPr>
                <w:rFonts w:ascii="Cambria" w:hAnsi="Cambria"/>
                <w:sz w:val="20"/>
                <w:szCs w:val="20"/>
              </w:rPr>
              <w:t>upon</w:t>
            </w:r>
            <w:r w:rsidR="00380CD4" w:rsidRPr="00C67422">
              <w:rPr>
                <w:rFonts w:ascii="Cambria" w:hAnsi="Cambria"/>
                <w:spacing w:val="-2"/>
                <w:sz w:val="20"/>
                <w:szCs w:val="20"/>
              </w:rPr>
              <w:t xml:space="preserve"> </w:t>
            </w:r>
            <w:r w:rsidR="00380CD4" w:rsidRPr="00C67422">
              <w:rPr>
                <w:rFonts w:ascii="Cambria" w:hAnsi="Cambria"/>
                <w:sz w:val="20"/>
                <w:szCs w:val="20"/>
              </w:rPr>
              <w:t>verification</w:t>
            </w:r>
            <w:r w:rsidR="00380CD4" w:rsidRPr="00C67422">
              <w:rPr>
                <w:rFonts w:ascii="Cambria" w:hAnsi="Cambria"/>
                <w:spacing w:val="-2"/>
                <w:sz w:val="20"/>
                <w:szCs w:val="20"/>
              </w:rPr>
              <w:t xml:space="preserve"> </w:t>
            </w:r>
            <w:r w:rsidR="00380CD4" w:rsidRPr="00C67422">
              <w:rPr>
                <w:rFonts w:ascii="Cambria" w:hAnsi="Cambria"/>
                <w:sz w:val="20"/>
                <w:szCs w:val="20"/>
              </w:rPr>
              <w:t xml:space="preserve">and description of clinical benefit in a confirmatory </w:t>
            </w:r>
            <w:r w:rsidR="00380CD4" w:rsidRPr="00C67422">
              <w:rPr>
                <w:rFonts w:ascii="Cambria" w:hAnsi="Cambria"/>
                <w:spacing w:val="-2"/>
                <w:sz w:val="20"/>
                <w:szCs w:val="20"/>
              </w:rPr>
              <w:t>trial(s).</w:t>
            </w:r>
          </w:p>
        </w:tc>
        <w:tc>
          <w:tcPr>
            <w:tcW w:w="2835" w:type="dxa"/>
          </w:tcPr>
          <w:p w14:paraId="2A82B039" w14:textId="77777777" w:rsidR="00380CD4" w:rsidRPr="00C67422" w:rsidRDefault="00380CD4" w:rsidP="00D36C84">
            <w:pPr>
              <w:pStyle w:val="TableParagraph"/>
              <w:spacing w:before="38"/>
              <w:ind w:left="139" w:right="142"/>
              <w:rPr>
                <w:rFonts w:ascii="Cambria" w:hAnsi="Cambria"/>
                <w:b/>
                <w:sz w:val="20"/>
                <w:szCs w:val="20"/>
              </w:rPr>
            </w:pPr>
            <w:r w:rsidRPr="00C67422">
              <w:rPr>
                <w:rFonts w:ascii="Cambria" w:hAnsi="Cambria"/>
                <w:sz w:val="20"/>
                <w:szCs w:val="20"/>
              </w:rPr>
              <w:t>Information</w:t>
            </w:r>
            <w:r w:rsidRPr="00C67422">
              <w:rPr>
                <w:rFonts w:ascii="Cambria" w:hAnsi="Cambria"/>
                <w:spacing w:val="-7"/>
                <w:sz w:val="20"/>
                <w:szCs w:val="20"/>
              </w:rPr>
              <w:t xml:space="preserve"> </w:t>
            </w:r>
            <w:r w:rsidRPr="00C67422">
              <w:rPr>
                <w:rFonts w:ascii="Cambria" w:hAnsi="Cambria"/>
                <w:sz w:val="20"/>
                <w:szCs w:val="20"/>
              </w:rPr>
              <w:t>not</w:t>
            </w:r>
            <w:r w:rsidRPr="00C67422">
              <w:rPr>
                <w:rFonts w:ascii="Cambria" w:hAnsi="Cambria"/>
                <w:spacing w:val="-7"/>
                <w:sz w:val="20"/>
                <w:szCs w:val="20"/>
              </w:rPr>
              <w:t xml:space="preserve"> </w:t>
            </w:r>
            <w:r w:rsidRPr="00C67422">
              <w:rPr>
                <w:rFonts w:ascii="Cambria" w:hAnsi="Cambria"/>
                <w:spacing w:val="-2"/>
                <w:sz w:val="20"/>
                <w:szCs w:val="20"/>
              </w:rPr>
              <w:t>available</w:t>
            </w:r>
          </w:p>
        </w:tc>
      </w:tr>
      <w:tr w:rsidR="00380CD4" w:rsidRPr="00C67422" w14:paraId="09EC2A4E" w14:textId="77777777" w:rsidTr="009C7E5A">
        <w:tc>
          <w:tcPr>
            <w:tcW w:w="1119" w:type="dxa"/>
          </w:tcPr>
          <w:p w14:paraId="47857BFC" w14:textId="77777777" w:rsidR="00380CD4" w:rsidRPr="00C67422" w:rsidRDefault="00380CD4" w:rsidP="00DC7677">
            <w:pPr>
              <w:pStyle w:val="TableParagraph"/>
              <w:spacing w:before="38"/>
              <w:ind w:left="57"/>
              <w:rPr>
                <w:rFonts w:ascii="Cambria" w:hAnsi="Cambria"/>
                <w:spacing w:val="-2"/>
                <w:sz w:val="20"/>
                <w:szCs w:val="20"/>
              </w:rPr>
            </w:pPr>
            <w:r w:rsidRPr="00C67422">
              <w:rPr>
                <w:rFonts w:ascii="Cambria" w:hAnsi="Cambria"/>
                <w:spacing w:val="-2"/>
                <w:sz w:val="20"/>
                <w:szCs w:val="20"/>
              </w:rPr>
              <w:t>Canada</w:t>
            </w:r>
          </w:p>
        </w:tc>
        <w:tc>
          <w:tcPr>
            <w:tcW w:w="993" w:type="dxa"/>
          </w:tcPr>
          <w:p w14:paraId="66F24FAE" w14:textId="77777777" w:rsidR="00380CD4" w:rsidRPr="00C67422" w:rsidRDefault="00380CD4" w:rsidP="00DC7677">
            <w:pPr>
              <w:pStyle w:val="TableParagraph"/>
              <w:spacing w:before="38" w:line="252" w:lineRule="auto"/>
              <w:rPr>
                <w:rFonts w:ascii="Cambria" w:hAnsi="Cambria"/>
                <w:sz w:val="20"/>
                <w:szCs w:val="20"/>
              </w:rPr>
            </w:pPr>
            <w:r w:rsidRPr="00C67422">
              <w:rPr>
                <w:rFonts w:ascii="Cambria" w:hAnsi="Cambria"/>
                <w:spacing w:val="-4"/>
                <w:sz w:val="20"/>
                <w:szCs w:val="20"/>
              </w:rPr>
              <w:t>Sobi</w:t>
            </w:r>
          </w:p>
        </w:tc>
        <w:tc>
          <w:tcPr>
            <w:tcW w:w="1134" w:type="dxa"/>
          </w:tcPr>
          <w:p w14:paraId="78E7BDF1" w14:textId="77777777" w:rsidR="00380CD4" w:rsidRPr="00C67422" w:rsidRDefault="00380CD4" w:rsidP="00DC7677">
            <w:pPr>
              <w:pStyle w:val="TableParagraph"/>
              <w:spacing w:before="38"/>
              <w:rPr>
                <w:rFonts w:ascii="Cambria" w:hAnsi="Cambria"/>
                <w:spacing w:val="-2"/>
                <w:sz w:val="20"/>
                <w:szCs w:val="20"/>
              </w:rPr>
            </w:pPr>
            <w:r w:rsidRPr="00C67422">
              <w:rPr>
                <w:rFonts w:ascii="Cambria" w:hAnsi="Cambria"/>
                <w:sz w:val="20"/>
                <w:szCs w:val="20"/>
              </w:rPr>
              <w:t>28</w:t>
            </w:r>
            <w:r w:rsidRPr="00C67422">
              <w:rPr>
                <w:rFonts w:ascii="Cambria" w:hAnsi="Cambria"/>
                <w:spacing w:val="-3"/>
                <w:sz w:val="20"/>
                <w:szCs w:val="20"/>
              </w:rPr>
              <w:t xml:space="preserve"> </w:t>
            </w:r>
            <w:r w:rsidRPr="00C67422">
              <w:rPr>
                <w:rFonts w:ascii="Cambria" w:hAnsi="Cambria"/>
                <w:sz w:val="20"/>
                <w:szCs w:val="20"/>
              </w:rPr>
              <w:t>Feb</w:t>
            </w:r>
            <w:r w:rsidRPr="00C67422">
              <w:rPr>
                <w:rFonts w:ascii="Cambria" w:hAnsi="Cambria"/>
                <w:spacing w:val="-3"/>
                <w:sz w:val="20"/>
                <w:szCs w:val="20"/>
              </w:rPr>
              <w:t xml:space="preserve"> </w:t>
            </w:r>
            <w:r w:rsidRPr="00C67422">
              <w:rPr>
                <w:rFonts w:ascii="Cambria" w:hAnsi="Cambria"/>
                <w:spacing w:val="-4"/>
                <w:sz w:val="20"/>
                <w:szCs w:val="20"/>
              </w:rPr>
              <w:t>2024</w:t>
            </w:r>
          </w:p>
        </w:tc>
        <w:tc>
          <w:tcPr>
            <w:tcW w:w="1134" w:type="dxa"/>
          </w:tcPr>
          <w:p w14:paraId="6D6ED0CB" w14:textId="006A7497" w:rsidR="00380CD4" w:rsidRPr="00C67422" w:rsidRDefault="0025308A" w:rsidP="00DC7677">
            <w:pPr>
              <w:pStyle w:val="TableParagraph"/>
              <w:ind w:left="55" w:right="-3"/>
              <w:rPr>
                <w:rFonts w:ascii="Cambria" w:hAnsi="Cambria"/>
                <w:spacing w:val="-2"/>
                <w:sz w:val="20"/>
                <w:szCs w:val="20"/>
              </w:rPr>
            </w:pPr>
            <w:r>
              <w:rPr>
                <w:rFonts w:ascii="Cambria" w:hAnsi="Cambria"/>
                <w:spacing w:val="-2"/>
                <w:sz w:val="20"/>
                <w:szCs w:val="20"/>
              </w:rPr>
              <w:t>Approved; 07-Mar-2025</w:t>
            </w:r>
          </w:p>
        </w:tc>
        <w:tc>
          <w:tcPr>
            <w:tcW w:w="1984" w:type="dxa"/>
          </w:tcPr>
          <w:p w14:paraId="4F4CDA88" w14:textId="2FF5248D" w:rsidR="00380CD4" w:rsidRPr="00C67422" w:rsidRDefault="00380CD4" w:rsidP="00D36C84">
            <w:pPr>
              <w:pStyle w:val="TableParagraph"/>
              <w:ind w:left="54" w:right="141"/>
            </w:pPr>
            <w:r w:rsidRPr="00C67422">
              <w:rPr>
                <w:rFonts w:ascii="Cambria" w:hAnsi="Cambria"/>
                <w:b/>
                <w:sz w:val="20"/>
                <w:szCs w:val="20"/>
              </w:rPr>
              <w:t>Proposed</w:t>
            </w:r>
            <w:r w:rsidRPr="00C67422">
              <w:rPr>
                <w:rFonts w:ascii="Cambria" w:hAnsi="Cambria"/>
                <w:sz w:val="20"/>
                <w:szCs w:val="20"/>
              </w:rPr>
              <w:t>:</w:t>
            </w:r>
            <w:r w:rsidRPr="00C67422">
              <w:rPr>
                <w:rFonts w:ascii="Cambria" w:hAnsi="Cambria"/>
                <w:spacing w:val="-7"/>
                <w:sz w:val="20"/>
                <w:szCs w:val="20"/>
              </w:rPr>
              <w:t xml:space="preserve"> </w:t>
            </w:r>
            <w:r w:rsidR="0036009D">
              <w:rPr>
                <w:rFonts w:ascii="Cambria" w:hAnsi="Cambria"/>
                <w:sz w:val="20"/>
                <w:szCs w:val="20"/>
              </w:rPr>
              <w:t>Zynlonta</w:t>
            </w:r>
            <w:r w:rsidRPr="00C67422">
              <w:rPr>
                <w:rFonts w:ascii="Cambria" w:hAnsi="Cambria"/>
                <w:spacing w:val="-7"/>
                <w:sz w:val="20"/>
                <w:szCs w:val="20"/>
              </w:rPr>
              <w:t xml:space="preserve"> </w:t>
            </w:r>
            <w:r w:rsidRPr="00C67422">
              <w:rPr>
                <w:rFonts w:ascii="Cambria" w:hAnsi="Cambria"/>
                <w:sz w:val="20"/>
                <w:szCs w:val="20"/>
              </w:rPr>
              <w:t>is</w:t>
            </w:r>
            <w:r w:rsidRPr="00C67422">
              <w:rPr>
                <w:rFonts w:ascii="Cambria" w:hAnsi="Cambria"/>
                <w:spacing w:val="-7"/>
                <w:sz w:val="20"/>
                <w:szCs w:val="20"/>
              </w:rPr>
              <w:t xml:space="preserve"> </w:t>
            </w:r>
            <w:r w:rsidRPr="00C67422">
              <w:rPr>
                <w:rFonts w:ascii="Cambria" w:hAnsi="Cambria"/>
                <w:sz w:val="20"/>
                <w:szCs w:val="20"/>
              </w:rPr>
              <w:t>indicated</w:t>
            </w:r>
            <w:r w:rsidRPr="00C67422">
              <w:rPr>
                <w:rFonts w:ascii="Cambria" w:hAnsi="Cambria"/>
                <w:spacing w:val="-7"/>
                <w:sz w:val="20"/>
                <w:szCs w:val="20"/>
              </w:rPr>
              <w:t xml:space="preserve"> </w:t>
            </w:r>
            <w:r w:rsidRPr="00C67422">
              <w:rPr>
                <w:rFonts w:ascii="Cambria" w:hAnsi="Cambria"/>
                <w:sz w:val="20"/>
                <w:szCs w:val="20"/>
              </w:rPr>
              <w:t>for</w:t>
            </w:r>
            <w:r w:rsidRPr="00C67422">
              <w:rPr>
                <w:rFonts w:ascii="Cambria" w:hAnsi="Cambria"/>
                <w:spacing w:val="-7"/>
                <w:sz w:val="20"/>
                <w:szCs w:val="20"/>
              </w:rPr>
              <w:t xml:space="preserve"> </w:t>
            </w:r>
            <w:r w:rsidRPr="00C67422">
              <w:rPr>
                <w:rFonts w:ascii="Cambria" w:hAnsi="Cambria"/>
                <w:sz w:val="20"/>
                <w:szCs w:val="20"/>
              </w:rPr>
              <w:t>the</w:t>
            </w:r>
            <w:r w:rsidRPr="00C67422">
              <w:rPr>
                <w:rFonts w:ascii="Cambria" w:hAnsi="Cambria"/>
                <w:spacing w:val="-7"/>
                <w:sz w:val="20"/>
                <w:szCs w:val="20"/>
              </w:rPr>
              <w:t xml:space="preserve"> </w:t>
            </w:r>
            <w:r w:rsidRPr="00C67422">
              <w:rPr>
                <w:rFonts w:ascii="Cambria" w:hAnsi="Cambria"/>
                <w:sz w:val="20"/>
                <w:szCs w:val="20"/>
              </w:rPr>
              <w:t>treatment of adult patients with relapsed or refractory large B-cell lymphoma, including diffuse large B-cell lymphoma (DLBCL) not otherwise specified, DLBCL arising from low grade lymphoma, and high-grade B-cell lymphoma, who have received two</w:t>
            </w:r>
            <w:r w:rsidRPr="00C67422">
              <w:rPr>
                <w:rFonts w:ascii="Cambria" w:hAnsi="Cambria"/>
                <w:spacing w:val="-1"/>
                <w:sz w:val="20"/>
                <w:szCs w:val="20"/>
              </w:rPr>
              <w:t xml:space="preserve"> </w:t>
            </w:r>
            <w:r w:rsidRPr="00C67422">
              <w:rPr>
                <w:rFonts w:ascii="Cambria" w:hAnsi="Cambria"/>
                <w:sz w:val="20"/>
                <w:szCs w:val="20"/>
              </w:rPr>
              <w:t>or</w:t>
            </w:r>
            <w:r w:rsidRPr="00C67422">
              <w:rPr>
                <w:rFonts w:ascii="Cambria" w:hAnsi="Cambria"/>
                <w:spacing w:val="-1"/>
                <w:sz w:val="20"/>
                <w:szCs w:val="20"/>
              </w:rPr>
              <w:t xml:space="preserve"> </w:t>
            </w:r>
            <w:r w:rsidRPr="00C67422">
              <w:rPr>
                <w:rFonts w:ascii="Cambria" w:hAnsi="Cambria"/>
                <w:sz w:val="20"/>
                <w:szCs w:val="20"/>
              </w:rPr>
              <w:t>more</w:t>
            </w:r>
            <w:r w:rsidRPr="00C67422">
              <w:rPr>
                <w:rFonts w:ascii="Cambria" w:hAnsi="Cambria"/>
                <w:spacing w:val="-1"/>
                <w:sz w:val="20"/>
                <w:szCs w:val="20"/>
              </w:rPr>
              <w:t xml:space="preserve"> </w:t>
            </w:r>
            <w:r w:rsidRPr="00C67422">
              <w:rPr>
                <w:rFonts w:ascii="Cambria" w:hAnsi="Cambria"/>
                <w:sz w:val="20"/>
                <w:szCs w:val="20"/>
              </w:rPr>
              <w:t>lines</w:t>
            </w:r>
            <w:r w:rsidRPr="00C67422">
              <w:rPr>
                <w:rFonts w:ascii="Cambria" w:hAnsi="Cambria"/>
                <w:spacing w:val="-1"/>
                <w:sz w:val="20"/>
                <w:szCs w:val="20"/>
              </w:rPr>
              <w:t xml:space="preserve"> </w:t>
            </w:r>
            <w:r w:rsidRPr="00C67422">
              <w:rPr>
                <w:rFonts w:ascii="Cambria" w:hAnsi="Cambria"/>
                <w:sz w:val="20"/>
                <w:szCs w:val="20"/>
              </w:rPr>
              <w:t>of</w:t>
            </w:r>
            <w:r w:rsidRPr="00C67422">
              <w:rPr>
                <w:rFonts w:ascii="Cambria" w:hAnsi="Cambria"/>
                <w:spacing w:val="-1"/>
                <w:sz w:val="20"/>
                <w:szCs w:val="20"/>
              </w:rPr>
              <w:t xml:space="preserve"> </w:t>
            </w:r>
            <w:r w:rsidRPr="00C67422">
              <w:rPr>
                <w:rFonts w:ascii="Cambria" w:hAnsi="Cambria"/>
                <w:sz w:val="20"/>
                <w:szCs w:val="20"/>
              </w:rPr>
              <w:t>systemic</w:t>
            </w:r>
            <w:r w:rsidRPr="00C67422">
              <w:rPr>
                <w:rFonts w:ascii="Cambria" w:hAnsi="Cambria"/>
                <w:spacing w:val="-1"/>
                <w:sz w:val="20"/>
                <w:szCs w:val="20"/>
              </w:rPr>
              <w:t xml:space="preserve"> </w:t>
            </w:r>
            <w:r w:rsidRPr="00C67422">
              <w:rPr>
                <w:rFonts w:ascii="Cambria" w:hAnsi="Cambria"/>
                <w:sz w:val="20"/>
                <w:szCs w:val="20"/>
              </w:rPr>
              <w:t>therapy</w:t>
            </w:r>
            <w:r w:rsidRPr="00C67422">
              <w:rPr>
                <w:rFonts w:ascii="Cambria" w:hAnsi="Cambria"/>
                <w:spacing w:val="-1"/>
                <w:sz w:val="20"/>
                <w:szCs w:val="20"/>
              </w:rPr>
              <w:t xml:space="preserve"> </w:t>
            </w:r>
            <w:r w:rsidRPr="00C67422">
              <w:rPr>
                <w:rFonts w:ascii="Cambria" w:hAnsi="Cambria"/>
                <w:sz w:val="20"/>
                <w:szCs w:val="20"/>
              </w:rPr>
              <w:t>and</w:t>
            </w:r>
            <w:r w:rsidRPr="00C67422">
              <w:rPr>
                <w:rFonts w:ascii="Cambria" w:hAnsi="Cambria"/>
                <w:spacing w:val="-1"/>
                <w:sz w:val="20"/>
                <w:szCs w:val="20"/>
              </w:rPr>
              <w:t xml:space="preserve"> </w:t>
            </w:r>
            <w:r w:rsidRPr="00C67422">
              <w:rPr>
                <w:rFonts w:ascii="Cambria" w:hAnsi="Cambria"/>
                <w:sz w:val="20"/>
                <w:szCs w:val="20"/>
              </w:rPr>
              <w:t>cannot receive CAR-T cell therapy or have previously received CAR-T cell therapy.</w:t>
            </w:r>
          </w:p>
        </w:tc>
        <w:tc>
          <w:tcPr>
            <w:tcW w:w="2835" w:type="dxa"/>
          </w:tcPr>
          <w:p w14:paraId="526864B4" w14:textId="77777777" w:rsidR="00380CD4" w:rsidRPr="00C67422" w:rsidRDefault="00380CD4" w:rsidP="00D36C84">
            <w:pPr>
              <w:pStyle w:val="TableParagraph"/>
              <w:spacing w:before="38"/>
              <w:ind w:left="139" w:right="142"/>
              <w:rPr>
                <w:rFonts w:ascii="Cambria" w:hAnsi="Cambria"/>
                <w:b/>
                <w:sz w:val="20"/>
                <w:szCs w:val="20"/>
              </w:rPr>
            </w:pPr>
            <w:r w:rsidRPr="00C67422">
              <w:rPr>
                <w:rFonts w:ascii="Cambria" w:hAnsi="Cambria"/>
                <w:b/>
                <w:sz w:val="20"/>
                <w:szCs w:val="20"/>
              </w:rPr>
              <w:t>Review</w:t>
            </w:r>
            <w:r w:rsidRPr="00C67422">
              <w:rPr>
                <w:rFonts w:ascii="Cambria" w:hAnsi="Cambria"/>
                <w:b/>
                <w:spacing w:val="-10"/>
                <w:sz w:val="20"/>
                <w:szCs w:val="20"/>
              </w:rPr>
              <w:t xml:space="preserve"> </w:t>
            </w:r>
            <w:r w:rsidRPr="00C67422">
              <w:rPr>
                <w:rFonts w:ascii="Cambria" w:hAnsi="Cambria"/>
                <w:b/>
                <w:sz w:val="20"/>
                <w:szCs w:val="20"/>
              </w:rPr>
              <w:t>Pathway</w:t>
            </w:r>
            <w:r w:rsidRPr="00C67422">
              <w:rPr>
                <w:rFonts w:ascii="Cambria" w:hAnsi="Cambria"/>
                <w:sz w:val="20"/>
                <w:szCs w:val="20"/>
              </w:rPr>
              <w:t>:</w:t>
            </w:r>
            <w:r w:rsidRPr="00C67422">
              <w:rPr>
                <w:rFonts w:ascii="Cambria" w:hAnsi="Cambria"/>
                <w:spacing w:val="-10"/>
                <w:sz w:val="20"/>
                <w:szCs w:val="20"/>
              </w:rPr>
              <w:t xml:space="preserve"> </w:t>
            </w:r>
            <w:r w:rsidRPr="00C67422">
              <w:rPr>
                <w:rFonts w:ascii="Cambria" w:hAnsi="Cambria"/>
                <w:sz w:val="20"/>
                <w:szCs w:val="20"/>
              </w:rPr>
              <w:t>Notice</w:t>
            </w:r>
            <w:r w:rsidRPr="00C67422">
              <w:rPr>
                <w:rFonts w:ascii="Cambria" w:hAnsi="Cambria"/>
                <w:spacing w:val="-10"/>
                <w:sz w:val="20"/>
                <w:szCs w:val="20"/>
              </w:rPr>
              <w:t xml:space="preserve"> </w:t>
            </w:r>
            <w:r w:rsidRPr="00C67422">
              <w:rPr>
                <w:rFonts w:ascii="Cambria" w:hAnsi="Cambria"/>
                <w:sz w:val="20"/>
                <w:szCs w:val="20"/>
              </w:rPr>
              <w:t>of</w:t>
            </w:r>
            <w:r w:rsidRPr="00C67422">
              <w:rPr>
                <w:rFonts w:ascii="Cambria" w:hAnsi="Cambria"/>
                <w:spacing w:val="-9"/>
                <w:sz w:val="20"/>
                <w:szCs w:val="20"/>
              </w:rPr>
              <w:t xml:space="preserve"> </w:t>
            </w:r>
            <w:r w:rsidRPr="00C67422">
              <w:rPr>
                <w:rFonts w:ascii="Cambria" w:hAnsi="Cambria"/>
                <w:sz w:val="20"/>
                <w:szCs w:val="20"/>
              </w:rPr>
              <w:t>Compliance with Conditions (NOC/c)</w:t>
            </w:r>
          </w:p>
        </w:tc>
      </w:tr>
      <w:tr w:rsidR="00380CD4" w:rsidRPr="00C67422" w14:paraId="206D4C18" w14:textId="77777777" w:rsidTr="009C7E5A">
        <w:trPr>
          <w:trHeight w:val="2043"/>
        </w:trPr>
        <w:tc>
          <w:tcPr>
            <w:tcW w:w="1119" w:type="dxa"/>
          </w:tcPr>
          <w:p w14:paraId="441FAECE" w14:textId="77777777" w:rsidR="00380CD4" w:rsidRPr="00C67422" w:rsidRDefault="00380CD4" w:rsidP="00DC7677">
            <w:pPr>
              <w:pStyle w:val="TableParagraph"/>
              <w:spacing w:before="38"/>
              <w:ind w:left="57"/>
              <w:rPr>
                <w:rFonts w:ascii="Cambria" w:hAnsi="Cambria"/>
                <w:spacing w:val="-2"/>
                <w:sz w:val="20"/>
                <w:szCs w:val="20"/>
              </w:rPr>
            </w:pPr>
            <w:r w:rsidRPr="00C67422">
              <w:rPr>
                <w:rFonts w:ascii="Cambria" w:hAnsi="Cambria"/>
                <w:sz w:val="20"/>
                <w:szCs w:val="20"/>
              </w:rPr>
              <w:t>Saudi</w:t>
            </w:r>
            <w:r w:rsidRPr="00C67422">
              <w:rPr>
                <w:rFonts w:ascii="Cambria" w:hAnsi="Cambria"/>
                <w:spacing w:val="-5"/>
                <w:sz w:val="20"/>
                <w:szCs w:val="20"/>
              </w:rPr>
              <w:t xml:space="preserve"> </w:t>
            </w:r>
            <w:r w:rsidRPr="00C67422">
              <w:rPr>
                <w:rFonts w:ascii="Cambria" w:hAnsi="Cambria"/>
                <w:spacing w:val="-2"/>
                <w:sz w:val="20"/>
                <w:szCs w:val="20"/>
              </w:rPr>
              <w:t>Arabia</w:t>
            </w:r>
          </w:p>
        </w:tc>
        <w:tc>
          <w:tcPr>
            <w:tcW w:w="993" w:type="dxa"/>
          </w:tcPr>
          <w:p w14:paraId="0E81DEB8" w14:textId="77777777" w:rsidR="00380CD4" w:rsidRPr="00C67422" w:rsidRDefault="00380CD4" w:rsidP="00DC7677">
            <w:pPr>
              <w:pStyle w:val="TableParagraph"/>
              <w:spacing w:before="38" w:line="252" w:lineRule="auto"/>
              <w:rPr>
                <w:rFonts w:ascii="Cambria" w:hAnsi="Cambria"/>
                <w:sz w:val="20"/>
                <w:szCs w:val="20"/>
              </w:rPr>
            </w:pPr>
            <w:r w:rsidRPr="00C67422">
              <w:rPr>
                <w:rFonts w:ascii="Cambria" w:hAnsi="Cambria"/>
                <w:spacing w:val="-4"/>
                <w:sz w:val="20"/>
                <w:szCs w:val="20"/>
              </w:rPr>
              <w:t>Sobi</w:t>
            </w:r>
          </w:p>
        </w:tc>
        <w:tc>
          <w:tcPr>
            <w:tcW w:w="1134" w:type="dxa"/>
          </w:tcPr>
          <w:p w14:paraId="2749F011" w14:textId="77777777" w:rsidR="00380CD4" w:rsidRPr="00C67422" w:rsidRDefault="00380CD4" w:rsidP="00DC7677">
            <w:pPr>
              <w:pStyle w:val="TableParagraph"/>
              <w:spacing w:before="38"/>
              <w:rPr>
                <w:rFonts w:ascii="Cambria" w:hAnsi="Cambria"/>
                <w:spacing w:val="-2"/>
                <w:sz w:val="20"/>
                <w:szCs w:val="20"/>
              </w:rPr>
            </w:pPr>
            <w:r w:rsidRPr="00C67422">
              <w:rPr>
                <w:rFonts w:ascii="Cambria" w:hAnsi="Cambria"/>
                <w:spacing w:val="-2"/>
                <w:sz w:val="20"/>
                <w:szCs w:val="20"/>
              </w:rPr>
              <w:t>21-Jun-</w:t>
            </w:r>
            <w:r w:rsidRPr="00C67422">
              <w:rPr>
                <w:rFonts w:ascii="Cambria" w:hAnsi="Cambria"/>
                <w:spacing w:val="-4"/>
                <w:sz w:val="20"/>
                <w:szCs w:val="20"/>
              </w:rPr>
              <w:t>2023</w:t>
            </w:r>
          </w:p>
        </w:tc>
        <w:tc>
          <w:tcPr>
            <w:tcW w:w="1134" w:type="dxa"/>
          </w:tcPr>
          <w:p w14:paraId="5A8B90FE" w14:textId="77777777" w:rsidR="00380CD4" w:rsidRPr="00C67422" w:rsidRDefault="00380CD4" w:rsidP="00DC7677">
            <w:pPr>
              <w:pStyle w:val="TableParagraph"/>
              <w:ind w:left="55" w:right="-3"/>
              <w:rPr>
                <w:rFonts w:ascii="Cambria" w:hAnsi="Cambria"/>
                <w:spacing w:val="-2"/>
                <w:sz w:val="20"/>
                <w:szCs w:val="20"/>
              </w:rPr>
            </w:pPr>
            <w:r w:rsidRPr="00C67422">
              <w:rPr>
                <w:rFonts w:ascii="Cambria" w:hAnsi="Cambria"/>
                <w:spacing w:val="-2"/>
                <w:sz w:val="20"/>
                <w:szCs w:val="20"/>
              </w:rPr>
              <w:t>Ongoing</w:t>
            </w:r>
          </w:p>
        </w:tc>
        <w:tc>
          <w:tcPr>
            <w:tcW w:w="1984" w:type="dxa"/>
          </w:tcPr>
          <w:p w14:paraId="374651CA" w14:textId="7EE21F90" w:rsidR="00380CD4" w:rsidRPr="00C67422" w:rsidRDefault="00380CD4" w:rsidP="00D36C84">
            <w:pPr>
              <w:pStyle w:val="TableParagraph"/>
              <w:ind w:left="54" w:right="141"/>
              <w:rPr>
                <w:rFonts w:ascii="Cambria" w:hAnsi="Cambria"/>
                <w:sz w:val="20"/>
                <w:szCs w:val="20"/>
              </w:rPr>
            </w:pPr>
            <w:r w:rsidRPr="00C67422">
              <w:rPr>
                <w:rFonts w:ascii="Cambria" w:hAnsi="Cambria"/>
                <w:b/>
                <w:sz w:val="20"/>
                <w:szCs w:val="20"/>
              </w:rPr>
              <w:t xml:space="preserve">Proposed: </w:t>
            </w:r>
            <w:r w:rsidR="0036009D">
              <w:rPr>
                <w:rFonts w:ascii="Cambria" w:hAnsi="Cambria"/>
                <w:sz w:val="20"/>
                <w:szCs w:val="20"/>
              </w:rPr>
              <w:t>Zynlonta</w:t>
            </w:r>
            <w:r w:rsidRPr="00C67422">
              <w:rPr>
                <w:rFonts w:ascii="Cambria" w:hAnsi="Cambria"/>
                <w:sz w:val="20"/>
                <w:szCs w:val="20"/>
              </w:rPr>
              <w:t xml:space="preserve"> as monotherapy is indicated for the treatment of adult patients with relapsed or refractory diffuse large B-cell lymphoma (DLBCL) and</w:t>
            </w:r>
            <w:r w:rsidRPr="00C67422">
              <w:rPr>
                <w:rFonts w:ascii="Cambria" w:hAnsi="Cambria"/>
                <w:spacing w:val="-7"/>
                <w:sz w:val="20"/>
                <w:szCs w:val="20"/>
              </w:rPr>
              <w:t xml:space="preserve"> </w:t>
            </w:r>
            <w:r w:rsidRPr="00C67422">
              <w:rPr>
                <w:rFonts w:ascii="Cambria" w:hAnsi="Cambria"/>
                <w:sz w:val="20"/>
                <w:szCs w:val="20"/>
              </w:rPr>
              <w:t>high-grade</w:t>
            </w:r>
            <w:r w:rsidRPr="00C67422">
              <w:rPr>
                <w:rFonts w:ascii="Cambria" w:hAnsi="Cambria"/>
                <w:spacing w:val="-7"/>
                <w:sz w:val="20"/>
                <w:szCs w:val="20"/>
              </w:rPr>
              <w:t xml:space="preserve"> </w:t>
            </w:r>
            <w:r w:rsidRPr="00C67422">
              <w:rPr>
                <w:rFonts w:ascii="Cambria" w:hAnsi="Cambria"/>
                <w:sz w:val="20"/>
                <w:szCs w:val="20"/>
              </w:rPr>
              <w:t>B-cell</w:t>
            </w:r>
            <w:r w:rsidRPr="00C67422">
              <w:rPr>
                <w:rFonts w:ascii="Cambria" w:hAnsi="Cambria"/>
                <w:spacing w:val="-8"/>
                <w:sz w:val="20"/>
                <w:szCs w:val="20"/>
              </w:rPr>
              <w:t xml:space="preserve"> </w:t>
            </w:r>
            <w:r w:rsidRPr="00C67422">
              <w:rPr>
                <w:rFonts w:ascii="Cambria" w:hAnsi="Cambria"/>
                <w:sz w:val="20"/>
                <w:szCs w:val="20"/>
              </w:rPr>
              <w:t>lymphoma</w:t>
            </w:r>
            <w:r w:rsidRPr="00C67422">
              <w:rPr>
                <w:rFonts w:ascii="Cambria" w:hAnsi="Cambria"/>
                <w:spacing w:val="-7"/>
                <w:sz w:val="20"/>
                <w:szCs w:val="20"/>
              </w:rPr>
              <w:t xml:space="preserve"> </w:t>
            </w:r>
            <w:r w:rsidRPr="00C67422">
              <w:rPr>
                <w:rFonts w:ascii="Cambria" w:hAnsi="Cambria"/>
                <w:sz w:val="20"/>
                <w:szCs w:val="20"/>
              </w:rPr>
              <w:lastRenderedPageBreak/>
              <w:t>(HGBL),</w:t>
            </w:r>
            <w:r w:rsidRPr="00C67422">
              <w:rPr>
                <w:rFonts w:ascii="Cambria" w:hAnsi="Cambria"/>
                <w:spacing w:val="-6"/>
                <w:sz w:val="20"/>
                <w:szCs w:val="20"/>
              </w:rPr>
              <w:t xml:space="preserve"> </w:t>
            </w:r>
            <w:r w:rsidRPr="00C67422">
              <w:rPr>
                <w:rFonts w:ascii="Cambria" w:hAnsi="Cambria"/>
                <w:sz w:val="20"/>
                <w:szCs w:val="20"/>
              </w:rPr>
              <w:t>after</w:t>
            </w:r>
            <w:r w:rsidRPr="00C67422">
              <w:rPr>
                <w:rFonts w:ascii="Cambria" w:hAnsi="Cambria"/>
                <w:spacing w:val="-7"/>
                <w:sz w:val="20"/>
                <w:szCs w:val="20"/>
              </w:rPr>
              <w:t xml:space="preserve"> </w:t>
            </w:r>
            <w:r w:rsidRPr="00C67422">
              <w:rPr>
                <w:rFonts w:ascii="Cambria" w:hAnsi="Cambria"/>
                <w:sz w:val="20"/>
                <w:szCs w:val="20"/>
              </w:rPr>
              <w:t>two or more lines of systemic therapy.</w:t>
            </w:r>
          </w:p>
        </w:tc>
        <w:tc>
          <w:tcPr>
            <w:tcW w:w="2835" w:type="dxa"/>
          </w:tcPr>
          <w:p w14:paraId="1FBC9358" w14:textId="77777777" w:rsidR="00380CD4" w:rsidRPr="00C67422" w:rsidRDefault="00380CD4" w:rsidP="00D36C84">
            <w:pPr>
              <w:pStyle w:val="TableParagraph"/>
              <w:spacing w:before="38"/>
              <w:ind w:left="139" w:right="142"/>
              <w:rPr>
                <w:rFonts w:ascii="Cambria" w:hAnsi="Cambria"/>
                <w:b/>
                <w:sz w:val="20"/>
                <w:szCs w:val="20"/>
              </w:rPr>
            </w:pPr>
            <w:r w:rsidRPr="00C67422">
              <w:rPr>
                <w:rFonts w:ascii="Cambria" w:hAnsi="Cambria"/>
                <w:b/>
                <w:sz w:val="20"/>
                <w:szCs w:val="20"/>
              </w:rPr>
              <w:lastRenderedPageBreak/>
              <w:t>Review</w:t>
            </w:r>
            <w:r w:rsidRPr="00C67422">
              <w:rPr>
                <w:rFonts w:ascii="Cambria" w:hAnsi="Cambria"/>
                <w:b/>
                <w:spacing w:val="-9"/>
                <w:sz w:val="20"/>
                <w:szCs w:val="20"/>
              </w:rPr>
              <w:t xml:space="preserve"> </w:t>
            </w:r>
            <w:r w:rsidRPr="00C67422">
              <w:rPr>
                <w:rFonts w:ascii="Cambria" w:hAnsi="Cambria"/>
                <w:b/>
                <w:sz w:val="20"/>
                <w:szCs w:val="20"/>
              </w:rPr>
              <w:t>Pathway</w:t>
            </w:r>
            <w:r w:rsidRPr="00C67422">
              <w:rPr>
                <w:rFonts w:ascii="Cambria" w:hAnsi="Cambria"/>
                <w:sz w:val="20"/>
                <w:szCs w:val="20"/>
              </w:rPr>
              <w:t>:</w:t>
            </w:r>
            <w:r w:rsidRPr="00C67422">
              <w:rPr>
                <w:rFonts w:ascii="Cambria" w:hAnsi="Cambria"/>
                <w:spacing w:val="-9"/>
                <w:sz w:val="20"/>
                <w:szCs w:val="20"/>
              </w:rPr>
              <w:t xml:space="preserve"> </w:t>
            </w:r>
            <w:r w:rsidRPr="00C67422">
              <w:rPr>
                <w:rFonts w:ascii="Cambria" w:hAnsi="Cambria"/>
                <w:sz w:val="20"/>
                <w:szCs w:val="20"/>
              </w:rPr>
              <w:t>Priority</w:t>
            </w:r>
            <w:r w:rsidRPr="00C67422">
              <w:rPr>
                <w:rFonts w:ascii="Cambria" w:hAnsi="Cambria"/>
                <w:spacing w:val="-7"/>
                <w:sz w:val="20"/>
                <w:szCs w:val="20"/>
              </w:rPr>
              <w:t xml:space="preserve"> </w:t>
            </w:r>
            <w:r w:rsidRPr="00C67422">
              <w:rPr>
                <w:rFonts w:ascii="Cambria" w:hAnsi="Cambria"/>
                <w:spacing w:val="-2"/>
                <w:sz w:val="20"/>
                <w:szCs w:val="20"/>
              </w:rPr>
              <w:t>Review</w:t>
            </w:r>
          </w:p>
        </w:tc>
      </w:tr>
      <w:tr w:rsidR="00380CD4" w:rsidRPr="00C67422" w14:paraId="2B395311" w14:textId="77777777" w:rsidTr="009C7E5A">
        <w:trPr>
          <w:trHeight w:val="2043"/>
        </w:trPr>
        <w:tc>
          <w:tcPr>
            <w:tcW w:w="1119" w:type="dxa"/>
          </w:tcPr>
          <w:p w14:paraId="1C0D063E" w14:textId="77777777" w:rsidR="00380CD4" w:rsidRPr="00C67422" w:rsidRDefault="00380CD4" w:rsidP="00DC7677">
            <w:pPr>
              <w:pStyle w:val="TableParagraph"/>
              <w:spacing w:before="38"/>
              <w:ind w:left="57"/>
              <w:rPr>
                <w:rFonts w:ascii="Cambria" w:hAnsi="Cambria"/>
                <w:spacing w:val="-2"/>
                <w:sz w:val="20"/>
                <w:szCs w:val="20"/>
              </w:rPr>
            </w:pPr>
            <w:r w:rsidRPr="00C67422">
              <w:rPr>
                <w:rFonts w:ascii="Cambria" w:hAnsi="Cambria"/>
                <w:spacing w:val="-2"/>
                <w:sz w:val="20"/>
                <w:szCs w:val="20"/>
              </w:rPr>
              <w:t>Brazil</w:t>
            </w:r>
          </w:p>
        </w:tc>
        <w:tc>
          <w:tcPr>
            <w:tcW w:w="993" w:type="dxa"/>
          </w:tcPr>
          <w:p w14:paraId="3AB543FA" w14:textId="77777777" w:rsidR="00380CD4" w:rsidRPr="00C67422" w:rsidRDefault="00380CD4" w:rsidP="00DC7677">
            <w:pPr>
              <w:pStyle w:val="TableParagraph"/>
              <w:spacing w:before="38" w:line="252" w:lineRule="auto"/>
              <w:rPr>
                <w:rFonts w:ascii="Cambria" w:hAnsi="Cambria"/>
                <w:sz w:val="20"/>
                <w:szCs w:val="20"/>
              </w:rPr>
            </w:pPr>
            <w:r w:rsidRPr="00C67422">
              <w:rPr>
                <w:rFonts w:ascii="Cambria" w:hAnsi="Cambria"/>
                <w:spacing w:val="-4"/>
                <w:sz w:val="20"/>
                <w:szCs w:val="20"/>
              </w:rPr>
              <w:t>Sobi</w:t>
            </w:r>
          </w:p>
        </w:tc>
        <w:tc>
          <w:tcPr>
            <w:tcW w:w="1134" w:type="dxa"/>
          </w:tcPr>
          <w:p w14:paraId="56FDA449" w14:textId="77777777" w:rsidR="00380CD4" w:rsidRPr="00C67422" w:rsidRDefault="00380CD4" w:rsidP="00DC7677">
            <w:pPr>
              <w:pStyle w:val="TableParagraph"/>
              <w:spacing w:before="38"/>
              <w:rPr>
                <w:rFonts w:ascii="Cambria" w:hAnsi="Cambria"/>
                <w:spacing w:val="-2"/>
                <w:sz w:val="20"/>
                <w:szCs w:val="20"/>
              </w:rPr>
            </w:pPr>
            <w:r w:rsidRPr="00C67422">
              <w:rPr>
                <w:rFonts w:ascii="Cambria" w:hAnsi="Cambria"/>
                <w:spacing w:val="-2"/>
                <w:sz w:val="20"/>
                <w:szCs w:val="20"/>
              </w:rPr>
              <w:t>21-Dec-</w:t>
            </w:r>
            <w:r w:rsidRPr="00C67422">
              <w:rPr>
                <w:rFonts w:ascii="Cambria" w:hAnsi="Cambria"/>
                <w:spacing w:val="-4"/>
                <w:sz w:val="20"/>
                <w:szCs w:val="20"/>
              </w:rPr>
              <w:t>2023</w:t>
            </w:r>
          </w:p>
        </w:tc>
        <w:tc>
          <w:tcPr>
            <w:tcW w:w="1134" w:type="dxa"/>
          </w:tcPr>
          <w:p w14:paraId="5B9475E2" w14:textId="77777777" w:rsidR="00380CD4" w:rsidRPr="00C67422" w:rsidRDefault="00380CD4" w:rsidP="00DC7677">
            <w:pPr>
              <w:pStyle w:val="TableParagraph"/>
              <w:ind w:left="55" w:right="-3"/>
              <w:rPr>
                <w:rFonts w:ascii="Cambria" w:hAnsi="Cambria"/>
                <w:spacing w:val="-2"/>
                <w:sz w:val="20"/>
                <w:szCs w:val="20"/>
              </w:rPr>
            </w:pPr>
            <w:r w:rsidRPr="00C67422">
              <w:rPr>
                <w:rFonts w:ascii="Cambria" w:hAnsi="Cambria"/>
                <w:spacing w:val="-2"/>
                <w:sz w:val="20"/>
                <w:szCs w:val="20"/>
              </w:rPr>
              <w:t>Ongoing</w:t>
            </w:r>
          </w:p>
        </w:tc>
        <w:tc>
          <w:tcPr>
            <w:tcW w:w="1984" w:type="dxa"/>
          </w:tcPr>
          <w:p w14:paraId="697B587C" w14:textId="4732F603" w:rsidR="00380CD4" w:rsidRPr="00C67422" w:rsidRDefault="00380CD4" w:rsidP="00D36C84">
            <w:pPr>
              <w:pStyle w:val="TableParagraph"/>
              <w:ind w:left="54" w:right="141"/>
              <w:rPr>
                <w:rFonts w:ascii="Cambria" w:hAnsi="Cambria"/>
                <w:sz w:val="20"/>
                <w:szCs w:val="20"/>
              </w:rPr>
            </w:pPr>
            <w:r w:rsidRPr="00C67422">
              <w:rPr>
                <w:rFonts w:ascii="Cambria" w:hAnsi="Cambria"/>
                <w:b/>
                <w:sz w:val="20"/>
                <w:szCs w:val="20"/>
              </w:rPr>
              <w:t>Proposed</w:t>
            </w:r>
            <w:r w:rsidRPr="00C67422">
              <w:rPr>
                <w:rFonts w:ascii="Cambria" w:hAnsi="Cambria"/>
                <w:sz w:val="20"/>
                <w:szCs w:val="20"/>
              </w:rPr>
              <w:t xml:space="preserve">: </w:t>
            </w:r>
            <w:r w:rsidR="0036009D">
              <w:rPr>
                <w:rFonts w:ascii="Cambria" w:hAnsi="Cambria"/>
                <w:sz w:val="20"/>
                <w:szCs w:val="20"/>
              </w:rPr>
              <w:t>Zynlonta</w:t>
            </w:r>
            <w:r w:rsidRPr="00C67422">
              <w:rPr>
                <w:rFonts w:ascii="Cambria" w:hAnsi="Cambria"/>
                <w:sz w:val="20"/>
                <w:szCs w:val="20"/>
              </w:rPr>
              <w:t xml:space="preserve"> as monotherapy is indicated for the treatment of adult patients with relapsed or refractory diffuse large B-cell lymphoma (DLBCL) and</w:t>
            </w:r>
            <w:r w:rsidRPr="00C67422">
              <w:rPr>
                <w:rFonts w:ascii="Cambria" w:hAnsi="Cambria"/>
                <w:spacing w:val="-7"/>
                <w:sz w:val="20"/>
                <w:szCs w:val="20"/>
              </w:rPr>
              <w:t xml:space="preserve"> </w:t>
            </w:r>
            <w:r w:rsidRPr="00C67422">
              <w:rPr>
                <w:rFonts w:ascii="Cambria" w:hAnsi="Cambria"/>
                <w:sz w:val="20"/>
                <w:szCs w:val="20"/>
              </w:rPr>
              <w:t>high-grade</w:t>
            </w:r>
            <w:r w:rsidRPr="00C67422">
              <w:rPr>
                <w:rFonts w:ascii="Cambria" w:hAnsi="Cambria"/>
                <w:spacing w:val="-7"/>
                <w:sz w:val="20"/>
                <w:szCs w:val="20"/>
              </w:rPr>
              <w:t xml:space="preserve"> </w:t>
            </w:r>
            <w:r w:rsidRPr="00C67422">
              <w:rPr>
                <w:rFonts w:ascii="Cambria" w:hAnsi="Cambria"/>
                <w:sz w:val="20"/>
                <w:szCs w:val="20"/>
              </w:rPr>
              <w:t>B-cell</w:t>
            </w:r>
            <w:r w:rsidRPr="00C67422">
              <w:rPr>
                <w:rFonts w:ascii="Cambria" w:hAnsi="Cambria"/>
                <w:spacing w:val="-8"/>
                <w:sz w:val="20"/>
                <w:szCs w:val="20"/>
              </w:rPr>
              <w:t xml:space="preserve"> </w:t>
            </w:r>
            <w:r w:rsidRPr="00C67422">
              <w:rPr>
                <w:rFonts w:ascii="Cambria" w:hAnsi="Cambria"/>
                <w:sz w:val="20"/>
                <w:szCs w:val="20"/>
              </w:rPr>
              <w:t>lymphoma</w:t>
            </w:r>
            <w:r w:rsidRPr="00C67422">
              <w:rPr>
                <w:rFonts w:ascii="Cambria" w:hAnsi="Cambria"/>
                <w:spacing w:val="-7"/>
                <w:sz w:val="20"/>
                <w:szCs w:val="20"/>
              </w:rPr>
              <w:t xml:space="preserve"> </w:t>
            </w:r>
            <w:r w:rsidRPr="00C67422">
              <w:rPr>
                <w:rFonts w:ascii="Cambria" w:hAnsi="Cambria"/>
                <w:sz w:val="20"/>
                <w:szCs w:val="20"/>
              </w:rPr>
              <w:t>(HGBL),</w:t>
            </w:r>
            <w:r w:rsidRPr="00C67422">
              <w:rPr>
                <w:rFonts w:ascii="Cambria" w:hAnsi="Cambria"/>
                <w:spacing w:val="-6"/>
                <w:sz w:val="20"/>
                <w:szCs w:val="20"/>
              </w:rPr>
              <w:t xml:space="preserve"> </w:t>
            </w:r>
            <w:r w:rsidRPr="00C67422">
              <w:rPr>
                <w:rFonts w:ascii="Cambria" w:hAnsi="Cambria"/>
                <w:sz w:val="20"/>
                <w:szCs w:val="20"/>
              </w:rPr>
              <w:t>after</w:t>
            </w:r>
            <w:r w:rsidRPr="00C67422">
              <w:rPr>
                <w:rFonts w:ascii="Cambria" w:hAnsi="Cambria"/>
                <w:spacing w:val="-7"/>
                <w:sz w:val="20"/>
                <w:szCs w:val="20"/>
              </w:rPr>
              <w:t xml:space="preserve"> </w:t>
            </w:r>
            <w:r w:rsidRPr="00C67422">
              <w:rPr>
                <w:rFonts w:ascii="Cambria" w:hAnsi="Cambria"/>
                <w:sz w:val="20"/>
                <w:szCs w:val="20"/>
              </w:rPr>
              <w:t>two or more lines of systemic therapy.</w:t>
            </w:r>
          </w:p>
        </w:tc>
        <w:tc>
          <w:tcPr>
            <w:tcW w:w="2835" w:type="dxa"/>
          </w:tcPr>
          <w:p w14:paraId="3BFE70C7" w14:textId="77777777" w:rsidR="00380CD4" w:rsidRPr="00C67422" w:rsidRDefault="00380CD4" w:rsidP="00D36C84">
            <w:pPr>
              <w:pStyle w:val="TableParagraph"/>
              <w:spacing w:before="38"/>
              <w:ind w:left="139" w:right="142"/>
              <w:rPr>
                <w:rFonts w:ascii="Cambria" w:hAnsi="Cambria"/>
                <w:b/>
                <w:sz w:val="20"/>
                <w:szCs w:val="20"/>
              </w:rPr>
            </w:pPr>
            <w:r w:rsidRPr="00C67422">
              <w:rPr>
                <w:rFonts w:ascii="Cambria" w:hAnsi="Cambria"/>
                <w:b/>
                <w:sz w:val="20"/>
                <w:szCs w:val="20"/>
              </w:rPr>
              <w:t>Review</w:t>
            </w:r>
            <w:r w:rsidRPr="00C67422">
              <w:rPr>
                <w:rFonts w:ascii="Cambria" w:hAnsi="Cambria"/>
                <w:b/>
                <w:spacing w:val="-10"/>
                <w:sz w:val="20"/>
                <w:szCs w:val="20"/>
              </w:rPr>
              <w:t xml:space="preserve"> </w:t>
            </w:r>
            <w:r w:rsidRPr="00C67422">
              <w:rPr>
                <w:rFonts w:ascii="Cambria" w:hAnsi="Cambria"/>
                <w:b/>
                <w:sz w:val="20"/>
                <w:szCs w:val="20"/>
              </w:rPr>
              <w:t>pathway</w:t>
            </w:r>
            <w:r w:rsidRPr="00C67422">
              <w:rPr>
                <w:rFonts w:ascii="Cambria" w:hAnsi="Cambria"/>
                <w:sz w:val="20"/>
                <w:szCs w:val="20"/>
              </w:rPr>
              <w:t>:</w:t>
            </w:r>
            <w:r w:rsidRPr="00C67422">
              <w:rPr>
                <w:rFonts w:ascii="Cambria" w:hAnsi="Cambria"/>
                <w:spacing w:val="-10"/>
                <w:sz w:val="20"/>
                <w:szCs w:val="20"/>
              </w:rPr>
              <w:t xml:space="preserve"> </w:t>
            </w:r>
            <w:r w:rsidRPr="00C67422">
              <w:rPr>
                <w:rFonts w:ascii="Cambria" w:hAnsi="Cambria"/>
                <w:sz w:val="20"/>
                <w:szCs w:val="20"/>
              </w:rPr>
              <w:t>RDC</w:t>
            </w:r>
            <w:r w:rsidRPr="00C67422">
              <w:rPr>
                <w:rFonts w:ascii="Cambria" w:hAnsi="Cambria"/>
                <w:spacing w:val="-11"/>
                <w:sz w:val="20"/>
                <w:szCs w:val="20"/>
              </w:rPr>
              <w:t xml:space="preserve"> </w:t>
            </w:r>
            <w:r w:rsidRPr="00C67422">
              <w:rPr>
                <w:rFonts w:ascii="Cambria" w:hAnsi="Cambria"/>
                <w:sz w:val="20"/>
                <w:szCs w:val="20"/>
              </w:rPr>
              <w:t>205/2017</w:t>
            </w:r>
            <w:r w:rsidRPr="00C67422">
              <w:rPr>
                <w:rFonts w:ascii="Cambria" w:hAnsi="Cambria"/>
                <w:spacing w:val="-10"/>
                <w:sz w:val="20"/>
                <w:szCs w:val="20"/>
              </w:rPr>
              <w:t xml:space="preserve"> </w:t>
            </w:r>
            <w:r w:rsidRPr="00C67422">
              <w:rPr>
                <w:rFonts w:ascii="Cambria" w:hAnsi="Cambria"/>
                <w:sz w:val="20"/>
                <w:szCs w:val="20"/>
              </w:rPr>
              <w:t>rare disease pathway</w:t>
            </w:r>
          </w:p>
        </w:tc>
      </w:tr>
      <w:tr w:rsidR="00380CD4" w:rsidRPr="00C67422" w14:paraId="2B5C68AD" w14:textId="77777777" w:rsidTr="009C7E5A">
        <w:tc>
          <w:tcPr>
            <w:tcW w:w="1119" w:type="dxa"/>
          </w:tcPr>
          <w:p w14:paraId="513485AC" w14:textId="77777777" w:rsidR="00380CD4" w:rsidRPr="00C67422" w:rsidRDefault="00380CD4" w:rsidP="00DC7677">
            <w:pPr>
              <w:pStyle w:val="TableParagraph"/>
              <w:spacing w:before="38"/>
              <w:ind w:left="57"/>
              <w:rPr>
                <w:rFonts w:ascii="Cambria" w:hAnsi="Cambria"/>
                <w:spacing w:val="-2"/>
                <w:sz w:val="20"/>
                <w:szCs w:val="20"/>
              </w:rPr>
            </w:pPr>
            <w:r w:rsidRPr="00C67422">
              <w:rPr>
                <w:rFonts w:ascii="Cambria" w:hAnsi="Cambria"/>
                <w:spacing w:val="-2"/>
                <w:sz w:val="20"/>
                <w:szCs w:val="20"/>
              </w:rPr>
              <w:t>Switzerland</w:t>
            </w:r>
          </w:p>
        </w:tc>
        <w:tc>
          <w:tcPr>
            <w:tcW w:w="993" w:type="dxa"/>
          </w:tcPr>
          <w:p w14:paraId="66F8F0CC" w14:textId="77777777" w:rsidR="00380CD4" w:rsidRPr="00C67422" w:rsidRDefault="00380CD4" w:rsidP="00DC7677">
            <w:pPr>
              <w:pStyle w:val="TableParagraph"/>
              <w:spacing w:before="38" w:line="252" w:lineRule="auto"/>
              <w:rPr>
                <w:rFonts w:ascii="Cambria" w:hAnsi="Cambria"/>
                <w:sz w:val="20"/>
                <w:szCs w:val="20"/>
              </w:rPr>
            </w:pPr>
            <w:r w:rsidRPr="00C67422">
              <w:rPr>
                <w:rFonts w:ascii="Cambria" w:hAnsi="Cambria"/>
                <w:spacing w:val="-4"/>
                <w:sz w:val="20"/>
                <w:szCs w:val="20"/>
              </w:rPr>
              <w:t>Sobi</w:t>
            </w:r>
          </w:p>
        </w:tc>
        <w:tc>
          <w:tcPr>
            <w:tcW w:w="1134" w:type="dxa"/>
          </w:tcPr>
          <w:p w14:paraId="773AAFBA" w14:textId="77777777" w:rsidR="00380CD4" w:rsidRPr="00C67422" w:rsidRDefault="00380CD4" w:rsidP="00DC7677">
            <w:pPr>
              <w:pStyle w:val="TableParagraph"/>
              <w:spacing w:before="38"/>
              <w:rPr>
                <w:rFonts w:ascii="Cambria" w:hAnsi="Cambria"/>
                <w:spacing w:val="-2"/>
                <w:sz w:val="20"/>
                <w:szCs w:val="20"/>
              </w:rPr>
            </w:pPr>
            <w:r w:rsidRPr="00C67422">
              <w:rPr>
                <w:rFonts w:ascii="Cambria" w:hAnsi="Cambria"/>
                <w:spacing w:val="-2"/>
                <w:sz w:val="20"/>
                <w:szCs w:val="20"/>
              </w:rPr>
              <w:t>3-July-</w:t>
            </w:r>
            <w:r w:rsidRPr="00C67422">
              <w:rPr>
                <w:rFonts w:ascii="Cambria" w:hAnsi="Cambria"/>
                <w:spacing w:val="-4"/>
                <w:sz w:val="20"/>
                <w:szCs w:val="20"/>
              </w:rPr>
              <w:t>2023</w:t>
            </w:r>
          </w:p>
        </w:tc>
        <w:tc>
          <w:tcPr>
            <w:tcW w:w="1134" w:type="dxa"/>
          </w:tcPr>
          <w:p w14:paraId="217468CF" w14:textId="77777777" w:rsidR="00380CD4" w:rsidRPr="00C67422" w:rsidRDefault="00380CD4" w:rsidP="00DC7677">
            <w:pPr>
              <w:pStyle w:val="TableParagraph"/>
              <w:ind w:left="55" w:right="-3"/>
              <w:rPr>
                <w:rFonts w:ascii="Cambria" w:hAnsi="Cambria"/>
                <w:spacing w:val="-2"/>
                <w:sz w:val="20"/>
                <w:szCs w:val="20"/>
              </w:rPr>
            </w:pPr>
            <w:r w:rsidRPr="00C67422">
              <w:rPr>
                <w:rFonts w:ascii="Cambria" w:hAnsi="Cambria"/>
                <w:sz w:val="20"/>
                <w:szCs w:val="20"/>
              </w:rPr>
              <w:t>MAA</w:t>
            </w:r>
            <w:r w:rsidRPr="00C67422">
              <w:rPr>
                <w:rFonts w:ascii="Cambria" w:hAnsi="Cambria"/>
                <w:spacing w:val="-14"/>
                <w:sz w:val="20"/>
                <w:szCs w:val="20"/>
              </w:rPr>
              <w:t xml:space="preserve"> </w:t>
            </w:r>
            <w:r w:rsidRPr="00C67422">
              <w:rPr>
                <w:rFonts w:ascii="Cambria" w:hAnsi="Cambria"/>
                <w:sz w:val="20"/>
                <w:szCs w:val="20"/>
              </w:rPr>
              <w:t>withdrawal 16 May 2024</w:t>
            </w:r>
          </w:p>
        </w:tc>
        <w:tc>
          <w:tcPr>
            <w:tcW w:w="1984" w:type="dxa"/>
          </w:tcPr>
          <w:p w14:paraId="09E598F5" w14:textId="78B1E0D8" w:rsidR="00380CD4" w:rsidRPr="00C67422" w:rsidRDefault="00380CD4" w:rsidP="00D36C84">
            <w:pPr>
              <w:pStyle w:val="TableParagraph"/>
              <w:ind w:left="54" w:right="141"/>
              <w:rPr>
                <w:rFonts w:ascii="Cambria" w:hAnsi="Cambria"/>
                <w:sz w:val="20"/>
                <w:szCs w:val="20"/>
              </w:rPr>
            </w:pPr>
            <w:r w:rsidRPr="00C67422">
              <w:rPr>
                <w:rFonts w:ascii="Cambria" w:hAnsi="Cambria"/>
                <w:b/>
                <w:sz w:val="20"/>
                <w:szCs w:val="20"/>
              </w:rPr>
              <w:t>Proposed</w:t>
            </w:r>
            <w:r w:rsidRPr="00C67422">
              <w:rPr>
                <w:rFonts w:ascii="Cambria" w:hAnsi="Cambria"/>
                <w:sz w:val="20"/>
                <w:szCs w:val="20"/>
              </w:rPr>
              <w:t xml:space="preserve">: </w:t>
            </w:r>
            <w:r w:rsidR="0036009D">
              <w:rPr>
                <w:rFonts w:ascii="Cambria" w:hAnsi="Cambria"/>
                <w:sz w:val="20"/>
                <w:szCs w:val="20"/>
              </w:rPr>
              <w:t>Zynlonta</w:t>
            </w:r>
            <w:r w:rsidRPr="00C67422">
              <w:rPr>
                <w:rFonts w:ascii="Cambria" w:hAnsi="Cambria"/>
                <w:sz w:val="20"/>
                <w:szCs w:val="20"/>
              </w:rPr>
              <w:t xml:space="preserve"> is indicated for the treatment of</w:t>
            </w:r>
            <w:r w:rsidRPr="00C67422">
              <w:rPr>
                <w:rFonts w:ascii="Cambria" w:hAnsi="Cambria"/>
                <w:spacing w:val="-6"/>
                <w:sz w:val="20"/>
                <w:szCs w:val="20"/>
              </w:rPr>
              <w:t xml:space="preserve"> </w:t>
            </w:r>
            <w:r w:rsidRPr="00C67422">
              <w:rPr>
                <w:rFonts w:ascii="Cambria" w:hAnsi="Cambria"/>
                <w:sz w:val="20"/>
                <w:szCs w:val="20"/>
              </w:rPr>
              <w:t>adult</w:t>
            </w:r>
            <w:r w:rsidRPr="00C67422">
              <w:rPr>
                <w:rFonts w:ascii="Cambria" w:hAnsi="Cambria"/>
                <w:spacing w:val="-6"/>
                <w:sz w:val="20"/>
                <w:szCs w:val="20"/>
              </w:rPr>
              <w:t xml:space="preserve"> </w:t>
            </w:r>
            <w:r w:rsidRPr="00C67422">
              <w:rPr>
                <w:rFonts w:ascii="Cambria" w:hAnsi="Cambria"/>
                <w:sz w:val="20"/>
                <w:szCs w:val="20"/>
              </w:rPr>
              <w:t>patients</w:t>
            </w:r>
            <w:r w:rsidRPr="00C67422">
              <w:rPr>
                <w:rFonts w:ascii="Cambria" w:hAnsi="Cambria"/>
                <w:spacing w:val="-6"/>
                <w:sz w:val="20"/>
                <w:szCs w:val="20"/>
              </w:rPr>
              <w:t xml:space="preserve"> </w:t>
            </w:r>
            <w:r w:rsidRPr="00C67422">
              <w:rPr>
                <w:rFonts w:ascii="Cambria" w:hAnsi="Cambria"/>
                <w:sz w:val="20"/>
                <w:szCs w:val="20"/>
              </w:rPr>
              <w:t>with</w:t>
            </w:r>
            <w:r w:rsidRPr="00C67422">
              <w:rPr>
                <w:rFonts w:ascii="Cambria" w:hAnsi="Cambria"/>
                <w:spacing w:val="-6"/>
                <w:sz w:val="20"/>
                <w:szCs w:val="20"/>
              </w:rPr>
              <w:t xml:space="preserve"> </w:t>
            </w:r>
            <w:r w:rsidRPr="00C67422">
              <w:rPr>
                <w:rFonts w:ascii="Cambria" w:hAnsi="Cambria"/>
                <w:sz w:val="20"/>
                <w:szCs w:val="20"/>
              </w:rPr>
              <w:t>relapsed</w:t>
            </w:r>
            <w:r w:rsidRPr="00C67422">
              <w:rPr>
                <w:rFonts w:ascii="Cambria" w:hAnsi="Cambria"/>
                <w:spacing w:val="-6"/>
                <w:sz w:val="20"/>
                <w:szCs w:val="20"/>
              </w:rPr>
              <w:t xml:space="preserve"> </w:t>
            </w:r>
            <w:r w:rsidRPr="00C67422">
              <w:rPr>
                <w:rFonts w:ascii="Cambria" w:hAnsi="Cambria"/>
                <w:sz w:val="20"/>
                <w:szCs w:val="20"/>
              </w:rPr>
              <w:t>or</w:t>
            </w:r>
            <w:r w:rsidRPr="00C67422">
              <w:rPr>
                <w:rFonts w:ascii="Cambria" w:hAnsi="Cambria"/>
                <w:spacing w:val="-6"/>
                <w:sz w:val="20"/>
                <w:szCs w:val="20"/>
              </w:rPr>
              <w:t xml:space="preserve"> </w:t>
            </w:r>
            <w:r w:rsidRPr="00C67422">
              <w:rPr>
                <w:rFonts w:ascii="Cambria" w:hAnsi="Cambria"/>
                <w:sz w:val="20"/>
                <w:szCs w:val="20"/>
              </w:rPr>
              <w:t>refractory</w:t>
            </w:r>
            <w:r w:rsidRPr="00C67422">
              <w:rPr>
                <w:rFonts w:ascii="Cambria" w:hAnsi="Cambria"/>
                <w:spacing w:val="-7"/>
                <w:sz w:val="20"/>
                <w:szCs w:val="20"/>
              </w:rPr>
              <w:t xml:space="preserve"> </w:t>
            </w:r>
            <w:r w:rsidRPr="00C67422">
              <w:rPr>
                <w:rFonts w:ascii="Cambria" w:hAnsi="Cambria"/>
                <w:sz w:val="20"/>
                <w:szCs w:val="20"/>
              </w:rPr>
              <w:t>diffuse large B-cell lymphoma and high-grade B-cell lymphoma (HGBL), after two or more lines of systemic therapy.</w:t>
            </w:r>
          </w:p>
        </w:tc>
        <w:tc>
          <w:tcPr>
            <w:tcW w:w="2835" w:type="dxa"/>
          </w:tcPr>
          <w:p w14:paraId="4829949E" w14:textId="77777777" w:rsidR="00380CD4" w:rsidRPr="00C67422" w:rsidRDefault="00380CD4" w:rsidP="00D36C84">
            <w:pPr>
              <w:pStyle w:val="TableParagraph"/>
              <w:spacing w:before="38"/>
              <w:ind w:left="139" w:right="142"/>
              <w:rPr>
                <w:rFonts w:ascii="Cambria" w:hAnsi="Cambria"/>
                <w:sz w:val="20"/>
                <w:szCs w:val="20"/>
              </w:rPr>
            </w:pPr>
            <w:r w:rsidRPr="00C67422">
              <w:rPr>
                <w:rFonts w:ascii="Cambria" w:hAnsi="Cambria"/>
                <w:b/>
                <w:sz w:val="20"/>
                <w:szCs w:val="20"/>
              </w:rPr>
              <w:t>Review</w:t>
            </w:r>
            <w:r w:rsidRPr="00C67422">
              <w:rPr>
                <w:rFonts w:ascii="Cambria" w:hAnsi="Cambria"/>
                <w:b/>
                <w:spacing w:val="-9"/>
                <w:sz w:val="20"/>
                <w:szCs w:val="20"/>
              </w:rPr>
              <w:t xml:space="preserve"> </w:t>
            </w:r>
            <w:r w:rsidRPr="00C67422">
              <w:rPr>
                <w:rFonts w:ascii="Cambria" w:hAnsi="Cambria"/>
                <w:b/>
                <w:sz w:val="20"/>
                <w:szCs w:val="20"/>
              </w:rPr>
              <w:t>pathway</w:t>
            </w:r>
            <w:r w:rsidRPr="00C67422">
              <w:rPr>
                <w:rFonts w:ascii="Cambria" w:hAnsi="Cambria"/>
                <w:sz w:val="20"/>
                <w:szCs w:val="20"/>
              </w:rPr>
              <w:t>:</w:t>
            </w:r>
            <w:r w:rsidRPr="00C67422">
              <w:rPr>
                <w:rFonts w:ascii="Cambria" w:hAnsi="Cambria"/>
                <w:spacing w:val="-8"/>
                <w:sz w:val="20"/>
                <w:szCs w:val="20"/>
              </w:rPr>
              <w:t xml:space="preserve"> </w:t>
            </w:r>
            <w:r w:rsidRPr="00C67422">
              <w:rPr>
                <w:rFonts w:ascii="Cambria" w:hAnsi="Cambria"/>
                <w:spacing w:val="-2"/>
                <w:sz w:val="20"/>
                <w:szCs w:val="20"/>
              </w:rPr>
              <w:t>Standard.</w:t>
            </w:r>
          </w:p>
          <w:p w14:paraId="7E375247" w14:textId="77777777" w:rsidR="00380CD4" w:rsidRPr="00C67422" w:rsidRDefault="00380CD4" w:rsidP="00D36C84">
            <w:pPr>
              <w:pStyle w:val="TableParagraph"/>
              <w:spacing w:before="38"/>
              <w:ind w:left="139" w:right="142"/>
              <w:rPr>
                <w:rFonts w:ascii="Cambria" w:hAnsi="Cambria"/>
                <w:b/>
                <w:sz w:val="20"/>
                <w:szCs w:val="20"/>
              </w:rPr>
            </w:pPr>
            <w:r w:rsidRPr="00C67422">
              <w:rPr>
                <w:rFonts w:ascii="Cambria" w:hAnsi="Cambria"/>
                <w:sz w:val="20"/>
                <w:szCs w:val="20"/>
              </w:rPr>
              <w:t>Applicant decision to withdraw since the following</w:t>
            </w:r>
            <w:r w:rsidRPr="00C67422">
              <w:rPr>
                <w:rFonts w:ascii="Cambria" w:hAnsi="Cambria"/>
                <w:spacing w:val="-8"/>
                <w:sz w:val="20"/>
                <w:szCs w:val="20"/>
              </w:rPr>
              <w:t xml:space="preserve"> </w:t>
            </w:r>
            <w:r w:rsidRPr="00C67422">
              <w:rPr>
                <w:rFonts w:ascii="Cambria" w:hAnsi="Cambria"/>
                <w:sz w:val="20"/>
                <w:szCs w:val="20"/>
              </w:rPr>
              <w:t>feedback</w:t>
            </w:r>
            <w:r w:rsidRPr="00C67422">
              <w:rPr>
                <w:rFonts w:ascii="Cambria" w:hAnsi="Cambria"/>
                <w:spacing w:val="-8"/>
                <w:sz w:val="20"/>
                <w:szCs w:val="20"/>
              </w:rPr>
              <w:t xml:space="preserve"> </w:t>
            </w:r>
            <w:r w:rsidRPr="00C67422">
              <w:rPr>
                <w:rFonts w:ascii="Cambria" w:hAnsi="Cambria"/>
                <w:sz w:val="20"/>
                <w:szCs w:val="20"/>
              </w:rPr>
              <w:t>from</w:t>
            </w:r>
            <w:r w:rsidRPr="00C67422">
              <w:rPr>
                <w:rFonts w:ascii="Cambria" w:hAnsi="Cambria"/>
                <w:spacing w:val="-8"/>
                <w:sz w:val="20"/>
                <w:szCs w:val="20"/>
              </w:rPr>
              <w:t xml:space="preserve"> </w:t>
            </w:r>
            <w:r w:rsidRPr="00C67422">
              <w:rPr>
                <w:rFonts w:ascii="Cambria" w:hAnsi="Cambria"/>
                <w:sz w:val="20"/>
                <w:szCs w:val="20"/>
              </w:rPr>
              <w:t>the</w:t>
            </w:r>
            <w:r w:rsidRPr="00C67422">
              <w:rPr>
                <w:rFonts w:ascii="Cambria" w:hAnsi="Cambria"/>
                <w:spacing w:val="-8"/>
                <w:sz w:val="20"/>
                <w:szCs w:val="20"/>
              </w:rPr>
              <w:t xml:space="preserve"> </w:t>
            </w:r>
            <w:r w:rsidRPr="00C67422">
              <w:rPr>
                <w:rFonts w:ascii="Cambria" w:hAnsi="Cambria"/>
                <w:sz w:val="20"/>
                <w:szCs w:val="20"/>
              </w:rPr>
              <w:t>Swiss</w:t>
            </w:r>
            <w:r w:rsidRPr="00C67422">
              <w:rPr>
                <w:rFonts w:ascii="Cambria" w:hAnsi="Cambria"/>
                <w:spacing w:val="-8"/>
                <w:sz w:val="20"/>
                <w:szCs w:val="20"/>
              </w:rPr>
              <w:t xml:space="preserve"> </w:t>
            </w:r>
            <w:r w:rsidRPr="00C67422">
              <w:rPr>
                <w:rFonts w:ascii="Cambria" w:hAnsi="Cambria"/>
                <w:sz w:val="20"/>
                <w:szCs w:val="20"/>
              </w:rPr>
              <w:t xml:space="preserve">Agency was received: the pivotal single-arm, open-label LOTIS-2 study design is not sufficient to support a standard </w:t>
            </w:r>
            <w:proofErr w:type="spellStart"/>
            <w:r w:rsidRPr="00C67422">
              <w:rPr>
                <w:rFonts w:ascii="Cambria" w:hAnsi="Cambria"/>
                <w:sz w:val="20"/>
                <w:szCs w:val="20"/>
              </w:rPr>
              <w:t>authorisation</w:t>
            </w:r>
            <w:proofErr w:type="spellEnd"/>
            <w:r w:rsidRPr="00C67422">
              <w:rPr>
                <w:rFonts w:ascii="Cambria" w:hAnsi="Cambria"/>
                <w:sz w:val="20"/>
                <w:szCs w:val="20"/>
              </w:rPr>
              <w:t xml:space="preserve"> in the proposed indication.</w:t>
            </w:r>
          </w:p>
        </w:tc>
      </w:tr>
      <w:tr w:rsidR="00380CD4" w:rsidRPr="00C67422" w14:paraId="739DEEC8" w14:textId="77777777" w:rsidTr="009C7E5A">
        <w:tc>
          <w:tcPr>
            <w:tcW w:w="1119" w:type="dxa"/>
          </w:tcPr>
          <w:p w14:paraId="13288A7E" w14:textId="77777777" w:rsidR="00380CD4" w:rsidRPr="00C67422" w:rsidRDefault="00380CD4" w:rsidP="00DC7677">
            <w:pPr>
              <w:pStyle w:val="TableParagraph"/>
              <w:spacing w:before="38"/>
              <w:ind w:left="57"/>
              <w:rPr>
                <w:rFonts w:ascii="Cambria" w:hAnsi="Cambria"/>
                <w:spacing w:val="-2"/>
                <w:sz w:val="20"/>
                <w:szCs w:val="20"/>
              </w:rPr>
            </w:pPr>
            <w:r w:rsidRPr="00C67422">
              <w:rPr>
                <w:rFonts w:ascii="Cambria" w:hAnsi="Cambria"/>
                <w:spacing w:val="-2"/>
                <w:sz w:val="20"/>
                <w:szCs w:val="20"/>
              </w:rPr>
              <w:t>China</w:t>
            </w:r>
          </w:p>
        </w:tc>
        <w:tc>
          <w:tcPr>
            <w:tcW w:w="993" w:type="dxa"/>
          </w:tcPr>
          <w:p w14:paraId="1555CEDB" w14:textId="43D1F8E5" w:rsidR="00380CD4" w:rsidRPr="00C67422" w:rsidRDefault="00380CD4" w:rsidP="00DC7677">
            <w:pPr>
              <w:pStyle w:val="TableParagraph"/>
              <w:spacing w:before="38" w:line="252" w:lineRule="auto"/>
              <w:rPr>
                <w:rFonts w:ascii="Cambria" w:hAnsi="Cambria"/>
                <w:sz w:val="20"/>
                <w:szCs w:val="20"/>
              </w:rPr>
            </w:pPr>
            <w:r w:rsidRPr="00C67422">
              <w:rPr>
                <w:rFonts w:ascii="Cambria" w:hAnsi="Cambria"/>
                <w:sz w:val="20"/>
                <w:szCs w:val="20"/>
              </w:rPr>
              <w:t>Overland</w:t>
            </w:r>
            <w:r w:rsidRPr="00C67422">
              <w:rPr>
                <w:rFonts w:ascii="Cambria" w:hAnsi="Cambria"/>
                <w:spacing w:val="-14"/>
                <w:sz w:val="20"/>
                <w:szCs w:val="20"/>
              </w:rPr>
              <w:t xml:space="preserve"> </w:t>
            </w:r>
            <w:r w:rsidRPr="00C67422">
              <w:rPr>
                <w:rFonts w:ascii="Cambria" w:hAnsi="Cambria"/>
                <w:sz w:val="20"/>
                <w:szCs w:val="20"/>
              </w:rPr>
              <w:t xml:space="preserve">ADCT </w:t>
            </w:r>
            <w:r w:rsidR="00214787" w:rsidRPr="00C67422">
              <w:rPr>
                <w:rFonts w:ascii="Cambria" w:hAnsi="Cambria"/>
                <w:spacing w:val="-2"/>
                <w:sz w:val="20"/>
                <w:szCs w:val="20"/>
              </w:rPr>
              <w:t>BioPharma</w:t>
            </w:r>
          </w:p>
        </w:tc>
        <w:tc>
          <w:tcPr>
            <w:tcW w:w="1134" w:type="dxa"/>
          </w:tcPr>
          <w:p w14:paraId="17ED5B30" w14:textId="77777777" w:rsidR="00380CD4" w:rsidRPr="00C67422" w:rsidRDefault="00380CD4" w:rsidP="00DC7677">
            <w:pPr>
              <w:pStyle w:val="TableParagraph"/>
              <w:spacing w:before="38"/>
              <w:rPr>
                <w:rFonts w:ascii="Cambria" w:hAnsi="Cambria"/>
                <w:spacing w:val="-2"/>
                <w:sz w:val="20"/>
                <w:szCs w:val="20"/>
              </w:rPr>
            </w:pPr>
            <w:r w:rsidRPr="00C67422">
              <w:rPr>
                <w:rFonts w:ascii="Cambria" w:hAnsi="Cambria"/>
                <w:spacing w:val="-2"/>
                <w:sz w:val="20"/>
                <w:szCs w:val="20"/>
              </w:rPr>
              <w:t>2-July-</w:t>
            </w:r>
            <w:r w:rsidRPr="00C67422">
              <w:rPr>
                <w:rFonts w:ascii="Cambria" w:hAnsi="Cambria"/>
                <w:spacing w:val="-4"/>
                <w:sz w:val="20"/>
                <w:szCs w:val="20"/>
              </w:rPr>
              <w:t>2023</w:t>
            </w:r>
          </w:p>
        </w:tc>
        <w:tc>
          <w:tcPr>
            <w:tcW w:w="1134" w:type="dxa"/>
          </w:tcPr>
          <w:p w14:paraId="07CFF9B0" w14:textId="77777777" w:rsidR="00380CD4" w:rsidRPr="00C67422" w:rsidRDefault="00380CD4" w:rsidP="00DC7677">
            <w:pPr>
              <w:pStyle w:val="TableParagraph"/>
              <w:ind w:left="55" w:right="-3"/>
              <w:rPr>
                <w:rFonts w:ascii="Cambria" w:hAnsi="Cambria"/>
                <w:spacing w:val="-2"/>
                <w:sz w:val="20"/>
                <w:szCs w:val="20"/>
              </w:rPr>
            </w:pPr>
            <w:r w:rsidRPr="00C67422">
              <w:rPr>
                <w:rFonts w:ascii="Cambria" w:hAnsi="Cambria"/>
                <w:sz w:val="20"/>
                <w:szCs w:val="20"/>
              </w:rPr>
              <w:t>10</w:t>
            </w:r>
            <w:r w:rsidRPr="00C67422">
              <w:rPr>
                <w:rFonts w:ascii="Cambria" w:hAnsi="Cambria"/>
                <w:spacing w:val="-4"/>
                <w:sz w:val="20"/>
                <w:szCs w:val="20"/>
              </w:rPr>
              <w:t xml:space="preserve"> </w:t>
            </w:r>
            <w:r w:rsidRPr="00C67422">
              <w:rPr>
                <w:rFonts w:ascii="Cambria" w:hAnsi="Cambria"/>
                <w:sz w:val="20"/>
                <w:szCs w:val="20"/>
              </w:rPr>
              <w:t>Dec</w:t>
            </w:r>
            <w:r w:rsidRPr="00C67422">
              <w:rPr>
                <w:rFonts w:ascii="Cambria" w:hAnsi="Cambria"/>
                <w:spacing w:val="-3"/>
                <w:sz w:val="20"/>
                <w:szCs w:val="20"/>
              </w:rPr>
              <w:t xml:space="preserve"> </w:t>
            </w:r>
            <w:r w:rsidRPr="00C67422">
              <w:rPr>
                <w:rFonts w:ascii="Cambria" w:hAnsi="Cambria"/>
                <w:spacing w:val="-4"/>
                <w:sz w:val="20"/>
                <w:szCs w:val="20"/>
              </w:rPr>
              <w:t>2024</w:t>
            </w:r>
          </w:p>
        </w:tc>
        <w:tc>
          <w:tcPr>
            <w:tcW w:w="1984" w:type="dxa"/>
          </w:tcPr>
          <w:p w14:paraId="50AA7FB9" w14:textId="56F20B95" w:rsidR="00380CD4" w:rsidRPr="00C67422" w:rsidRDefault="0036009D" w:rsidP="00D36C84">
            <w:pPr>
              <w:pStyle w:val="TableParagraph"/>
              <w:ind w:left="54" w:right="141"/>
              <w:rPr>
                <w:rFonts w:ascii="Cambria" w:hAnsi="Cambria"/>
                <w:sz w:val="20"/>
                <w:szCs w:val="20"/>
              </w:rPr>
            </w:pPr>
            <w:r>
              <w:rPr>
                <w:rFonts w:ascii="Cambria" w:hAnsi="Cambria"/>
                <w:sz w:val="20"/>
                <w:szCs w:val="20"/>
              </w:rPr>
              <w:t>Zynlonta</w:t>
            </w:r>
            <w:r w:rsidR="00380CD4" w:rsidRPr="00C67422">
              <w:rPr>
                <w:rFonts w:ascii="Cambria" w:hAnsi="Cambria"/>
                <w:sz w:val="20"/>
                <w:szCs w:val="20"/>
              </w:rPr>
              <w:t xml:space="preserve"> is indicated </w:t>
            </w:r>
            <w:r w:rsidR="0024445A" w:rsidRPr="00C67422">
              <w:rPr>
                <w:rFonts w:ascii="Cambria" w:hAnsi="Cambria"/>
                <w:sz w:val="20"/>
                <w:szCs w:val="20"/>
              </w:rPr>
              <w:t>for the</w:t>
            </w:r>
            <w:r w:rsidR="00380CD4" w:rsidRPr="00C67422">
              <w:rPr>
                <w:rFonts w:ascii="Cambria" w:hAnsi="Cambria"/>
                <w:sz w:val="20"/>
                <w:szCs w:val="20"/>
              </w:rPr>
              <w:t xml:space="preserve"> treatment of relapsed or refractory DLBCL the treatment of relapsed or refractory</w:t>
            </w:r>
            <w:r w:rsidR="00380CD4" w:rsidRPr="00C67422">
              <w:rPr>
                <w:rFonts w:ascii="Cambria" w:hAnsi="Cambria"/>
                <w:spacing w:val="-6"/>
                <w:sz w:val="20"/>
                <w:szCs w:val="20"/>
              </w:rPr>
              <w:t xml:space="preserve"> </w:t>
            </w:r>
            <w:r w:rsidR="00380CD4" w:rsidRPr="00C67422">
              <w:rPr>
                <w:rFonts w:ascii="Cambria" w:hAnsi="Cambria"/>
                <w:sz w:val="20"/>
                <w:szCs w:val="20"/>
              </w:rPr>
              <w:t>DLBCL</w:t>
            </w:r>
            <w:r w:rsidR="00380CD4" w:rsidRPr="00C67422">
              <w:rPr>
                <w:rFonts w:ascii="Cambria" w:hAnsi="Cambria"/>
                <w:spacing w:val="-6"/>
                <w:sz w:val="20"/>
                <w:szCs w:val="20"/>
              </w:rPr>
              <w:t xml:space="preserve"> </w:t>
            </w:r>
            <w:r w:rsidR="00380CD4" w:rsidRPr="00C67422">
              <w:rPr>
                <w:rFonts w:ascii="Cambria" w:hAnsi="Cambria"/>
                <w:sz w:val="20"/>
                <w:szCs w:val="20"/>
              </w:rPr>
              <w:t>in</w:t>
            </w:r>
            <w:r w:rsidR="00380CD4" w:rsidRPr="00C67422">
              <w:rPr>
                <w:rFonts w:ascii="Cambria" w:hAnsi="Cambria"/>
                <w:spacing w:val="-6"/>
                <w:sz w:val="20"/>
                <w:szCs w:val="20"/>
              </w:rPr>
              <w:t xml:space="preserve"> </w:t>
            </w:r>
            <w:r w:rsidR="00380CD4" w:rsidRPr="00C67422">
              <w:rPr>
                <w:rFonts w:ascii="Cambria" w:hAnsi="Cambria"/>
                <w:sz w:val="20"/>
                <w:szCs w:val="20"/>
              </w:rPr>
              <w:t>adult</w:t>
            </w:r>
            <w:r w:rsidR="00380CD4" w:rsidRPr="00C67422">
              <w:rPr>
                <w:rFonts w:ascii="Cambria" w:hAnsi="Cambria"/>
                <w:spacing w:val="-6"/>
                <w:sz w:val="20"/>
                <w:szCs w:val="20"/>
              </w:rPr>
              <w:t xml:space="preserve"> </w:t>
            </w:r>
            <w:r w:rsidR="00380CD4" w:rsidRPr="00C67422">
              <w:rPr>
                <w:rFonts w:ascii="Cambria" w:hAnsi="Cambria"/>
                <w:sz w:val="20"/>
                <w:szCs w:val="20"/>
              </w:rPr>
              <w:t>patients</w:t>
            </w:r>
            <w:r w:rsidR="00380CD4" w:rsidRPr="00C67422">
              <w:rPr>
                <w:rFonts w:ascii="Cambria" w:hAnsi="Cambria"/>
                <w:spacing w:val="-6"/>
                <w:sz w:val="20"/>
                <w:szCs w:val="20"/>
              </w:rPr>
              <w:t xml:space="preserve"> </w:t>
            </w:r>
            <w:r w:rsidR="00380CD4" w:rsidRPr="00C67422">
              <w:rPr>
                <w:rFonts w:ascii="Cambria" w:hAnsi="Cambria"/>
                <w:sz w:val="20"/>
                <w:szCs w:val="20"/>
              </w:rPr>
              <w:t>who</w:t>
            </w:r>
            <w:r w:rsidR="00380CD4" w:rsidRPr="00C67422">
              <w:rPr>
                <w:rFonts w:ascii="Cambria" w:hAnsi="Cambria"/>
                <w:spacing w:val="-6"/>
                <w:sz w:val="20"/>
                <w:szCs w:val="20"/>
              </w:rPr>
              <w:t xml:space="preserve"> </w:t>
            </w:r>
            <w:r w:rsidR="00380CD4" w:rsidRPr="00C67422">
              <w:rPr>
                <w:rFonts w:ascii="Cambria" w:hAnsi="Cambria"/>
                <w:sz w:val="20"/>
                <w:szCs w:val="20"/>
              </w:rPr>
              <w:t>have</w:t>
            </w:r>
            <w:r w:rsidR="00380CD4" w:rsidRPr="00C67422">
              <w:rPr>
                <w:rFonts w:ascii="Cambria" w:hAnsi="Cambria"/>
                <w:spacing w:val="-6"/>
                <w:sz w:val="20"/>
                <w:szCs w:val="20"/>
              </w:rPr>
              <w:t xml:space="preserve"> </w:t>
            </w:r>
            <w:r w:rsidR="00380CD4" w:rsidRPr="00C67422">
              <w:rPr>
                <w:rFonts w:ascii="Cambria" w:hAnsi="Cambria"/>
                <w:sz w:val="20"/>
                <w:szCs w:val="20"/>
              </w:rPr>
              <w:t>failed 2 or more prior lines of systemic treatment.</w:t>
            </w:r>
          </w:p>
        </w:tc>
        <w:tc>
          <w:tcPr>
            <w:tcW w:w="2835" w:type="dxa"/>
          </w:tcPr>
          <w:p w14:paraId="37F2AB2F" w14:textId="77777777" w:rsidR="00380CD4" w:rsidRPr="00C67422" w:rsidRDefault="00380CD4" w:rsidP="00D36C84">
            <w:pPr>
              <w:pStyle w:val="TableParagraph"/>
              <w:spacing w:before="38"/>
              <w:ind w:left="139" w:right="142"/>
              <w:rPr>
                <w:rFonts w:ascii="Cambria" w:hAnsi="Cambria"/>
                <w:b/>
                <w:sz w:val="20"/>
                <w:szCs w:val="20"/>
              </w:rPr>
            </w:pPr>
            <w:r w:rsidRPr="00C67422">
              <w:rPr>
                <w:rFonts w:ascii="Cambria" w:hAnsi="Cambria"/>
                <w:sz w:val="20"/>
                <w:szCs w:val="20"/>
              </w:rPr>
              <w:t>Information</w:t>
            </w:r>
            <w:r w:rsidRPr="00C67422">
              <w:rPr>
                <w:rFonts w:ascii="Cambria" w:hAnsi="Cambria"/>
                <w:spacing w:val="-8"/>
                <w:sz w:val="20"/>
                <w:szCs w:val="20"/>
              </w:rPr>
              <w:t xml:space="preserve"> </w:t>
            </w:r>
            <w:r w:rsidRPr="00C67422">
              <w:rPr>
                <w:rFonts w:ascii="Cambria" w:hAnsi="Cambria"/>
                <w:sz w:val="20"/>
                <w:szCs w:val="20"/>
              </w:rPr>
              <w:t>Not</w:t>
            </w:r>
            <w:r w:rsidRPr="00C67422">
              <w:rPr>
                <w:rFonts w:ascii="Cambria" w:hAnsi="Cambria"/>
                <w:spacing w:val="-7"/>
                <w:sz w:val="20"/>
                <w:szCs w:val="20"/>
              </w:rPr>
              <w:t xml:space="preserve"> </w:t>
            </w:r>
            <w:r w:rsidRPr="00C67422">
              <w:rPr>
                <w:rFonts w:ascii="Cambria" w:hAnsi="Cambria"/>
                <w:spacing w:val="-2"/>
                <w:sz w:val="20"/>
                <w:szCs w:val="20"/>
              </w:rPr>
              <w:t>Available</w:t>
            </w:r>
          </w:p>
        </w:tc>
      </w:tr>
      <w:tr w:rsidR="00380CD4" w:rsidRPr="00C67422" w14:paraId="58D73949" w14:textId="77777777" w:rsidTr="009C7E5A">
        <w:trPr>
          <w:trHeight w:val="2043"/>
        </w:trPr>
        <w:tc>
          <w:tcPr>
            <w:tcW w:w="1119" w:type="dxa"/>
          </w:tcPr>
          <w:p w14:paraId="0CDE5E27" w14:textId="77777777" w:rsidR="00380CD4" w:rsidRPr="00C67422" w:rsidRDefault="00380CD4" w:rsidP="00DC7677">
            <w:pPr>
              <w:pStyle w:val="TableParagraph"/>
              <w:spacing w:before="38"/>
              <w:ind w:left="57"/>
              <w:rPr>
                <w:rFonts w:ascii="Cambria" w:hAnsi="Cambria"/>
                <w:spacing w:val="-2"/>
                <w:sz w:val="20"/>
                <w:szCs w:val="20"/>
              </w:rPr>
            </w:pPr>
            <w:r w:rsidRPr="00C67422">
              <w:rPr>
                <w:rFonts w:ascii="Cambria" w:hAnsi="Cambria"/>
                <w:sz w:val="20"/>
                <w:szCs w:val="20"/>
              </w:rPr>
              <w:t>Hong</w:t>
            </w:r>
            <w:r w:rsidRPr="00C67422">
              <w:rPr>
                <w:rFonts w:ascii="Cambria" w:hAnsi="Cambria"/>
                <w:spacing w:val="-6"/>
                <w:sz w:val="20"/>
                <w:szCs w:val="20"/>
              </w:rPr>
              <w:t xml:space="preserve"> </w:t>
            </w:r>
            <w:r w:rsidRPr="00C67422">
              <w:rPr>
                <w:rFonts w:ascii="Cambria" w:hAnsi="Cambria"/>
                <w:spacing w:val="-4"/>
                <w:sz w:val="20"/>
                <w:szCs w:val="20"/>
              </w:rPr>
              <w:t>Kong</w:t>
            </w:r>
          </w:p>
        </w:tc>
        <w:tc>
          <w:tcPr>
            <w:tcW w:w="993" w:type="dxa"/>
          </w:tcPr>
          <w:p w14:paraId="49CEBC6F" w14:textId="12417837" w:rsidR="00380CD4" w:rsidRPr="00C67422" w:rsidRDefault="00380CD4" w:rsidP="00DC7677">
            <w:pPr>
              <w:pStyle w:val="TableParagraph"/>
              <w:spacing w:before="38" w:line="252" w:lineRule="auto"/>
              <w:rPr>
                <w:rFonts w:ascii="Cambria" w:hAnsi="Cambria"/>
                <w:sz w:val="20"/>
                <w:szCs w:val="20"/>
              </w:rPr>
            </w:pPr>
            <w:r w:rsidRPr="00C67422">
              <w:rPr>
                <w:rFonts w:ascii="Cambria" w:hAnsi="Cambria"/>
                <w:sz w:val="20"/>
                <w:szCs w:val="20"/>
              </w:rPr>
              <w:t>Overland</w:t>
            </w:r>
            <w:r w:rsidRPr="00C67422">
              <w:rPr>
                <w:rFonts w:ascii="Cambria" w:hAnsi="Cambria"/>
                <w:spacing w:val="-14"/>
                <w:sz w:val="20"/>
                <w:szCs w:val="20"/>
              </w:rPr>
              <w:t xml:space="preserve"> </w:t>
            </w:r>
            <w:r w:rsidRPr="00C67422">
              <w:rPr>
                <w:rFonts w:ascii="Cambria" w:hAnsi="Cambria"/>
                <w:sz w:val="20"/>
                <w:szCs w:val="20"/>
              </w:rPr>
              <w:t xml:space="preserve">ADCT </w:t>
            </w:r>
            <w:r w:rsidR="00214787" w:rsidRPr="00C67422">
              <w:rPr>
                <w:rFonts w:ascii="Cambria" w:hAnsi="Cambria"/>
                <w:spacing w:val="-2"/>
                <w:sz w:val="20"/>
                <w:szCs w:val="20"/>
              </w:rPr>
              <w:t>BioPharma</w:t>
            </w:r>
          </w:p>
        </w:tc>
        <w:tc>
          <w:tcPr>
            <w:tcW w:w="1134" w:type="dxa"/>
          </w:tcPr>
          <w:p w14:paraId="1B1FC5FE" w14:textId="77777777" w:rsidR="00380CD4" w:rsidRPr="00C67422" w:rsidRDefault="00380CD4" w:rsidP="00DC7677">
            <w:pPr>
              <w:pStyle w:val="TableParagraph"/>
              <w:spacing w:before="38"/>
              <w:rPr>
                <w:rFonts w:ascii="Cambria" w:hAnsi="Cambria"/>
                <w:spacing w:val="-2"/>
                <w:sz w:val="20"/>
                <w:szCs w:val="20"/>
              </w:rPr>
            </w:pPr>
            <w:r w:rsidRPr="00C67422">
              <w:rPr>
                <w:rFonts w:ascii="Cambria" w:hAnsi="Cambria"/>
                <w:spacing w:val="-2"/>
                <w:sz w:val="20"/>
                <w:szCs w:val="20"/>
              </w:rPr>
              <w:t>30-Jun-</w:t>
            </w:r>
            <w:r w:rsidRPr="00C67422">
              <w:rPr>
                <w:rFonts w:ascii="Cambria" w:hAnsi="Cambria"/>
                <w:spacing w:val="-4"/>
                <w:sz w:val="20"/>
                <w:szCs w:val="20"/>
              </w:rPr>
              <w:t>2023</w:t>
            </w:r>
          </w:p>
        </w:tc>
        <w:tc>
          <w:tcPr>
            <w:tcW w:w="1134" w:type="dxa"/>
          </w:tcPr>
          <w:p w14:paraId="2CFB68AE" w14:textId="77777777" w:rsidR="00380CD4" w:rsidRPr="00C67422" w:rsidRDefault="00380CD4" w:rsidP="00DC7677">
            <w:pPr>
              <w:pStyle w:val="TableParagraph"/>
              <w:ind w:left="55" w:right="-3"/>
              <w:rPr>
                <w:rFonts w:ascii="Cambria" w:hAnsi="Cambria"/>
                <w:spacing w:val="-2"/>
                <w:sz w:val="20"/>
                <w:szCs w:val="20"/>
              </w:rPr>
            </w:pPr>
            <w:r w:rsidRPr="00C67422">
              <w:rPr>
                <w:rFonts w:ascii="Cambria" w:hAnsi="Cambria"/>
                <w:spacing w:val="-2"/>
                <w:sz w:val="20"/>
                <w:szCs w:val="20"/>
              </w:rPr>
              <w:t>Ongoing</w:t>
            </w:r>
          </w:p>
        </w:tc>
        <w:tc>
          <w:tcPr>
            <w:tcW w:w="1984" w:type="dxa"/>
          </w:tcPr>
          <w:p w14:paraId="43EBB905" w14:textId="1E657E75" w:rsidR="00380CD4" w:rsidRPr="00C67422" w:rsidRDefault="00380CD4" w:rsidP="00D36C84">
            <w:pPr>
              <w:pStyle w:val="TableParagraph"/>
              <w:ind w:left="54" w:right="141"/>
              <w:rPr>
                <w:rFonts w:ascii="Cambria" w:hAnsi="Cambria"/>
                <w:sz w:val="20"/>
                <w:szCs w:val="20"/>
              </w:rPr>
            </w:pPr>
            <w:r w:rsidRPr="00C67422">
              <w:rPr>
                <w:rFonts w:ascii="Cambria" w:hAnsi="Cambria"/>
                <w:b/>
                <w:sz w:val="20"/>
                <w:szCs w:val="20"/>
              </w:rPr>
              <w:t>Proposed</w:t>
            </w:r>
            <w:r w:rsidRPr="00C67422">
              <w:rPr>
                <w:rFonts w:ascii="Cambria" w:hAnsi="Cambria"/>
                <w:sz w:val="20"/>
                <w:szCs w:val="20"/>
              </w:rPr>
              <w:t>:</w:t>
            </w:r>
            <w:r w:rsidRPr="00C67422">
              <w:rPr>
                <w:rFonts w:ascii="Cambria" w:hAnsi="Cambria"/>
                <w:spacing w:val="-7"/>
                <w:sz w:val="20"/>
                <w:szCs w:val="20"/>
              </w:rPr>
              <w:t xml:space="preserve"> </w:t>
            </w:r>
            <w:r w:rsidR="0036009D">
              <w:rPr>
                <w:rFonts w:ascii="Cambria" w:hAnsi="Cambria"/>
                <w:sz w:val="20"/>
                <w:szCs w:val="20"/>
              </w:rPr>
              <w:t>Zynlonta</w:t>
            </w:r>
            <w:r w:rsidRPr="00C67422">
              <w:rPr>
                <w:rFonts w:ascii="Cambria" w:hAnsi="Cambria"/>
                <w:spacing w:val="-7"/>
                <w:sz w:val="20"/>
                <w:szCs w:val="20"/>
              </w:rPr>
              <w:t xml:space="preserve"> </w:t>
            </w:r>
            <w:r w:rsidRPr="00C67422">
              <w:rPr>
                <w:rFonts w:ascii="Cambria" w:hAnsi="Cambria"/>
                <w:sz w:val="20"/>
                <w:szCs w:val="20"/>
              </w:rPr>
              <w:t>is</w:t>
            </w:r>
            <w:r w:rsidRPr="00C67422">
              <w:rPr>
                <w:rFonts w:ascii="Cambria" w:hAnsi="Cambria"/>
                <w:spacing w:val="-7"/>
                <w:sz w:val="20"/>
                <w:szCs w:val="20"/>
              </w:rPr>
              <w:t xml:space="preserve"> </w:t>
            </w:r>
            <w:r w:rsidRPr="00C67422">
              <w:rPr>
                <w:rFonts w:ascii="Cambria" w:hAnsi="Cambria"/>
                <w:sz w:val="20"/>
                <w:szCs w:val="20"/>
              </w:rPr>
              <w:t>indicated</w:t>
            </w:r>
            <w:r w:rsidRPr="00C67422">
              <w:rPr>
                <w:rFonts w:ascii="Cambria" w:hAnsi="Cambria"/>
                <w:spacing w:val="-7"/>
                <w:sz w:val="20"/>
                <w:szCs w:val="20"/>
              </w:rPr>
              <w:t xml:space="preserve"> </w:t>
            </w:r>
            <w:r w:rsidRPr="00C67422">
              <w:rPr>
                <w:rFonts w:ascii="Cambria" w:hAnsi="Cambria"/>
                <w:sz w:val="20"/>
                <w:szCs w:val="20"/>
              </w:rPr>
              <w:t>for</w:t>
            </w:r>
            <w:r w:rsidRPr="00C67422">
              <w:rPr>
                <w:rFonts w:ascii="Cambria" w:hAnsi="Cambria"/>
                <w:spacing w:val="-7"/>
                <w:sz w:val="20"/>
                <w:szCs w:val="20"/>
              </w:rPr>
              <w:t xml:space="preserve"> </w:t>
            </w:r>
            <w:r w:rsidRPr="00C67422">
              <w:rPr>
                <w:rFonts w:ascii="Cambria" w:hAnsi="Cambria"/>
                <w:sz w:val="20"/>
                <w:szCs w:val="20"/>
              </w:rPr>
              <w:t>the</w:t>
            </w:r>
            <w:r w:rsidRPr="00C67422">
              <w:rPr>
                <w:rFonts w:ascii="Cambria" w:hAnsi="Cambria"/>
                <w:spacing w:val="-7"/>
                <w:sz w:val="20"/>
                <w:szCs w:val="20"/>
              </w:rPr>
              <w:t xml:space="preserve"> </w:t>
            </w:r>
            <w:r w:rsidRPr="00C67422">
              <w:rPr>
                <w:rFonts w:ascii="Cambria" w:hAnsi="Cambria"/>
                <w:sz w:val="20"/>
                <w:szCs w:val="20"/>
              </w:rPr>
              <w:t xml:space="preserve">treatment of adult patients with relapsed or refractory large B-cell lymphoma after two or more lines of systemic therapy, including diffuse large B-cell lymphoma (DLBCL) </w:t>
            </w:r>
            <w:r w:rsidRPr="00C67422">
              <w:rPr>
                <w:rFonts w:ascii="Cambria" w:hAnsi="Cambria"/>
                <w:sz w:val="20"/>
                <w:szCs w:val="20"/>
              </w:rPr>
              <w:lastRenderedPageBreak/>
              <w:t>not otherwise specified, DLBCL arising from low-grade lymphoma, and high-grade B-cell lymphoma.</w:t>
            </w:r>
          </w:p>
        </w:tc>
        <w:tc>
          <w:tcPr>
            <w:tcW w:w="2835" w:type="dxa"/>
          </w:tcPr>
          <w:p w14:paraId="4525DE8A" w14:textId="77777777" w:rsidR="00380CD4" w:rsidRPr="00C67422" w:rsidRDefault="00380CD4" w:rsidP="00D36C84">
            <w:pPr>
              <w:pStyle w:val="TableParagraph"/>
              <w:spacing w:before="38"/>
              <w:ind w:left="139" w:right="142"/>
              <w:rPr>
                <w:rFonts w:ascii="Cambria" w:hAnsi="Cambria"/>
                <w:b/>
                <w:sz w:val="20"/>
                <w:szCs w:val="20"/>
              </w:rPr>
            </w:pPr>
            <w:r w:rsidRPr="00C67422">
              <w:rPr>
                <w:rFonts w:ascii="Cambria" w:hAnsi="Cambria"/>
                <w:sz w:val="20"/>
                <w:szCs w:val="20"/>
              </w:rPr>
              <w:lastRenderedPageBreak/>
              <w:t>Information</w:t>
            </w:r>
            <w:r w:rsidRPr="00C67422">
              <w:rPr>
                <w:rFonts w:ascii="Cambria" w:hAnsi="Cambria"/>
                <w:spacing w:val="-8"/>
                <w:sz w:val="20"/>
                <w:szCs w:val="20"/>
              </w:rPr>
              <w:t xml:space="preserve"> </w:t>
            </w:r>
            <w:r w:rsidRPr="00C67422">
              <w:rPr>
                <w:rFonts w:ascii="Cambria" w:hAnsi="Cambria"/>
                <w:sz w:val="20"/>
                <w:szCs w:val="20"/>
              </w:rPr>
              <w:t>Not</w:t>
            </w:r>
            <w:r w:rsidRPr="00C67422">
              <w:rPr>
                <w:rFonts w:ascii="Cambria" w:hAnsi="Cambria"/>
                <w:spacing w:val="-7"/>
                <w:sz w:val="20"/>
                <w:szCs w:val="20"/>
              </w:rPr>
              <w:t xml:space="preserve"> </w:t>
            </w:r>
            <w:r w:rsidRPr="00C67422">
              <w:rPr>
                <w:rFonts w:ascii="Cambria" w:hAnsi="Cambria"/>
                <w:spacing w:val="-2"/>
                <w:sz w:val="20"/>
                <w:szCs w:val="20"/>
              </w:rPr>
              <w:t>Available</w:t>
            </w:r>
          </w:p>
        </w:tc>
      </w:tr>
    </w:tbl>
    <w:p w14:paraId="2D858C87" w14:textId="77777777" w:rsidR="00B312FF" w:rsidRDefault="005C303F" w:rsidP="00B312FF">
      <w:pPr>
        <w:pStyle w:val="FigureDescription"/>
      </w:pPr>
      <w:r>
        <w:t>* Positive CHMP Opinion: 15-Sep-2022</w:t>
      </w:r>
    </w:p>
    <w:p w14:paraId="2A44997A" w14:textId="2B31B8A6" w:rsidR="00380CD4" w:rsidRDefault="005C303F" w:rsidP="00B312FF">
      <w:pPr>
        <w:pStyle w:val="FigureDescription"/>
      </w:pPr>
      <w:r>
        <w:t xml:space="preserve">** ECDRP: European Commission Decision </w:t>
      </w:r>
      <w:r w:rsidRPr="005C303F">
        <w:t>Recognition</w:t>
      </w:r>
      <w:r>
        <w:t xml:space="preserve"> Procedure </w:t>
      </w:r>
    </w:p>
    <w:p w14:paraId="131D25C0" w14:textId="77777777" w:rsidR="00B312FF" w:rsidRDefault="00B312FF" w:rsidP="00B312FF">
      <w:pPr>
        <w:pStyle w:val="FigureDescription"/>
      </w:pPr>
      <w:r>
        <w:t>Note:</w:t>
      </w:r>
    </w:p>
    <w:p w14:paraId="603DEAD3" w14:textId="0AF353D9" w:rsidR="00B312FF" w:rsidRDefault="00B312FF" w:rsidP="00B312FF">
      <w:pPr>
        <w:pStyle w:val="FigureDescription"/>
      </w:pPr>
      <w:r>
        <w:t xml:space="preserve">ADC Therapeutics (ADCT) holds the market authorisation for </w:t>
      </w:r>
      <w:r w:rsidR="0036009D">
        <w:t>Zynlonta</w:t>
      </w:r>
      <w:r>
        <w:t xml:space="preserve"> in the US, while Sobi is the MAH for the EU and UK and has an exclusive license agreement with ADC Therapeutics to develop and commercialise </w:t>
      </w:r>
      <w:r w:rsidR="0036009D">
        <w:t>Zynlonta</w:t>
      </w:r>
      <w:r>
        <w:t xml:space="preserve"> for use in haematology and other indications of large unmet medical need in most international markets including Australia and Canada.</w:t>
      </w:r>
    </w:p>
    <w:p w14:paraId="6F24A2EC" w14:textId="3AFAD363" w:rsidR="005C303F" w:rsidRDefault="00B312FF" w:rsidP="00B312FF">
      <w:pPr>
        <w:pStyle w:val="FigureDescription"/>
      </w:pPr>
      <w:r>
        <w:t xml:space="preserve">Overland ADCT BioPharma, is the joint venture of ADCT and Overland Pharmaceuticals for </w:t>
      </w:r>
      <w:r w:rsidR="0036009D">
        <w:t>Zynlonta</w:t>
      </w:r>
      <w:r>
        <w:t xml:space="preserve"> regulatory submissions in Greater China, Singapore and Taiwan. Overland ADCT BioPharma’s partner Orient </w:t>
      </w:r>
      <w:proofErr w:type="spellStart"/>
      <w:r>
        <w:t>Europharma</w:t>
      </w:r>
      <w:proofErr w:type="spellEnd"/>
      <w:r>
        <w:t xml:space="preserve"> Pte Ltd (OEP) is the Marketing Authorization Holder for </w:t>
      </w:r>
      <w:r w:rsidR="0036009D">
        <w:t>Zynlonta</w:t>
      </w:r>
      <w:r>
        <w:t xml:space="preserve"> in Taiwan and Singapore</w:t>
      </w:r>
    </w:p>
    <w:p w14:paraId="6D92589C" w14:textId="09786CEF" w:rsidR="00324B33" w:rsidRDefault="00324B33" w:rsidP="00324B33">
      <w:pPr>
        <w:pStyle w:val="Heading2"/>
      </w:pPr>
      <w:bookmarkStart w:id="27" w:name="_Toc504480011"/>
      <w:bookmarkStart w:id="28" w:name="_Toc103679293"/>
      <w:bookmarkStart w:id="29" w:name="_Toc232504982"/>
      <w:r>
        <w:t>Registration timeline</w:t>
      </w:r>
      <w:bookmarkEnd w:id="27"/>
      <w:bookmarkEnd w:id="28"/>
      <w:bookmarkEnd w:id="29"/>
    </w:p>
    <w:p w14:paraId="225E3D87" w14:textId="2DD6A040" w:rsidR="00324B33" w:rsidRPr="00BD5DBD" w:rsidRDefault="00236F91" w:rsidP="00324B33">
      <w:pPr>
        <w:rPr>
          <w:szCs w:val="22"/>
        </w:rPr>
      </w:pPr>
      <w:r>
        <w:rPr>
          <w:szCs w:val="22"/>
        </w:rPr>
        <w:t>Table 2</w:t>
      </w:r>
      <w:r w:rsidR="00324B33" w:rsidRPr="00BD5DBD">
        <w:rPr>
          <w:szCs w:val="22"/>
        </w:rPr>
        <w:t xml:space="preserve"> captures the key steps and dates for this submission.</w:t>
      </w:r>
    </w:p>
    <w:p w14:paraId="1B885475" w14:textId="5615DD12" w:rsidR="00535DFE" w:rsidRDefault="00535DFE" w:rsidP="00324B33">
      <w:pPr>
        <w:rPr>
          <w:szCs w:val="22"/>
        </w:rPr>
      </w:pPr>
      <w:r w:rsidRPr="00BD5DBD">
        <w:rPr>
          <w:szCs w:val="22"/>
        </w:rPr>
        <w:t xml:space="preserve">This submission was evaluated under the </w:t>
      </w:r>
      <w:hyperlink r:id="rId29" w:history="1">
        <w:r w:rsidRPr="00BD5DBD">
          <w:rPr>
            <w:rStyle w:val="Hyperlink"/>
            <w:szCs w:val="22"/>
          </w:rPr>
          <w:t>provisional registration process</w:t>
        </w:r>
      </w:hyperlink>
      <w:r w:rsidRPr="00BD5DBD">
        <w:rPr>
          <w:szCs w:val="22"/>
        </w:rPr>
        <w:t>.</w:t>
      </w:r>
    </w:p>
    <w:p w14:paraId="5263E729" w14:textId="02B8F0D5" w:rsidR="005B02A2" w:rsidRPr="003C1192" w:rsidRDefault="00324B33" w:rsidP="009D6CFC">
      <w:pPr>
        <w:pStyle w:val="TableTitle"/>
        <w:rPr>
          <w:iCs/>
        </w:rPr>
      </w:pPr>
      <w:r w:rsidRPr="002C1232">
        <w:t>Table</w:t>
      </w:r>
      <w:r w:rsidR="00DA7CC7">
        <w:t xml:space="preserve"> 2</w:t>
      </w:r>
      <w:r w:rsidR="003302FF">
        <w:t>.</w:t>
      </w:r>
      <w:r w:rsidRPr="002C1232">
        <w:t xml:space="preserve"> Timeline for </w:t>
      </w:r>
      <w:r w:rsidR="0036009D">
        <w:t>Zynlonta</w:t>
      </w:r>
      <w:r w:rsidR="009D6CFC" w:rsidRPr="009D6CFC">
        <w:t xml:space="preserve"> </w:t>
      </w:r>
      <w:r w:rsidR="009D6CFC">
        <w:t>(</w:t>
      </w:r>
      <w:r w:rsidR="009D6CFC" w:rsidRPr="009D6CFC">
        <w:t>loncastuximab tesirine</w:t>
      </w:r>
      <w:r w:rsidR="00317642">
        <w:t>)</w:t>
      </w:r>
      <w:r w:rsidR="009D6CFC">
        <w:t xml:space="preserve"> registration</w:t>
      </w:r>
    </w:p>
    <w:tbl>
      <w:tblPr>
        <w:tblStyle w:val="TableTGAblue2023"/>
        <w:tblW w:w="8642" w:type="dxa"/>
        <w:tblLook w:val="04A0" w:firstRow="1" w:lastRow="0" w:firstColumn="1" w:lastColumn="0" w:noHBand="0" w:noVBand="1"/>
        <w:tblCaption w:val="Table 2. Timeline for Zynlonta (loncastuximab tesirine) registration"/>
        <w:tblDescription w:val="Table 2. Timeline for Zynlonta (loncastuximab tesirine) registration"/>
      </w:tblPr>
      <w:tblGrid>
        <w:gridCol w:w="6232"/>
        <w:gridCol w:w="2410"/>
      </w:tblGrid>
      <w:tr w:rsidR="00324B33" w:rsidRPr="00D01DDB" w14:paraId="6C59BE9C" w14:textId="77777777" w:rsidTr="009C7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9C7E5A">
        <w:tc>
          <w:tcPr>
            <w:cnfStyle w:val="001000000000" w:firstRow="0" w:lastRow="0" w:firstColumn="1" w:lastColumn="0" w:oddVBand="0" w:evenVBand="0" w:oddHBand="0" w:evenHBand="0" w:firstRowFirstColumn="0" w:firstRowLastColumn="0" w:lastRowFirstColumn="0" w:lastRowLastColumn="0"/>
            <w:tcW w:w="6232" w:type="dxa"/>
          </w:tcPr>
          <w:p w14:paraId="1106CC1E" w14:textId="56269E33" w:rsidR="00324B33" w:rsidRPr="00E679D1" w:rsidRDefault="00324B33" w:rsidP="00E679D1">
            <w:r w:rsidRPr="00E679D1">
              <w:t>Designation (Orphan)</w:t>
            </w:r>
          </w:p>
        </w:tc>
        <w:tc>
          <w:tcPr>
            <w:tcW w:w="2410" w:type="dxa"/>
          </w:tcPr>
          <w:p w14:paraId="4CD143CF" w14:textId="445A4454" w:rsidR="00324B33" w:rsidRPr="00D01DDB" w:rsidRDefault="00214787" w:rsidP="00324B33">
            <w:pPr>
              <w:cnfStyle w:val="000000000000" w:firstRow="0" w:lastRow="0" w:firstColumn="0" w:lastColumn="0" w:oddVBand="0" w:evenVBand="0" w:oddHBand="0" w:evenHBand="0" w:firstRowFirstColumn="0" w:firstRowLastColumn="0" w:lastRowFirstColumn="0" w:lastRowLastColumn="0"/>
              <w:rPr>
                <w:szCs w:val="22"/>
              </w:rPr>
            </w:pPr>
            <w:r w:rsidRPr="00214787">
              <w:rPr>
                <w:szCs w:val="22"/>
              </w:rPr>
              <w:t>9 December 2024</w:t>
            </w:r>
          </w:p>
        </w:tc>
      </w:tr>
      <w:tr w:rsidR="00324B33" w:rsidRPr="00D01DDB" w14:paraId="0556FE3C" w14:textId="77777777" w:rsidTr="009C7E5A">
        <w:tc>
          <w:tcPr>
            <w:cnfStyle w:val="001000000000" w:firstRow="0" w:lastRow="0" w:firstColumn="1" w:lastColumn="0" w:oddVBand="0" w:evenVBand="0" w:oddHBand="0" w:evenHBand="0" w:firstRowFirstColumn="0" w:firstRowLastColumn="0" w:lastRowFirstColumn="0" w:lastRowLastColumn="0"/>
            <w:tcW w:w="6232" w:type="dxa"/>
          </w:tcPr>
          <w:p w14:paraId="49DFA3AA" w14:textId="0F93ADD3" w:rsidR="00324B33" w:rsidRPr="00E679D1" w:rsidRDefault="00324B33" w:rsidP="00E679D1">
            <w:r w:rsidRPr="00E679D1">
              <w:t>Determination (Provisional)</w:t>
            </w:r>
          </w:p>
        </w:tc>
        <w:tc>
          <w:tcPr>
            <w:tcW w:w="2410" w:type="dxa"/>
          </w:tcPr>
          <w:p w14:paraId="239696E3" w14:textId="00F77DB8" w:rsidR="00324B33" w:rsidRPr="00D01DDB" w:rsidRDefault="00214787" w:rsidP="00324B33">
            <w:pPr>
              <w:cnfStyle w:val="000000000000" w:firstRow="0" w:lastRow="0" w:firstColumn="0" w:lastColumn="0" w:oddVBand="0" w:evenVBand="0" w:oddHBand="0" w:evenHBand="0" w:firstRowFirstColumn="0" w:firstRowLastColumn="0" w:lastRowFirstColumn="0" w:lastRowLastColumn="0"/>
              <w:rPr>
                <w:szCs w:val="22"/>
              </w:rPr>
            </w:pPr>
            <w:r w:rsidRPr="00214787">
              <w:rPr>
                <w:szCs w:val="22"/>
              </w:rPr>
              <w:t>25 November 2024</w:t>
            </w:r>
          </w:p>
        </w:tc>
      </w:tr>
      <w:tr w:rsidR="00324B33" w:rsidRPr="00D01DDB" w14:paraId="23610C53" w14:textId="77777777" w:rsidTr="009C7E5A">
        <w:tc>
          <w:tcPr>
            <w:cnfStyle w:val="001000000000" w:firstRow="0" w:lastRow="0" w:firstColumn="1" w:lastColumn="0" w:oddVBand="0" w:evenVBand="0" w:oddHBand="0" w:evenHBand="0" w:firstRowFirstColumn="0" w:firstRowLastColumn="0" w:lastRowFirstColumn="0" w:lastRowLastColumn="0"/>
            <w:tcW w:w="6232" w:type="dxa"/>
          </w:tcPr>
          <w:p w14:paraId="759D2A12" w14:textId="4D46D246" w:rsidR="00324B33" w:rsidRPr="00E679D1" w:rsidRDefault="00324B33" w:rsidP="00E679D1">
            <w:r w:rsidRPr="00E679D1">
              <w:t>Submission dossier accepted evaluation commenced</w:t>
            </w:r>
          </w:p>
        </w:tc>
        <w:tc>
          <w:tcPr>
            <w:tcW w:w="2410" w:type="dxa"/>
          </w:tcPr>
          <w:p w14:paraId="2963D9D8" w14:textId="2D4453EA" w:rsidR="00324B33" w:rsidRPr="00D01DDB" w:rsidRDefault="008A349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March 2025</w:t>
            </w:r>
          </w:p>
        </w:tc>
      </w:tr>
      <w:tr w:rsidR="00803926" w:rsidRPr="00D01DDB" w14:paraId="16D13F79" w14:textId="77777777" w:rsidTr="009C7E5A">
        <w:tc>
          <w:tcPr>
            <w:cnfStyle w:val="001000000000" w:firstRow="0" w:lastRow="0" w:firstColumn="1" w:lastColumn="0" w:oddVBand="0" w:evenVBand="0" w:oddHBand="0" w:evenHBand="0" w:firstRowFirstColumn="0" w:firstRowLastColumn="0" w:lastRowFirstColumn="0" w:lastRowLastColumn="0"/>
            <w:tcW w:w="6232" w:type="dxa"/>
          </w:tcPr>
          <w:p w14:paraId="6858B45A" w14:textId="0BB67609" w:rsidR="00803926" w:rsidRPr="00E679D1" w:rsidDel="00C62B1C" w:rsidRDefault="00803926" w:rsidP="00E679D1">
            <w:r>
              <w:t>Evaluation completed</w:t>
            </w:r>
          </w:p>
        </w:tc>
        <w:tc>
          <w:tcPr>
            <w:tcW w:w="2410" w:type="dxa"/>
          </w:tcPr>
          <w:p w14:paraId="2E0BD403" w14:textId="38CE9658" w:rsidR="00803926" w:rsidRPr="00D01DDB" w:rsidRDefault="007C34B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February 2026</w:t>
            </w:r>
          </w:p>
        </w:tc>
      </w:tr>
      <w:tr w:rsidR="00324B33" w:rsidRPr="00D01DDB" w14:paraId="6E5D32FE" w14:textId="77777777" w:rsidTr="009C7E5A">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20CAD590" w:rsidR="00324B33" w:rsidRPr="00D01DDB" w:rsidRDefault="007C34B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April 2026</w:t>
            </w:r>
          </w:p>
        </w:tc>
      </w:tr>
      <w:tr w:rsidR="00324B33" w:rsidRPr="00D01DDB" w14:paraId="6DDCDDA4" w14:textId="77777777" w:rsidTr="009C7E5A">
        <w:tc>
          <w:tcPr>
            <w:cnfStyle w:val="001000000000" w:firstRow="0" w:lastRow="0" w:firstColumn="1" w:lastColumn="0" w:oddVBand="0" w:evenVBand="0" w:oddHBand="0" w:evenHBand="0" w:firstRowFirstColumn="0" w:firstRowLastColumn="0" w:lastRowFirstColumn="0" w:lastRowLastColumn="0"/>
            <w:tcW w:w="6232" w:type="dxa"/>
          </w:tcPr>
          <w:p w14:paraId="192FD19D" w14:textId="186F3E94" w:rsidR="00324B33" w:rsidRPr="00E679D1" w:rsidRDefault="0013132F" w:rsidP="007311B9">
            <w:pPr>
              <w:ind w:left="0"/>
            </w:pPr>
            <w:r w:rsidRPr="00E679D1">
              <w:t xml:space="preserve"> </w:t>
            </w:r>
            <w:r w:rsidR="00C96D3F">
              <w:t xml:space="preserve"> </w:t>
            </w:r>
            <w:r w:rsidR="00C00844">
              <w:t>R</w:t>
            </w:r>
            <w:r w:rsidRPr="00E679D1">
              <w:t xml:space="preserve">egistration </w:t>
            </w:r>
            <w:r w:rsidR="005C4B46" w:rsidRPr="00E679D1">
              <w:t xml:space="preserve">in </w:t>
            </w:r>
            <w:r w:rsidRPr="00E679D1">
              <w:t>the ARTG completed</w:t>
            </w:r>
          </w:p>
        </w:tc>
        <w:tc>
          <w:tcPr>
            <w:tcW w:w="2410" w:type="dxa"/>
          </w:tcPr>
          <w:p w14:paraId="5A8923FD" w14:textId="24A1736A" w:rsidR="00324B33" w:rsidRPr="00D01DDB" w:rsidRDefault="007C34B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April 2026</w:t>
            </w:r>
          </w:p>
        </w:tc>
      </w:tr>
      <w:tr w:rsidR="00324B33" w:rsidRPr="00D01DDB" w14:paraId="56D922E2" w14:textId="77777777" w:rsidTr="009C7E5A">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5F02E129" w:rsidR="00324B33" w:rsidRPr="00D01DDB" w:rsidRDefault="00BB6EA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164</w:t>
            </w:r>
          </w:p>
        </w:tc>
      </w:tr>
    </w:tbl>
    <w:p w14:paraId="096B8688" w14:textId="69464A85" w:rsidR="007072A1" w:rsidRDefault="00433318" w:rsidP="009D6CFC">
      <w:pPr>
        <w:pStyle w:val="TableDescription"/>
      </w:pPr>
      <w:r>
        <w:t>*</w:t>
      </w:r>
      <w:r w:rsidR="009D6CFC" w:rsidRPr="009D6CFC">
        <w:t xml:space="preserve"> </w:t>
      </w:r>
      <w:r w:rsidR="009D6CFC">
        <w:t>The provisional registration process is designed with a target timeframe of 220 working days from acceptance for evaluation through to the delegate’s decision. The statutory timeframe for both provisional registration and standard registration is 255 working days (regulation 16</w:t>
      </w:r>
      <w:proofErr w:type="gramStart"/>
      <w:r w:rsidR="009D6CFC">
        <w:t>C(</w:t>
      </w:r>
      <w:proofErr w:type="gramEnd"/>
      <w:r w:rsidR="009D6CFC">
        <w:t xml:space="preserve">3)). </w:t>
      </w:r>
    </w:p>
    <w:p w14:paraId="11FCCC31" w14:textId="77777777" w:rsidR="00B27B1F" w:rsidRDefault="00083763" w:rsidP="00B27B1F">
      <w:pPr>
        <w:pStyle w:val="Heading2"/>
      </w:pPr>
      <w:bookmarkStart w:id="30" w:name="_Toc196046504"/>
      <w:bookmarkStart w:id="31" w:name="_Toc247691527"/>
      <w:bookmarkStart w:id="32" w:name="_Toc314842510"/>
      <w:bookmarkStart w:id="33" w:name="_Toc103679294"/>
      <w:bookmarkStart w:id="34" w:name="_Toc232504983"/>
      <w:r>
        <w:lastRenderedPageBreak/>
        <w:t xml:space="preserve">Assessment </w:t>
      </w:r>
      <w:r w:rsidR="00C22214" w:rsidRPr="00006FAB">
        <w:t>overview</w:t>
      </w:r>
      <w:bookmarkStart w:id="35" w:name="_Toc247691528"/>
      <w:bookmarkStart w:id="36" w:name="_Toc314842511"/>
      <w:bookmarkStart w:id="37" w:name="_Toc103679295"/>
      <w:bookmarkEnd w:id="30"/>
      <w:bookmarkEnd w:id="31"/>
      <w:bookmarkEnd w:id="32"/>
      <w:bookmarkEnd w:id="33"/>
      <w:bookmarkEnd w:id="34"/>
    </w:p>
    <w:p w14:paraId="37F5A1C0" w14:textId="65553C72" w:rsidR="00C22214" w:rsidRDefault="00095C6A" w:rsidP="00B27B1F">
      <w:pPr>
        <w:pStyle w:val="Heading3"/>
      </w:pPr>
      <w:bookmarkStart w:id="38" w:name="_Toc232504984"/>
      <w:r>
        <w:t>Q</w:t>
      </w:r>
      <w:r w:rsidR="00C22214">
        <w:t>uality</w:t>
      </w:r>
      <w:bookmarkEnd w:id="35"/>
      <w:bookmarkEnd w:id="36"/>
      <w:bookmarkEnd w:id="37"/>
      <w:r w:rsidR="007E6443">
        <w:t xml:space="preserve"> evaluation</w:t>
      </w:r>
      <w:r>
        <w:t xml:space="preserve"> summary</w:t>
      </w:r>
      <w:bookmarkEnd w:id="38"/>
    </w:p>
    <w:p w14:paraId="05D09283" w14:textId="77777777" w:rsidR="00B27B1F" w:rsidRPr="00B27B1F" w:rsidRDefault="00B27B1F" w:rsidP="00EA4E88">
      <w:pPr>
        <w:pStyle w:val="Heading5"/>
      </w:pPr>
      <w:r w:rsidRPr="00B27B1F">
        <w:t xml:space="preserve">Drug substance </w:t>
      </w:r>
    </w:p>
    <w:p w14:paraId="2D91539A" w14:textId="44A8B15D" w:rsidR="00B27B1F" w:rsidRDefault="00B27B1F" w:rsidP="00B27B1F">
      <w:r w:rsidRPr="00B27B1F">
        <w:t xml:space="preserve">Loncastuximab tesirine is an </w:t>
      </w:r>
      <w:r w:rsidR="00A864AD">
        <w:t>antibody-drug conjugate</w:t>
      </w:r>
      <w:r w:rsidRPr="00B27B1F">
        <w:t xml:space="preserve"> comprising a full-length, humanised IgG1 kappa </w:t>
      </w:r>
      <w:proofErr w:type="spellStart"/>
      <w:r w:rsidRPr="00B27B1F">
        <w:t>mAb</w:t>
      </w:r>
      <w:proofErr w:type="spellEnd"/>
      <w:r w:rsidRPr="00B27B1F">
        <w:t xml:space="preserve"> produced in Chinese hamster ovary (CHO) cells by recombinant DNA technology, conjugated to SG3199, a PBD dimer cytotoxic alkylating agent, through a protease-cleavable valine-alanine linker. SG3199 attached to the linker is designated as SG3249, also known as tesirine. A schematic representation of loncastuximab tesirine is provided in </w:t>
      </w:r>
      <w:r w:rsidR="00BF3359">
        <w:t>Figure 2</w:t>
      </w:r>
      <w:r w:rsidRPr="00B27B1F">
        <w:t xml:space="preserve">, and general properties of the drug substance are summarised below in </w:t>
      </w:r>
      <w:r w:rsidR="003006C1">
        <w:t xml:space="preserve">Table </w:t>
      </w:r>
      <w:r>
        <w:t>3</w:t>
      </w:r>
      <w:r w:rsidRPr="00B27B1F">
        <w:t>.</w:t>
      </w:r>
    </w:p>
    <w:p w14:paraId="2C8523BD" w14:textId="6EBEF657" w:rsidR="001571C4" w:rsidRDefault="001571C4" w:rsidP="00A864AD">
      <w:pPr>
        <w:pStyle w:val="FigureTitle"/>
      </w:pPr>
      <w:r>
        <w:t xml:space="preserve">Figure </w:t>
      </w:r>
      <w:r w:rsidR="00BF3359">
        <w:t>2</w:t>
      </w:r>
      <w:r>
        <w:t xml:space="preserve">. </w:t>
      </w:r>
      <w:r w:rsidR="00A864AD">
        <w:t>Schematic Representation and Chemical Structure of Loncastuximab Tesirine</w:t>
      </w:r>
    </w:p>
    <w:p w14:paraId="14650C95" w14:textId="24128EC2" w:rsidR="001571C4" w:rsidRDefault="001571C4" w:rsidP="00B27B1F">
      <w:r w:rsidRPr="001571C4">
        <w:rPr>
          <w:noProof/>
        </w:rPr>
        <w:drawing>
          <wp:inline distT="0" distB="0" distL="0" distR="0" wp14:anchorId="76FB768C" wp14:editId="033FC6A8">
            <wp:extent cx="3321170" cy="2509736"/>
            <wp:effectExtent l="0" t="0" r="0" b="5080"/>
            <wp:docPr id="730520372" name="Picture 1" descr="Figure 2. Schematic Representation and Chemical Structure of Loncastuximab Tesi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20372" name="Picture 1" descr="Figure 2. Schematic Representation and Chemical Structure of Loncastuximab Tesirine"/>
                    <pic:cNvPicPr/>
                  </pic:nvPicPr>
                  <pic:blipFill>
                    <a:blip r:embed="rId30"/>
                    <a:stretch>
                      <a:fillRect/>
                    </a:stretch>
                  </pic:blipFill>
                  <pic:spPr>
                    <a:xfrm>
                      <a:off x="0" y="0"/>
                      <a:ext cx="3334664" cy="2519933"/>
                    </a:xfrm>
                    <a:prstGeom prst="rect">
                      <a:avLst/>
                    </a:prstGeom>
                  </pic:spPr>
                </pic:pic>
              </a:graphicData>
            </a:graphic>
          </wp:inline>
        </w:drawing>
      </w:r>
    </w:p>
    <w:p w14:paraId="4D9F34BF" w14:textId="77777777" w:rsidR="006974F5" w:rsidRDefault="006974F5" w:rsidP="006974F5">
      <w:pPr>
        <w:pStyle w:val="FigureDescription"/>
      </w:pPr>
      <w:r>
        <w:t xml:space="preserve">Ala = alanine; PABA = para-aminobenzoic acid; PBD = </w:t>
      </w:r>
      <w:proofErr w:type="spellStart"/>
      <w:r>
        <w:t>pyrrolobenzodiazepine</w:t>
      </w:r>
      <w:proofErr w:type="spellEnd"/>
      <w:r>
        <w:t>, PEG = polyethylene glycol;</w:t>
      </w:r>
    </w:p>
    <w:p w14:paraId="6FB760D2" w14:textId="77777777" w:rsidR="006974F5" w:rsidRDefault="006974F5" w:rsidP="006974F5">
      <w:pPr>
        <w:pStyle w:val="FigureDescription"/>
      </w:pPr>
      <w:r>
        <w:t>RB4v1.2 = humanized monoclonal antibody directed against human CD19 antigen; Val = valine.</w:t>
      </w:r>
    </w:p>
    <w:p w14:paraId="68AA8F4C" w14:textId="7EBFE102" w:rsidR="006974F5" w:rsidRPr="00B27B1F" w:rsidRDefault="006974F5" w:rsidP="006974F5">
      <w:pPr>
        <w:pStyle w:val="FigureDescription"/>
      </w:pPr>
      <w:r>
        <w:t>Schematic above illustrates conjugation to one of the interchain cysteine conjugation sites. Loncastuximab tesirine has an average drug/antibody ratio (DAR) of approximately 2.3 consisting of a distribution of drug load species with DAR values ranging from 0 to 6.</w:t>
      </w:r>
    </w:p>
    <w:p w14:paraId="3B4114A3" w14:textId="3E8F4344" w:rsidR="00B27B1F" w:rsidRPr="00B27B1F" w:rsidRDefault="00B27B1F" w:rsidP="00B27B1F">
      <w:pPr>
        <w:pStyle w:val="TableTitle"/>
      </w:pPr>
      <w:bookmarkStart w:id="39" w:name="_Ref221801176"/>
      <w:r w:rsidRPr="00B27B1F">
        <w:t xml:space="preserve">Table </w:t>
      </w:r>
      <w:bookmarkEnd w:id="39"/>
      <w:r>
        <w:t>3.</w:t>
      </w:r>
      <w:r w:rsidRPr="00B27B1F">
        <w:t xml:space="preserve"> General </w:t>
      </w:r>
      <w:r w:rsidR="00DA7CC7">
        <w:t>p</w:t>
      </w:r>
      <w:r w:rsidRPr="00B27B1F">
        <w:t xml:space="preserve">roperties of </w:t>
      </w:r>
      <w:r w:rsidR="00DA7CC7">
        <w:t>l</w:t>
      </w:r>
      <w:r w:rsidRPr="00B27B1F">
        <w:t xml:space="preserve">oncastuximab </w:t>
      </w:r>
      <w:r w:rsidR="00DA7CC7">
        <w:t>t</w:t>
      </w:r>
      <w:r w:rsidRPr="00B27B1F">
        <w:t xml:space="preserve">esirine </w:t>
      </w:r>
      <w:r w:rsidR="00DA7CC7">
        <w:t>d</w:t>
      </w:r>
      <w:r w:rsidRPr="00B27B1F">
        <w:t xml:space="preserve">rug </w:t>
      </w:r>
      <w:r w:rsidR="00DA7CC7">
        <w:t>s</w:t>
      </w:r>
      <w:r w:rsidRPr="00B27B1F">
        <w:t>ubstance</w:t>
      </w:r>
    </w:p>
    <w:p w14:paraId="4AC174F3" w14:textId="77777777" w:rsidR="00B27B1F" w:rsidRPr="00B27B1F" w:rsidRDefault="00B27B1F" w:rsidP="00B27B1F">
      <w:pPr>
        <w:rPr>
          <w:b/>
          <w:bCs/>
        </w:rPr>
      </w:pPr>
      <w:r w:rsidRPr="00B27B1F">
        <w:rPr>
          <w:b/>
          <w:bCs/>
          <w:noProof/>
        </w:rPr>
        <w:drawing>
          <wp:inline distT="0" distB="0" distL="0" distR="0" wp14:anchorId="3CE8357B" wp14:editId="0ADE78EC">
            <wp:extent cx="5202789" cy="1633005"/>
            <wp:effectExtent l="0" t="0" r="0" b="5715"/>
            <wp:docPr id="1885575169" name="Picture 1" descr="Table 3. General properties of loncastuximab tesirine drug substanceA close-up of a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75169" name="Picture 1" descr="Table 3. General properties of loncastuximab tesirine drug substanceA close-up of a test"/>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208420" cy="1634772"/>
                    </a:xfrm>
                    <a:prstGeom prst="rect">
                      <a:avLst/>
                    </a:prstGeom>
                  </pic:spPr>
                </pic:pic>
              </a:graphicData>
            </a:graphic>
          </wp:inline>
        </w:drawing>
      </w:r>
    </w:p>
    <w:p w14:paraId="7AB06FE8" w14:textId="77777777" w:rsidR="00B27B1F" w:rsidRPr="00B27B1F" w:rsidRDefault="00B27B1F" w:rsidP="00B27B1F">
      <w:pPr>
        <w:pStyle w:val="TableDescription"/>
      </w:pPr>
      <w:r w:rsidRPr="00B27B1F">
        <w:t xml:space="preserve">ADC = antibody drug conjugate; CD19 = cluster of differentiation 19; DAR = drug-to-antibody ratio; PBD = </w:t>
      </w:r>
      <w:proofErr w:type="spellStart"/>
      <w:r w:rsidRPr="00B27B1F">
        <w:t>pyrrolobenzodiazepine</w:t>
      </w:r>
      <w:proofErr w:type="spellEnd"/>
    </w:p>
    <w:p w14:paraId="5DC20B1E" w14:textId="77777777" w:rsidR="00B27B1F" w:rsidRPr="00B27B1F" w:rsidRDefault="00B27B1F" w:rsidP="00B27B1F">
      <w:pPr>
        <w:pStyle w:val="TableDescription"/>
      </w:pPr>
      <w:r w:rsidRPr="00B27B1F">
        <w:rPr>
          <w:vertAlign w:val="superscript"/>
        </w:rPr>
        <w:t>a</w:t>
      </w:r>
      <w:r w:rsidRPr="00B27B1F">
        <w:t xml:space="preserve"> Corresponding to N-linked glycosylated form of complex biantennary core-</w:t>
      </w:r>
      <w:proofErr w:type="spellStart"/>
      <w:r w:rsidRPr="00B27B1F">
        <w:t>fucosylated</w:t>
      </w:r>
      <w:proofErr w:type="spellEnd"/>
      <w:r w:rsidRPr="00B27B1F">
        <w:t xml:space="preserve"> oligosaccharide ending in terminal N acetyl glucosamines (G0F) at Asparagine 300 of each heavy chain and cyclization of the N-terminal glutamine in the heavy chain to pyroglutamic acid</w:t>
      </w:r>
    </w:p>
    <w:p w14:paraId="78317734" w14:textId="77777777" w:rsidR="00B27B1F" w:rsidRPr="00B27B1F" w:rsidRDefault="00B27B1F" w:rsidP="00B27B1F">
      <w:pPr>
        <w:pStyle w:val="TableDescription"/>
      </w:pPr>
      <w:r w:rsidRPr="00B27B1F">
        <w:rPr>
          <w:vertAlign w:val="superscript"/>
        </w:rPr>
        <w:t>b</w:t>
      </w:r>
      <w:r w:rsidRPr="00B27B1F">
        <w:t xml:space="preserve"> Corresponding to the main isoform of the antibody drug conjugate</w:t>
      </w:r>
    </w:p>
    <w:p w14:paraId="34E1B37F" w14:textId="7157FA6F" w:rsidR="00B27B1F" w:rsidRPr="00B27B1F" w:rsidRDefault="00B27B1F" w:rsidP="00EA4E88">
      <w:pPr>
        <w:pStyle w:val="Heading5"/>
      </w:pPr>
      <w:r w:rsidRPr="00B27B1F">
        <w:lastRenderedPageBreak/>
        <w:t xml:space="preserve">Drug </w:t>
      </w:r>
      <w:r w:rsidR="009C7E5A">
        <w:t>p</w:t>
      </w:r>
      <w:r w:rsidRPr="00B27B1F">
        <w:t>roduct</w:t>
      </w:r>
    </w:p>
    <w:p w14:paraId="51AFEF32" w14:textId="7E7FA009" w:rsidR="00B27B1F" w:rsidRPr="00B27B1F" w:rsidRDefault="00B27B1F" w:rsidP="00B27B1F">
      <w:r w:rsidRPr="00B27B1F">
        <w:t xml:space="preserve">Loncastuximab tesirine (ADCT-402) drug product is a sterile, white to off-white, lyophilised, preservative-free cake or powder in a single-use vial (10 mg/vial) for reconstitution with 2.2 mL sterile water for injection. Loncastuximab tesirine is administered as an intravenous (IV) infusion. The formulation of the drug product is provided in </w:t>
      </w:r>
      <w:r>
        <w:t>Table 4</w:t>
      </w:r>
      <w:r w:rsidRPr="00B27B1F">
        <w:t>.</w:t>
      </w:r>
    </w:p>
    <w:p w14:paraId="657825C2" w14:textId="7CCA30FE" w:rsidR="00B27B1F" w:rsidRPr="00B27B1F" w:rsidRDefault="00B27B1F" w:rsidP="00B27B1F">
      <w:pPr>
        <w:pStyle w:val="TableTitle"/>
      </w:pPr>
      <w:bookmarkStart w:id="40" w:name="_Ref221802011"/>
      <w:r w:rsidRPr="00B27B1F">
        <w:t>Table</w:t>
      </w:r>
      <w:bookmarkEnd w:id="40"/>
      <w:r>
        <w:t xml:space="preserve"> 4.</w:t>
      </w:r>
      <w:r w:rsidRPr="00B27B1F">
        <w:t xml:space="preserve"> Formulation of loncastuximab tesirine drug product</w:t>
      </w:r>
    </w:p>
    <w:p w14:paraId="4D4D6016" w14:textId="77777777" w:rsidR="00B27B1F" w:rsidRPr="00B27B1F" w:rsidRDefault="00B27B1F" w:rsidP="00B27B1F">
      <w:r w:rsidRPr="00B27B1F">
        <w:rPr>
          <w:noProof/>
        </w:rPr>
        <w:drawing>
          <wp:inline distT="0" distB="0" distL="0" distR="0" wp14:anchorId="6547BADE" wp14:editId="10BF5211">
            <wp:extent cx="4733365" cy="1772521"/>
            <wp:effectExtent l="0" t="0" r="0" b="0"/>
            <wp:docPr id="1632917118" name="Picture 1" descr="Table 4. Formulation of loncastuximab tesirine drug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17118" name="Picture 1" descr="Table 4. Formulation of loncastuximab tesirine drug product"/>
                    <pic:cNvPicPr/>
                  </pic:nvPicPr>
                  <pic:blipFill>
                    <a:blip r:embed="rId33">
                      <a:extLst>
                        <a:ext uri="{BEBA8EAE-BF5A-486C-A8C5-ECC9F3942E4B}">
                          <a14:imgProps xmlns:a14="http://schemas.microsoft.com/office/drawing/2010/main">
                            <a14:imgLayer r:embed="rId34">
                              <a14:imgEffect>
                                <a14:sharpenSoften amount="25000"/>
                              </a14:imgEffect>
                              <a14:imgEffect>
                                <a14:brightnessContrast contrast="40000"/>
                              </a14:imgEffect>
                            </a14:imgLayer>
                          </a14:imgProps>
                        </a:ext>
                      </a:extLst>
                    </a:blip>
                    <a:stretch>
                      <a:fillRect/>
                    </a:stretch>
                  </pic:blipFill>
                  <pic:spPr>
                    <a:xfrm>
                      <a:off x="0" y="0"/>
                      <a:ext cx="4747539" cy="1777829"/>
                    </a:xfrm>
                    <a:prstGeom prst="rect">
                      <a:avLst/>
                    </a:prstGeom>
                  </pic:spPr>
                </pic:pic>
              </a:graphicData>
            </a:graphic>
          </wp:inline>
        </w:drawing>
      </w:r>
    </w:p>
    <w:p w14:paraId="7961EDAE" w14:textId="15834F40" w:rsidR="00B27B1F" w:rsidRPr="00B27B1F" w:rsidRDefault="00B27B1F" w:rsidP="00B27B1F">
      <w:r w:rsidRPr="00B27B1F">
        <w:t>At the conclusion of the evaluation period, there were no objections on quality grounds to the approval of loncastuximab tesirine 10 mg powder for concentrate for solution for infusion vial.</w:t>
      </w:r>
    </w:p>
    <w:p w14:paraId="2BE90AAE" w14:textId="35796FD3" w:rsidR="00C22214" w:rsidRDefault="00C22214" w:rsidP="00C22214">
      <w:pPr>
        <w:pStyle w:val="Heading3"/>
      </w:pPr>
      <w:bookmarkStart w:id="41" w:name="_Toc314842512"/>
      <w:bookmarkStart w:id="42" w:name="_Toc103679296"/>
      <w:bookmarkStart w:id="43" w:name="_Toc232504985"/>
      <w:r>
        <w:t>Nonclinical</w:t>
      </w:r>
      <w:bookmarkEnd w:id="41"/>
      <w:bookmarkEnd w:id="42"/>
      <w:r w:rsidR="007E6443">
        <w:t xml:space="preserve"> evaluation</w:t>
      </w:r>
      <w:r w:rsidR="00095C6A">
        <w:t xml:space="preserve"> summary</w:t>
      </w:r>
      <w:bookmarkEnd w:id="43"/>
    </w:p>
    <w:p w14:paraId="0A6E6A93" w14:textId="493DFB91" w:rsidR="00F17199" w:rsidRPr="00F17199" w:rsidRDefault="00F17199" w:rsidP="00F17199">
      <w:pPr>
        <w:rPr>
          <w:lang w:val="en-US"/>
        </w:rPr>
      </w:pPr>
      <w:r w:rsidRPr="00F17199">
        <w:rPr>
          <w:lang w:val="en-US"/>
        </w:rPr>
        <w:t xml:space="preserve">The set of studies submitted in </w:t>
      </w:r>
      <w:r>
        <w:rPr>
          <w:lang w:val="en-US"/>
        </w:rPr>
        <w:t>the nonclinical dossier were</w:t>
      </w:r>
      <w:r w:rsidRPr="00F17199">
        <w:rPr>
          <w:lang w:val="en-US"/>
        </w:rPr>
        <w:t xml:space="preserve"> in general accordance with the relevant ICH guidelines. However, based on its epitope site and experimental data, loncastuximab tesirine does not bind to CD19 from animal species and the set of studies would not have assessed potential on-target effects. This is a limitation of the </w:t>
      </w:r>
      <w:r w:rsidR="00235BBB" w:rsidRPr="00235BBB">
        <w:rPr>
          <w:lang w:val="en-US"/>
        </w:rPr>
        <w:t>nonclinical dossier</w:t>
      </w:r>
      <w:r w:rsidRPr="00F17199">
        <w:rPr>
          <w:lang w:val="en-US"/>
        </w:rPr>
        <w:t xml:space="preserve"> but not considered a major deficiency.</w:t>
      </w:r>
    </w:p>
    <w:p w14:paraId="6C5DB2C0" w14:textId="3BF747E3" w:rsidR="00F17199" w:rsidRPr="00F17199" w:rsidRDefault="00F17199" w:rsidP="00F17199">
      <w:pPr>
        <w:rPr>
          <w:lang w:val="en-US"/>
        </w:rPr>
      </w:pPr>
      <w:r w:rsidRPr="00F17199">
        <w:rPr>
          <w:i/>
          <w:lang w:val="en-US"/>
        </w:rPr>
        <w:t>In vitro</w:t>
      </w:r>
      <w:r w:rsidRPr="00F17199">
        <w:rPr>
          <w:lang w:val="en-US"/>
        </w:rPr>
        <w:t>, loncastuximab tesirine was specifically cytotoxic to human CD19-positive cells, with the cytotoxic activity attributed to the SG3199-containing drug component. SG3199 forms DNA</w:t>
      </w:r>
      <w:r w:rsidR="00235BBB">
        <w:rPr>
          <w:lang w:val="en-US"/>
        </w:rPr>
        <w:t xml:space="preserve"> </w:t>
      </w:r>
      <w:r w:rsidRPr="00F17199">
        <w:rPr>
          <w:lang w:val="en-US"/>
        </w:rPr>
        <w:t>interstrand crosslinks, leading to irreversible damage and cell death. Significant anti-</w:t>
      </w:r>
      <w:proofErr w:type="spellStart"/>
      <w:r w:rsidRPr="00F17199">
        <w:rPr>
          <w:lang w:val="en-US"/>
        </w:rPr>
        <w:t>tumour</w:t>
      </w:r>
      <w:proofErr w:type="spellEnd"/>
      <w:r w:rsidRPr="00F17199">
        <w:rPr>
          <w:lang w:val="en-US"/>
        </w:rPr>
        <w:t xml:space="preserve"> activity and an increased survival rate was seen in mice </w:t>
      </w:r>
      <w:proofErr w:type="spellStart"/>
      <w:r w:rsidRPr="00F17199">
        <w:rPr>
          <w:lang w:val="en-US"/>
        </w:rPr>
        <w:t>harbouring</w:t>
      </w:r>
      <w:proofErr w:type="spellEnd"/>
      <w:r w:rsidRPr="00F17199">
        <w:rPr>
          <w:lang w:val="en-US"/>
        </w:rPr>
        <w:t xml:space="preserve"> xenografts (both SC and systemic) of CD19-positive human lymphoma/leukemia.</w:t>
      </w:r>
    </w:p>
    <w:p w14:paraId="619F513B" w14:textId="77777777" w:rsidR="00F17199" w:rsidRPr="00F17199" w:rsidRDefault="00F17199" w:rsidP="00235BBB">
      <w:pPr>
        <w:rPr>
          <w:lang w:val="en-US"/>
        </w:rPr>
      </w:pPr>
      <w:r w:rsidRPr="00F17199">
        <w:rPr>
          <w:lang w:val="en-US"/>
        </w:rPr>
        <w:t>Off-target cytotoxic effects associated with circulating SG3199 may be seen in patients.</w:t>
      </w:r>
    </w:p>
    <w:p w14:paraId="37FC2A69" w14:textId="77777777" w:rsidR="00F17199" w:rsidRPr="00F17199" w:rsidRDefault="00F17199" w:rsidP="00235BBB">
      <w:pPr>
        <w:rPr>
          <w:lang w:val="en-US"/>
        </w:rPr>
      </w:pPr>
      <w:r w:rsidRPr="00F17199">
        <w:rPr>
          <w:lang w:val="en-US"/>
        </w:rPr>
        <w:t>Safety pharmacology endpoints incorporated into general repeat-dose toxicity studies revealed no effects of loncastuximab tesirine on CNS, respiratory or cardiovascular function in monkeys. No adverse effects on the function of these organ systems are predicted during clinical use.</w:t>
      </w:r>
    </w:p>
    <w:p w14:paraId="37BD43D1" w14:textId="57DDDAE5" w:rsidR="00F17199" w:rsidRPr="00F17199" w:rsidRDefault="00F17199" w:rsidP="00F17199">
      <w:pPr>
        <w:rPr>
          <w:lang w:val="en-US"/>
        </w:rPr>
      </w:pPr>
      <w:r w:rsidRPr="00F17199">
        <w:rPr>
          <w:lang w:val="en-US"/>
        </w:rPr>
        <w:t>Following IV administration, the pharmacokinetics of loncastuximab tesirine in rats, monkeys and human subjects was generally consistent with that of an IgG antibody: long half-lives and limited distribution. No specific studies on metabolism, excretion or pharmacokinetic</w:t>
      </w:r>
      <w:r w:rsidR="00235BBB">
        <w:rPr>
          <w:lang w:val="en-US"/>
        </w:rPr>
        <w:t xml:space="preserve"> </w:t>
      </w:r>
      <w:r w:rsidRPr="00F17199">
        <w:rPr>
          <w:lang w:val="en-US"/>
        </w:rPr>
        <w:t xml:space="preserve">interactions were conducted with loncastuximab tesirine, which is acceptable. Plasma binding of SG3199 is high across </w:t>
      </w:r>
      <w:proofErr w:type="gramStart"/>
      <w:r w:rsidRPr="00F17199">
        <w:rPr>
          <w:lang w:val="en-US"/>
        </w:rPr>
        <w:t>rat</w:t>
      </w:r>
      <w:proofErr w:type="gramEnd"/>
      <w:r w:rsidRPr="00F17199">
        <w:rPr>
          <w:lang w:val="en-US"/>
        </w:rPr>
        <w:t xml:space="preserve">, </w:t>
      </w:r>
      <w:proofErr w:type="gramStart"/>
      <w:r w:rsidRPr="00F17199">
        <w:rPr>
          <w:lang w:val="en-US"/>
        </w:rPr>
        <w:t>monkey</w:t>
      </w:r>
      <w:proofErr w:type="gramEnd"/>
      <w:r w:rsidRPr="00F17199">
        <w:rPr>
          <w:lang w:val="en-US"/>
        </w:rPr>
        <w:t xml:space="preserve"> and humans. In a tissue distribution study with 3H-SG3199, there was no evidence of retention of radioactivity in the melanin-containing uveal tract or skin and no evidence of blood-brain barrier penetration; however, the sensitivity of the assay was</w:t>
      </w:r>
      <w:r w:rsidR="00235BBB">
        <w:rPr>
          <w:lang w:val="en-US"/>
        </w:rPr>
        <w:t xml:space="preserve"> </w:t>
      </w:r>
      <w:r w:rsidRPr="00F17199">
        <w:rPr>
          <w:lang w:val="en-US"/>
        </w:rPr>
        <w:t>poor. SG3199 undergoes metabolism by CYP3A4/5 and a non-CYP enzyme mediated mechanism.</w:t>
      </w:r>
    </w:p>
    <w:p w14:paraId="72DF799F" w14:textId="77777777" w:rsidR="00F17199" w:rsidRPr="00F17199" w:rsidRDefault="00F17199" w:rsidP="00F17199">
      <w:pPr>
        <w:rPr>
          <w:lang w:val="en-US"/>
        </w:rPr>
      </w:pPr>
      <w:r w:rsidRPr="00F17199">
        <w:rPr>
          <w:lang w:val="en-US"/>
        </w:rPr>
        <w:t>Biliary/</w:t>
      </w:r>
      <w:proofErr w:type="spellStart"/>
      <w:r w:rsidRPr="00F17199">
        <w:rPr>
          <w:lang w:val="en-US"/>
        </w:rPr>
        <w:t>faecal</w:t>
      </w:r>
      <w:proofErr w:type="spellEnd"/>
      <w:r w:rsidRPr="00F17199">
        <w:rPr>
          <w:lang w:val="en-US"/>
        </w:rPr>
        <w:t xml:space="preserve"> excretion was the major excretion route of SG3199-related material in rats. Given the species-specificity of loncastuximab tesirine, target mediated drug disposition would not have been assessed in animals.</w:t>
      </w:r>
    </w:p>
    <w:p w14:paraId="3A8FD964" w14:textId="77777777" w:rsidR="00B903EA" w:rsidRDefault="00F17199" w:rsidP="00B903EA">
      <w:pPr>
        <w:rPr>
          <w:lang w:val="en-US"/>
        </w:rPr>
      </w:pPr>
      <w:r w:rsidRPr="00F17199">
        <w:rPr>
          <w:lang w:val="en-US"/>
        </w:rPr>
        <w:lastRenderedPageBreak/>
        <w:t xml:space="preserve">Based on </w:t>
      </w:r>
      <w:r w:rsidRPr="00F17199">
        <w:rPr>
          <w:i/>
          <w:lang w:val="en-US"/>
        </w:rPr>
        <w:t xml:space="preserve">in vitro </w:t>
      </w:r>
      <w:r w:rsidRPr="00F17199">
        <w:rPr>
          <w:lang w:val="en-US"/>
        </w:rPr>
        <w:t>studies with SG3199, loncastuximab tesirine is not predicted to alter the pharmacokinetics of co-administered drugs through interactions with transporters or CYP450</w:t>
      </w:r>
      <w:r w:rsidR="00235BBB">
        <w:rPr>
          <w:lang w:val="en-US"/>
        </w:rPr>
        <w:t xml:space="preserve"> </w:t>
      </w:r>
      <w:r w:rsidRPr="00F17199">
        <w:rPr>
          <w:lang w:val="en-US"/>
        </w:rPr>
        <w:t>enzymes. SG3199 is a substrate for P-glycoprotein. The effect of co-administered P-glycoprotein</w:t>
      </w:r>
      <w:r w:rsidR="00235BBB">
        <w:rPr>
          <w:lang w:val="en-US"/>
        </w:rPr>
        <w:t xml:space="preserve"> </w:t>
      </w:r>
      <w:r w:rsidRPr="00F17199">
        <w:rPr>
          <w:lang w:val="en-US"/>
        </w:rPr>
        <w:t>inhibitors on SG3199 exposures appears to have been considered in the clinical dataset. However, P-glycoprotein inhibitors may increase the potential for adverse CNS effects. As</w:t>
      </w:r>
      <w:r w:rsidR="00235BBB">
        <w:rPr>
          <w:lang w:val="en-US"/>
        </w:rPr>
        <w:t xml:space="preserve"> </w:t>
      </w:r>
      <w:r w:rsidRPr="00F17199">
        <w:rPr>
          <w:lang w:val="en-US"/>
        </w:rPr>
        <w:t>SG3199 is a substrate for CYP3A4/5, it is uncertain if inhibitors of these enzymes may affect</w:t>
      </w:r>
      <w:r w:rsidR="00235BBB">
        <w:rPr>
          <w:lang w:val="en-US"/>
        </w:rPr>
        <w:t xml:space="preserve"> </w:t>
      </w:r>
      <w:r w:rsidRPr="00F17199">
        <w:rPr>
          <w:lang w:val="en-US"/>
        </w:rPr>
        <w:t xml:space="preserve">SG3199 exposure in patients. </w:t>
      </w:r>
    </w:p>
    <w:p w14:paraId="344776FA" w14:textId="4D61C358" w:rsidR="00F17199" w:rsidRPr="00F17199" w:rsidRDefault="00F17199" w:rsidP="00B903EA">
      <w:pPr>
        <w:rPr>
          <w:lang w:val="en-US"/>
        </w:rPr>
      </w:pPr>
      <w:r w:rsidRPr="00F17199">
        <w:rPr>
          <w:lang w:val="en-US"/>
        </w:rPr>
        <w:t>A single-dose toxicity study with loncastuximab tesirine indicated a moderate order of toxicity in rats by the IV route.</w:t>
      </w:r>
    </w:p>
    <w:p w14:paraId="7352529C" w14:textId="6E8DC94D" w:rsidR="00F17199" w:rsidRPr="00F17199" w:rsidRDefault="00F17199" w:rsidP="00F17199">
      <w:pPr>
        <w:rPr>
          <w:lang w:val="en-US"/>
        </w:rPr>
      </w:pPr>
      <w:r w:rsidRPr="00F17199">
        <w:rPr>
          <w:lang w:val="en-US"/>
        </w:rPr>
        <w:t>Repeat-dose toxicity studies by the IV route were conducted with loncastuximab tesirine in cynomolgus monkeys (up to 3 months) and with SG3199 in rats (4 weeks). The toxicities</w:t>
      </w:r>
      <w:r w:rsidR="00B903EA">
        <w:rPr>
          <w:lang w:val="en-US"/>
        </w:rPr>
        <w:t xml:space="preserve"> </w:t>
      </w:r>
      <w:r w:rsidRPr="00F17199">
        <w:rPr>
          <w:lang w:val="en-US"/>
        </w:rPr>
        <w:t xml:space="preserve">observed with loncastuximab tesirine included skin changes (epidermal hyperpigmentation with hyperplasia/hyperkeratosis) both at the injection site and at sites distant from the injection site, bone marrow suppression with </w:t>
      </w:r>
      <w:proofErr w:type="gramStart"/>
      <w:r w:rsidRPr="00F17199">
        <w:rPr>
          <w:lang w:val="en-US"/>
        </w:rPr>
        <w:t>particular effects</w:t>
      </w:r>
      <w:proofErr w:type="gramEnd"/>
      <w:r w:rsidRPr="00F17199">
        <w:rPr>
          <w:lang w:val="en-US"/>
        </w:rPr>
        <w:t xml:space="preserve"> on the erythroid lineage, nephrotoxicity and</w:t>
      </w:r>
      <w:r w:rsidR="00B903EA">
        <w:rPr>
          <w:lang w:val="en-US"/>
        </w:rPr>
        <w:t xml:space="preserve"> </w:t>
      </w:r>
      <w:r w:rsidRPr="00F17199">
        <w:rPr>
          <w:lang w:val="en-US"/>
        </w:rPr>
        <w:t>testicular atrophy with reduced spermatogenesis. The testicular atrophy had generally not reversed after a period of two spermatogenesis cycles. The toxicities were attributed to the drug component of loncastuximab tesirine (SG3199), and maximum exposures to this component</w:t>
      </w:r>
      <w:r w:rsidR="00B903EA">
        <w:rPr>
          <w:lang w:val="en-US"/>
        </w:rPr>
        <w:t xml:space="preserve"> </w:t>
      </w:r>
      <w:r w:rsidRPr="00F17199">
        <w:rPr>
          <w:lang w:val="en-US"/>
        </w:rPr>
        <w:t xml:space="preserve">were subclinical in monkeys. Additional </w:t>
      </w:r>
      <w:proofErr w:type="gramStart"/>
      <w:r w:rsidRPr="00F17199">
        <w:rPr>
          <w:lang w:val="en-US"/>
        </w:rPr>
        <w:t>clinically-relevant</w:t>
      </w:r>
      <w:proofErr w:type="gramEnd"/>
      <w:r w:rsidRPr="00F17199">
        <w:rPr>
          <w:lang w:val="en-US"/>
        </w:rPr>
        <w:t xml:space="preserve"> toxicities seen in rats treated directly with SG3199, included greater evidence of bone marrow suppression with </w:t>
      </w:r>
      <w:proofErr w:type="spellStart"/>
      <w:r w:rsidRPr="00F17199">
        <w:rPr>
          <w:lang w:val="en-US"/>
        </w:rPr>
        <w:t>pancytopaenia</w:t>
      </w:r>
      <w:proofErr w:type="spellEnd"/>
      <w:r w:rsidRPr="00F17199">
        <w:rPr>
          <w:lang w:val="en-US"/>
        </w:rPr>
        <w:t>,</w:t>
      </w:r>
    </w:p>
    <w:p w14:paraId="5EFC97AC" w14:textId="5762EDD6" w:rsidR="00F17199" w:rsidRPr="00F17199" w:rsidRDefault="00F17199" w:rsidP="00F17199">
      <w:pPr>
        <w:rPr>
          <w:lang w:val="en-US"/>
        </w:rPr>
      </w:pPr>
      <w:r w:rsidRPr="00F17199">
        <w:rPr>
          <w:lang w:val="en-US"/>
        </w:rPr>
        <w:t>hepatobiliary toxicity and gastrointestinal effects. Expected effects due to the CD19-targetting</w:t>
      </w:r>
      <w:r w:rsidR="00B903EA">
        <w:rPr>
          <w:lang w:val="en-US"/>
        </w:rPr>
        <w:t xml:space="preserve"> </w:t>
      </w:r>
      <w:r w:rsidRPr="00F17199">
        <w:rPr>
          <w:lang w:val="en-US"/>
        </w:rPr>
        <w:t>aspect of the drug include depletion of peripheral B-cells with a consequential risk of infection in patients.</w:t>
      </w:r>
    </w:p>
    <w:p w14:paraId="1B537B40" w14:textId="77777777" w:rsidR="00F17199" w:rsidRPr="00F17199" w:rsidRDefault="00F17199" w:rsidP="00B903EA">
      <w:pPr>
        <w:rPr>
          <w:lang w:val="en-US"/>
        </w:rPr>
      </w:pPr>
      <w:r w:rsidRPr="00F17199">
        <w:rPr>
          <w:lang w:val="en-US"/>
        </w:rPr>
        <w:t xml:space="preserve">SG3199 is a DNA reactive compound and is expected to be mutagenic and carcinogenic. Positive results were seen in </w:t>
      </w:r>
      <w:r w:rsidRPr="00F17199">
        <w:rPr>
          <w:i/>
          <w:lang w:val="en-US"/>
        </w:rPr>
        <w:t xml:space="preserve">in vitro </w:t>
      </w:r>
      <w:r w:rsidRPr="00F17199">
        <w:rPr>
          <w:lang w:val="en-US"/>
        </w:rPr>
        <w:t>micronucleus and chromosomal aberration tests.</w:t>
      </w:r>
    </w:p>
    <w:p w14:paraId="20133E27" w14:textId="78870AC9" w:rsidR="00F17199" w:rsidRPr="00F17199" w:rsidRDefault="00F17199" w:rsidP="00F17199">
      <w:pPr>
        <w:rPr>
          <w:lang w:val="en-US"/>
        </w:rPr>
      </w:pPr>
      <w:r w:rsidRPr="00F17199">
        <w:rPr>
          <w:lang w:val="en-US"/>
        </w:rPr>
        <w:t>Reproductive and developmental studies were not conducted. This is acceptable given the repeat dose toxicity findings in the male reproductive organs and the genotoxic properties of SG3199. The testicular atrophy with reduced spermatogenesis activity of loncastuximab tesirine suggest that loncastuximab tesirine would have adverse effects on male fertility. SG3199 is expected to be teratogenic and cause embryofetal death, while placental transfer of loncastuximab tesirine is</w:t>
      </w:r>
      <w:r w:rsidR="00B903EA">
        <w:rPr>
          <w:lang w:val="en-US"/>
        </w:rPr>
        <w:t xml:space="preserve"> </w:t>
      </w:r>
      <w:r w:rsidRPr="00F17199">
        <w:rPr>
          <w:lang w:val="en-US"/>
        </w:rPr>
        <w:t>possible.</w:t>
      </w:r>
    </w:p>
    <w:p w14:paraId="5B598B17" w14:textId="007631C9" w:rsidR="00F17199" w:rsidRPr="00F17199" w:rsidRDefault="00F17199" w:rsidP="00F17199">
      <w:pPr>
        <w:rPr>
          <w:lang w:val="en-US"/>
        </w:rPr>
      </w:pPr>
      <w:r w:rsidRPr="00F17199">
        <w:rPr>
          <w:lang w:val="en-US"/>
        </w:rPr>
        <w:t xml:space="preserve">SG3199 is photoreactive. Exposure to visible light, UVA or UVB radiation enhanced the ability of SG3199 to mediate DNA crosslinking and induce double-stranded breaks. This </w:t>
      </w:r>
      <w:proofErr w:type="spellStart"/>
      <w:r w:rsidRPr="00F17199">
        <w:rPr>
          <w:lang w:val="en-US"/>
        </w:rPr>
        <w:t>photoreactivity</w:t>
      </w:r>
      <w:proofErr w:type="spellEnd"/>
      <w:r w:rsidRPr="00F17199">
        <w:rPr>
          <w:lang w:val="en-US"/>
        </w:rPr>
        <w:t xml:space="preserve"> may be the underlying cause of the skin reactions seen in monkeys, though this has not been</w:t>
      </w:r>
      <w:r w:rsidR="00B903EA">
        <w:rPr>
          <w:lang w:val="en-US"/>
        </w:rPr>
        <w:t xml:space="preserve"> </w:t>
      </w:r>
      <w:r w:rsidRPr="00F17199">
        <w:rPr>
          <w:lang w:val="en-US"/>
        </w:rPr>
        <w:t>confirmed.</w:t>
      </w:r>
    </w:p>
    <w:p w14:paraId="1539D1F1" w14:textId="60B2F7E0" w:rsidR="00F17199" w:rsidRPr="00F17199" w:rsidRDefault="00B903EA" w:rsidP="00B903EA">
      <w:pPr>
        <w:pStyle w:val="Heading4"/>
        <w:rPr>
          <w:lang w:val="en-US"/>
        </w:rPr>
      </w:pPr>
      <w:bookmarkStart w:id="44" w:name="_TOC_250058"/>
      <w:bookmarkStart w:id="45" w:name="_Toc232504986"/>
      <w:r>
        <w:rPr>
          <w:lang w:val="en-US"/>
        </w:rPr>
        <w:t>Conclusions</w:t>
      </w:r>
      <w:bookmarkEnd w:id="44"/>
      <w:bookmarkEnd w:id="45"/>
    </w:p>
    <w:p w14:paraId="6637C332" w14:textId="77777777" w:rsidR="00F17199" w:rsidRPr="00F17199" w:rsidRDefault="00F17199" w:rsidP="00B903EA">
      <w:pPr>
        <w:rPr>
          <w:lang w:val="en-US"/>
        </w:rPr>
      </w:pPr>
      <w:r w:rsidRPr="00F17199">
        <w:rPr>
          <w:lang w:val="en-US"/>
        </w:rPr>
        <w:t>The primary pharmacology studies lend support for the proposed clinical use of loncastuximab tesirine in patients with relapsed or refractory DLBCL.</w:t>
      </w:r>
    </w:p>
    <w:p w14:paraId="04483B4C" w14:textId="77777777" w:rsidR="00F17199" w:rsidRPr="00F17199" w:rsidRDefault="00F17199" w:rsidP="00B903EA">
      <w:pPr>
        <w:rPr>
          <w:lang w:val="en-US"/>
        </w:rPr>
      </w:pPr>
      <w:r w:rsidRPr="00F17199">
        <w:rPr>
          <w:lang w:val="en-US"/>
        </w:rPr>
        <w:t>Follow-up clinical assessment/analysis of the effect of CYP3A4/5 inhibitors on the exposures to and/or safety of SG3199 may be warranted.</w:t>
      </w:r>
    </w:p>
    <w:p w14:paraId="621775D3" w14:textId="1D277D2B" w:rsidR="00F17199" w:rsidRPr="00F17199" w:rsidRDefault="00F17199" w:rsidP="00B903EA">
      <w:pPr>
        <w:rPr>
          <w:lang w:val="en-US"/>
        </w:rPr>
      </w:pPr>
      <w:r w:rsidRPr="00F17199">
        <w:rPr>
          <w:lang w:val="en-US"/>
        </w:rPr>
        <w:t xml:space="preserve">The </w:t>
      </w:r>
      <w:r w:rsidR="008634AE">
        <w:rPr>
          <w:lang w:val="en-US"/>
        </w:rPr>
        <w:t>nonclinical</w:t>
      </w:r>
      <w:r w:rsidRPr="00F17199">
        <w:rPr>
          <w:lang w:val="en-US"/>
        </w:rPr>
        <w:t xml:space="preserve"> assessment identified the following notable findings of potential clinical relevance:</w:t>
      </w:r>
    </w:p>
    <w:p w14:paraId="391007BA" w14:textId="77777777" w:rsidR="00F17199" w:rsidRPr="00F17199" w:rsidRDefault="00F17199" w:rsidP="00B903EA">
      <w:pPr>
        <w:pStyle w:val="ListBullet"/>
        <w:rPr>
          <w:lang w:val="en-US"/>
        </w:rPr>
      </w:pPr>
      <w:r w:rsidRPr="00F17199">
        <w:rPr>
          <w:lang w:val="en-US"/>
        </w:rPr>
        <w:t>Skin reactions, including epidermal hyperpigmentation at the injection site as well as sites distant from the injection site;</w:t>
      </w:r>
    </w:p>
    <w:p w14:paraId="37054FE0" w14:textId="77777777" w:rsidR="00F17199" w:rsidRPr="00F17199" w:rsidRDefault="00F17199" w:rsidP="00B903EA">
      <w:pPr>
        <w:pStyle w:val="ListBullet"/>
        <w:rPr>
          <w:lang w:val="en-US"/>
        </w:rPr>
      </w:pPr>
      <w:r w:rsidRPr="00F17199">
        <w:rPr>
          <w:lang w:val="en-US"/>
        </w:rPr>
        <w:t>Bone marrow suppression, potentially affecting all lineages;</w:t>
      </w:r>
    </w:p>
    <w:p w14:paraId="61D60E07" w14:textId="77777777" w:rsidR="00F17199" w:rsidRPr="00F17199" w:rsidRDefault="00F17199" w:rsidP="00B903EA">
      <w:pPr>
        <w:pStyle w:val="ListBullet"/>
        <w:rPr>
          <w:lang w:val="en-US"/>
        </w:rPr>
      </w:pPr>
      <w:r w:rsidRPr="00F17199">
        <w:rPr>
          <w:lang w:val="en-US"/>
        </w:rPr>
        <w:lastRenderedPageBreak/>
        <w:t>Nephrotoxicity;</w:t>
      </w:r>
    </w:p>
    <w:p w14:paraId="6BE51196" w14:textId="77777777" w:rsidR="00F17199" w:rsidRPr="00F17199" w:rsidRDefault="00F17199" w:rsidP="00B903EA">
      <w:pPr>
        <w:pStyle w:val="ListBullet"/>
        <w:rPr>
          <w:lang w:val="en-US"/>
        </w:rPr>
      </w:pPr>
      <w:r w:rsidRPr="00F17199">
        <w:rPr>
          <w:lang w:val="en-US"/>
        </w:rPr>
        <w:t>Reduced spermatogenesis in males, which was not reversed after a 12-week treatment-free period;</w:t>
      </w:r>
    </w:p>
    <w:p w14:paraId="4DE088AC" w14:textId="77777777" w:rsidR="00F17199" w:rsidRPr="00F17199" w:rsidRDefault="00F17199" w:rsidP="00B903EA">
      <w:pPr>
        <w:pStyle w:val="ListBullet"/>
        <w:rPr>
          <w:lang w:val="en-US"/>
        </w:rPr>
      </w:pPr>
      <w:r w:rsidRPr="00F17199">
        <w:rPr>
          <w:lang w:val="en-US"/>
        </w:rPr>
        <w:t>Hepatobiliary toxicity and gastrointestinal disturbances;</w:t>
      </w:r>
    </w:p>
    <w:p w14:paraId="10CDC49D" w14:textId="783A3B1F" w:rsidR="00E56469" w:rsidRPr="00AB37B0" w:rsidRDefault="00F17199" w:rsidP="00AB37B0">
      <w:pPr>
        <w:pStyle w:val="ListBullet"/>
      </w:pPr>
      <w:r w:rsidRPr="00F17199">
        <w:rPr>
          <w:lang w:val="en-US"/>
        </w:rPr>
        <w:t>Teratogenicity and risk if used during pregnanc</w:t>
      </w:r>
      <w:r w:rsidR="00B903EA">
        <w:rPr>
          <w:lang w:val="en-US"/>
        </w:rPr>
        <w:t>y</w:t>
      </w:r>
    </w:p>
    <w:p w14:paraId="44843B14" w14:textId="48D3AC92" w:rsidR="00AB37B0" w:rsidRPr="00E56469" w:rsidRDefault="00AB37B0" w:rsidP="00AB37B0">
      <w:pPr>
        <w:pStyle w:val="ListBullet"/>
        <w:numPr>
          <w:ilvl w:val="0"/>
          <w:numId w:val="0"/>
        </w:numPr>
      </w:pPr>
      <w:r>
        <w:t>There</w:t>
      </w:r>
      <w:r>
        <w:rPr>
          <w:spacing w:val="-9"/>
        </w:rPr>
        <w:t xml:space="preserve"> </w:t>
      </w:r>
      <w:r>
        <w:t>are</w:t>
      </w:r>
      <w:r>
        <w:rPr>
          <w:spacing w:val="-7"/>
        </w:rPr>
        <w:t xml:space="preserve"> </w:t>
      </w:r>
      <w:r>
        <w:t>no</w:t>
      </w:r>
      <w:r>
        <w:rPr>
          <w:spacing w:val="-7"/>
        </w:rPr>
        <w:t xml:space="preserve"> </w:t>
      </w:r>
      <w:r>
        <w:t>objections</w:t>
      </w:r>
      <w:r>
        <w:rPr>
          <w:spacing w:val="-6"/>
        </w:rPr>
        <w:t xml:space="preserve"> </w:t>
      </w:r>
      <w:r>
        <w:t>on</w:t>
      </w:r>
      <w:r>
        <w:rPr>
          <w:spacing w:val="-7"/>
        </w:rPr>
        <w:t xml:space="preserve"> </w:t>
      </w:r>
      <w:r>
        <w:t>nonclinical</w:t>
      </w:r>
      <w:r>
        <w:rPr>
          <w:spacing w:val="-7"/>
        </w:rPr>
        <w:t xml:space="preserve"> </w:t>
      </w:r>
      <w:r>
        <w:t>grounds</w:t>
      </w:r>
      <w:r>
        <w:rPr>
          <w:spacing w:val="-7"/>
        </w:rPr>
        <w:t xml:space="preserve"> </w:t>
      </w:r>
      <w:r>
        <w:t>to</w:t>
      </w:r>
      <w:r>
        <w:rPr>
          <w:spacing w:val="-7"/>
        </w:rPr>
        <w:t xml:space="preserve"> </w:t>
      </w:r>
      <w:r>
        <w:t>the</w:t>
      </w:r>
      <w:r>
        <w:rPr>
          <w:spacing w:val="-7"/>
        </w:rPr>
        <w:t xml:space="preserve"> </w:t>
      </w:r>
      <w:r>
        <w:t>registration</w:t>
      </w:r>
      <w:r>
        <w:rPr>
          <w:spacing w:val="-7"/>
        </w:rPr>
        <w:t xml:space="preserve"> </w:t>
      </w:r>
      <w:r>
        <w:t>of</w:t>
      </w:r>
      <w:r>
        <w:rPr>
          <w:spacing w:val="-7"/>
        </w:rPr>
        <w:t xml:space="preserve"> </w:t>
      </w:r>
      <w:r>
        <w:t>loncastuximab</w:t>
      </w:r>
      <w:r>
        <w:rPr>
          <w:spacing w:val="-9"/>
        </w:rPr>
        <w:t xml:space="preserve"> </w:t>
      </w:r>
      <w:r>
        <w:t>tesirine</w:t>
      </w:r>
      <w:r>
        <w:rPr>
          <w:spacing w:val="-6"/>
        </w:rPr>
        <w:t xml:space="preserve"> </w:t>
      </w:r>
      <w:r>
        <w:rPr>
          <w:spacing w:val="-5"/>
        </w:rPr>
        <w:t>for</w:t>
      </w:r>
      <w:r w:rsidR="002160E8">
        <w:rPr>
          <w:spacing w:val="-5"/>
        </w:rPr>
        <w:t xml:space="preserve"> </w:t>
      </w:r>
      <w:r>
        <w:t>the</w:t>
      </w:r>
      <w:r>
        <w:rPr>
          <w:spacing w:val="-4"/>
        </w:rPr>
        <w:t xml:space="preserve"> </w:t>
      </w:r>
      <w:r>
        <w:t>proposed</w:t>
      </w:r>
      <w:r>
        <w:rPr>
          <w:spacing w:val="-4"/>
        </w:rPr>
        <w:t xml:space="preserve"> </w:t>
      </w:r>
      <w:r>
        <w:t xml:space="preserve">indication. </w:t>
      </w:r>
    </w:p>
    <w:p w14:paraId="35B580A5" w14:textId="40B226DC" w:rsidR="00C22214" w:rsidRDefault="00C22214" w:rsidP="008804CF">
      <w:pPr>
        <w:pStyle w:val="Heading3"/>
      </w:pPr>
      <w:bookmarkStart w:id="46" w:name="_Toc247691530"/>
      <w:bookmarkStart w:id="47" w:name="_Toc314842513"/>
      <w:bookmarkStart w:id="48" w:name="_Toc103679297"/>
      <w:bookmarkStart w:id="49" w:name="_Toc232504987"/>
      <w:r>
        <w:t>Clinical</w:t>
      </w:r>
      <w:bookmarkEnd w:id="46"/>
      <w:bookmarkEnd w:id="47"/>
      <w:bookmarkEnd w:id="48"/>
      <w:r w:rsidR="00095C6A">
        <w:t xml:space="preserve"> evaluation summary</w:t>
      </w:r>
      <w:bookmarkEnd w:id="49"/>
    </w:p>
    <w:p w14:paraId="098774D0" w14:textId="20B70AA6" w:rsidR="00882F17" w:rsidRPr="00882F17" w:rsidRDefault="00882F17" w:rsidP="00882F17">
      <w:r w:rsidRPr="00882F17">
        <w:t>The submission included two clinical studies providing evaluable efficacy and safety data for loncastuximab tesirine monotherapy for ≥3</w:t>
      </w:r>
      <w:r w:rsidRPr="00882F17">
        <w:rPr>
          <w:vertAlign w:val="superscript"/>
        </w:rPr>
        <w:t>rd</w:t>
      </w:r>
      <w:r w:rsidRPr="00882F17">
        <w:t xml:space="preserve"> line treatment for patients with </w:t>
      </w:r>
      <w:r w:rsidR="003E35BE" w:rsidRPr="003E35BE">
        <w:t xml:space="preserve">relapsed or refractory </w:t>
      </w:r>
      <w:r w:rsidR="003E35BE">
        <w:t>(</w:t>
      </w:r>
      <w:r w:rsidRPr="00882F17">
        <w:t>R/R</w:t>
      </w:r>
      <w:r w:rsidR="003E35BE">
        <w:t>)</w:t>
      </w:r>
      <w:r w:rsidRPr="00882F17">
        <w:t xml:space="preserve"> DLBCL at the proposed dose of 150 µg/kg every 3 weeks (Q3W) for 2 cycles followed by 75 µg/kg Q3W: ADCT-402-201 and ADCT-402-101. </w:t>
      </w:r>
    </w:p>
    <w:p w14:paraId="06ABB613" w14:textId="77777777" w:rsidR="00882F17" w:rsidRPr="00882F17" w:rsidRDefault="00882F17" w:rsidP="00882F17">
      <w:pPr>
        <w:pStyle w:val="Heading5"/>
      </w:pPr>
      <w:r w:rsidRPr="00882F17">
        <w:t>Study ADCT-402-201 (LOTIS-2)</w:t>
      </w:r>
    </w:p>
    <w:p w14:paraId="0474A450" w14:textId="445B3E77" w:rsidR="00882F17" w:rsidRPr="00882F17" w:rsidRDefault="00882F17" w:rsidP="00882F17">
      <w:r w:rsidRPr="00882F17">
        <w:t xml:space="preserve">This is the pivotal efficacy study for the submission. Study ADCT-402-201 was a Phase 2, open-label, single-arm, multi-centre trial evaluating loncastuximab tesirine for the treatment of R/R DLBCL in patients who had received at least 2 prior lines of therapy. The primary endpoint was </w:t>
      </w:r>
      <w:r w:rsidR="00DF7C2F">
        <w:t>overall response rate (</w:t>
      </w:r>
      <w:r w:rsidRPr="00882F17">
        <w:t>ORR</w:t>
      </w:r>
      <w:r w:rsidR="00DF7C2F">
        <w:t>)</w:t>
      </w:r>
      <w:r w:rsidRPr="00882F17">
        <w:t xml:space="preserve"> by central review. </w:t>
      </w:r>
    </w:p>
    <w:p w14:paraId="09D04764" w14:textId="77777777" w:rsidR="00882F17" w:rsidRPr="00882F17" w:rsidRDefault="00882F17" w:rsidP="00882F17">
      <w:r w:rsidRPr="00882F17">
        <w:t>Trial inclusion criteria included:</w:t>
      </w:r>
    </w:p>
    <w:p w14:paraId="164F6EE5" w14:textId="77777777" w:rsidR="00882F17" w:rsidRPr="00882F17" w:rsidRDefault="00882F17" w:rsidP="00882F17">
      <w:pPr>
        <w:pStyle w:val="ListBullet"/>
      </w:pPr>
      <w:r w:rsidRPr="00882F17">
        <w:t>Age 18 years or older</w:t>
      </w:r>
    </w:p>
    <w:p w14:paraId="005DF713" w14:textId="7A845FCA" w:rsidR="00882F17" w:rsidRPr="00882F17" w:rsidRDefault="00882F17" w:rsidP="00882F17">
      <w:pPr>
        <w:pStyle w:val="ListBullet"/>
      </w:pPr>
      <w:r w:rsidRPr="00882F17">
        <w:t>Pathologic diagnosis of DLBCL, as defined by the 2016 WHO classification</w:t>
      </w:r>
      <w:bookmarkStart w:id="50" w:name="_Ref229559065"/>
      <w:r w:rsidR="008C1736">
        <w:rPr>
          <w:rStyle w:val="FootnoteReference"/>
        </w:rPr>
        <w:footnoteReference w:id="9"/>
      </w:r>
      <w:bookmarkEnd w:id="50"/>
      <w:r w:rsidRPr="00882F17">
        <w:t xml:space="preserve">, to include: DLBCL NOS; primary mediastinal large B-cell lymphoma (PMBCL); and high-grade B-cell lymphoma (HGBL) with </w:t>
      </w:r>
      <w:r w:rsidRPr="00882F17">
        <w:rPr>
          <w:i/>
          <w:iCs/>
        </w:rPr>
        <w:t>MYC</w:t>
      </w:r>
      <w:r w:rsidRPr="00882F17">
        <w:t xml:space="preserve"> and </w:t>
      </w:r>
      <w:r w:rsidRPr="00882F17">
        <w:rPr>
          <w:i/>
          <w:iCs/>
        </w:rPr>
        <w:t>BCL2</w:t>
      </w:r>
      <w:r w:rsidRPr="00882F17">
        <w:t xml:space="preserve"> and/or </w:t>
      </w:r>
      <w:r w:rsidRPr="00882F17">
        <w:rPr>
          <w:i/>
          <w:iCs/>
        </w:rPr>
        <w:t>BCL6</w:t>
      </w:r>
      <w:r w:rsidRPr="00882F17">
        <w:t xml:space="preserve"> rearrangements</w:t>
      </w:r>
    </w:p>
    <w:p w14:paraId="2FDC4A00" w14:textId="77777777" w:rsidR="00882F17" w:rsidRPr="00882F17" w:rsidRDefault="00882F17" w:rsidP="00882F17">
      <w:pPr>
        <w:pStyle w:val="ListBullet"/>
      </w:pPr>
      <w:r w:rsidRPr="00882F17">
        <w:t>Relapsed or refractory disease following 2 or more multi-agent systemic treatment regimens</w:t>
      </w:r>
    </w:p>
    <w:p w14:paraId="310FC163" w14:textId="77777777" w:rsidR="00882F17" w:rsidRPr="00882F17" w:rsidRDefault="00882F17" w:rsidP="00882F17">
      <w:r w:rsidRPr="00882F17">
        <w:t xml:space="preserve">Exclusion criteria included diagnosis of Burkitt’s lymphoma, stem cell transplant within 30 days (autologous) or 60 days (allogeneic) prior to first dose of study drug, lymphoma with active CNS involvement at the time of screening, bulky disease (any tumour ≥10 cm in longest dimension), congenital long QT syndrome or </w:t>
      </w:r>
      <w:proofErr w:type="spellStart"/>
      <w:r w:rsidRPr="00882F17">
        <w:t>QTcF</w:t>
      </w:r>
      <w:proofErr w:type="spellEnd"/>
      <w:r w:rsidRPr="00882F17">
        <w:t xml:space="preserve"> interval of &gt;480 </w:t>
      </w:r>
      <w:proofErr w:type="spellStart"/>
      <w:r w:rsidRPr="00882F17">
        <w:t>ms</w:t>
      </w:r>
      <w:proofErr w:type="spellEnd"/>
      <w:r w:rsidRPr="00882F17">
        <w:t xml:space="preserve"> at screening.</w:t>
      </w:r>
    </w:p>
    <w:p w14:paraId="447ABD98" w14:textId="77777777" w:rsidR="00882F17" w:rsidRPr="00882F17" w:rsidRDefault="00882F17" w:rsidP="00882F17">
      <w:r w:rsidRPr="00882F17">
        <w:t xml:space="preserve">Loncastuximab tesirine was administered as an IV infusion over 30 minutes on Day 1 of each 3-week cycle at a dose of 150 </w:t>
      </w:r>
      <w:proofErr w:type="spellStart"/>
      <w:r w:rsidRPr="00882F17">
        <w:t>μg</w:t>
      </w:r>
      <w:proofErr w:type="spellEnd"/>
      <w:r w:rsidRPr="00882F17">
        <w:t xml:space="preserve">/kg for 2 cycles followed by 75 </w:t>
      </w:r>
      <w:proofErr w:type="spellStart"/>
      <w:r w:rsidRPr="00882F17">
        <w:t>μg</w:t>
      </w:r>
      <w:proofErr w:type="spellEnd"/>
      <w:r w:rsidRPr="00882F17">
        <w:t xml:space="preserve">/kg for subsequent 3-week cycles until disease progression or unacceptable toxicity. </w:t>
      </w:r>
    </w:p>
    <w:p w14:paraId="33C846C3" w14:textId="77777777" w:rsidR="00882F17" w:rsidRPr="00882F17" w:rsidRDefault="00882F17" w:rsidP="00882F17">
      <w:r w:rsidRPr="00882F17">
        <w:t>Patients with BMI ≥35 kg/m</w:t>
      </w:r>
      <w:r w:rsidRPr="00882F17">
        <w:rPr>
          <w:vertAlign w:val="superscript"/>
        </w:rPr>
        <w:t>2</w:t>
      </w:r>
      <w:r w:rsidRPr="00882F17">
        <w:t xml:space="preserve"> had their dose calculated based on the following protocol-specified adjusted body weight (ABW) formula:</w:t>
      </w:r>
    </w:p>
    <w:p w14:paraId="254F78D0" w14:textId="62F64C11" w:rsidR="00882F17" w:rsidRPr="00882F17" w:rsidRDefault="00882F17" w:rsidP="00882F17">
      <w:pPr>
        <w:pStyle w:val="ListBullet"/>
      </w:pPr>
      <w:r w:rsidRPr="00882F17">
        <w:t xml:space="preserve">Adjusted body weight (ABW) in kg = 35 </w:t>
      </w:r>
      <w:r w:rsidR="00560F7F">
        <w:t>kg/m</w:t>
      </w:r>
      <w:r w:rsidR="00560F7F" w:rsidRPr="00560F7F">
        <w:rPr>
          <w:vertAlign w:val="superscript"/>
        </w:rPr>
        <w:t>2</w:t>
      </w:r>
      <w:r w:rsidRPr="00882F17">
        <w:t>* (height in metres)</w:t>
      </w:r>
      <w:r w:rsidRPr="00882F17">
        <w:rPr>
          <w:vertAlign w:val="superscript"/>
        </w:rPr>
        <w:t>2</w:t>
      </w:r>
    </w:p>
    <w:p w14:paraId="74DA9276" w14:textId="77777777" w:rsidR="00882F17" w:rsidRPr="00882F17" w:rsidRDefault="00882F17" w:rsidP="00882F17">
      <w:pPr>
        <w:pStyle w:val="ListBullet"/>
      </w:pPr>
      <w:r w:rsidRPr="00882F17">
        <w:t>Dose to administer (mg) = dosage (µg/kg) * ABW / 1000</w:t>
      </w:r>
    </w:p>
    <w:p w14:paraId="00319CFA" w14:textId="77777777" w:rsidR="00882F17" w:rsidRPr="00882F17" w:rsidRDefault="00882F17" w:rsidP="00882F17">
      <w:r w:rsidRPr="00882F17">
        <w:t>In addition to the study drug (loncastuximab tesirine), other protocol-specified medications included:</w:t>
      </w:r>
    </w:p>
    <w:p w14:paraId="0A5FC9B6" w14:textId="77777777" w:rsidR="00882F17" w:rsidRPr="00882F17" w:rsidRDefault="00882F17" w:rsidP="00882F17">
      <w:pPr>
        <w:pStyle w:val="ListBullet"/>
      </w:pPr>
      <w:r w:rsidRPr="00882F17">
        <w:lastRenderedPageBreak/>
        <w:t>Dexamethasone premedication for all participants (unless contraindicated): 4 mg orally BD for 3 days, starting on the day before loncastuximab tesirine administration, if possible; or, if not able to be given the day before, for 2 days, starting at least 2 hours before loncastuximab tesirine administration.</w:t>
      </w:r>
    </w:p>
    <w:p w14:paraId="17CA0903" w14:textId="77777777" w:rsidR="00882F17" w:rsidRPr="00882F17" w:rsidRDefault="00882F17" w:rsidP="00882F17">
      <w:pPr>
        <w:pStyle w:val="ListBullet"/>
      </w:pPr>
      <w:r w:rsidRPr="00882F17">
        <w:t>Spironolactone at standard doses and titrated as clinically indicated for patients with weight gain greater than 1 kg from Cycle 1 Day 1, new or worsening oedema, or new or worsening pleural effusion.</w:t>
      </w:r>
    </w:p>
    <w:p w14:paraId="722EB436" w14:textId="19631F45" w:rsidR="00882F17" w:rsidRPr="00882F17" w:rsidRDefault="00882F17" w:rsidP="00882F17">
      <w:r w:rsidRPr="00882F17">
        <w:t>A 2-stage study design was used, with an interim analysis for futility using the data on the first 52 patients. If ≥10 patients responded (</w:t>
      </w:r>
      <w:proofErr w:type="spellStart"/>
      <w:r w:rsidRPr="00882F17">
        <w:t>CR+</w:t>
      </w:r>
      <w:r w:rsidR="00204B11">
        <w:t>partial</w:t>
      </w:r>
      <w:proofErr w:type="spellEnd"/>
      <w:r w:rsidR="00204B11">
        <w:t xml:space="preserve"> </w:t>
      </w:r>
      <w:proofErr w:type="gramStart"/>
      <w:r w:rsidR="00204B11">
        <w:t>response[</w:t>
      </w:r>
      <w:proofErr w:type="gramEnd"/>
      <w:r w:rsidRPr="00882F17">
        <w:t>PR</w:t>
      </w:r>
      <w:r w:rsidR="00204B11">
        <w:t>]</w:t>
      </w:r>
      <w:r w:rsidRPr="00882F17">
        <w:t xml:space="preserve">), the study was to proceed to full enrolment. There were 37 study sites in 4 countries: the USA (24 sites), the UK (7 sites), Italy (5 sites), and Switzerland (1 site). The final </w:t>
      </w:r>
      <w:r w:rsidR="00A46AD1">
        <w:t>clinical study report</w:t>
      </w:r>
      <w:r w:rsidRPr="00882F17">
        <w:t>, dated 11 Apr 2023, presents results from data cut-off (DCO) 15 Sep 2022.</w:t>
      </w:r>
    </w:p>
    <w:p w14:paraId="04C47A8D" w14:textId="77777777" w:rsidR="00882F17" w:rsidRPr="00882F17" w:rsidRDefault="00882F17" w:rsidP="00882F17">
      <w:pPr>
        <w:pStyle w:val="Heading5"/>
      </w:pPr>
      <w:r w:rsidRPr="00882F17">
        <w:t>Study ADCT-402-101 (LOTIS-1)</w:t>
      </w:r>
    </w:p>
    <w:p w14:paraId="009E1B50" w14:textId="6E2F817A" w:rsidR="00882F17" w:rsidRPr="00882F17" w:rsidRDefault="00882F17" w:rsidP="00882F17">
      <w:r w:rsidRPr="00882F17">
        <w:t xml:space="preserve">This </w:t>
      </w:r>
      <w:r w:rsidR="00C55726">
        <w:t>is the</w:t>
      </w:r>
      <w:r w:rsidRPr="00882F17">
        <w:t xml:space="preserve"> supportive study for the proposed dose in patients with DLBCL. Study ADCT-402-101 was a first-in-human, open-label, Phase 1 dose-escalation (Part 1) and expansion (Part 2) study to evaluate the safety and tolerability of loncastuximab tesirine in 183 patients with R/R B-NHL (137 with DLBCL, of whom 70 received the proposed dose) who had failed or were intolerant to established therapy or for whom no other treatment options were available. The study was conducted at 8 centres in the US, 2 in the UK and 1 in Italy and was completed on 21 Feb 2019. Primary objectives were safety and tolerability. Secondary objectives included efficacy and </w:t>
      </w:r>
      <w:r w:rsidR="00C55726">
        <w:t>pharmacokinetics (</w:t>
      </w:r>
      <w:r w:rsidRPr="00882F17">
        <w:t>PK</w:t>
      </w:r>
      <w:r w:rsidR="00C55726">
        <w:t>)</w:t>
      </w:r>
      <w:r w:rsidRPr="00882F17">
        <w:t>.</w:t>
      </w:r>
    </w:p>
    <w:p w14:paraId="4C8A865B" w14:textId="77777777" w:rsidR="00882F17" w:rsidRPr="00882F17" w:rsidRDefault="00882F17" w:rsidP="00882F17">
      <w:r w:rsidRPr="00882F17">
        <w:t xml:space="preserve">In Part 1, dosing was initially planned to escalate from 15 µg/kg Q3W to a maximum dose of up to 300 µg/kg once every 3 weeks. No intra-patient dose escalation was allowed. However, based on the safety information from Dose Level 7 (200 µg/kg Q3W) and the evolving PK data, the protocol was amended to assess the following alternative dose levels: </w:t>
      </w:r>
    </w:p>
    <w:p w14:paraId="79513709" w14:textId="77777777" w:rsidR="00882F17" w:rsidRPr="00882F17" w:rsidRDefault="00882F17" w:rsidP="00882F17">
      <w:pPr>
        <w:pStyle w:val="ListBullet"/>
      </w:pPr>
      <w:r w:rsidRPr="00882F17">
        <w:t xml:space="preserve">120 or 150 µg/kg Q3W for 2 cycles followed by 60 µg/kg every 6 weeks (Q6W) for patients who had a stable disease [SD] or better after Cycle 2; </w:t>
      </w:r>
    </w:p>
    <w:p w14:paraId="3BB941BE" w14:textId="77777777" w:rsidR="00882F17" w:rsidRPr="00882F17" w:rsidRDefault="00882F17" w:rsidP="00882F17">
      <w:pPr>
        <w:pStyle w:val="ListBullet"/>
      </w:pPr>
      <w:r w:rsidRPr="00882F17">
        <w:t xml:space="preserve">200 µg/kg Q6W for 2 cycles followed by 60 µg/kg Q6W for patients who had SD or better after Cycle 2; and </w:t>
      </w:r>
    </w:p>
    <w:p w14:paraId="4D1BD809" w14:textId="77777777" w:rsidR="00882F17" w:rsidRPr="00882F17" w:rsidRDefault="00882F17" w:rsidP="00882F17">
      <w:pPr>
        <w:pStyle w:val="ListBullet"/>
      </w:pPr>
      <w:r w:rsidRPr="00882F17">
        <w:t xml:space="preserve">200 µg/kg Q6W for 1 cycle followed by 60 µg/kg Q6W for patients who had SD or better after Cycle 1. </w:t>
      </w:r>
    </w:p>
    <w:p w14:paraId="403BAC15" w14:textId="7FC1299D" w:rsidR="00882F17" w:rsidRPr="00882F17" w:rsidRDefault="00882F17" w:rsidP="00882F17">
      <w:r w:rsidRPr="00882F17">
        <w:t xml:space="preserve">Although no </w:t>
      </w:r>
      <w:r w:rsidR="00270470">
        <w:t xml:space="preserve">maximum tolerated dose </w:t>
      </w:r>
      <w:r w:rsidRPr="00882F17">
        <w:t xml:space="preserve">was identified, no dose escalation beyond 200 </w:t>
      </w:r>
      <w:proofErr w:type="spellStart"/>
      <w:r w:rsidRPr="00882F17">
        <w:t>μg</w:t>
      </w:r>
      <w:proofErr w:type="spellEnd"/>
      <w:r w:rsidRPr="00882F17">
        <w:t xml:space="preserve">/kg dose was investigated. </w:t>
      </w:r>
    </w:p>
    <w:p w14:paraId="4C458129" w14:textId="77777777" w:rsidR="00882F17" w:rsidRPr="00882F17" w:rsidRDefault="00882F17" w:rsidP="00882F17">
      <w:r w:rsidRPr="00882F17">
        <w:t>In Part 2, patients were assigned to the recommended dose level(s) and schedule(s) of loncastuximab tesirine identified in Part 1 based on evolving safety, efficacy, and PK data:</w:t>
      </w:r>
    </w:p>
    <w:p w14:paraId="2178F270" w14:textId="77777777" w:rsidR="00882F17" w:rsidRPr="00882F17" w:rsidRDefault="00882F17" w:rsidP="00882F17">
      <w:pPr>
        <w:numPr>
          <w:ilvl w:val="0"/>
          <w:numId w:val="16"/>
        </w:numPr>
      </w:pPr>
      <w:r w:rsidRPr="00882F17">
        <w:t xml:space="preserve">120 µg/kg Q3W; and </w:t>
      </w:r>
    </w:p>
    <w:p w14:paraId="37F985C9" w14:textId="77777777" w:rsidR="00882F17" w:rsidRPr="00882F17" w:rsidRDefault="00882F17" w:rsidP="00882F17">
      <w:pPr>
        <w:numPr>
          <w:ilvl w:val="0"/>
          <w:numId w:val="16"/>
        </w:numPr>
      </w:pPr>
      <w:r w:rsidRPr="00882F17">
        <w:t>150 µg/kg Q3W; some patients in this group had their dose reduced to 75 µg/kg Q3W after 3 cycles at 150 µg/kg.</w:t>
      </w:r>
    </w:p>
    <w:p w14:paraId="7A8E345A" w14:textId="77777777" w:rsidR="00882F17" w:rsidRPr="00882F17" w:rsidRDefault="00882F17" w:rsidP="00882F17">
      <w:r w:rsidRPr="00882F17">
        <w:t>All patients in Part 2 were to receive dexamethasone premedication unless contraindicated.</w:t>
      </w:r>
    </w:p>
    <w:p w14:paraId="62474010" w14:textId="77777777" w:rsidR="00882F17" w:rsidRPr="00882F17" w:rsidRDefault="00882F17" w:rsidP="00882F17">
      <w:pPr>
        <w:pStyle w:val="Heading4"/>
      </w:pPr>
      <w:bookmarkStart w:id="51" w:name="_Toc232504988"/>
      <w:r w:rsidRPr="00882F17">
        <w:lastRenderedPageBreak/>
        <w:t>Pharmacology</w:t>
      </w:r>
      <w:bookmarkEnd w:id="51"/>
    </w:p>
    <w:p w14:paraId="62718292" w14:textId="7E2FFB97" w:rsidR="00882F17" w:rsidRPr="00882F17" w:rsidRDefault="00882F17" w:rsidP="00882F17">
      <w:pPr>
        <w:pStyle w:val="Heading5"/>
      </w:pPr>
      <w:r w:rsidRPr="00882F17">
        <w:t>Pharmacokinetics</w:t>
      </w:r>
    </w:p>
    <w:p w14:paraId="37AB164C" w14:textId="77777777" w:rsidR="00882F17" w:rsidRPr="00882F17" w:rsidRDefault="00882F17" w:rsidP="00882F17">
      <w:r w:rsidRPr="00882F17">
        <w:t>Exposure to loncastuximab tesirine PBD-conjugated antibody (Ab) and total Ab in the circulation are comparable. The sponsor states that this is indicative of good in vivo linker stability and ability for precise and efficient delivery to CD19-expressing tumour cells.</w:t>
      </w:r>
    </w:p>
    <w:p w14:paraId="060BB0BA" w14:textId="78FB67FE" w:rsidR="00882F17" w:rsidRDefault="00882F17" w:rsidP="00882F17">
      <w:r w:rsidRPr="00882F17">
        <w:t xml:space="preserve">A summary of the </w:t>
      </w:r>
      <w:r>
        <w:t xml:space="preserve">PK </w:t>
      </w:r>
      <w:r w:rsidRPr="00882F17">
        <w:t xml:space="preserve">parameters for PBD-conjugated Ab in the first two cycles of loncastuximab tesirine from studies ADCT-402-201 and ADCT-402-101 is provided in </w:t>
      </w:r>
      <w:r w:rsidR="00954E28">
        <w:t xml:space="preserve">Table </w:t>
      </w:r>
      <w:r>
        <w:t>5</w:t>
      </w:r>
      <w:r w:rsidR="007859B9">
        <w:t>.</w:t>
      </w:r>
    </w:p>
    <w:p w14:paraId="61496436" w14:textId="42E8CE97" w:rsidR="002F0E48" w:rsidRDefault="002F0E48" w:rsidP="002F0E48">
      <w:pPr>
        <w:pStyle w:val="TableTitle"/>
      </w:pPr>
      <w:r w:rsidRPr="002F0E48">
        <w:t xml:space="preserve">Table </w:t>
      </w:r>
      <w:r>
        <w:t>5</w:t>
      </w:r>
      <w:r w:rsidR="00DA7CC7">
        <w:t>.</w:t>
      </w:r>
      <w:r w:rsidRPr="002F0E48">
        <w:t xml:space="preserve"> Pharmacokinetic </w:t>
      </w:r>
      <w:r w:rsidR="00DA7CC7">
        <w:t>p</w:t>
      </w:r>
      <w:r w:rsidRPr="002F0E48">
        <w:t xml:space="preserve">arameters of PBD-conjugated </w:t>
      </w:r>
      <w:r w:rsidR="00DA7CC7">
        <w:t>a</w:t>
      </w:r>
      <w:r w:rsidRPr="002F0E48">
        <w:t xml:space="preserve">ntibody after </w:t>
      </w:r>
      <w:r w:rsidR="00DA7CC7">
        <w:t>l</w:t>
      </w:r>
      <w:r w:rsidRPr="002F0E48">
        <w:t xml:space="preserve">oncastuximab </w:t>
      </w:r>
      <w:r w:rsidR="00DA7CC7">
        <w:t>t</w:t>
      </w:r>
      <w:r w:rsidRPr="002F0E48">
        <w:t xml:space="preserve">esirine </w:t>
      </w:r>
      <w:r w:rsidR="00DA7CC7">
        <w:t>d</w:t>
      </w:r>
      <w:r w:rsidRPr="002F0E48">
        <w:t xml:space="preserve">ose of 150 </w:t>
      </w:r>
      <w:proofErr w:type="spellStart"/>
      <w:r w:rsidRPr="002F0E48">
        <w:t>μg</w:t>
      </w:r>
      <w:proofErr w:type="spellEnd"/>
      <w:r w:rsidRPr="002F0E48">
        <w:t>/kg Q3W, by Study</w:t>
      </w:r>
    </w:p>
    <w:p w14:paraId="7713F2A2" w14:textId="04036525" w:rsidR="003D56E2" w:rsidRDefault="00F9059E" w:rsidP="00882F17">
      <w:r w:rsidRPr="00F9059E">
        <w:rPr>
          <w:noProof/>
        </w:rPr>
        <w:drawing>
          <wp:inline distT="0" distB="0" distL="0" distR="0" wp14:anchorId="114BDF36" wp14:editId="558DD32B">
            <wp:extent cx="5759450" cy="1426210"/>
            <wp:effectExtent l="0" t="0" r="0" b="2540"/>
            <wp:docPr id="1134927920" name="Picture 1" descr="Table 5. Pharmacokinetic parameters of PBD-conjugated antibody after loncastuximab tesirine dose of 150 μg/kg Q3W,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27920" name="Picture 1" descr="Table 5. Pharmacokinetic parameters of PBD-conjugated antibody after loncastuximab tesirine dose of 150 μg/kg Q3W, by Study"/>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759450" cy="1426210"/>
                    </a:xfrm>
                    <a:prstGeom prst="rect">
                      <a:avLst/>
                    </a:prstGeom>
                  </pic:spPr>
                </pic:pic>
              </a:graphicData>
            </a:graphic>
          </wp:inline>
        </w:drawing>
      </w:r>
    </w:p>
    <w:p w14:paraId="3483B810" w14:textId="77777777" w:rsidR="008970E1" w:rsidRPr="008970E1" w:rsidRDefault="008970E1" w:rsidP="008970E1">
      <w:pPr>
        <w:pStyle w:val="TableDescription"/>
      </w:pPr>
      <w:r w:rsidRPr="008970E1">
        <w:t xml:space="preserve">Note: Data are presented as geometric mean (CV%) </w:t>
      </w:r>
    </w:p>
    <w:p w14:paraId="3C38FDCD" w14:textId="77777777" w:rsidR="008970E1" w:rsidRDefault="008970E1" w:rsidP="008970E1">
      <w:pPr>
        <w:pStyle w:val="TableDescription"/>
      </w:pPr>
      <w:r w:rsidRPr="008970E1">
        <w:t>AI = accumulation index; AUC* = area under the serum concentration-time curve from time 0 to infinity (AUC</w:t>
      </w:r>
      <w:r w:rsidRPr="008970E1">
        <w:rPr>
          <w:vertAlign w:val="subscript"/>
        </w:rPr>
        <w:t>inf</w:t>
      </w:r>
      <w:r w:rsidRPr="008970E1">
        <w:t>) for Cycle 1 and area under the serum concentration-time curve from time 0 to end of dosing interval (AUC</w:t>
      </w:r>
      <w:r w:rsidRPr="008970E1">
        <w:rPr>
          <w:vertAlign w:val="subscript"/>
        </w:rPr>
        <w:t>tau</w:t>
      </w:r>
      <w:r w:rsidRPr="008970E1">
        <w:t xml:space="preserve">) for Cycle 2; CL* = apparent clearance for Cycle 1 and apparent clearance at steady state for Cycle 2; </w:t>
      </w:r>
      <w:proofErr w:type="spellStart"/>
      <w:r w:rsidRPr="008970E1">
        <w:t>C</w:t>
      </w:r>
      <w:r w:rsidRPr="008970E1">
        <w:rPr>
          <w:vertAlign w:val="subscript"/>
        </w:rPr>
        <w:t>max</w:t>
      </w:r>
      <w:proofErr w:type="spellEnd"/>
      <w:r w:rsidRPr="008970E1">
        <w:t xml:space="preserve"> = maximum serum concentration; CV% = percent coefficient of variation; PBD = </w:t>
      </w:r>
      <w:proofErr w:type="spellStart"/>
      <w:r w:rsidRPr="008970E1">
        <w:t>pyrrolobenzodiazepine</w:t>
      </w:r>
      <w:proofErr w:type="spellEnd"/>
      <w:r w:rsidRPr="008970E1">
        <w:t>; Q3W = every 3 weeks; T</w:t>
      </w:r>
      <w:r w:rsidRPr="008970E1">
        <w:rPr>
          <w:vertAlign w:val="subscript"/>
        </w:rPr>
        <w:t>half</w:t>
      </w:r>
      <w:r w:rsidRPr="008970E1">
        <w:t xml:space="preserve"> = apparent terminal half-life; V* = apparent volume of distribution at steady state (</w:t>
      </w:r>
      <w:proofErr w:type="spellStart"/>
      <w:r w:rsidRPr="008970E1">
        <w:t>V</w:t>
      </w:r>
      <w:r w:rsidRPr="008970E1">
        <w:rPr>
          <w:vertAlign w:val="subscript"/>
        </w:rPr>
        <w:t>ss</w:t>
      </w:r>
      <w:proofErr w:type="spellEnd"/>
      <w:r w:rsidRPr="008970E1">
        <w:t>); - = not available.</w:t>
      </w:r>
    </w:p>
    <w:p w14:paraId="4CD4FDB3" w14:textId="77777777" w:rsidR="00CA51BB" w:rsidRPr="00CA51BB" w:rsidRDefault="00CA51BB" w:rsidP="00CA51BB">
      <w:r w:rsidRPr="00CA51BB">
        <w:t>The cytotoxic agent, SG3199, is highly protein bound (~94%) in human plasma. Exposure to unconjugated SG3199 is typically below quantifiable limits for most patients, but with measurable levels briefly observed more frequently at higher doses by end-of-infusion. SG3199 did not exhibit accumulation with the Q3W dosing regimen.</w:t>
      </w:r>
    </w:p>
    <w:p w14:paraId="3000E462" w14:textId="3694B787" w:rsidR="00CA51BB" w:rsidRPr="00CA51BB" w:rsidRDefault="00CA51BB" w:rsidP="00CA51BB">
      <w:pPr>
        <w:pStyle w:val="Heading5"/>
      </w:pPr>
      <w:r w:rsidRPr="00CA51BB">
        <w:t>Population PK data</w:t>
      </w:r>
    </w:p>
    <w:p w14:paraId="2D465739" w14:textId="77777777" w:rsidR="00CA51BB" w:rsidRPr="00CA51BB" w:rsidRDefault="00CA51BB" w:rsidP="00CA51BB">
      <w:r w:rsidRPr="00CA51BB">
        <w:t>Population PK analysis was undertaken on pooled data from studies ADCT-402-101 and ADCT-402-201. It included a total of 5,328 conjugated Ab samples, 5,267 total Ab samples, and 235 SG3199 samples measurable from 328 subjects with DLBCL or other forms of NHL. NONMEM 7.4 was used for non-linear mixed effects modelling.</w:t>
      </w:r>
    </w:p>
    <w:p w14:paraId="7E8CF474" w14:textId="77777777" w:rsidR="00CA51BB" w:rsidRPr="00CA51BB" w:rsidRDefault="00CA51BB" w:rsidP="00CA51BB">
      <w:r w:rsidRPr="00CA51BB">
        <w:t xml:space="preserve">The analyses found that concentrations of loncastuximab tesirine were characterised by a two-compartment PK model with linear clearance and time-dependent clearance in parallel. The final </w:t>
      </w:r>
      <w:proofErr w:type="spellStart"/>
      <w:r w:rsidRPr="00CA51BB">
        <w:t>popPK</w:t>
      </w:r>
      <w:proofErr w:type="spellEnd"/>
      <w:r w:rsidRPr="00CA51BB">
        <w:t xml:space="preserve"> model had estimated CL value of 0.224 L/day and estimated volume of distribution in the central compartment (V</w:t>
      </w:r>
      <w:r w:rsidRPr="00CA51BB">
        <w:rPr>
          <w:vertAlign w:val="subscript"/>
        </w:rPr>
        <w:t>1</w:t>
      </w:r>
      <w:r w:rsidRPr="00CA51BB">
        <w:t>) of 4.02 L. The between-subject variability (BSV) of CL was 45.4% and the BSV of V</w:t>
      </w:r>
      <w:r w:rsidRPr="00CA51BB">
        <w:rPr>
          <w:vertAlign w:val="subscript"/>
        </w:rPr>
        <w:t>1</w:t>
      </w:r>
      <w:r w:rsidRPr="00CA51BB">
        <w:t xml:space="preserve"> was 33.8%.</w:t>
      </w:r>
    </w:p>
    <w:p w14:paraId="008B02AD" w14:textId="789A02AC" w:rsidR="00CA51BB" w:rsidRPr="00CA51BB" w:rsidRDefault="00CA51BB" w:rsidP="00CA51BB">
      <w:r w:rsidRPr="00CA51BB">
        <w:t xml:space="preserve">The typical parameter estimates of the final </w:t>
      </w:r>
      <w:proofErr w:type="spellStart"/>
      <w:r w:rsidRPr="00CA51BB">
        <w:t>popPK</w:t>
      </w:r>
      <w:proofErr w:type="spellEnd"/>
      <w:r w:rsidRPr="00CA51BB">
        <w:t xml:space="preserve"> model were used to simulate serum concentration-time profiles for PBD-conjugated Ab and total Ab typical serum for the dosing regimen of 150 </w:t>
      </w:r>
      <w:proofErr w:type="spellStart"/>
      <w:r w:rsidRPr="00CA51BB">
        <w:t>μg</w:t>
      </w:r>
      <w:proofErr w:type="spellEnd"/>
      <w:r w:rsidRPr="00CA51BB">
        <w:t xml:space="preserve">/kg Q3W ×2 followed by 75 </w:t>
      </w:r>
      <w:proofErr w:type="spellStart"/>
      <w:r w:rsidRPr="00CA51BB">
        <w:t>μg</w:t>
      </w:r>
      <w:proofErr w:type="spellEnd"/>
      <w:r w:rsidRPr="00CA51BB">
        <w:t>/kg Q3W (</w:t>
      </w:r>
      <w:r>
        <w:t>Figure 3</w:t>
      </w:r>
      <w:r w:rsidRPr="00CA51BB">
        <w:t xml:space="preserve">). Steady state was reached relatively quickly at the 75 </w:t>
      </w:r>
      <w:proofErr w:type="spellStart"/>
      <w:r w:rsidRPr="00CA51BB">
        <w:t>μg</w:t>
      </w:r>
      <w:proofErr w:type="spellEnd"/>
      <w:r w:rsidRPr="00CA51BB">
        <w:t>/kg Q3W dose thereafter, with minimal further accumulation from Cycle 3 onwards.</w:t>
      </w:r>
    </w:p>
    <w:p w14:paraId="2CE8341E" w14:textId="1C9D8556" w:rsidR="008970E1" w:rsidRDefault="00CA51BB" w:rsidP="00CA51BB">
      <w:pPr>
        <w:pStyle w:val="FigureTitle"/>
      </w:pPr>
      <w:bookmarkStart w:id="52" w:name="_Ref216347528"/>
      <w:r w:rsidRPr="00CA51BB">
        <w:lastRenderedPageBreak/>
        <w:t xml:space="preserve">Figure </w:t>
      </w:r>
      <w:fldSimple w:instr=" SEQ Figure \* ARABIC ">
        <w:r w:rsidRPr="00CA51BB">
          <w:t>3</w:t>
        </w:r>
      </w:fldSimple>
      <w:bookmarkEnd w:id="52"/>
      <w:r>
        <w:t>.</w:t>
      </w:r>
      <w:r w:rsidRPr="00CA51BB">
        <w:t xml:space="preserve"> Model </w:t>
      </w:r>
      <w:r w:rsidR="00DA7CC7">
        <w:t>pr</w:t>
      </w:r>
      <w:r w:rsidRPr="00CA51BB">
        <w:t xml:space="preserve">edicted </w:t>
      </w:r>
      <w:r w:rsidR="00DA7CC7">
        <w:t>t</w:t>
      </w:r>
      <w:r w:rsidRPr="00CA51BB">
        <w:t xml:space="preserve">ypical </w:t>
      </w:r>
      <w:r w:rsidR="00DA7CC7">
        <w:t>c</w:t>
      </w:r>
      <w:r w:rsidRPr="00CA51BB">
        <w:t xml:space="preserve">oncentration-time </w:t>
      </w:r>
      <w:r w:rsidR="00DA7CC7">
        <w:t>p</w:t>
      </w:r>
      <w:r w:rsidRPr="00CA51BB">
        <w:t xml:space="preserve">rofile of PBD-conjugated </w:t>
      </w:r>
      <w:r w:rsidR="00DA7CC7">
        <w:t>a</w:t>
      </w:r>
      <w:r w:rsidRPr="00CA51BB">
        <w:t xml:space="preserve">ntibody and </w:t>
      </w:r>
      <w:r w:rsidR="00DA7CC7">
        <w:t>t</w:t>
      </w:r>
      <w:r w:rsidRPr="00CA51BB">
        <w:t xml:space="preserve">otal </w:t>
      </w:r>
      <w:r w:rsidR="00DA7CC7">
        <w:t>a</w:t>
      </w:r>
      <w:r w:rsidRPr="00CA51BB">
        <w:t xml:space="preserve">ntibody in </w:t>
      </w:r>
      <w:r w:rsidR="00DA7CC7">
        <w:t>s</w:t>
      </w:r>
      <w:r w:rsidRPr="00CA51BB">
        <w:t xml:space="preserve">erum after 150 </w:t>
      </w:r>
      <w:proofErr w:type="spellStart"/>
      <w:r w:rsidRPr="00CA51BB">
        <w:t>μg</w:t>
      </w:r>
      <w:proofErr w:type="spellEnd"/>
      <w:r w:rsidRPr="00CA51BB">
        <w:t xml:space="preserve">/kg Q3W ×2 followed by </w:t>
      </w:r>
      <w:r w:rsidR="00DA7CC7">
        <w:t>s</w:t>
      </w:r>
      <w:r w:rsidRPr="00CA51BB">
        <w:t xml:space="preserve">ubsequent 75 </w:t>
      </w:r>
      <w:proofErr w:type="spellStart"/>
      <w:r w:rsidRPr="00CA51BB">
        <w:t>μg</w:t>
      </w:r>
      <w:proofErr w:type="spellEnd"/>
      <w:r w:rsidRPr="00CA51BB">
        <w:t xml:space="preserve">/kg Q3W </w:t>
      </w:r>
      <w:r w:rsidR="00DA7CC7">
        <w:t>d</w:t>
      </w:r>
      <w:r w:rsidRPr="00CA51BB">
        <w:t xml:space="preserve">oses of </w:t>
      </w:r>
      <w:r w:rsidR="00DA7CC7">
        <w:t>l</w:t>
      </w:r>
      <w:r w:rsidRPr="00CA51BB">
        <w:t xml:space="preserve">oncastuximab </w:t>
      </w:r>
      <w:r w:rsidR="00DA7CC7">
        <w:t>t</w:t>
      </w:r>
      <w:r w:rsidRPr="00CA51BB">
        <w:t>esirine</w:t>
      </w:r>
    </w:p>
    <w:p w14:paraId="15698685" w14:textId="5A1CB0DE" w:rsidR="00CA51BB" w:rsidRDefault="00EA3428" w:rsidP="009C7E5A">
      <w:r>
        <w:rPr>
          <w:noProof/>
        </w:rPr>
        <w:drawing>
          <wp:inline distT="0" distB="0" distL="0" distR="0" wp14:anchorId="2383B9B9" wp14:editId="60625DD3">
            <wp:extent cx="3621405" cy="2676525"/>
            <wp:effectExtent l="0" t="0" r="0" b="9525"/>
            <wp:docPr id="128459754" name="Picture 1" descr="Figure 3. Model predicted typical concentration-time profile of PBD-conjugated antibody and total antibody in serum after 150 μg/kg Q3W ×2 followed by subsequent 75 μg/kg Q3W doses of loncastuximab tesi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9754" name="Picture 1" descr="Figure 3. Model predicted typical concentration-time profile of PBD-conjugated antibody and total antibody in serum after 150 μg/kg Q3W ×2 followed by subsequent 75 μg/kg Q3W doses of loncastuximab tesirine"/>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21405" cy="2676525"/>
                    </a:xfrm>
                    <a:prstGeom prst="rect">
                      <a:avLst/>
                    </a:prstGeom>
                    <a:noFill/>
                  </pic:spPr>
                </pic:pic>
              </a:graphicData>
            </a:graphic>
          </wp:inline>
        </w:drawing>
      </w:r>
    </w:p>
    <w:p w14:paraId="659F3622" w14:textId="77777777" w:rsidR="001B7D25" w:rsidRDefault="00822C13" w:rsidP="001B7D25">
      <w:pPr>
        <w:pStyle w:val="FigureDescription"/>
      </w:pPr>
      <w:proofErr w:type="spellStart"/>
      <w:r w:rsidRPr="00822C13">
        <w:t>cAb</w:t>
      </w:r>
      <w:proofErr w:type="spellEnd"/>
      <w:r w:rsidRPr="00822C13">
        <w:t xml:space="preserve"> = PBD-conjugated antibody; Conc = concentration; PBD = </w:t>
      </w:r>
      <w:proofErr w:type="spellStart"/>
      <w:r w:rsidRPr="00822C13">
        <w:t>pyrrolobenzodiazepine</w:t>
      </w:r>
      <w:proofErr w:type="spellEnd"/>
      <w:r w:rsidRPr="00822C13">
        <w:t xml:space="preserve">; PK = pharmacokinetic(s); Q3W = every 3 weeks; </w:t>
      </w:r>
      <w:proofErr w:type="spellStart"/>
      <w:r w:rsidRPr="00822C13">
        <w:t>tAb</w:t>
      </w:r>
      <w:proofErr w:type="spellEnd"/>
      <w:r w:rsidRPr="00822C13">
        <w:t xml:space="preserve"> = total antibody.</w:t>
      </w:r>
    </w:p>
    <w:p w14:paraId="325ECF6B" w14:textId="34957B12" w:rsidR="001B7D25" w:rsidRPr="001B7D25" w:rsidRDefault="001B7D25" w:rsidP="001B7D25">
      <w:r>
        <w:br/>
      </w:r>
      <w:r w:rsidRPr="001B7D25">
        <w:t>Clinically important differences in the exposure to conjugated Ab were reported as follows:</w:t>
      </w:r>
    </w:p>
    <w:p w14:paraId="7A481781" w14:textId="77777777" w:rsidR="001B7D25" w:rsidRPr="001B7D25" w:rsidRDefault="001B7D25" w:rsidP="001B7D25">
      <w:pPr>
        <w:pStyle w:val="ListBullet"/>
      </w:pPr>
      <w:r w:rsidRPr="001B7D25">
        <w:t>Exposure was 42% lower with mild-moderate hepatic impairment (mild: n=49; moderate: n=1) compared to normal hepatic function (n=277). There were no subjects with severe hepatic impairment.</w:t>
      </w:r>
    </w:p>
    <w:p w14:paraId="3ABAB5B0" w14:textId="77777777" w:rsidR="001B7D25" w:rsidRPr="001B7D25" w:rsidRDefault="001B7D25" w:rsidP="001B7D25">
      <w:pPr>
        <w:pStyle w:val="ListBullet"/>
      </w:pPr>
      <w:r w:rsidRPr="001B7D25">
        <w:t xml:space="preserve">Exposure was 52% lower in patients with low albumin (17 to 34 g/L, n=49) compared to normal albumin levels (35 to 52 g/L, n=279). </w:t>
      </w:r>
    </w:p>
    <w:p w14:paraId="27D8E44D" w14:textId="77777777" w:rsidR="001B7D25" w:rsidRPr="001B7D25" w:rsidRDefault="001B7D25" w:rsidP="001B7D25">
      <w:pPr>
        <w:pStyle w:val="ListBullet"/>
      </w:pPr>
      <w:r w:rsidRPr="001B7D25">
        <w:t>Exposure was 61% lower in non-DLBCL NHL patients (n=44) compared to patients with a diagnosis of DLBCL (n=284)</w:t>
      </w:r>
    </w:p>
    <w:p w14:paraId="46BB1CC3" w14:textId="77777777" w:rsidR="001B7D25" w:rsidRPr="001B7D25" w:rsidRDefault="001B7D25" w:rsidP="001B7D25">
      <w:r w:rsidRPr="001B7D25">
        <w:t>No clinically important differences in the exposure to conjugated Ab were observed for variables including renal impairment, age, sex and race.</w:t>
      </w:r>
    </w:p>
    <w:p w14:paraId="49EC9CA8" w14:textId="405506CC" w:rsidR="001B7D25" w:rsidRPr="001B7D25" w:rsidRDefault="001B7D25" w:rsidP="001B7D25">
      <w:pPr>
        <w:pStyle w:val="Heading5"/>
      </w:pPr>
      <w:bookmarkStart w:id="53" w:name="_Ref218697217"/>
      <w:r w:rsidRPr="001B7D25">
        <w:t>Pharmacodynamics</w:t>
      </w:r>
      <w:bookmarkEnd w:id="53"/>
    </w:p>
    <w:p w14:paraId="1542B978" w14:textId="4F68A0A9" w:rsidR="001B7D25" w:rsidRPr="001B7D25" w:rsidRDefault="001B7D25" w:rsidP="001B7D25">
      <w:pPr>
        <w:pStyle w:val="Heading6"/>
      </w:pPr>
      <w:r w:rsidRPr="001B7D25">
        <w:t>Exposure-response analyses</w:t>
      </w:r>
    </w:p>
    <w:p w14:paraId="3BD1DB4E" w14:textId="25F6439E" w:rsidR="001B7D25" w:rsidRPr="001B7D25" w:rsidRDefault="001B7D25" w:rsidP="001B7D25">
      <w:r w:rsidRPr="001B7D25">
        <w:t xml:space="preserve">The final dataset used for ER efficacy and safety analyses was pooled from studies ADCT-402-101 and ADCT-402-201. Efficacy data included only patients with DLBCL. Safety data comprised all patients who were included in the </w:t>
      </w:r>
      <w:proofErr w:type="spellStart"/>
      <w:r w:rsidRPr="001B7D25">
        <w:t>popPK</w:t>
      </w:r>
      <w:proofErr w:type="spellEnd"/>
      <w:r w:rsidRPr="001B7D25">
        <w:t xml:space="preserve"> analysis described above. Efficacy analysis examined ORR and time-to-event endpoints including </w:t>
      </w:r>
      <w:r w:rsidR="00D831AA">
        <w:t>o</w:t>
      </w:r>
      <w:r w:rsidR="00D831AA" w:rsidRPr="00D831AA">
        <w:t xml:space="preserve">verall survival </w:t>
      </w:r>
      <w:r w:rsidR="00D831AA">
        <w:t>(</w:t>
      </w:r>
      <w:r w:rsidRPr="001B7D25">
        <w:t>OS</w:t>
      </w:r>
      <w:r w:rsidR="00D831AA">
        <w:t>)</w:t>
      </w:r>
      <w:r w:rsidRPr="001B7D25">
        <w:t xml:space="preserve"> and DOR. Safety data with Grade ≥2 treatment-emergent adverse events (TEAEs) were used in the ER analysis due to limited numbers of patients with Grade ≥3 TEAEs.</w:t>
      </w:r>
    </w:p>
    <w:p w14:paraId="7CD70757" w14:textId="77777777" w:rsidR="001B7D25" w:rsidRPr="001B7D25" w:rsidRDefault="001B7D25" w:rsidP="001B7D25">
      <w:r w:rsidRPr="001B7D25">
        <w:t xml:space="preserve">ER for OS was characterised by a multivariate Cox proportional hazards model using Cycle 1 </w:t>
      </w:r>
      <w:proofErr w:type="spellStart"/>
      <w:r w:rsidRPr="001B7D25">
        <w:t>C</w:t>
      </w:r>
      <w:r w:rsidRPr="001B7D25">
        <w:rPr>
          <w:vertAlign w:val="subscript"/>
        </w:rPr>
        <w:t>avg</w:t>
      </w:r>
      <w:proofErr w:type="spellEnd"/>
      <w:r w:rsidRPr="001B7D25">
        <w:t xml:space="preserve"> and the following covariates with a significant effect (α=0.01) on OS: baseline albumin, bulky disease, and hepatic function. The model predicted improved OS in with increasing exposure at Cycle 1. ORR was characterised by a multivariate logistic regression model and demonstrated increased ORR with increasing exposure (Cycle 1 </w:t>
      </w:r>
      <w:proofErr w:type="spellStart"/>
      <w:r w:rsidRPr="001B7D25">
        <w:t>C</w:t>
      </w:r>
      <w:r w:rsidRPr="001B7D25">
        <w:rPr>
          <w:vertAlign w:val="subscript"/>
        </w:rPr>
        <w:t>avg</w:t>
      </w:r>
      <w:proofErr w:type="spellEnd"/>
      <w:r w:rsidRPr="001B7D25">
        <w:t>). No effect of exposure was found on DOR.</w:t>
      </w:r>
    </w:p>
    <w:p w14:paraId="604183CC" w14:textId="77777777" w:rsidR="001B7D25" w:rsidRPr="001B7D25" w:rsidRDefault="001B7D25" w:rsidP="001B7D25">
      <w:r w:rsidRPr="001B7D25">
        <w:lastRenderedPageBreak/>
        <w:t>Based on univariate logistic regression, increasing exposure increased Grade ≥2 TEAEs for increased GGT, skin and nail, and LFT. Of the safety outcomes, increased GGT (Grade ≥ 2) showed the most significant relationship with increasing exposure, and the relationship remained significant in a multivariate logistic regression model.</w:t>
      </w:r>
    </w:p>
    <w:p w14:paraId="4C6A183A" w14:textId="77777777" w:rsidR="001B7D25" w:rsidRPr="001B7D25" w:rsidRDefault="001B7D25" w:rsidP="001B7D25">
      <w:pPr>
        <w:pStyle w:val="Heading6"/>
      </w:pPr>
      <w:r w:rsidRPr="001B7D25">
        <w:t>Immunogenicity</w:t>
      </w:r>
    </w:p>
    <w:p w14:paraId="1D305139" w14:textId="77777777" w:rsidR="001B7D25" w:rsidRPr="001B7D25" w:rsidRDefault="001B7D25" w:rsidP="001B7D25">
      <w:r w:rsidRPr="001B7D25">
        <w:t>Across 3 clinical studies (ADCT-402-101, ADCT-402-201, and ADCT-402-102; n=363), a total of 8 patients (2.2%) were confirmed positive for anti-drug antibodies (ADA), of whom 7 were positive pre-dose. Two patients had positive ADAs in post-dose samples and further evaluation of the pattern indicated that these were not induced by loncastuximab tesirine and most probably related to higher backgrounds of tested sera in the assay. The sponsor concluded that no ADA responses were induced by loncastuximab tesirine in any treated patients.</w:t>
      </w:r>
    </w:p>
    <w:p w14:paraId="61A8BD9D" w14:textId="77777777" w:rsidR="001B7D25" w:rsidRPr="001B7D25" w:rsidRDefault="001B7D25" w:rsidP="001B7D25">
      <w:r w:rsidRPr="001B7D25">
        <w:t>Based on a validated neutralising antibody assay, none of the ADA positive samples were identified as neutralising.</w:t>
      </w:r>
    </w:p>
    <w:p w14:paraId="217F1BEF" w14:textId="77777777" w:rsidR="001B7D25" w:rsidRPr="001B7D25" w:rsidRDefault="001B7D25" w:rsidP="001B7D25">
      <w:r w:rsidRPr="001B7D25">
        <w:t>The impacts of ADA-positivity on PK, efficacy, safety were assessed using data from studies ADCT-402-101 and ADCT-402-201. However, meaningful conclusions are difficult to draw because of the small number of ADA-positive patients (n=7). The limited available data do not give rise to concern.</w:t>
      </w:r>
    </w:p>
    <w:p w14:paraId="245F68E2" w14:textId="77777777" w:rsidR="001B7D25" w:rsidRPr="001B7D25" w:rsidRDefault="001B7D25" w:rsidP="001B7D25">
      <w:pPr>
        <w:pStyle w:val="Heading6"/>
      </w:pPr>
      <w:r w:rsidRPr="001B7D25">
        <w:t>Baseline tumour features</w:t>
      </w:r>
    </w:p>
    <w:p w14:paraId="7B475D65" w14:textId="77777777" w:rsidR="001B7D25" w:rsidRPr="001B7D25" w:rsidRDefault="001B7D25" w:rsidP="001B7D25">
      <w:r w:rsidRPr="001B7D25">
        <w:t xml:space="preserve">Available archival or pre-treatment tumour tissue samples from patients in study ADCT-402-201 were assessed for CD19 expression and rearrangements of </w:t>
      </w:r>
      <w:r w:rsidRPr="001B7D25">
        <w:rPr>
          <w:i/>
          <w:iCs/>
        </w:rPr>
        <w:t>MYC</w:t>
      </w:r>
      <w:r w:rsidRPr="001B7D25">
        <w:t xml:space="preserve">, </w:t>
      </w:r>
      <w:r w:rsidRPr="001B7D25">
        <w:rPr>
          <w:i/>
          <w:iCs/>
        </w:rPr>
        <w:t>BCL2</w:t>
      </w:r>
      <w:r w:rsidRPr="001B7D25">
        <w:t xml:space="preserve"> and/or </w:t>
      </w:r>
      <w:r w:rsidRPr="001B7D25">
        <w:rPr>
          <w:i/>
          <w:iCs/>
        </w:rPr>
        <w:t>BCL6</w:t>
      </w:r>
      <w:r w:rsidRPr="001B7D25">
        <w:t xml:space="preserve">. Double hit tumours were those with </w:t>
      </w:r>
      <w:r w:rsidRPr="001B7D25">
        <w:rPr>
          <w:i/>
          <w:iCs/>
        </w:rPr>
        <w:t>MYC</w:t>
      </w:r>
      <w:r w:rsidRPr="001B7D25">
        <w:t>+</w:t>
      </w:r>
      <w:r w:rsidRPr="001B7D25">
        <w:rPr>
          <w:i/>
          <w:iCs/>
        </w:rPr>
        <w:t>BCL2</w:t>
      </w:r>
      <w:r w:rsidRPr="001B7D25">
        <w:t xml:space="preserve"> or </w:t>
      </w:r>
      <w:r w:rsidRPr="001B7D25">
        <w:rPr>
          <w:i/>
          <w:iCs/>
        </w:rPr>
        <w:t>MYC</w:t>
      </w:r>
      <w:r w:rsidRPr="001B7D25">
        <w:t>+</w:t>
      </w:r>
      <w:r w:rsidRPr="001B7D25">
        <w:rPr>
          <w:i/>
          <w:iCs/>
        </w:rPr>
        <w:t>BCL6</w:t>
      </w:r>
      <w:r w:rsidRPr="001B7D25">
        <w:t xml:space="preserve"> rearrangements. Triple hit tumours had rearrangements of </w:t>
      </w:r>
      <w:r w:rsidRPr="001B7D25">
        <w:rPr>
          <w:i/>
          <w:iCs/>
        </w:rPr>
        <w:t>MYC</w:t>
      </w:r>
      <w:r w:rsidRPr="001B7D25">
        <w:t>+</w:t>
      </w:r>
      <w:r w:rsidRPr="001B7D25">
        <w:rPr>
          <w:i/>
          <w:iCs/>
        </w:rPr>
        <w:t>BCL2</w:t>
      </w:r>
      <w:r w:rsidRPr="001B7D25">
        <w:t>+</w:t>
      </w:r>
      <w:r w:rsidRPr="001B7D25">
        <w:rPr>
          <w:i/>
          <w:iCs/>
        </w:rPr>
        <w:t>BCL6</w:t>
      </w:r>
      <w:r w:rsidRPr="001B7D25">
        <w:t>. The pharmacodynamic information of tumour CD19 expression, double hit/triple hit molecular signatures were analysed by different clinical response subgroups: CR+PR, SD+PD, and not evaluable (NE).</w:t>
      </w:r>
    </w:p>
    <w:p w14:paraId="7BD6EDD7" w14:textId="77777777" w:rsidR="001B7D25" w:rsidRPr="001B7D25" w:rsidRDefault="001B7D25" w:rsidP="001B7D25">
      <w:r w:rsidRPr="001B7D25">
        <w:t>The analysis did not appear to show any difference of tumour CD19 expression among the three clinical response groups.</w:t>
      </w:r>
    </w:p>
    <w:p w14:paraId="7F6F3E92" w14:textId="77777777" w:rsidR="001B7D25" w:rsidRPr="001B7D25" w:rsidRDefault="001B7D25" w:rsidP="001B7D25">
      <w:r w:rsidRPr="001B7D25">
        <w:t>The exploratory analysis suggests that double/triple hit subgroups had fewer responses and were associated with less favourable clinical outcome, however there are only 11 patients with presence of double/triple hit molecular signature and this is consistent with the known association of double/triple hit molecular signature with poor prognosis in DLBCL patients. Given the small sample size, the result warrants cautious interpretation.</w:t>
      </w:r>
    </w:p>
    <w:p w14:paraId="69C075C6" w14:textId="77777777" w:rsidR="001B7D25" w:rsidRPr="001B7D25" w:rsidRDefault="001B7D25" w:rsidP="001B7D25">
      <w:r w:rsidRPr="001B7D25">
        <w:t>The relationships between safety and different tumour CD19 expression, and presence or absence of molecular signatures for double/triple hit were also evaluated. The analysis did not show any significant differences in safety in these subgroups in general, except there appeared to be a trend of higher relative frequency of oedema-effusion and platelet count decrease or thrombocytopenia in the double/triple hit subgroups. However, the number of patients in the double/triple hit subgroups was very limited, and any definite conclusion cannot be drawn.</w:t>
      </w:r>
    </w:p>
    <w:p w14:paraId="17732E2F" w14:textId="77777777" w:rsidR="001B7D25" w:rsidRPr="001B7D25" w:rsidRDefault="001B7D25" w:rsidP="001B7D25">
      <w:pPr>
        <w:pStyle w:val="Heading4"/>
      </w:pPr>
      <w:bookmarkStart w:id="54" w:name="_Toc232504989"/>
      <w:r w:rsidRPr="001B7D25">
        <w:t>Efficacy</w:t>
      </w:r>
      <w:bookmarkEnd w:id="54"/>
    </w:p>
    <w:p w14:paraId="38BF8137" w14:textId="77777777" w:rsidR="001B7D25" w:rsidRPr="001B7D25" w:rsidRDefault="001B7D25" w:rsidP="001B7D25">
      <w:pPr>
        <w:pStyle w:val="Heading5"/>
      </w:pPr>
      <w:r w:rsidRPr="001B7D25">
        <w:t>Study ADCT-402-201 (LOTIS-2)</w:t>
      </w:r>
    </w:p>
    <w:p w14:paraId="25CCE10A" w14:textId="77777777" w:rsidR="001B7D25" w:rsidRPr="001B7D25" w:rsidRDefault="001B7D25" w:rsidP="001B7D25">
      <w:pPr>
        <w:pStyle w:val="Heading6"/>
      </w:pPr>
      <w:r w:rsidRPr="001B7D25">
        <w:t>Sample size</w:t>
      </w:r>
    </w:p>
    <w:p w14:paraId="3FE2101A" w14:textId="77777777" w:rsidR="001B7D25" w:rsidRPr="001B7D25" w:rsidRDefault="001B7D25" w:rsidP="001B7D25">
      <w:r w:rsidRPr="001B7D25">
        <w:t xml:space="preserve">The primary hypothesis was that the ORR based on central review was significantly greater than 20%. This hypothesis was tested with a 2-sided, type I error of 0.05. </w:t>
      </w:r>
    </w:p>
    <w:p w14:paraId="5E909C9F" w14:textId="77777777" w:rsidR="001B7D25" w:rsidRPr="001B7D25" w:rsidRDefault="001B7D25" w:rsidP="001B7D25">
      <w:r w:rsidRPr="001B7D25">
        <w:lastRenderedPageBreak/>
        <w:t>Using an exact test for single proportion, a sample size of 140 patients had &gt; 99% power to achieve a 2-sided significance level of 0.05. This sample size was reported by the sponsor to provide adequate precision for observed ORR in the expected range and a robust population for safety evaluation.</w:t>
      </w:r>
    </w:p>
    <w:p w14:paraId="6CD55E2B" w14:textId="77777777" w:rsidR="001B7D25" w:rsidRPr="001B7D25" w:rsidRDefault="001B7D25" w:rsidP="001B7D25">
      <w:pPr>
        <w:pStyle w:val="Heading6"/>
      </w:pPr>
      <w:r w:rsidRPr="001B7D25">
        <w:t>Baseline data</w:t>
      </w:r>
    </w:p>
    <w:p w14:paraId="508A92BA" w14:textId="77777777" w:rsidR="001B7D25" w:rsidRPr="001B7D25" w:rsidRDefault="001B7D25" w:rsidP="001B7D25">
      <w:r w:rsidRPr="001B7D25">
        <w:t>A total of 145 patients were enrolled and received at least 1 dose of study drug. The majority were male (58.6%) and White (89.7%). The median age was 66 years (range: 23 to 94 years) and the median BMI was 25.97 kg/m</w:t>
      </w:r>
      <w:r w:rsidRPr="001B7D25">
        <w:rPr>
          <w:vertAlign w:val="superscript"/>
        </w:rPr>
        <w:t>2</w:t>
      </w:r>
      <w:r w:rsidRPr="001B7D25">
        <w:t xml:space="preserve"> (range: 17.2 to 50.5 kg/m</w:t>
      </w:r>
      <w:r w:rsidRPr="001B7D25">
        <w:rPr>
          <w:vertAlign w:val="superscript"/>
        </w:rPr>
        <w:t>2</w:t>
      </w:r>
      <w:r w:rsidRPr="001B7D25">
        <w:t>).</w:t>
      </w:r>
    </w:p>
    <w:p w14:paraId="6F2BD431" w14:textId="77777777" w:rsidR="001B7D25" w:rsidRPr="001B7D25" w:rsidRDefault="001B7D25" w:rsidP="001B7D25">
      <w:r w:rsidRPr="001B7D25">
        <w:t>Most patients (88.3%) were diagnosed with DLBCL NOS according to the 2016 WHO classification</w:t>
      </w:r>
      <w:r w:rsidRPr="001B7D25">
        <w:fldChar w:fldCharType="begin"/>
      </w:r>
      <w:r w:rsidRPr="001B7D25">
        <w:instrText xml:space="preserve"> NOTEREF _Ref221883595 \f \h </w:instrText>
      </w:r>
      <w:r w:rsidRPr="001B7D25">
        <w:fldChar w:fldCharType="separate"/>
      </w:r>
      <w:r w:rsidRPr="001B7D25">
        <w:rPr>
          <w:vertAlign w:val="superscript"/>
        </w:rPr>
        <w:t>1</w:t>
      </w:r>
      <w:r w:rsidRPr="001B7D25">
        <w:fldChar w:fldCharType="end"/>
      </w:r>
      <w:r w:rsidRPr="001B7D25">
        <w:t xml:space="preserve">. As per the same classification reference, there were 10 patients (6.9%) with HGBL (with </w:t>
      </w:r>
      <w:r w:rsidRPr="001B7D25">
        <w:rPr>
          <w:i/>
          <w:iCs/>
        </w:rPr>
        <w:t>MYC</w:t>
      </w:r>
      <w:r w:rsidRPr="001B7D25">
        <w:t xml:space="preserve"> and </w:t>
      </w:r>
      <w:r w:rsidRPr="001B7D25">
        <w:rPr>
          <w:i/>
          <w:iCs/>
        </w:rPr>
        <w:t>BCL2</w:t>
      </w:r>
      <w:r w:rsidRPr="001B7D25">
        <w:t xml:space="preserve"> and/or </w:t>
      </w:r>
      <w:r w:rsidRPr="001B7D25">
        <w:rPr>
          <w:i/>
          <w:iCs/>
        </w:rPr>
        <w:t>BCL6</w:t>
      </w:r>
      <w:r w:rsidRPr="001B7D25">
        <w:t xml:space="preserve"> rearrangements), and 7 patients (4.8%) with PMBCL. Approximately one fifth of participants (20.7%) had transformed DLBCL, most commonly from follicular lymphoma. Most patients had Stage IV disease (64.1%) and extranodal involvement (60.0%) at a median of 2.0 sites (range: 1 to 18). Spleen involvement was uncommon (4.1%).</w:t>
      </w:r>
    </w:p>
    <w:p w14:paraId="7F7847D8" w14:textId="77777777" w:rsidR="001B7D25" w:rsidRPr="001B7D25" w:rsidRDefault="001B7D25" w:rsidP="001B7D25">
      <w:r w:rsidRPr="001B7D25">
        <w:t>As expected, this was a heavily pre-treated cohort with a median of 3.0 prior systemic therapies (range: 2 to 7). Most patients (61.4%) were refractory to last line of prior therapy. A minority of participants had previously received a stem cell transplant (16.6%).</w:t>
      </w:r>
    </w:p>
    <w:p w14:paraId="110901E4" w14:textId="77777777" w:rsidR="001B7D25" w:rsidRPr="001B7D25" w:rsidRDefault="001B7D25" w:rsidP="001B7D25">
      <w:pPr>
        <w:pStyle w:val="Heading6"/>
      </w:pPr>
      <w:r w:rsidRPr="001B7D25">
        <w:t>Primary endpoint – ORR</w:t>
      </w:r>
    </w:p>
    <w:p w14:paraId="219A3CBB" w14:textId="49F82B1C" w:rsidR="001B7D25" w:rsidRPr="001B7D25" w:rsidRDefault="001B7D25" w:rsidP="001B7D25">
      <w:r w:rsidRPr="001B7D25">
        <w:t>In the All-Treated Population, the ORR by independent reviewer was 48.3% (95% CI: 39.9, 56.7) with complete response rate (CRR) of 24.8% (95% CI: 18.0, 32.7) (</w:t>
      </w:r>
      <w:r w:rsidR="00EE5EEE">
        <w:t xml:space="preserve">Table </w:t>
      </w:r>
      <w:r w:rsidR="00176F09">
        <w:t>6</w:t>
      </w:r>
      <w:r w:rsidRPr="001B7D25">
        <w:t xml:space="preserve">). </w:t>
      </w:r>
    </w:p>
    <w:p w14:paraId="35188E8D" w14:textId="4250D0C7" w:rsidR="001B7D25" w:rsidRDefault="001B7D25" w:rsidP="00EE5EEE">
      <w:pPr>
        <w:pStyle w:val="TableTitle"/>
      </w:pPr>
      <w:bookmarkStart w:id="55" w:name="_Ref215241588"/>
      <w:r w:rsidRPr="001B7D25">
        <w:t xml:space="preserve">Table </w:t>
      </w:r>
      <w:bookmarkEnd w:id="55"/>
      <w:r w:rsidR="00176F09">
        <w:t>6.</w:t>
      </w:r>
      <w:r w:rsidRPr="001B7D25">
        <w:t xml:space="preserve"> Overall Response Rate by Independent Reviewer (All-Treated Population)</w:t>
      </w:r>
    </w:p>
    <w:p w14:paraId="1D1F170B" w14:textId="4CC3CC73" w:rsidR="00E72220" w:rsidRPr="001B7D25" w:rsidRDefault="00E72220" w:rsidP="009C7E5A">
      <w:r w:rsidRPr="00DF4389">
        <w:rPr>
          <w:noProof/>
        </w:rPr>
        <w:drawing>
          <wp:inline distT="0" distB="0" distL="0" distR="0" wp14:anchorId="0E872E3F" wp14:editId="51F83C05">
            <wp:extent cx="5344595" cy="2540251"/>
            <wp:effectExtent l="0" t="0" r="8890" b="0"/>
            <wp:docPr id="804766448" name="Picture 1" descr="Table 6. Overall Response Rate by Independent Reviewer (All-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66448" name="Picture 1" descr="Table 6. Overall Response Rate by Independent Reviewer (All-Treated Population)."/>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5351219" cy="2543399"/>
                    </a:xfrm>
                    <a:prstGeom prst="rect">
                      <a:avLst/>
                    </a:prstGeom>
                  </pic:spPr>
                </pic:pic>
              </a:graphicData>
            </a:graphic>
          </wp:inline>
        </w:drawing>
      </w:r>
    </w:p>
    <w:p w14:paraId="326E54CC" w14:textId="77777777" w:rsidR="003C5F81" w:rsidRDefault="003C5F81" w:rsidP="003C5F81">
      <w:pPr>
        <w:pStyle w:val="TableDescription"/>
      </w:pPr>
      <w:r>
        <w:t>CI=confidence interval, CR=complete response, ORR=overall response rate, PR=partial response</w:t>
      </w:r>
    </w:p>
    <w:p w14:paraId="65B8D344" w14:textId="4DB7DC2B" w:rsidR="001B7D25" w:rsidRDefault="003C5F81" w:rsidP="003C5F81">
      <w:pPr>
        <w:pStyle w:val="TableDescription"/>
      </w:pPr>
      <w:r>
        <w:t>Note: Best overall response by independent reviewer. Not evaluable included patients without any scan to the independent reviewer (even clinical progressive disease) or patients whose scan was determined to be not evaluable by the independent reviewer.</w:t>
      </w:r>
    </w:p>
    <w:p w14:paraId="52F76FA2" w14:textId="77777777" w:rsidR="00DE28AE" w:rsidRPr="00DE28AE" w:rsidRDefault="00DE28AE" w:rsidP="00DE28AE">
      <w:r w:rsidRPr="00DE28AE">
        <w:t>In subgroup analyses, ORRs appeared approximately comparable when examined by sex, age, and number of prior lines of therapy (</w:t>
      </w:r>
      <w:r w:rsidRPr="00DE28AE">
        <w:fldChar w:fldCharType="begin"/>
      </w:r>
      <w:r w:rsidRPr="00DE28AE">
        <w:instrText xml:space="preserve"> REF _Ref215496410 \h </w:instrText>
      </w:r>
      <w:r w:rsidRPr="00DE28AE">
        <w:fldChar w:fldCharType="separate"/>
      </w:r>
      <w:r w:rsidRPr="00DE28AE">
        <w:t>Figure 4</w:t>
      </w:r>
      <w:r w:rsidRPr="00DE28AE">
        <w:fldChar w:fldCharType="end"/>
      </w:r>
      <w:r w:rsidRPr="00DE28AE">
        <w:t>).</w:t>
      </w:r>
    </w:p>
    <w:p w14:paraId="79826F7E" w14:textId="77777777" w:rsidR="00DE28AE" w:rsidRPr="00DE28AE" w:rsidRDefault="00DE28AE" w:rsidP="00DE28AE">
      <w:r w:rsidRPr="00DE28AE">
        <w:t>Notable imbalances in ORR included:</w:t>
      </w:r>
    </w:p>
    <w:p w14:paraId="1BFC2638" w14:textId="1A229292" w:rsidR="00DE28AE" w:rsidRPr="00DE28AE" w:rsidRDefault="00DE28AE" w:rsidP="00DE28AE">
      <w:pPr>
        <w:pStyle w:val="ListBullet"/>
      </w:pPr>
      <w:r w:rsidRPr="00DE28AE">
        <w:t>Primary disease subgroup: ORR was 50.0% in the DLBCL NOS group (n=</w:t>
      </w:r>
      <w:r w:rsidR="00842A4B">
        <w:t>64</w:t>
      </w:r>
      <w:r w:rsidRPr="00DE28AE">
        <w:t>/128), 50.0% in the HGBL group (n=5/10), and 14.3% in the PMBCL group (n=1/7).</w:t>
      </w:r>
    </w:p>
    <w:p w14:paraId="3352E61F" w14:textId="77777777" w:rsidR="00DE28AE" w:rsidRPr="00DE28AE" w:rsidRDefault="00DE28AE" w:rsidP="00DE28AE">
      <w:pPr>
        <w:pStyle w:val="ListBullet"/>
      </w:pPr>
      <w:r w:rsidRPr="00DE28AE">
        <w:lastRenderedPageBreak/>
        <w:t>Bulky disease: ORR was 49.6% in patients without bulky disease (n=68/137) and 25.0% in patients with bulky disease (n=2/8).</w:t>
      </w:r>
    </w:p>
    <w:p w14:paraId="0E52FA72" w14:textId="77777777" w:rsidR="00DE28AE" w:rsidRPr="00DE28AE" w:rsidRDefault="00DE28AE" w:rsidP="00DE28AE">
      <w:r w:rsidRPr="00DE28AE">
        <w:t xml:space="preserve">ORR was 48.9% in patients without prior CAR-T therapy (n=64/131) and 42.9% in patients with prior CAR-T therapy (n=6/14). Additionally, the ORR to CAR-T therapy received </w:t>
      </w:r>
      <w:proofErr w:type="gramStart"/>
      <w:r w:rsidRPr="00DE28AE">
        <w:t>subsequent to</w:t>
      </w:r>
      <w:proofErr w:type="gramEnd"/>
      <w:r w:rsidRPr="00DE28AE">
        <w:t xml:space="preserve"> loncastuximab tesirine was 56.3% (n=9/16).</w:t>
      </w:r>
    </w:p>
    <w:p w14:paraId="205EB052" w14:textId="77777777" w:rsidR="00DE28AE" w:rsidRPr="00DE28AE" w:rsidRDefault="00DE28AE" w:rsidP="00DE28AE">
      <w:r w:rsidRPr="00DE28AE">
        <w:t>Despite similar ORR by sex (female [n=60]: 50.0% vs male [n=85]: 47.1%), the CRR was notably higher in female patients compared to males (36.7% vs 16.5%, respectively).</w:t>
      </w:r>
    </w:p>
    <w:p w14:paraId="6B9F0983" w14:textId="77777777" w:rsidR="00DE28AE" w:rsidRPr="00DE28AE" w:rsidRDefault="00DE28AE" w:rsidP="00DE28AE">
      <w:r w:rsidRPr="00DE28AE">
        <w:t>However, caution is needed in interpreting subgroup results because these analyses are exploratory with smaller sample sizes.</w:t>
      </w:r>
    </w:p>
    <w:p w14:paraId="4F3CCA9E" w14:textId="5E58773B" w:rsidR="00DE28AE" w:rsidRDefault="00DE28AE" w:rsidP="00DE28AE">
      <w:pPr>
        <w:pStyle w:val="FigureTitle"/>
      </w:pPr>
      <w:bookmarkStart w:id="56" w:name="_Ref215496410"/>
      <w:r w:rsidRPr="00DE28AE">
        <w:t xml:space="preserve">Figure </w:t>
      </w:r>
      <w:bookmarkEnd w:id="56"/>
      <w:r w:rsidR="00DA7CC7">
        <w:t>4.</w:t>
      </w:r>
      <w:r w:rsidRPr="00DE28AE">
        <w:t xml:space="preserve"> Forest Plot of Overall Response Rate by Subgroup (All-Treated Population)</w:t>
      </w:r>
    </w:p>
    <w:p w14:paraId="6937FE0D" w14:textId="241A1F87" w:rsidR="00936CF3" w:rsidRPr="00DE28AE" w:rsidRDefault="00936CF3" w:rsidP="009C7E5A">
      <w:r w:rsidRPr="00725807">
        <w:rPr>
          <w:noProof/>
        </w:rPr>
        <w:drawing>
          <wp:inline distT="0" distB="0" distL="0" distR="0" wp14:anchorId="1938399D" wp14:editId="08798C95">
            <wp:extent cx="5010150" cy="5580218"/>
            <wp:effectExtent l="19050" t="19050" r="19050" b="20955"/>
            <wp:docPr id="289864624" name="Picture 1" descr="Figure 4. Forest Plot of Overall Response Rate by Subgroup (All-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64624" name="Picture 1" descr="Figure 4. Forest Plot of Overall Response Rate by Subgroup (All-Treated Population)"/>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5053783" cy="5628816"/>
                    </a:xfrm>
                    <a:prstGeom prst="rect">
                      <a:avLst/>
                    </a:prstGeom>
                    <a:ln>
                      <a:solidFill>
                        <a:schemeClr val="tx1"/>
                      </a:solidFill>
                    </a:ln>
                  </pic:spPr>
                </pic:pic>
              </a:graphicData>
            </a:graphic>
          </wp:inline>
        </w:drawing>
      </w:r>
    </w:p>
    <w:p w14:paraId="62852F98" w14:textId="6512447A" w:rsidR="003C5F81" w:rsidRDefault="002D4163" w:rsidP="002D4163">
      <w:pPr>
        <w:pStyle w:val="FigureDescription"/>
      </w:pPr>
      <w:r w:rsidRPr="002D4163">
        <w:t>Note: Best overall response (BOR) by independent reviewer. ORR=Overall Response Rate. CI=Confidence Interval</w:t>
      </w:r>
      <w:r>
        <w:t>.</w:t>
      </w:r>
    </w:p>
    <w:p w14:paraId="215588CE" w14:textId="77777777" w:rsidR="00546F61" w:rsidRPr="00546F61" w:rsidRDefault="00546F61" w:rsidP="00546F61">
      <w:pPr>
        <w:pStyle w:val="Heading6"/>
      </w:pPr>
      <w:r w:rsidRPr="00546F61">
        <w:t>Secondary efficacy endpoints</w:t>
      </w:r>
    </w:p>
    <w:p w14:paraId="696E11E9" w14:textId="47CF95A5" w:rsidR="00546F61" w:rsidRPr="00546F61" w:rsidRDefault="00546F61" w:rsidP="008B4140">
      <w:pPr>
        <w:pStyle w:val="Heading7"/>
      </w:pPr>
      <w:r w:rsidRPr="00546F61">
        <w:t>Duration of response</w:t>
      </w:r>
    </w:p>
    <w:p w14:paraId="3EB217FF" w14:textId="3C459D32" w:rsidR="00546F61" w:rsidRPr="00546F61" w:rsidRDefault="00546F61" w:rsidP="00546F61">
      <w:r w:rsidRPr="00546F61">
        <w:t>The median</w:t>
      </w:r>
      <w:r w:rsidR="008B4140">
        <w:t xml:space="preserve"> </w:t>
      </w:r>
      <w:proofErr w:type="spellStart"/>
      <w:r w:rsidR="002D703F">
        <w:t>DoR</w:t>
      </w:r>
      <w:proofErr w:type="spellEnd"/>
      <w:r w:rsidRPr="00546F61">
        <w:t xml:space="preserve"> in responders was 13.37 months (95% CI: 6.87 to NE) (</w:t>
      </w:r>
      <w:r w:rsidR="008B4140">
        <w:t xml:space="preserve">Table </w:t>
      </w:r>
      <w:r w:rsidR="00176F09">
        <w:t>7</w:t>
      </w:r>
      <w:r w:rsidRPr="00546F61">
        <w:t>).</w:t>
      </w:r>
    </w:p>
    <w:p w14:paraId="514F713F" w14:textId="54DE9B4D" w:rsidR="00546F61" w:rsidRDefault="00546F61" w:rsidP="008B4140">
      <w:pPr>
        <w:pStyle w:val="TableTitle"/>
      </w:pPr>
      <w:bookmarkStart w:id="57" w:name="_Ref215663803"/>
      <w:r w:rsidRPr="00546F61">
        <w:lastRenderedPageBreak/>
        <w:t>Table</w:t>
      </w:r>
      <w:bookmarkEnd w:id="57"/>
      <w:r w:rsidR="00176F09">
        <w:t xml:space="preserve"> 7</w:t>
      </w:r>
      <w:r w:rsidR="008B4140">
        <w:t>.</w:t>
      </w:r>
      <w:r w:rsidRPr="00546F61">
        <w:t xml:space="preserve"> Summary of Duration of Response by Independent Reviewer (All-Treated Population)</w:t>
      </w:r>
    </w:p>
    <w:p w14:paraId="5C23791E" w14:textId="57EA5814" w:rsidR="008B4140" w:rsidRPr="00546F61" w:rsidRDefault="008B4140" w:rsidP="00546F61">
      <w:r w:rsidRPr="00366D9C">
        <w:rPr>
          <w:noProof/>
        </w:rPr>
        <w:drawing>
          <wp:inline distT="0" distB="0" distL="0" distR="0" wp14:anchorId="5441CB7C" wp14:editId="6AD20A83">
            <wp:extent cx="5326141" cy="2461260"/>
            <wp:effectExtent l="0" t="0" r="8255" b="0"/>
            <wp:docPr id="1449326052" name="Picture 1" descr="Table 7. Summary of Duration of Response by Independent Reviewer (All-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26052" name="Picture 1" descr="Table 7. Summary of Duration of Response by Independent Reviewer (All-Treated Population)"/>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5414451" cy="2502069"/>
                    </a:xfrm>
                    <a:prstGeom prst="rect">
                      <a:avLst/>
                    </a:prstGeom>
                  </pic:spPr>
                </pic:pic>
              </a:graphicData>
            </a:graphic>
          </wp:inline>
        </w:drawing>
      </w:r>
    </w:p>
    <w:p w14:paraId="0CA43DC7" w14:textId="11E3B858" w:rsidR="00546F61" w:rsidRDefault="00FB0857" w:rsidP="00546F61">
      <w:r w:rsidRPr="00FB0857">
        <w:t>Patients with CR had a longer median DOR than those whose best response was PR (Figure</w:t>
      </w:r>
      <w:r w:rsidR="00A73332">
        <w:t xml:space="preserve"> 5</w:t>
      </w:r>
      <w:r w:rsidRPr="00FB0857">
        <w:t>).</w:t>
      </w:r>
    </w:p>
    <w:p w14:paraId="40A3B603" w14:textId="2BEBC349" w:rsidR="00A73332" w:rsidRDefault="00A73332" w:rsidP="00A73332">
      <w:pPr>
        <w:pStyle w:val="FigureTitle"/>
      </w:pPr>
      <w:r w:rsidRPr="00A73332">
        <w:t>Figure 5</w:t>
      </w:r>
      <w:r>
        <w:t>.</w:t>
      </w:r>
      <w:r w:rsidRPr="00A73332">
        <w:t xml:space="preserve"> Kaplan-Meier Plot of Duration of Response by Independent Reviewer by Best Overall Response (CR/PR) (All-Treated Population)</w:t>
      </w:r>
    </w:p>
    <w:p w14:paraId="1FAFB004" w14:textId="065887FA" w:rsidR="005C7D58" w:rsidRDefault="005C7D58" w:rsidP="00546F61">
      <w:r w:rsidRPr="00100144">
        <w:rPr>
          <w:noProof/>
        </w:rPr>
        <w:drawing>
          <wp:inline distT="0" distB="0" distL="0" distR="0" wp14:anchorId="0D6528C9" wp14:editId="2852D958">
            <wp:extent cx="5731510" cy="2949575"/>
            <wp:effectExtent l="19050" t="19050" r="21590" b="22225"/>
            <wp:docPr id="1713135075" name="Picture 1" descr="Figure 5. Kaplan-Meier Plot of Duration of Response by Independent Reviewer by Best Overall Response (CR/PR) (All-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35075" name="Picture 1" descr="Figure 5. Kaplan-Meier Plot of Duration of Response by Independent Reviewer by Best Overall Response (CR/PR) (All-Treated Population)"/>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5731510" cy="2949575"/>
                    </a:xfrm>
                    <a:prstGeom prst="rect">
                      <a:avLst/>
                    </a:prstGeom>
                    <a:ln>
                      <a:solidFill>
                        <a:schemeClr val="accent1"/>
                      </a:solidFill>
                    </a:ln>
                  </pic:spPr>
                </pic:pic>
              </a:graphicData>
            </a:graphic>
          </wp:inline>
        </w:drawing>
      </w:r>
    </w:p>
    <w:p w14:paraId="6C3315E5" w14:textId="47D81599" w:rsidR="006D35E3" w:rsidRDefault="006D35E3" w:rsidP="00A73332">
      <w:pPr>
        <w:pStyle w:val="FigureDescription"/>
      </w:pPr>
      <w:r w:rsidRPr="00810137">
        <w:rPr>
          <w:lang w:val="fr-FR"/>
        </w:rPr>
        <w:t xml:space="preserve">CR=Complete </w:t>
      </w:r>
      <w:proofErr w:type="spellStart"/>
      <w:proofErr w:type="gramStart"/>
      <w:r w:rsidRPr="00810137">
        <w:rPr>
          <w:lang w:val="fr-FR"/>
        </w:rPr>
        <w:t>Response</w:t>
      </w:r>
      <w:proofErr w:type="spellEnd"/>
      <w:r w:rsidRPr="00810137">
        <w:rPr>
          <w:lang w:val="fr-FR"/>
        </w:rPr>
        <w:t>;</w:t>
      </w:r>
      <w:proofErr w:type="gramEnd"/>
      <w:r w:rsidRPr="00810137">
        <w:rPr>
          <w:lang w:val="fr-FR"/>
        </w:rPr>
        <w:t xml:space="preserve"> PR=Partial </w:t>
      </w:r>
      <w:proofErr w:type="spellStart"/>
      <w:r w:rsidRPr="00810137">
        <w:rPr>
          <w:lang w:val="fr-FR"/>
        </w:rPr>
        <w:t>Response</w:t>
      </w:r>
      <w:proofErr w:type="spellEnd"/>
      <w:r w:rsidRPr="00810137">
        <w:rPr>
          <w:lang w:val="fr-FR"/>
        </w:rPr>
        <w:t xml:space="preserve">. </w:t>
      </w:r>
      <w:r w:rsidRPr="006D35E3">
        <w:t>Based on independent reviewer data, including death as event.</w:t>
      </w:r>
    </w:p>
    <w:p w14:paraId="7438C50D" w14:textId="77777777" w:rsidR="003E6A48" w:rsidRPr="003E6A48" w:rsidRDefault="003E6A48" w:rsidP="007F3D14">
      <w:pPr>
        <w:pStyle w:val="Heading7"/>
      </w:pPr>
      <w:r w:rsidRPr="003E6A48">
        <w:t>Progression-free survival (PFS) and overall survival (OS)</w:t>
      </w:r>
    </w:p>
    <w:p w14:paraId="4C3A90AB" w14:textId="111772F4" w:rsidR="003E6A48" w:rsidRDefault="003E6A48" w:rsidP="003E6A48">
      <w:r w:rsidRPr="003E6A48">
        <w:t>The median PFS was 4.93 months (95% CI: 2.89, 8.31) and median OS was 9.53 months (95% CI: 6.74, 11.47).</w:t>
      </w:r>
    </w:p>
    <w:p w14:paraId="4B9DE0E3" w14:textId="2BFE0A65" w:rsidR="001840A9" w:rsidRPr="003E6A48" w:rsidRDefault="001840A9" w:rsidP="003E6A48">
      <w:r w:rsidRPr="001840A9">
        <w:t>There is no comparator group in Study ADCT-402-201. This markedly limits the ability to meaningfully interpret time-to-event endpoints such as DOR, PFS, and OS</w:t>
      </w:r>
      <w:r>
        <w:t>.</w:t>
      </w:r>
    </w:p>
    <w:p w14:paraId="5AF91DBC" w14:textId="77777777" w:rsidR="003E6A48" w:rsidRPr="003E6A48" w:rsidRDefault="003E6A48" w:rsidP="0070559B">
      <w:pPr>
        <w:pStyle w:val="Heading5"/>
      </w:pPr>
      <w:r w:rsidRPr="003E6A48">
        <w:t>Study ADCT-402-101 (LOTIS-1)</w:t>
      </w:r>
    </w:p>
    <w:p w14:paraId="21F6A59E" w14:textId="77777777" w:rsidR="003E6A48" w:rsidRPr="003E6A48" w:rsidRDefault="003E6A48" w:rsidP="003E6A48">
      <w:r w:rsidRPr="003E6A48">
        <w:t>The primary measure of clinical activity was ORR as assessed by the Investigator. Other efficacy measures were DOR, PFS and OS. The results from this study for the subset of patients with DLBCL in the 150 µg/kg dose group (n=70) are summarised below:</w:t>
      </w:r>
    </w:p>
    <w:p w14:paraId="0E3C5C98" w14:textId="77777777" w:rsidR="003E6A48" w:rsidRPr="003E6A48" w:rsidRDefault="003E6A48" w:rsidP="003E6A48">
      <w:pPr>
        <w:numPr>
          <w:ilvl w:val="0"/>
          <w:numId w:val="16"/>
        </w:numPr>
      </w:pPr>
      <w:r w:rsidRPr="003E6A48">
        <w:t>ORR was 41.4% (95% CI: 29.8, 53.8); with CRR of 21.4%</w:t>
      </w:r>
    </w:p>
    <w:p w14:paraId="3CB8DD8E" w14:textId="77777777" w:rsidR="003E6A48" w:rsidRPr="003E6A48" w:rsidRDefault="003E6A48" w:rsidP="003E6A48">
      <w:pPr>
        <w:numPr>
          <w:ilvl w:val="0"/>
          <w:numId w:val="16"/>
        </w:numPr>
      </w:pPr>
      <w:r w:rsidRPr="003E6A48">
        <w:lastRenderedPageBreak/>
        <w:t>Median DOR was 4.04 months (95% CI: 2.14, 9.46)</w:t>
      </w:r>
    </w:p>
    <w:p w14:paraId="1B185C1E" w14:textId="77777777" w:rsidR="003E6A48" w:rsidRPr="003E6A48" w:rsidRDefault="003E6A48" w:rsidP="003E6A48">
      <w:pPr>
        <w:numPr>
          <w:ilvl w:val="0"/>
          <w:numId w:val="16"/>
        </w:numPr>
      </w:pPr>
      <w:r w:rsidRPr="003E6A48">
        <w:t>Median PFS was 2.83 months (95% CI: 1.41, 4.04)</w:t>
      </w:r>
    </w:p>
    <w:p w14:paraId="1092A1F9" w14:textId="573AAAA3" w:rsidR="003E6A48" w:rsidRDefault="003E6A48" w:rsidP="003E6A48">
      <w:r w:rsidRPr="003E6A48">
        <w:t>There were no separate data for OS in patients at the 150 µg/kg dose level, but median OS in the DLBCL group for all doses combined (n=137) was 7.46 months (95%</w:t>
      </w:r>
      <w:r w:rsidR="00DA3D58">
        <w:t>.</w:t>
      </w:r>
      <w:r w:rsidR="00DD7941" w:rsidRPr="00DD7941">
        <w:t>5.95 to 9.79 months</w:t>
      </w:r>
      <w:r w:rsidRPr="003E6A48">
        <w:t>).</w:t>
      </w:r>
    </w:p>
    <w:p w14:paraId="67DD4332" w14:textId="4E91EADB" w:rsidR="001840A9" w:rsidRPr="003E6A48" w:rsidRDefault="001840A9" w:rsidP="003E6A48">
      <w:r w:rsidRPr="001840A9">
        <w:t>As for the previous study, there is no comparator group in Study ADCT-402-101. This markedly limits the ability to meaningfully interpret time-to-event endpoints such as DOR, PFS, and OS.</w:t>
      </w:r>
    </w:p>
    <w:p w14:paraId="5C345D35" w14:textId="77777777" w:rsidR="003E6A48" w:rsidRDefault="003E6A48" w:rsidP="001840A9">
      <w:pPr>
        <w:pStyle w:val="Heading4"/>
      </w:pPr>
      <w:bookmarkStart w:id="58" w:name="_Toc232504990"/>
      <w:r w:rsidRPr="003E6A48">
        <w:t>Safety</w:t>
      </w:r>
      <w:bookmarkEnd w:id="58"/>
    </w:p>
    <w:p w14:paraId="6820D650" w14:textId="62FBA80B" w:rsidR="001840A9" w:rsidRPr="003E6A48" w:rsidRDefault="001840A9" w:rsidP="001840A9">
      <w:r w:rsidRPr="001840A9">
        <w:t xml:space="preserve">The approach to the evaluation of </w:t>
      </w:r>
      <w:r w:rsidR="009326E9">
        <w:t>s</w:t>
      </w:r>
      <w:r w:rsidRPr="001840A9">
        <w:t>afety</w:t>
      </w:r>
      <w:r w:rsidR="007F3D14">
        <w:t xml:space="preserve"> </w:t>
      </w:r>
      <w:r w:rsidRPr="001840A9">
        <w:t xml:space="preserve">has been to compare the safety data from study ADCT-402-201 (LOTIS-2), study ADCT-402-101 (LOTIS-1) and the pooled dataset from the two studies for the 215 patients with DLBCL in the 150 µg/kg dose groups presented in the Summary of Clinical Safety. The comparison is based on the integrated analysis presented in the </w:t>
      </w:r>
      <w:r w:rsidR="002328A7" w:rsidRPr="002328A7">
        <w:t xml:space="preserve">Summary of Clinical Safety </w:t>
      </w:r>
      <w:r w:rsidRPr="001840A9">
        <w:t>with a DCO of 1 March 2021</w:t>
      </w:r>
      <w:r w:rsidR="0009243C">
        <w:t>.</w:t>
      </w:r>
    </w:p>
    <w:p w14:paraId="17C737AB" w14:textId="77777777" w:rsidR="003E6A48" w:rsidRPr="003E6A48" w:rsidRDefault="003E6A48" w:rsidP="003E6A48">
      <w:r w:rsidRPr="003E6A48">
        <w:t>The exposure to loncastuximab tesirine at 150 µg/kg across studies ADCT-402-201 and ADCT-402-101 was median 45 days’ duration (range: 1, 569) and median 3.0 cycles (range: 1, 26).</w:t>
      </w:r>
    </w:p>
    <w:p w14:paraId="50AF54F7" w14:textId="20011A66" w:rsidR="003E6A48" w:rsidRPr="003E6A48" w:rsidRDefault="003E6A48" w:rsidP="003E6A48">
      <w:r w:rsidRPr="003E6A48">
        <w:t xml:space="preserve">Summaries of overall of TEAEs and Grade ≥3 TEAEs by preferred term (PT) for DLBCL patients who received loncastuximab tesirine monotherapy (150 µg/kg dose groups) are presented in </w:t>
      </w:r>
      <w:r w:rsidR="00176F09">
        <w:t xml:space="preserve">Table 8 </w:t>
      </w:r>
      <w:r w:rsidRPr="003E6A48">
        <w:t xml:space="preserve">and </w:t>
      </w:r>
      <w:r w:rsidR="00176F09">
        <w:t>Table 9</w:t>
      </w:r>
      <w:r w:rsidRPr="003E6A48">
        <w:t>, respectively</w:t>
      </w:r>
    </w:p>
    <w:p w14:paraId="715B6A42" w14:textId="77AB508F" w:rsidR="003E6A48" w:rsidRDefault="003E6A48" w:rsidP="001840A9">
      <w:pPr>
        <w:pStyle w:val="TableTitle"/>
      </w:pPr>
      <w:bookmarkStart w:id="59" w:name="_Ref219466839"/>
      <w:r w:rsidRPr="003E6A48">
        <w:t xml:space="preserve">Table </w:t>
      </w:r>
      <w:bookmarkEnd w:id="59"/>
      <w:r w:rsidR="00176F09">
        <w:t>8</w:t>
      </w:r>
      <w:r w:rsidR="00825F28">
        <w:t>.</w:t>
      </w:r>
      <w:r w:rsidRPr="003E6A48">
        <w:t xml:space="preserve"> Overall Summary of TEAEs for </w:t>
      </w:r>
      <w:r w:rsidR="005C7A31">
        <w:t>l</w:t>
      </w:r>
      <w:r w:rsidRPr="003E6A48">
        <w:t xml:space="preserve">oncastuximab </w:t>
      </w:r>
      <w:r w:rsidR="005C7A31">
        <w:t>t</w:t>
      </w:r>
      <w:r w:rsidRPr="003E6A48">
        <w:t xml:space="preserve">esirine </w:t>
      </w:r>
      <w:r w:rsidR="005C7A31">
        <w:t>m</w:t>
      </w:r>
      <w:r w:rsidRPr="003E6A48">
        <w:t xml:space="preserve">onotherapy </w:t>
      </w:r>
      <w:r w:rsidR="005C7A31">
        <w:t>t</w:t>
      </w:r>
      <w:r w:rsidRPr="003E6A48">
        <w:t xml:space="preserve">reated DLBCL </w:t>
      </w:r>
      <w:r w:rsidR="005C7A31">
        <w:t>pa</w:t>
      </w:r>
      <w:r w:rsidRPr="003E6A48">
        <w:t xml:space="preserve">tients in the 150 µg/kg </w:t>
      </w:r>
      <w:r w:rsidR="005C7A31">
        <w:t>d</w:t>
      </w:r>
      <w:r w:rsidRPr="003E6A48">
        <w:t xml:space="preserve">ose </w:t>
      </w:r>
      <w:r w:rsidR="005C7A31">
        <w:t>g</w:t>
      </w:r>
      <w:r w:rsidRPr="003E6A48">
        <w:t>roups</w:t>
      </w:r>
    </w:p>
    <w:tbl>
      <w:tblPr>
        <w:tblStyle w:val="TableGrid"/>
        <w:tblW w:w="9351"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Caption w:val="Table 8. Overall Summary of TEAEs for loncastuximab tesirine monotherapy treated DLBCL patients in the 150 µg/kg dose groups"/>
        <w:tblDescription w:val="Table 8. Overall Summary of TEAEs for loncastuximab tesirine monotherapy treated DLBCL patients in the 150 µg/kg dose groups"/>
      </w:tblPr>
      <w:tblGrid>
        <w:gridCol w:w="4815"/>
        <w:gridCol w:w="1559"/>
        <w:gridCol w:w="1559"/>
        <w:gridCol w:w="1418"/>
      </w:tblGrid>
      <w:tr w:rsidR="00B71B78" w14:paraId="6C450FF3" w14:textId="77777777" w:rsidTr="00B71B78">
        <w:tc>
          <w:tcPr>
            <w:tcW w:w="4815" w:type="dxa"/>
            <w:shd w:val="clear" w:color="auto" w:fill="DEEAF6"/>
            <w:vAlign w:val="bottom"/>
          </w:tcPr>
          <w:p w14:paraId="1B14526F" w14:textId="77777777" w:rsidR="00B71B78" w:rsidRPr="00B71B78" w:rsidRDefault="00B71B78" w:rsidP="00DC7677">
            <w:pPr>
              <w:spacing w:before="40" w:after="40"/>
              <w:rPr>
                <w:rFonts w:cs="Calibri"/>
                <w:b/>
                <w:bCs/>
                <w:color w:val="263287"/>
                <w:sz w:val="20"/>
                <w:szCs w:val="20"/>
                <w:lang w:eastAsia="ja-JP"/>
              </w:rPr>
            </w:pPr>
            <w:r w:rsidRPr="00B71B78">
              <w:rPr>
                <w:rFonts w:cs="Calibri"/>
                <w:b/>
                <w:bCs/>
                <w:color w:val="263287"/>
                <w:sz w:val="20"/>
                <w:szCs w:val="20"/>
                <w:lang w:eastAsia="ja-JP"/>
              </w:rPr>
              <w:t xml:space="preserve">TEAE parameter </w:t>
            </w:r>
          </w:p>
        </w:tc>
        <w:tc>
          <w:tcPr>
            <w:tcW w:w="1559" w:type="dxa"/>
            <w:shd w:val="clear" w:color="auto" w:fill="DEEAF6"/>
          </w:tcPr>
          <w:p w14:paraId="75AB21AC" w14:textId="77777777" w:rsidR="00B71B78" w:rsidRPr="00B71B78" w:rsidRDefault="00B71B78" w:rsidP="00DC7677">
            <w:pPr>
              <w:spacing w:before="40" w:after="40"/>
              <w:rPr>
                <w:rFonts w:cs="Calibri"/>
                <w:b/>
                <w:bCs/>
                <w:color w:val="263287"/>
                <w:sz w:val="20"/>
                <w:szCs w:val="20"/>
                <w:lang w:eastAsia="ja-JP"/>
              </w:rPr>
            </w:pPr>
            <w:r w:rsidRPr="00B71B78">
              <w:rPr>
                <w:rFonts w:cs="Calibri"/>
                <w:b/>
                <w:bCs/>
                <w:color w:val="263287"/>
                <w:sz w:val="20"/>
                <w:szCs w:val="20"/>
                <w:lang w:eastAsia="ja-JP"/>
              </w:rPr>
              <w:t xml:space="preserve">ADCT-402-201 </w:t>
            </w:r>
          </w:p>
          <w:p w14:paraId="4137A9E9" w14:textId="77777777" w:rsidR="00B71B78" w:rsidRPr="00B71B78" w:rsidRDefault="00B71B78" w:rsidP="00DC7677">
            <w:pPr>
              <w:spacing w:before="40" w:after="40"/>
              <w:rPr>
                <w:rFonts w:cs="Calibri"/>
                <w:b/>
                <w:bCs/>
                <w:color w:val="263287"/>
                <w:sz w:val="20"/>
                <w:szCs w:val="20"/>
              </w:rPr>
            </w:pPr>
            <w:r w:rsidRPr="00B71B78">
              <w:rPr>
                <w:rFonts w:cs="Calibri"/>
                <w:b/>
                <w:bCs/>
                <w:color w:val="263287"/>
                <w:sz w:val="20"/>
                <w:szCs w:val="20"/>
              </w:rPr>
              <w:t>N=145</w:t>
            </w:r>
          </w:p>
          <w:p w14:paraId="0F7E352D" w14:textId="77777777" w:rsidR="00B71B78" w:rsidRPr="00B71B78" w:rsidRDefault="00B71B78" w:rsidP="00DC7677">
            <w:pPr>
              <w:spacing w:before="40" w:after="40"/>
              <w:rPr>
                <w:rFonts w:cs="Calibri"/>
                <w:b/>
                <w:bCs/>
                <w:color w:val="263287"/>
                <w:sz w:val="20"/>
                <w:szCs w:val="20"/>
                <w:lang w:eastAsia="ja-JP"/>
              </w:rPr>
            </w:pPr>
            <w:r w:rsidRPr="00B71B78">
              <w:rPr>
                <w:rFonts w:cs="Calibri"/>
                <w:b/>
                <w:bCs/>
                <w:color w:val="263287"/>
                <w:sz w:val="20"/>
                <w:szCs w:val="20"/>
              </w:rPr>
              <w:t>N (%)</w:t>
            </w:r>
          </w:p>
        </w:tc>
        <w:tc>
          <w:tcPr>
            <w:tcW w:w="1559" w:type="dxa"/>
            <w:shd w:val="clear" w:color="auto" w:fill="DEEAF6"/>
          </w:tcPr>
          <w:p w14:paraId="77CAB78A" w14:textId="77777777" w:rsidR="00B71B78" w:rsidRPr="00B71B78" w:rsidRDefault="00B71B78" w:rsidP="00DC7677">
            <w:pPr>
              <w:spacing w:before="40" w:after="40"/>
              <w:rPr>
                <w:rFonts w:cs="Calibri"/>
                <w:b/>
                <w:bCs/>
                <w:color w:val="263287"/>
                <w:sz w:val="20"/>
                <w:szCs w:val="20"/>
                <w:lang w:eastAsia="ja-JP"/>
              </w:rPr>
            </w:pPr>
            <w:r w:rsidRPr="00B71B78">
              <w:rPr>
                <w:rFonts w:cs="Calibri"/>
                <w:b/>
                <w:bCs/>
                <w:color w:val="263287"/>
                <w:sz w:val="20"/>
                <w:szCs w:val="20"/>
                <w:lang w:eastAsia="ja-JP"/>
              </w:rPr>
              <w:t>ADCT-402-101</w:t>
            </w:r>
          </w:p>
          <w:p w14:paraId="36F0322D" w14:textId="77777777" w:rsidR="00B71B78" w:rsidRPr="00B71B78" w:rsidRDefault="00B71B78" w:rsidP="00DC7677">
            <w:pPr>
              <w:spacing w:before="40" w:after="40"/>
              <w:rPr>
                <w:rFonts w:cs="Calibri"/>
                <w:b/>
                <w:bCs/>
                <w:color w:val="263287"/>
                <w:sz w:val="20"/>
                <w:szCs w:val="20"/>
              </w:rPr>
            </w:pPr>
            <w:r w:rsidRPr="00B71B78">
              <w:rPr>
                <w:rFonts w:cs="Calibri"/>
                <w:b/>
                <w:bCs/>
                <w:color w:val="263287"/>
                <w:sz w:val="20"/>
                <w:szCs w:val="20"/>
              </w:rPr>
              <w:t>N=70</w:t>
            </w:r>
          </w:p>
          <w:p w14:paraId="37C1CABB" w14:textId="77777777" w:rsidR="00B71B78" w:rsidRPr="00B71B78" w:rsidRDefault="00B71B78" w:rsidP="00DC7677">
            <w:pPr>
              <w:spacing w:before="40" w:after="40"/>
              <w:rPr>
                <w:rFonts w:cs="Calibri"/>
                <w:b/>
                <w:bCs/>
                <w:color w:val="263287"/>
                <w:sz w:val="20"/>
                <w:szCs w:val="20"/>
                <w:lang w:eastAsia="ja-JP"/>
              </w:rPr>
            </w:pPr>
            <w:r w:rsidRPr="00B71B78">
              <w:rPr>
                <w:rFonts w:cs="Calibri"/>
                <w:b/>
                <w:bCs/>
                <w:color w:val="263287"/>
                <w:sz w:val="20"/>
                <w:szCs w:val="20"/>
              </w:rPr>
              <w:t>N (%)</w:t>
            </w:r>
          </w:p>
        </w:tc>
        <w:tc>
          <w:tcPr>
            <w:tcW w:w="1418" w:type="dxa"/>
            <w:shd w:val="clear" w:color="auto" w:fill="DEEAF6"/>
          </w:tcPr>
          <w:p w14:paraId="208B2E5E" w14:textId="77777777" w:rsidR="00B71B78" w:rsidRPr="00B71B78" w:rsidRDefault="00B71B78" w:rsidP="00DC7677">
            <w:pPr>
              <w:spacing w:before="40" w:after="40"/>
              <w:rPr>
                <w:rFonts w:cs="Calibri"/>
                <w:b/>
                <w:bCs/>
                <w:color w:val="263287"/>
                <w:sz w:val="20"/>
                <w:szCs w:val="20"/>
                <w:lang w:eastAsia="ja-JP"/>
              </w:rPr>
            </w:pPr>
            <w:r w:rsidRPr="00B71B78">
              <w:rPr>
                <w:rFonts w:cs="Calibri"/>
                <w:b/>
                <w:bCs/>
                <w:color w:val="263287"/>
                <w:sz w:val="20"/>
                <w:szCs w:val="20"/>
                <w:lang w:eastAsia="ja-JP"/>
              </w:rPr>
              <w:t>Pooled</w:t>
            </w:r>
          </w:p>
          <w:p w14:paraId="167E9C1A" w14:textId="77777777" w:rsidR="00B71B78" w:rsidRPr="00B71B78" w:rsidRDefault="00B71B78" w:rsidP="00DC7677">
            <w:pPr>
              <w:spacing w:before="40" w:after="40"/>
              <w:rPr>
                <w:rFonts w:cs="Calibri"/>
                <w:b/>
                <w:bCs/>
                <w:color w:val="263287"/>
                <w:sz w:val="20"/>
                <w:szCs w:val="20"/>
                <w:lang w:eastAsia="ja-JP"/>
              </w:rPr>
            </w:pPr>
            <w:r w:rsidRPr="00B71B78">
              <w:rPr>
                <w:rFonts w:cs="Calibri"/>
                <w:b/>
                <w:bCs/>
                <w:color w:val="263287"/>
                <w:sz w:val="20"/>
                <w:szCs w:val="20"/>
                <w:lang w:eastAsia="ja-JP"/>
              </w:rPr>
              <w:t>N=215</w:t>
            </w:r>
          </w:p>
          <w:p w14:paraId="12373DA8" w14:textId="77777777" w:rsidR="00B71B78" w:rsidRPr="00B71B78" w:rsidRDefault="00B71B78" w:rsidP="00DC7677">
            <w:pPr>
              <w:spacing w:before="40" w:after="40"/>
              <w:rPr>
                <w:rFonts w:cs="Calibri"/>
                <w:b/>
                <w:bCs/>
                <w:color w:val="263287"/>
                <w:sz w:val="20"/>
                <w:szCs w:val="20"/>
                <w:lang w:eastAsia="ja-JP"/>
              </w:rPr>
            </w:pPr>
            <w:r w:rsidRPr="00B71B78">
              <w:rPr>
                <w:rFonts w:cs="Calibri"/>
                <w:b/>
                <w:bCs/>
                <w:color w:val="263287"/>
                <w:sz w:val="20"/>
                <w:szCs w:val="20"/>
              </w:rPr>
              <w:t>N (%)</w:t>
            </w:r>
          </w:p>
        </w:tc>
      </w:tr>
      <w:tr w:rsidR="00B71B78" w14:paraId="16FD7421" w14:textId="77777777" w:rsidTr="00B71B78">
        <w:tc>
          <w:tcPr>
            <w:tcW w:w="4815" w:type="dxa"/>
          </w:tcPr>
          <w:p w14:paraId="3081C6C7"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Number of TEAEs </w:t>
            </w:r>
          </w:p>
        </w:tc>
        <w:tc>
          <w:tcPr>
            <w:tcW w:w="1559" w:type="dxa"/>
          </w:tcPr>
          <w:p w14:paraId="7DB3908A"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1780</w:t>
            </w:r>
          </w:p>
        </w:tc>
        <w:tc>
          <w:tcPr>
            <w:tcW w:w="1559" w:type="dxa"/>
          </w:tcPr>
          <w:p w14:paraId="6CBCEC93" w14:textId="77777777" w:rsidR="00B71B78" w:rsidRPr="00B71B78" w:rsidRDefault="00B71B78" w:rsidP="00DC7677">
            <w:pPr>
              <w:spacing w:before="40" w:after="40"/>
              <w:rPr>
                <w:rFonts w:cs="Calibri"/>
                <w:sz w:val="20"/>
                <w:szCs w:val="20"/>
                <w:lang w:eastAsia="ja-JP"/>
              </w:rPr>
            </w:pPr>
            <w:r w:rsidRPr="00B71B78">
              <w:rPr>
                <w:rFonts w:cs="Calibri"/>
                <w:sz w:val="20"/>
                <w:szCs w:val="20"/>
                <w:lang w:eastAsia="ja-JP"/>
              </w:rPr>
              <w:t>1061</w:t>
            </w:r>
          </w:p>
        </w:tc>
        <w:tc>
          <w:tcPr>
            <w:tcW w:w="1418" w:type="dxa"/>
          </w:tcPr>
          <w:p w14:paraId="26CCB9B7"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2841 </w:t>
            </w:r>
          </w:p>
        </w:tc>
      </w:tr>
      <w:tr w:rsidR="00B71B78" w14:paraId="49FA40E6" w14:textId="77777777" w:rsidTr="00B71B78">
        <w:tc>
          <w:tcPr>
            <w:tcW w:w="4815" w:type="dxa"/>
          </w:tcPr>
          <w:p w14:paraId="145CD6E1"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Patients with any TEAE </w:t>
            </w:r>
          </w:p>
        </w:tc>
        <w:tc>
          <w:tcPr>
            <w:tcW w:w="1559" w:type="dxa"/>
          </w:tcPr>
          <w:p w14:paraId="48AC34C1"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143 (98.6) </w:t>
            </w:r>
          </w:p>
        </w:tc>
        <w:tc>
          <w:tcPr>
            <w:tcW w:w="1559" w:type="dxa"/>
          </w:tcPr>
          <w:p w14:paraId="1170A0BD" w14:textId="77777777" w:rsidR="00B71B78" w:rsidRPr="00B71B78" w:rsidRDefault="00B71B78" w:rsidP="00DC7677">
            <w:pPr>
              <w:spacing w:before="40" w:after="40"/>
              <w:rPr>
                <w:rFonts w:cs="Calibri"/>
                <w:sz w:val="20"/>
                <w:szCs w:val="20"/>
                <w:lang w:eastAsia="ja-JP"/>
              </w:rPr>
            </w:pPr>
            <w:r w:rsidRPr="00B71B78">
              <w:rPr>
                <w:rFonts w:cs="Calibri"/>
                <w:sz w:val="20"/>
                <w:szCs w:val="20"/>
                <w:lang w:eastAsia="ja-JP"/>
              </w:rPr>
              <w:t>69 (98.6)</w:t>
            </w:r>
          </w:p>
        </w:tc>
        <w:tc>
          <w:tcPr>
            <w:tcW w:w="1418" w:type="dxa"/>
          </w:tcPr>
          <w:p w14:paraId="28D33739"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212 (98.6) </w:t>
            </w:r>
          </w:p>
        </w:tc>
      </w:tr>
      <w:tr w:rsidR="00B71B78" w14:paraId="0A185509" w14:textId="77777777" w:rsidTr="00B71B78">
        <w:tc>
          <w:tcPr>
            <w:tcW w:w="4815" w:type="dxa"/>
          </w:tcPr>
          <w:p w14:paraId="2098A46E"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Patients with any Grade 3 or higher TEAE </w:t>
            </w:r>
          </w:p>
        </w:tc>
        <w:tc>
          <w:tcPr>
            <w:tcW w:w="1559" w:type="dxa"/>
          </w:tcPr>
          <w:p w14:paraId="1AE8C084"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107 (73.8) </w:t>
            </w:r>
          </w:p>
        </w:tc>
        <w:tc>
          <w:tcPr>
            <w:tcW w:w="1559" w:type="dxa"/>
          </w:tcPr>
          <w:p w14:paraId="6E2E5667"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53 (75.7) </w:t>
            </w:r>
          </w:p>
        </w:tc>
        <w:tc>
          <w:tcPr>
            <w:tcW w:w="1418" w:type="dxa"/>
          </w:tcPr>
          <w:p w14:paraId="02B58E14"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160 (74.4) </w:t>
            </w:r>
          </w:p>
        </w:tc>
      </w:tr>
      <w:tr w:rsidR="00B71B78" w14:paraId="16A9EE3A" w14:textId="77777777" w:rsidTr="00B71B78">
        <w:tc>
          <w:tcPr>
            <w:tcW w:w="4815" w:type="dxa"/>
          </w:tcPr>
          <w:p w14:paraId="6282DD7D"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Patients with any TEAE related to LT</w:t>
            </w:r>
          </w:p>
        </w:tc>
        <w:tc>
          <w:tcPr>
            <w:tcW w:w="1559" w:type="dxa"/>
          </w:tcPr>
          <w:p w14:paraId="5177DD1D"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118 (81.4) </w:t>
            </w:r>
          </w:p>
        </w:tc>
        <w:tc>
          <w:tcPr>
            <w:tcW w:w="1559" w:type="dxa"/>
          </w:tcPr>
          <w:p w14:paraId="7E6A94D9" w14:textId="77777777" w:rsidR="00B71B78" w:rsidRPr="00B71B78" w:rsidRDefault="00B71B78" w:rsidP="00DC7677">
            <w:pPr>
              <w:spacing w:before="40" w:after="40"/>
              <w:rPr>
                <w:rFonts w:cs="Calibri"/>
                <w:sz w:val="20"/>
                <w:szCs w:val="20"/>
                <w:lang w:eastAsia="ja-JP"/>
              </w:rPr>
            </w:pPr>
            <w:r w:rsidRPr="00B71B78">
              <w:rPr>
                <w:rFonts w:cs="Calibri"/>
                <w:sz w:val="20"/>
                <w:szCs w:val="20"/>
                <w:lang w:eastAsia="ja-JP"/>
              </w:rPr>
              <w:t>58 (82.9)</w:t>
            </w:r>
          </w:p>
        </w:tc>
        <w:tc>
          <w:tcPr>
            <w:tcW w:w="1418" w:type="dxa"/>
          </w:tcPr>
          <w:p w14:paraId="59DD3793"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176 (81.9) </w:t>
            </w:r>
          </w:p>
        </w:tc>
      </w:tr>
      <w:tr w:rsidR="00B71B78" w14:paraId="665D1BF3" w14:textId="77777777" w:rsidTr="00B71B78">
        <w:tc>
          <w:tcPr>
            <w:tcW w:w="4815" w:type="dxa"/>
          </w:tcPr>
          <w:p w14:paraId="1024E929"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Patients with any TEAE leading to LT dose delay or reduction </w:t>
            </w:r>
          </w:p>
        </w:tc>
        <w:tc>
          <w:tcPr>
            <w:tcW w:w="1559" w:type="dxa"/>
          </w:tcPr>
          <w:p w14:paraId="7311854F"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75 (51.7) </w:t>
            </w:r>
          </w:p>
        </w:tc>
        <w:tc>
          <w:tcPr>
            <w:tcW w:w="1559" w:type="dxa"/>
          </w:tcPr>
          <w:p w14:paraId="0234297B" w14:textId="77777777" w:rsidR="00B71B78" w:rsidRPr="00B71B78" w:rsidRDefault="00B71B78" w:rsidP="00DC7677">
            <w:pPr>
              <w:spacing w:before="40" w:after="40"/>
              <w:rPr>
                <w:rFonts w:cs="Calibri"/>
                <w:sz w:val="20"/>
                <w:szCs w:val="20"/>
                <w:lang w:eastAsia="ja-JP"/>
              </w:rPr>
            </w:pPr>
            <w:r w:rsidRPr="00B71B78">
              <w:rPr>
                <w:rFonts w:cs="Calibri"/>
                <w:sz w:val="20"/>
                <w:szCs w:val="20"/>
                <w:lang w:eastAsia="ja-JP"/>
              </w:rPr>
              <w:t>27 (38.6)</w:t>
            </w:r>
          </w:p>
        </w:tc>
        <w:tc>
          <w:tcPr>
            <w:tcW w:w="1418" w:type="dxa"/>
          </w:tcPr>
          <w:p w14:paraId="2627F7E0"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102 (47.4) </w:t>
            </w:r>
          </w:p>
        </w:tc>
      </w:tr>
      <w:tr w:rsidR="00B71B78" w14:paraId="2E333206" w14:textId="77777777" w:rsidTr="00B71B78">
        <w:tc>
          <w:tcPr>
            <w:tcW w:w="4815" w:type="dxa"/>
          </w:tcPr>
          <w:p w14:paraId="1D062660"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Patients with any TEAE leading to LT withdrawal </w:t>
            </w:r>
          </w:p>
        </w:tc>
        <w:tc>
          <w:tcPr>
            <w:tcW w:w="1559" w:type="dxa"/>
          </w:tcPr>
          <w:p w14:paraId="0FFAF656"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36 (24.8) </w:t>
            </w:r>
          </w:p>
        </w:tc>
        <w:tc>
          <w:tcPr>
            <w:tcW w:w="1559" w:type="dxa"/>
          </w:tcPr>
          <w:p w14:paraId="29C90355"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8 (11.4) </w:t>
            </w:r>
          </w:p>
        </w:tc>
        <w:tc>
          <w:tcPr>
            <w:tcW w:w="1418" w:type="dxa"/>
          </w:tcPr>
          <w:p w14:paraId="1F918F4D"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44 (20.5) </w:t>
            </w:r>
          </w:p>
        </w:tc>
      </w:tr>
      <w:tr w:rsidR="00B71B78" w14:paraId="286E944A" w14:textId="77777777" w:rsidTr="00B71B78">
        <w:tc>
          <w:tcPr>
            <w:tcW w:w="4815" w:type="dxa"/>
          </w:tcPr>
          <w:p w14:paraId="7D12DABB"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Patients with any serious TEAE </w:t>
            </w:r>
          </w:p>
        </w:tc>
        <w:tc>
          <w:tcPr>
            <w:tcW w:w="1559" w:type="dxa"/>
          </w:tcPr>
          <w:p w14:paraId="575E2DDF"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57 (39.3) </w:t>
            </w:r>
          </w:p>
        </w:tc>
        <w:tc>
          <w:tcPr>
            <w:tcW w:w="1559" w:type="dxa"/>
          </w:tcPr>
          <w:p w14:paraId="53129A41"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30 (42.9) </w:t>
            </w:r>
          </w:p>
        </w:tc>
        <w:tc>
          <w:tcPr>
            <w:tcW w:w="1418" w:type="dxa"/>
          </w:tcPr>
          <w:p w14:paraId="0BB48C14" w14:textId="77777777" w:rsidR="00B71B78" w:rsidRPr="00B71B78" w:rsidRDefault="00B71B78" w:rsidP="00DC7677">
            <w:pPr>
              <w:pStyle w:val="Default"/>
              <w:spacing w:before="40" w:after="40"/>
              <w:rPr>
                <w:rFonts w:ascii="Cambria" w:hAnsi="Cambria" w:cs="Calibri"/>
                <w:sz w:val="20"/>
                <w:szCs w:val="20"/>
              </w:rPr>
            </w:pPr>
            <w:r w:rsidRPr="00B71B78">
              <w:rPr>
                <w:rFonts w:ascii="Cambria" w:hAnsi="Cambria" w:cs="Calibri"/>
                <w:sz w:val="20"/>
                <w:szCs w:val="20"/>
              </w:rPr>
              <w:t xml:space="preserve">87 (40.5) </w:t>
            </w:r>
          </w:p>
        </w:tc>
      </w:tr>
      <w:tr w:rsidR="00B71B78" w14:paraId="2D3CF9FC" w14:textId="77777777" w:rsidTr="00B71B78">
        <w:tc>
          <w:tcPr>
            <w:tcW w:w="4815" w:type="dxa"/>
          </w:tcPr>
          <w:p w14:paraId="353B9720" w14:textId="77777777" w:rsidR="00B71B78" w:rsidRPr="00B71B78" w:rsidRDefault="00B71B78" w:rsidP="00DC7677">
            <w:pPr>
              <w:pStyle w:val="Default"/>
              <w:spacing w:before="40"/>
              <w:rPr>
                <w:rFonts w:ascii="Cambria" w:hAnsi="Cambria" w:cs="Calibri"/>
                <w:sz w:val="20"/>
                <w:szCs w:val="20"/>
              </w:rPr>
            </w:pPr>
            <w:r w:rsidRPr="00B71B78">
              <w:rPr>
                <w:rFonts w:ascii="Cambria" w:hAnsi="Cambria" w:cs="Calibri"/>
                <w:sz w:val="20"/>
                <w:szCs w:val="20"/>
              </w:rPr>
              <w:t xml:space="preserve">Patients with any TEAE with fatal outcome </w:t>
            </w:r>
          </w:p>
        </w:tc>
        <w:tc>
          <w:tcPr>
            <w:tcW w:w="1559" w:type="dxa"/>
          </w:tcPr>
          <w:p w14:paraId="4A2181F6" w14:textId="77777777" w:rsidR="00B71B78" w:rsidRPr="00B71B78" w:rsidRDefault="00B71B78" w:rsidP="00DC7677">
            <w:pPr>
              <w:pStyle w:val="Default"/>
              <w:spacing w:before="40"/>
              <w:rPr>
                <w:rFonts w:ascii="Cambria" w:hAnsi="Cambria" w:cs="Calibri"/>
                <w:sz w:val="20"/>
                <w:szCs w:val="20"/>
              </w:rPr>
            </w:pPr>
            <w:r w:rsidRPr="00B71B78">
              <w:rPr>
                <w:rFonts w:ascii="Cambria" w:hAnsi="Cambria" w:cs="Calibri"/>
                <w:sz w:val="20"/>
                <w:szCs w:val="20"/>
              </w:rPr>
              <w:t xml:space="preserve">8 (5.5) </w:t>
            </w:r>
          </w:p>
        </w:tc>
        <w:tc>
          <w:tcPr>
            <w:tcW w:w="1559" w:type="dxa"/>
          </w:tcPr>
          <w:p w14:paraId="0283A452" w14:textId="77777777" w:rsidR="00B71B78" w:rsidRPr="00B71B78" w:rsidRDefault="00B71B78" w:rsidP="00DC7677">
            <w:pPr>
              <w:pStyle w:val="Default"/>
              <w:spacing w:before="40"/>
              <w:rPr>
                <w:rFonts w:ascii="Cambria" w:hAnsi="Cambria" w:cs="Calibri"/>
                <w:sz w:val="20"/>
                <w:szCs w:val="20"/>
              </w:rPr>
            </w:pPr>
            <w:r w:rsidRPr="00B71B78">
              <w:rPr>
                <w:rFonts w:ascii="Cambria" w:hAnsi="Cambria" w:cs="Calibri"/>
                <w:sz w:val="20"/>
                <w:szCs w:val="20"/>
              </w:rPr>
              <w:t xml:space="preserve">11 (15.7) </w:t>
            </w:r>
          </w:p>
        </w:tc>
        <w:tc>
          <w:tcPr>
            <w:tcW w:w="1418" w:type="dxa"/>
          </w:tcPr>
          <w:p w14:paraId="0F438B20" w14:textId="77777777" w:rsidR="00B71B78" w:rsidRPr="00B71B78" w:rsidRDefault="00B71B78" w:rsidP="00DC7677">
            <w:pPr>
              <w:pStyle w:val="Default"/>
              <w:spacing w:before="40"/>
              <w:rPr>
                <w:rFonts w:ascii="Cambria" w:hAnsi="Cambria" w:cs="Calibri"/>
                <w:sz w:val="20"/>
                <w:szCs w:val="20"/>
              </w:rPr>
            </w:pPr>
            <w:r w:rsidRPr="00B71B78">
              <w:rPr>
                <w:rFonts w:ascii="Cambria" w:hAnsi="Cambria" w:cs="Calibri"/>
                <w:sz w:val="20"/>
                <w:szCs w:val="20"/>
              </w:rPr>
              <w:t xml:space="preserve">19 (8.8) </w:t>
            </w:r>
          </w:p>
        </w:tc>
      </w:tr>
    </w:tbl>
    <w:p w14:paraId="1689CB75" w14:textId="77777777" w:rsidR="00F4178D" w:rsidRDefault="00F4178D" w:rsidP="00F4178D">
      <w:pPr>
        <w:pStyle w:val="TableDescription"/>
      </w:pPr>
      <w:r>
        <w:t>DLBCL= diffuse large B-cell lymphoma; LT = loncastuximab tesirine; TEAE = treatment-emergent adverse event</w:t>
      </w:r>
    </w:p>
    <w:p w14:paraId="3F4F0997" w14:textId="77777777" w:rsidR="00F4178D" w:rsidRDefault="00F4178D" w:rsidP="00F4178D">
      <w:pPr>
        <w:pStyle w:val="TableDescription"/>
      </w:pPr>
      <w:r>
        <w:t>Pooled studies = ADCT-402-201 and ADCT-402-101.</w:t>
      </w:r>
    </w:p>
    <w:p w14:paraId="562FC7A3" w14:textId="77777777" w:rsidR="00F4178D" w:rsidRDefault="00F4178D" w:rsidP="00F4178D">
      <w:pPr>
        <w:pStyle w:val="TableDescription"/>
      </w:pPr>
      <w:r>
        <w:t>Related TEAEs include TEAEs that were considered by the Investigator to be possibly or probably related to the study drug or TEAEs with a missing relationship on the case report form. Adverse events were graded using CTCAE v4.0. For each category (except for Number of TEAEs), patients were included only once, even if they experienced multiple events in that category.</w:t>
      </w:r>
    </w:p>
    <w:p w14:paraId="1774D0BD" w14:textId="020A93A2" w:rsidR="00B71B78" w:rsidRDefault="00F4178D" w:rsidP="00F4178D">
      <w:pPr>
        <w:pStyle w:val="TableDescription"/>
      </w:pPr>
      <w:r>
        <w:t>DCO 01 March 2021.</w:t>
      </w:r>
    </w:p>
    <w:p w14:paraId="22337276" w14:textId="77777777" w:rsidR="002E5483" w:rsidRDefault="002E5483" w:rsidP="00F4178D">
      <w:pPr>
        <w:pStyle w:val="TableDescription"/>
      </w:pPr>
    </w:p>
    <w:p w14:paraId="2BFEA302" w14:textId="7B148F65" w:rsidR="00F4178D" w:rsidRDefault="002E5483" w:rsidP="009C7E5A">
      <w:pPr>
        <w:pStyle w:val="TableTitle"/>
        <w:pageBreakBefore/>
      </w:pPr>
      <w:r w:rsidRPr="002E5483">
        <w:lastRenderedPageBreak/>
        <w:t xml:space="preserve">Table </w:t>
      </w:r>
      <w:r w:rsidR="00176F09">
        <w:t>9</w:t>
      </w:r>
      <w:r w:rsidR="005C7A31">
        <w:t>.</w:t>
      </w:r>
      <w:r w:rsidRPr="002E5483">
        <w:t xml:space="preserve"> Most </w:t>
      </w:r>
      <w:r w:rsidR="005C7A31">
        <w:t>c</w:t>
      </w:r>
      <w:r w:rsidRPr="002E5483">
        <w:t xml:space="preserve">ommon (≥ 5% of patients) </w:t>
      </w:r>
      <w:r w:rsidR="005C7A31">
        <w:t>g</w:t>
      </w:r>
      <w:r w:rsidRPr="002E5483">
        <w:t xml:space="preserve">rade ≥3 TEAEs by PT in Study ADCT-402-201 by </w:t>
      </w:r>
      <w:r w:rsidR="005C7A31">
        <w:t>d</w:t>
      </w:r>
      <w:r w:rsidRPr="002E5483">
        <w:t xml:space="preserve">escending </w:t>
      </w:r>
      <w:r w:rsidR="005C7A31">
        <w:t>o</w:t>
      </w:r>
      <w:r w:rsidRPr="002E5483">
        <w:t xml:space="preserve">rder of </w:t>
      </w:r>
      <w:r w:rsidR="005C7A31">
        <w:t>f</w:t>
      </w:r>
      <w:r w:rsidRPr="002E5483">
        <w:t xml:space="preserve">requency with </w:t>
      </w:r>
      <w:r w:rsidR="005C7A31">
        <w:t>c</w:t>
      </w:r>
      <w:r w:rsidRPr="002E5483">
        <w:t xml:space="preserve">orresponding </w:t>
      </w:r>
      <w:r w:rsidR="005C7A31">
        <w:t>p</w:t>
      </w:r>
      <w:r w:rsidRPr="002E5483">
        <w:t xml:space="preserve">ercentages for the </w:t>
      </w:r>
      <w:r w:rsidR="005C7A31">
        <w:t>r</w:t>
      </w:r>
      <w:r w:rsidRPr="002E5483">
        <w:t xml:space="preserve">elevant TEAEs from Study ADCT-402-101 and the </w:t>
      </w:r>
      <w:r w:rsidR="005C7A31">
        <w:t>p</w:t>
      </w:r>
      <w:r w:rsidRPr="002E5483">
        <w:t xml:space="preserve">ooled </w:t>
      </w:r>
      <w:r w:rsidR="005C7A31">
        <w:t>d</w:t>
      </w:r>
      <w:r w:rsidRPr="002E5483">
        <w:t>atasets.</w:t>
      </w:r>
    </w:p>
    <w:tbl>
      <w:tblPr>
        <w:tblStyle w:val="TableGrid"/>
        <w:tblW w:w="9067"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Caption w:val="Table 9. Most common (≥ 5% of patients) grade ≥3 TEAEs by PT in Study ADCT-402-201 by descending order of frequency with corresponding percentages for the relevant TEAEs from Study ADCT-402-101 and the pooled datasets."/>
        <w:tblDescription w:val="Table 9. Most common (≥ 5% of patients) grade ≥3 TEAEs by PT in Study ADCT-402-201 by descending order of frequency with corresponding percentages for the relevant TEAEs from Study ADCT-402-101 and the pooled datasets."/>
      </w:tblPr>
      <w:tblGrid>
        <w:gridCol w:w="2266"/>
        <w:gridCol w:w="2267"/>
        <w:gridCol w:w="2267"/>
        <w:gridCol w:w="2267"/>
      </w:tblGrid>
      <w:tr w:rsidR="009019C3" w:rsidRPr="009C7E5A" w14:paraId="2456DC94" w14:textId="77777777" w:rsidTr="009019C3">
        <w:tc>
          <w:tcPr>
            <w:tcW w:w="2266" w:type="dxa"/>
            <w:shd w:val="clear" w:color="auto" w:fill="DEEAF6"/>
          </w:tcPr>
          <w:p w14:paraId="63597740" w14:textId="77777777" w:rsidR="009019C3" w:rsidRPr="009C7E5A" w:rsidRDefault="009019C3" w:rsidP="00DC7677">
            <w:pPr>
              <w:spacing w:before="40" w:after="40"/>
              <w:rPr>
                <w:rFonts w:cs="Calibri"/>
                <w:b/>
                <w:bCs/>
                <w:noProof/>
                <w:color w:val="263287"/>
                <w:sz w:val="20"/>
                <w:szCs w:val="20"/>
                <w:lang w:eastAsia="ja-JP"/>
              </w:rPr>
            </w:pPr>
          </w:p>
        </w:tc>
        <w:tc>
          <w:tcPr>
            <w:tcW w:w="2267" w:type="dxa"/>
            <w:shd w:val="clear" w:color="auto" w:fill="DEEAF6"/>
          </w:tcPr>
          <w:p w14:paraId="7A40C7E2" w14:textId="77777777" w:rsidR="009019C3" w:rsidRPr="009C7E5A" w:rsidRDefault="009019C3" w:rsidP="00DC7677">
            <w:pPr>
              <w:spacing w:before="40" w:after="40"/>
              <w:rPr>
                <w:rFonts w:cs="Calibri"/>
                <w:b/>
                <w:bCs/>
                <w:color w:val="263287"/>
                <w:sz w:val="20"/>
                <w:szCs w:val="20"/>
                <w:lang w:eastAsia="ja-JP"/>
              </w:rPr>
            </w:pPr>
            <w:r w:rsidRPr="009C7E5A">
              <w:rPr>
                <w:rFonts w:cs="Calibri"/>
                <w:b/>
                <w:bCs/>
                <w:color w:val="263287"/>
                <w:sz w:val="20"/>
                <w:szCs w:val="20"/>
                <w:lang w:eastAsia="ja-JP"/>
              </w:rPr>
              <w:t xml:space="preserve">ADCT-402-201 </w:t>
            </w:r>
          </w:p>
          <w:p w14:paraId="2241300D" w14:textId="77777777" w:rsidR="009019C3" w:rsidRPr="009C7E5A" w:rsidRDefault="009019C3" w:rsidP="00DC7677">
            <w:pPr>
              <w:spacing w:before="40" w:after="40"/>
              <w:rPr>
                <w:rFonts w:cs="Calibri"/>
                <w:b/>
                <w:bCs/>
                <w:color w:val="263287"/>
                <w:sz w:val="20"/>
                <w:szCs w:val="20"/>
              </w:rPr>
            </w:pPr>
            <w:r w:rsidRPr="009C7E5A">
              <w:rPr>
                <w:rFonts w:cs="Calibri"/>
                <w:b/>
                <w:bCs/>
                <w:color w:val="263287"/>
                <w:sz w:val="20"/>
                <w:szCs w:val="20"/>
              </w:rPr>
              <w:t>N=145</w:t>
            </w:r>
          </w:p>
          <w:p w14:paraId="39DD1B72" w14:textId="77777777" w:rsidR="009019C3" w:rsidRPr="009C7E5A" w:rsidRDefault="009019C3" w:rsidP="00DC7677">
            <w:pPr>
              <w:spacing w:before="40" w:after="40"/>
              <w:rPr>
                <w:rFonts w:cs="Calibri"/>
                <w:b/>
                <w:bCs/>
                <w:color w:val="263287"/>
                <w:sz w:val="20"/>
                <w:szCs w:val="20"/>
                <w:lang w:eastAsia="ja-JP"/>
              </w:rPr>
            </w:pPr>
            <w:r w:rsidRPr="009C7E5A">
              <w:rPr>
                <w:rFonts w:cs="Calibri"/>
                <w:b/>
                <w:bCs/>
                <w:color w:val="263287"/>
                <w:sz w:val="20"/>
                <w:szCs w:val="20"/>
              </w:rPr>
              <w:t>N (%)</w:t>
            </w:r>
          </w:p>
        </w:tc>
        <w:tc>
          <w:tcPr>
            <w:tcW w:w="2267" w:type="dxa"/>
            <w:shd w:val="clear" w:color="auto" w:fill="DEEAF6"/>
          </w:tcPr>
          <w:p w14:paraId="7272AB25" w14:textId="77777777" w:rsidR="009019C3" w:rsidRPr="009C7E5A" w:rsidRDefault="009019C3" w:rsidP="00DC7677">
            <w:pPr>
              <w:spacing w:before="40" w:after="40"/>
              <w:rPr>
                <w:rFonts w:cs="Calibri"/>
                <w:b/>
                <w:bCs/>
                <w:color w:val="263287"/>
                <w:sz w:val="20"/>
                <w:szCs w:val="20"/>
                <w:lang w:eastAsia="ja-JP"/>
              </w:rPr>
            </w:pPr>
            <w:r w:rsidRPr="009C7E5A">
              <w:rPr>
                <w:rFonts w:cs="Calibri"/>
                <w:b/>
                <w:bCs/>
                <w:color w:val="263287"/>
                <w:sz w:val="20"/>
                <w:szCs w:val="20"/>
                <w:lang w:eastAsia="ja-JP"/>
              </w:rPr>
              <w:t>ADCT-402-101</w:t>
            </w:r>
          </w:p>
          <w:p w14:paraId="341C9644" w14:textId="77777777" w:rsidR="009019C3" w:rsidRPr="009C7E5A" w:rsidRDefault="009019C3" w:rsidP="00DC7677">
            <w:pPr>
              <w:spacing w:before="40" w:after="40"/>
              <w:rPr>
                <w:rFonts w:cs="Calibri"/>
                <w:b/>
                <w:bCs/>
                <w:color w:val="263287"/>
                <w:sz w:val="20"/>
                <w:szCs w:val="20"/>
              </w:rPr>
            </w:pPr>
            <w:r w:rsidRPr="009C7E5A">
              <w:rPr>
                <w:rFonts w:cs="Calibri"/>
                <w:b/>
                <w:bCs/>
                <w:color w:val="263287"/>
                <w:sz w:val="20"/>
                <w:szCs w:val="20"/>
              </w:rPr>
              <w:t>N=70</w:t>
            </w:r>
          </w:p>
          <w:p w14:paraId="47BD70DD" w14:textId="77777777" w:rsidR="009019C3" w:rsidRPr="009C7E5A" w:rsidRDefault="009019C3" w:rsidP="00DC7677">
            <w:pPr>
              <w:spacing w:before="40" w:after="40"/>
              <w:rPr>
                <w:rFonts w:cs="Calibri"/>
                <w:b/>
                <w:bCs/>
                <w:color w:val="263287"/>
                <w:sz w:val="20"/>
                <w:szCs w:val="20"/>
                <w:lang w:eastAsia="ja-JP"/>
              </w:rPr>
            </w:pPr>
            <w:r w:rsidRPr="009C7E5A">
              <w:rPr>
                <w:rFonts w:cs="Calibri"/>
                <w:b/>
                <w:bCs/>
                <w:color w:val="263287"/>
                <w:sz w:val="20"/>
                <w:szCs w:val="20"/>
              </w:rPr>
              <w:t>N (%)</w:t>
            </w:r>
          </w:p>
        </w:tc>
        <w:tc>
          <w:tcPr>
            <w:tcW w:w="2267" w:type="dxa"/>
            <w:shd w:val="clear" w:color="auto" w:fill="DEEAF6"/>
          </w:tcPr>
          <w:p w14:paraId="499FB709" w14:textId="77777777" w:rsidR="009019C3" w:rsidRPr="009C7E5A" w:rsidRDefault="009019C3" w:rsidP="00DC7677">
            <w:pPr>
              <w:spacing w:before="40" w:after="40"/>
              <w:rPr>
                <w:rFonts w:cs="Calibri"/>
                <w:b/>
                <w:bCs/>
                <w:color w:val="263287"/>
                <w:sz w:val="20"/>
                <w:szCs w:val="20"/>
                <w:lang w:eastAsia="ja-JP"/>
              </w:rPr>
            </w:pPr>
            <w:r w:rsidRPr="009C7E5A">
              <w:rPr>
                <w:rFonts w:cs="Calibri"/>
                <w:b/>
                <w:bCs/>
                <w:color w:val="263287"/>
                <w:sz w:val="20"/>
                <w:szCs w:val="20"/>
                <w:lang w:eastAsia="ja-JP"/>
              </w:rPr>
              <w:t>Pooled</w:t>
            </w:r>
          </w:p>
          <w:p w14:paraId="0F3DAB90" w14:textId="77777777" w:rsidR="009019C3" w:rsidRPr="009C7E5A" w:rsidRDefault="009019C3" w:rsidP="00DC7677">
            <w:pPr>
              <w:spacing w:before="40" w:after="40"/>
              <w:rPr>
                <w:rFonts w:cs="Calibri"/>
                <w:b/>
                <w:bCs/>
                <w:color w:val="263287"/>
                <w:sz w:val="20"/>
                <w:szCs w:val="20"/>
                <w:lang w:eastAsia="ja-JP"/>
              </w:rPr>
            </w:pPr>
            <w:r w:rsidRPr="009C7E5A">
              <w:rPr>
                <w:rFonts w:cs="Calibri"/>
                <w:b/>
                <w:bCs/>
                <w:color w:val="263287"/>
                <w:sz w:val="20"/>
                <w:szCs w:val="20"/>
                <w:lang w:eastAsia="ja-JP"/>
              </w:rPr>
              <w:t>N=215</w:t>
            </w:r>
          </w:p>
          <w:p w14:paraId="4BEB7E3E" w14:textId="77777777" w:rsidR="009019C3" w:rsidRPr="009C7E5A" w:rsidRDefault="009019C3" w:rsidP="00DC7677">
            <w:pPr>
              <w:spacing w:before="40" w:after="40"/>
              <w:rPr>
                <w:rFonts w:cs="Calibri"/>
                <w:b/>
                <w:bCs/>
                <w:color w:val="263287"/>
                <w:sz w:val="20"/>
                <w:szCs w:val="20"/>
                <w:lang w:eastAsia="ja-JP"/>
              </w:rPr>
            </w:pPr>
            <w:r w:rsidRPr="009C7E5A">
              <w:rPr>
                <w:rFonts w:cs="Calibri"/>
                <w:b/>
                <w:bCs/>
                <w:color w:val="263287"/>
                <w:sz w:val="20"/>
                <w:szCs w:val="20"/>
              </w:rPr>
              <w:t>N (%)</w:t>
            </w:r>
          </w:p>
        </w:tc>
      </w:tr>
      <w:tr w:rsidR="009019C3" w:rsidRPr="009C7E5A" w14:paraId="34A52251" w14:textId="77777777" w:rsidTr="009019C3">
        <w:tc>
          <w:tcPr>
            <w:tcW w:w="2266" w:type="dxa"/>
          </w:tcPr>
          <w:p w14:paraId="3358DB41" w14:textId="77777777" w:rsidR="009019C3" w:rsidRPr="009C7E5A" w:rsidRDefault="009019C3" w:rsidP="00DC7677">
            <w:pPr>
              <w:spacing w:before="40" w:after="40"/>
              <w:rPr>
                <w:rFonts w:cs="Calibri"/>
                <w:sz w:val="20"/>
                <w:szCs w:val="20"/>
                <w:lang w:eastAsia="ja-JP"/>
              </w:rPr>
            </w:pPr>
            <w:r w:rsidRPr="009C7E5A">
              <w:rPr>
                <w:rFonts w:cs="Calibri"/>
                <w:sz w:val="20"/>
                <w:szCs w:val="20"/>
                <w:lang w:eastAsia="ja-JP"/>
              </w:rPr>
              <w:t>Any Grade ≥3 TEAE</w:t>
            </w:r>
          </w:p>
        </w:tc>
        <w:tc>
          <w:tcPr>
            <w:tcW w:w="2267" w:type="dxa"/>
          </w:tcPr>
          <w:p w14:paraId="72E01D02" w14:textId="77777777" w:rsidR="009019C3" w:rsidRPr="009C7E5A" w:rsidRDefault="009019C3" w:rsidP="00DC7677">
            <w:pPr>
              <w:spacing w:before="40" w:after="40"/>
              <w:rPr>
                <w:rFonts w:cs="Calibri"/>
                <w:sz w:val="20"/>
                <w:szCs w:val="20"/>
                <w:lang w:eastAsia="ja-JP"/>
              </w:rPr>
            </w:pPr>
            <w:r w:rsidRPr="009C7E5A">
              <w:rPr>
                <w:rFonts w:cs="Calibri"/>
                <w:sz w:val="20"/>
                <w:szCs w:val="20"/>
                <w:lang w:eastAsia="ja-JP"/>
              </w:rPr>
              <w:t>107 (73.8)</w:t>
            </w:r>
          </w:p>
        </w:tc>
        <w:tc>
          <w:tcPr>
            <w:tcW w:w="2267" w:type="dxa"/>
          </w:tcPr>
          <w:p w14:paraId="1AC5D21C" w14:textId="77777777" w:rsidR="009019C3" w:rsidRPr="009C7E5A" w:rsidRDefault="009019C3" w:rsidP="00DC7677">
            <w:pPr>
              <w:spacing w:before="40" w:after="40"/>
              <w:rPr>
                <w:rFonts w:cs="Calibri"/>
                <w:sz w:val="20"/>
                <w:szCs w:val="20"/>
                <w:lang w:eastAsia="ja-JP"/>
              </w:rPr>
            </w:pPr>
            <w:r w:rsidRPr="009C7E5A">
              <w:rPr>
                <w:rFonts w:eastAsiaTheme="minorHAnsi" w:cs="Calibri"/>
                <w:noProof/>
                <w:color w:val="000000"/>
                <w:sz w:val="20"/>
                <w:szCs w:val="20"/>
                <w:lang w:eastAsia="ja-JP"/>
              </w:rPr>
              <w:t>53 (75.7)</w:t>
            </w:r>
          </w:p>
        </w:tc>
        <w:tc>
          <w:tcPr>
            <w:tcW w:w="2267" w:type="dxa"/>
          </w:tcPr>
          <w:p w14:paraId="321A43BB" w14:textId="77777777" w:rsidR="009019C3" w:rsidRPr="009C7E5A" w:rsidRDefault="009019C3" w:rsidP="00DC7677">
            <w:pPr>
              <w:spacing w:before="40" w:after="40"/>
              <w:rPr>
                <w:rFonts w:cs="Calibri"/>
                <w:sz w:val="20"/>
                <w:szCs w:val="20"/>
                <w:lang w:eastAsia="ja-JP"/>
              </w:rPr>
            </w:pPr>
            <w:r w:rsidRPr="009C7E5A">
              <w:rPr>
                <w:rFonts w:cs="Calibri"/>
                <w:sz w:val="20"/>
                <w:szCs w:val="20"/>
                <w:lang w:eastAsia="ja-JP"/>
              </w:rPr>
              <w:t>160 (74.4)</w:t>
            </w:r>
          </w:p>
        </w:tc>
      </w:tr>
      <w:tr w:rsidR="009019C3" w:rsidRPr="009C7E5A" w14:paraId="3A0FB8DA" w14:textId="77777777" w:rsidTr="009019C3">
        <w:tc>
          <w:tcPr>
            <w:tcW w:w="2266" w:type="dxa"/>
          </w:tcPr>
          <w:p w14:paraId="3E225EE8" w14:textId="77777777" w:rsidR="009019C3" w:rsidRPr="009C7E5A" w:rsidRDefault="009019C3" w:rsidP="00DC7677">
            <w:pPr>
              <w:spacing w:before="40" w:after="40"/>
              <w:rPr>
                <w:rFonts w:cs="Calibri"/>
                <w:noProof/>
                <w:sz w:val="20"/>
                <w:szCs w:val="20"/>
                <w:lang w:eastAsia="ja-JP"/>
              </w:rPr>
            </w:pPr>
            <w:r w:rsidRPr="009C7E5A">
              <w:rPr>
                <w:rFonts w:cs="Calibri"/>
                <w:noProof/>
                <w:sz w:val="20"/>
                <w:szCs w:val="20"/>
                <w:lang w:eastAsia="ja-JP"/>
              </w:rPr>
              <w:t xml:space="preserve">Neutropenia </w:t>
            </w:r>
          </w:p>
        </w:tc>
        <w:tc>
          <w:tcPr>
            <w:tcW w:w="2267" w:type="dxa"/>
          </w:tcPr>
          <w:p w14:paraId="479FD02F" w14:textId="77777777" w:rsidR="009019C3" w:rsidRPr="009C7E5A" w:rsidRDefault="009019C3" w:rsidP="00DC7677">
            <w:pPr>
              <w:spacing w:before="40" w:after="40"/>
              <w:rPr>
                <w:rFonts w:cs="Calibri"/>
                <w:noProof/>
                <w:sz w:val="20"/>
                <w:szCs w:val="20"/>
                <w:lang w:eastAsia="ja-JP"/>
              </w:rPr>
            </w:pPr>
            <w:r w:rsidRPr="009C7E5A">
              <w:rPr>
                <w:rFonts w:cs="Calibri"/>
                <w:noProof/>
                <w:sz w:val="20"/>
                <w:szCs w:val="20"/>
                <w:lang w:eastAsia="ja-JP"/>
              </w:rPr>
              <w:t>38 (26.2)</w:t>
            </w:r>
          </w:p>
        </w:tc>
        <w:tc>
          <w:tcPr>
            <w:tcW w:w="2267" w:type="dxa"/>
          </w:tcPr>
          <w:p w14:paraId="5902761C"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14 (20.0)</w:t>
            </w:r>
          </w:p>
        </w:tc>
        <w:tc>
          <w:tcPr>
            <w:tcW w:w="2267" w:type="dxa"/>
          </w:tcPr>
          <w:p w14:paraId="4E7A049C"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52 (24.2)</w:t>
            </w:r>
          </w:p>
        </w:tc>
      </w:tr>
      <w:tr w:rsidR="009019C3" w:rsidRPr="009C7E5A" w14:paraId="0932C973" w14:textId="77777777" w:rsidTr="009019C3">
        <w:tc>
          <w:tcPr>
            <w:tcW w:w="2266" w:type="dxa"/>
          </w:tcPr>
          <w:p w14:paraId="0833576B" w14:textId="77777777" w:rsidR="009019C3" w:rsidRPr="009C7E5A" w:rsidRDefault="009019C3" w:rsidP="00DC7677">
            <w:pPr>
              <w:tabs>
                <w:tab w:val="left" w:pos="465"/>
              </w:tabs>
              <w:spacing w:before="40" w:after="40"/>
              <w:rPr>
                <w:rFonts w:cs="Calibri"/>
                <w:noProof/>
                <w:sz w:val="20"/>
                <w:szCs w:val="20"/>
                <w:lang w:eastAsia="ja-JP"/>
              </w:rPr>
            </w:pPr>
            <w:r w:rsidRPr="009C7E5A">
              <w:rPr>
                <w:rFonts w:cs="Calibri"/>
                <w:noProof/>
                <w:sz w:val="20"/>
                <w:szCs w:val="20"/>
                <w:lang w:eastAsia="ja-JP"/>
              </w:rPr>
              <w:t>GGT increased</w:t>
            </w:r>
          </w:p>
        </w:tc>
        <w:tc>
          <w:tcPr>
            <w:tcW w:w="2267" w:type="dxa"/>
          </w:tcPr>
          <w:p w14:paraId="34AD5DA4"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sz w:val="20"/>
                <w:szCs w:val="20"/>
              </w:rPr>
              <w:t>25 (17.2)</w:t>
            </w:r>
          </w:p>
        </w:tc>
        <w:tc>
          <w:tcPr>
            <w:tcW w:w="2267" w:type="dxa"/>
          </w:tcPr>
          <w:p w14:paraId="79EE3823"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sz w:val="20"/>
                <w:szCs w:val="20"/>
              </w:rPr>
              <w:t>12 (17.1)</w:t>
            </w:r>
          </w:p>
        </w:tc>
        <w:tc>
          <w:tcPr>
            <w:tcW w:w="2267" w:type="dxa"/>
          </w:tcPr>
          <w:p w14:paraId="42EC9592" w14:textId="38B2520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sz w:val="20"/>
                <w:szCs w:val="20"/>
              </w:rPr>
              <w:t>37 (17.2</w:t>
            </w:r>
            <w:r w:rsidR="00D8581B" w:rsidRPr="009C7E5A">
              <w:rPr>
                <w:rFonts w:ascii="Cambria" w:hAnsi="Cambria" w:cs="Calibri"/>
                <w:sz w:val="20"/>
                <w:szCs w:val="20"/>
              </w:rPr>
              <w:t>)</w:t>
            </w:r>
          </w:p>
        </w:tc>
      </w:tr>
      <w:tr w:rsidR="009019C3" w:rsidRPr="009C7E5A" w14:paraId="2ADADF37" w14:textId="77777777" w:rsidTr="009019C3">
        <w:tc>
          <w:tcPr>
            <w:tcW w:w="2266" w:type="dxa"/>
          </w:tcPr>
          <w:p w14:paraId="7C66F839" w14:textId="77777777" w:rsidR="009019C3" w:rsidRPr="009C7E5A" w:rsidRDefault="009019C3" w:rsidP="00DC7677">
            <w:pPr>
              <w:spacing w:before="40" w:after="40"/>
              <w:rPr>
                <w:rFonts w:cs="Calibri"/>
                <w:noProof/>
                <w:sz w:val="20"/>
                <w:szCs w:val="20"/>
                <w:lang w:eastAsia="ja-JP"/>
              </w:rPr>
            </w:pPr>
            <w:r w:rsidRPr="009C7E5A">
              <w:rPr>
                <w:rFonts w:cs="Calibri"/>
                <w:noProof/>
                <w:sz w:val="20"/>
                <w:szCs w:val="20"/>
                <w:lang w:eastAsia="ja-JP"/>
              </w:rPr>
              <w:t xml:space="preserve">Thrombocytopenia </w:t>
            </w:r>
          </w:p>
        </w:tc>
        <w:tc>
          <w:tcPr>
            <w:tcW w:w="2267" w:type="dxa"/>
          </w:tcPr>
          <w:p w14:paraId="154D8C6F"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26 (17.9)</w:t>
            </w:r>
          </w:p>
        </w:tc>
        <w:tc>
          <w:tcPr>
            <w:tcW w:w="2267" w:type="dxa"/>
          </w:tcPr>
          <w:p w14:paraId="5B113D30"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8 (11.4)</w:t>
            </w:r>
          </w:p>
        </w:tc>
        <w:tc>
          <w:tcPr>
            <w:tcW w:w="2267" w:type="dxa"/>
          </w:tcPr>
          <w:p w14:paraId="3F65437D"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34 (15.8)</w:t>
            </w:r>
          </w:p>
        </w:tc>
      </w:tr>
      <w:tr w:rsidR="009019C3" w:rsidRPr="009C7E5A" w14:paraId="6D863288" w14:textId="77777777" w:rsidTr="009019C3">
        <w:tc>
          <w:tcPr>
            <w:tcW w:w="2266" w:type="dxa"/>
          </w:tcPr>
          <w:p w14:paraId="29B1FB6D" w14:textId="77777777" w:rsidR="009019C3" w:rsidRPr="009C7E5A" w:rsidRDefault="009019C3" w:rsidP="00DC7677">
            <w:pPr>
              <w:spacing w:before="40" w:after="40"/>
              <w:rPr>
                <w:rFonts w:cs="Calibri"/>
                <w:noProof/>
                <w:sz w:val="20"/>
                <w:szCs w:val="20"/>
                <w:lang w:eastAsia="ja-JP"/>
              </w:rPr>
            </w:pPr>
            <w:r w:rsidRPr="009C7E5A">
              <w:rPr>
                <w:rFonts w:cs="Calibri"/>
                <w:noProof/>
                <w:sz w:val="20"/>
                <w:szCs w:val="20"/>
                <w:lang w:eastAsia="ja-JP"/>
              </w:rPr>
              <w:t xml:space="preserve">Anaemia </w:t>
            </w:r>
          </w:p>
        </w:tc>
        <w:tc>
          <w:tcPr>
            <w:tcW w:w="2267" w:type="dxa"/>
          </w:tcPr>
          <w:p w14:paraId="2C075226"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15 (10.3)</w:t>
            </w:r>
          </w:p>
        </w:tc>
        <w:tc>
          <w:tcPr>
            <w:tcW w:w="2267" w:type="dxa"/>
          </w:tcPr>
          <w:p w14:paraId="2FE75592"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10 (14.3)</w:t>
            </w:r>
          </w:p>
        </w:tc>
        <w:tc>
          <w:tcPr>
            <w:tcW w:w="2267" w:type="dxa"/>
          </w:tcPr>
          <w:p w14:paraId="58CA8CBE"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25 (11.6)</w:t>
            </w:r>
          </w:p>
        </w:tc>
      </w:tr>
      <w:tr w:rsidR="009019C3" w:rsidRPr="009C7E5A" w14:paraId="2314C24C" w14:textId="77777777" w:rsidTr="009019C3">
        <w:tc>
          <w:tcPr>
            <w:tcW w:w="2266" w:type="dxa"/>
          </w:tcPr>
          <w:p w14:paraId="504D7F9F" w14:textId="77777777" w:rsidR="009019C3" w:rsidRPr="009C7E5A" w:rsidRDefault="009019C3" w:rsidP="00DC7677">
            <w:pPr>
              <w:spacing w:before="40" w:after="40"/>
              <w:rPr>
                <w:rFonts w:cs="Calibri"/>
                <w:noProof/>
                <w:sz w:val="20"/>
                <w:szCs w:val="20"/>
                <w:lang w:eastAsia="ja-JP"/>
              </w:rPr>
            </w:pPr>
            <w:r w:rsidRPr="009C7E5A">
              <w:rPr>
                <w:rFonts w:cs="Calibri"/>
                <w:noProof/>
                <w:sz w:val="20"/>
                <w:szCs w:val="20"/>
                <w:lang w:eastAsia="ja-JP"/>
              </w:rPr>
              <w:t xml:space="preserve">Leukopenia </w:t>
            </w:r>
          </w:p>
        </w:tc>
        <w:tc>
          <w:tcPr>
            <w:tcW w:w="2267" w:type="dxa"/>
          </w:tcPr>
          <w:p w14:paraId="4825C61C"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13 (9.0)</w:t>
            </w:r>
          </w:p>
        </w:tc>
        <w:tc>
          <w:tcPr>
            <w:tcW w:w="2267" w:type="dxa"/>
          </w:tcPr>
          <w:p w14:paraId="6C2E07B8"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sz w:val="20"/>
                <w:szCs w:val="20"/>
              </w:rPr>
              <w:t>0</w:t>
            </w:r>
          </w:p>
        </w:tc>
        <w:tc>
          <w:tcPr>
            <w:tcW w:w="2267" w:type="dxa"/>
          </w:tcPr>
          <w:p w14:paraId="3CEB1F18"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13 (6.0)</w:t>
            </w:r>
          </w:p>
        </w:tc>
      </w:tr>
      <w:tr w:rsidR="009019C3" w:rsidRPr="009C7E5A" w14:paraId="453DE660" w14:textId="77777777" w:rsidTr="009019C3">
        <w:tc>
          <w:tcPr>
            <w:tcW w:w="2266" w:type="dxa"/>
          </w:tcPr>
          <w:p w14:paraId="6E6EAAA2" w14:textId="77777777" w:rsidR="009019C3" w:rsidRPr="009C7E5A" w:rsidRDefault="009019C3" w:rsidP="00DC7677">
            <w:pPr>
              <w:spacing w:before="40" w:after="40"/>
              <w:rPr>
                <w:rFonts w:cs="Calibri"/>
                <w:noProof/>
                <w:sz w:val="20"/>
                <w:szCs w:val="20"/>
                <w:lang w:eastAsia="ja-JP"/>
              </w:rPr>
            </w:pPr>
            <w:r w:rsidRPr="009C7E5A">
              <w:rPr>
                <w:rFonts w:cs="Calibri"/>
                <w:noProof/>
                <w:sz w:val="20"/>
                <w:szCs w:val="20"/>
                <w:lang w:eastAsia="ja-JP"/>
              </w:rPr>
              <w:t xml:space="preserve">Hypophosphataemia </w:t>
            </w:r>
          </w:p>
        </w:tc>
        <w:tc>
          <w:tcPr>
            <w:tcW w:w="2267" w:type="dxa"/>
          </w:tcPr>
          <w:p w14:paraId="2694FE91" w14:textId="77777777" w:rsidR="009019C3" w:rsidRPr="009C7E5A" w:rsidRDefault="009019C3"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8 (5.5)</w:t>
            </w:r>
          </w:p>
        </w:tc>
        <w:tc>
          <w:tcPr>
            <w:tcW w:w="2267" w:type="dxa"/>
          </w:tcPr>
          <w:p w14:paraId="3CF6C1F0" w14:textId="77777777" w:rsidR="009019C3" w:rsidRPr="009C7E5A" w:rsidRDefault="009019C3"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1 (1.4)</w:t>
            </w:r>
          </w:p>
        </w:tc>
        <w:tc>
          <w:tcPr>
            <w:tcW w:w="2267" w:type="dxa"/>
          </w:tcPr>
          <w:p w14:paraId="617AF60B" w14:textId="77777777" w:rsidR="009019C3" w:rsidRPr="009C7E5A" w:rsidRDefault="009019C3"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9 (4.2)</w:t>
            </w:r>
          </w:p>
        </w:tc>
      </w:tr>
      <w:tr w:rsidR="009019C3" w:rsidRPr="009C7E5A" w14:paraId="2FCFB159" w14:textId="77777777" w:rsidTr="009019C3">
        <w:tc>
          <w:tcPr>
            <w:tcW w:w="2266" w:type="dxa"/>
          </w:tcPr>
          <w:p w14:paraId="72BBDDAB" w14:textId="77777777" w:rsidR="009019C3" w:rsidRPr="009C7E5A" w:rsidRDefault="009019C3" w:rsidP="00DC7677">
            <w:pPr>
              <w:spacing w:before="40"/>
              <w:rPr>
                <w:rFonts w:cs="Calibri"/>
                <w:noProof/>
                <w:sz w:val="20"/>
                <w:szCs w:val="20"/>
                <w:lang w:eastAsia="ja-JP"/>
              </w:rPr>
            </w:pPr>
            <w:r w:rsidRPr="009C7E5A">
              <w:rPr>
                <w:rFonts w:cs="Calibri"/>
                <w:noProof/>
                <w:sz w:val="20"/>
                <w:szCs w:val="20"/>
                <w:lang w:eastAsia="ja-JP"/>
              </w:rPr>
              <w:t xml:space="preserve">Lymphopenia </w:t>
            </w:r>
          </w:p>
        </w:tc>
        <w:tc>
          <w:tcPr>
            <w:tcW w:w="2267" w:type="dxa"/>
          </w:tcPr>
          <w:p w14:paraId="2C33DF6F" w14:textId="77777777" w:rsidR="009019C3" w:rsidRPr="009C7E5A" w:rsidRDefault="009019C3" w:rsidP="00DC7677">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8 (5.5)</w:t>
            </w:r>
          </w:p>
        </w:tc>
        <w:tc>
          <w:tcPr>
            <w:tcW w:w="2267" w:type="dxa"/>
          </w:tcPr>
          <w:p w14:paraId="5D0F77F8" w14:textId="77777777" w:rsidR="009019C3" w:rsidRPr="009C7E5A" w:rsidRDefault="009019C3" w:rsidP="00DC7677">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0</w:t>
            </w:r>
          </w:p>
        </w:tc>
        <w:tc>
          <w:tcPr>
            <w:tcW w:w="2267" w:type="dxa"/>
          </w:tcPr>
          <w:p w14:paraId="357A4C59" w14:textId="77777777" w:rsidR="009019C3" w:rsidRPr="009C7E5A" w:rsidRDefault="009019C3" w:rsidP="00DC7677">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8 (3.7)</w:t>
            </w:r>
          </w:p>
        </w:tc>
      </w:tr>
    </w:tbl>
    <w:p w14:paraId="67AFFA35" w14:textId="3CF96FBA" w:rsidR="009019C3" w:rsidRDefault="00936F25" w:rsidP="00B14C46">
      <w:pPr>
        <w:spacing w:before="60"/>
      </w:pPr>
      <w:r w:rsidRPr="00936F25">
        <w:t xml:space="preserve">In the pooled group, 145 DLBCL patients died (67.4%); mostly due to disease progression (n=108/145). Fatal TEAEs occurred in 8.8% (n=19) of patients and are summarised in Table </w:t>
      </w:r>
      <w:r w:rsidR="00176F09">
        <w:t>10</w:t>
      </w:r>
      <w:r w:rsidRPr="00936F25">
        <w:t>.</w:t>
      </w:r>
    </w:p>
    <w:p w14:paraId="3B6238CF" w14:textId="4BF2DF6D" w:rsidR="006F2CA9" w:rsidRDefault="006F2CA9" w:rsidP="002E5483">
      <w:pPr>
        <w:pStyle w:val="TableTitle"/>
      </w:pPr>
      <w:r w:rsidRPr="006F2CA9">
        <w:t xml:space="preserve">Table </w:t>
      </w:r>
      <w:r w:rsidR="00176F09">
        <w:t>10</w:t>
      </w:r>
      <w:r w:rsidR="005C7A31">
        <w:t>.</w:t>
      </w:r>
      <w:r w:rsidRPr="006F2CA9">
        <w:t xml:space="preserve"> Fatal TEAEs by SOC and PT in the </w:t>
      </w:r>
      <w:r w:rsidR="005C7A31">
        <w:t>t</w:t>
      </w:r>
      <w:r w:rsidRPr="006F2CA9">
        <w:t xml:space="preserve">hree </w:t>
      </w:r>
      <w:r w:rsidR="005C7A31">
        <w:t>r</w:t>
      </w:r>
      <w:r w:rsidRPr="006F2CA9">
        <w:t xml:space="preserve">elevant </w:t>
      </w:r>
      <w:r w:rsidR="005C7A31">
        <w:t>d</w:t>
      </w:r>
      <w:r w:rsidRPr="006F2CA9">
        <w:t>atasets</w:t>
      </w:r>
    </w:p>
    <w:tbl>
      <w:tblPr>
        <w:tblStyle w:val="TableGrid"/>
        <w:tblW w:w="9129" w:type="dxa"/>
        <w:tblLook w:val="04A0" w:firstRow="1" w:lastRow="0" w:firstColumn="1" w:lastColumn="0" w:noHBand="0" w:noVBand="1"/>
        <w:tblCaption w:val="Table 10. Fatal TEAEs by SOC and PT in the three relevant datasets"/>
        <w:tblDescription w:val="Table 10. Fatal TEAEs by SOC and PT in the three relevant datasets"/>
      </w:tblPr>
      <w:tblGrid>
        <w:gridCol w:w="3287"/>
        <w:gridCol w:w="1812"/>
        <w:gridCol w:w="1720"/>
        <w:gridCol w:w="2310"/>
      </w:tblGrid>
      <w:tr w:rsidR="00123D21" w:rsidRPr="009C7E5A" w14:paraId="7F308353" w14:textId="77777777" w:rsidTr="00123D21">
        <w:tc>
          <w:tcPr>
            <w:tcW w:w="3287" w:type="dxa"/>
            <w:tcBorders>
              <w:bottom w:val="nil"/>
            </w:tcBorders>
            <w:shd w:val="clear" w:color="auto" w:fill="DEEAF6"/>
            <w:vAlign w:val="bottom"/>
          </w:tcPr>
          <w:p w14:paraId="2A4D1556" w14:textId="77777777" w:rsidR="00123D21" w:rsidRPr="009C7E5A" w:rsidRDefault="00123D21" w:rsidP="00DC7677">
            <w:pPr>
              <w:spacing w:before="40" w:after="40"/>
              <w:rPr>
                <w:rFonts w:cs="Calibri"/>
                <w:b/>
                <w:bCs/>
                <w:noProof/>
                <w:color w:val="263287"/>
                <w:sz w:val="20"/>
                <w:szCs w:val="20"/>
                <w:lang w:eastAsia="ja-JP"/>
              </w:rPr>
            </w:pPr>
            <w:r w:rsidRPr="009C7E5A">
              <w:rPr>
                <w:rFonts w:cs="Calibri"/>
                <w:b/>
                <w:bCs/>
                <w:noProof/>
                <w:color w:val="263287"/>
                <w:sz w:val="20"/>
                <w:szCs w:val="20"/>
                <w:lang w:eastAsia="ja-JP"/>
              </w:rPr>
              <w:t>SOC</w:t>
            </w:r>
          </w:p>
          <w:p w14:paraId="6A384E92" w14:textId="77777777" w:rsidR="00123D21" w:rsidRPr="009C7E5A" w:rsidRDefault="00123D21" w:rsidP="00DC7677">
            <w:pPr>
              <w:spacing w:before="40" w:after="40"/>
              <w:rPr>
                <w:rFonts w:cs="Calibri"/>
                <w:b/>
                <w:bCs/>
                <w:noProof/>
                <w:color w:val="263287"/>
                <w:sz w:val="20"/>
                <w:szCs w:val="20"/>
                <w:lang w:eastAsia="ja-JP"/>
              </w:rPr>
            </w:pPr>
            <w:r w:rsidRPr="009C7E5A">
              <w:rPr>
                <w:rFonts w:cs="Calibri"/>
                <w:b/>
                <w:bCs/>
                <w:noProof/>
                <w:color w:val="263287"/>
                <w:sz w:val="20"/>
                <w:szCs w:val="20"/>
                <w:lang w:eastAsia="ja-JP"/>
              </w:rPr>
              <w:t>PT</w:t>
            </w:r>
          </w:p>
        </w:tc>
        <w:tc>
          <w:tcPr>
            <w:tcW w:w="1812" w:type="dxa"/>
            <w:tcBorders>
              <w:bottom w:val="nil"/>
            </w:tcBorders>
            <w:shd w:val="clear" w:color="auto" w:fill="DEEAF6"/>
          </w:tcPr>
          <w:p w14:paraId="0D2B1813" w14:textId="77777777" w:rsidR="00123D21" w:rsidRPr="009C7E5A" w:rsidRDefault="00123D21" w:rsidP="00DC7677">
            <w:pPr>
              <w:spacing w:before="40" w:after="40"/>
              <w:rPr>
                <w:rFonts w:cs="Calibri"/>
                <w:b/>
                <w:bCs/>
                <w:color w:val="263287"/>
                <w:sz w:val="20"/>
                <w:szCs w:val="20"/>
                <w:lang w:eastAsia="ja-JP"/>
              </w:rPr>
            </w:pPr>
            <w:r w:rsidRPr="009C7E5A">
              <w:rPr>
                <w:rFonts w:cs="Calibri"/>
                <w:b/>
                <w:bCs/>
                <w:color w:val="263287"/>
                <w:sz w:val="20"/>
                <w:szCs w:val="20"/>
                <w:lang w:eastAsia="ja-JP"/>
              </w:rPr>
              <w:t xml:space="preserve">ADCT-402-201 </w:t>
            </w:r>
          </w:p>
          <w:p w14:paraId="49474CFF" w14:textId="77777777" w:rsidR="00123D21" w:rsidRPr="009C7E5A" w:rsidRDefault="00123D21" w:rsidP="00DC7677">
            <w:pPr>
              <w:spacing w:before="40" w:after="40"/>
              <w:rPr>
                <w:rFonts w:cs="Calibri"/>
                <w:b/>
                <w:bCs/>
                <w:color w:val="263287"/>
                <w:sz w:val="20"/>
                <w:szCs w:val="20"/>
              </w:rPr>
            </w:pPr>
            <w:r w:rsidRPr="009C7E5A">
              <w:rPr>
                <w:rFonts w:cs="Calibri"/>
                <w:b/>
                <w:bCs/>
                <w:color w:val="263287"/>
                <w:sz w:val="20"/>
                <w:szCs w:val="20"/>
              </w:rPr>
              <w:t>N=145</w:t>
            </w:r>
          </w:p>
          <w:p w14:paraId="4F61A009" w14:textId="77777777" w:rsidR="00123D21" w:rsidRPr="009C7E5A" w:rsidRDefault="00123D21" w:rsidP="00DC7677">
            <w:pPr>
              <w:spacing w:before="40" w:after="40"/>
              <w:rPr>
                <w:rFonts w:cs="Calibri"/>
                <w:b/>
                <w:bCs/>
                <w:color w:val="263287"/>
                <w:sz w:val="20"/>
                <w:szCs w:val="20"/>
                <w:lang w:eastAsia="ja-JP"/>
              </w:rPr>
            </w:pPr>
            <w:r w:rsidRPr="009C7E5A">
              <w:rPr>
                <w:rFonts w:cs="Calibri"/>
                <w:b/>
                <w:bCs/>
                <w:color w:val="263287"/>
                <w:sz w:val="20"/>
                <w:szCs w:val="20"/>
              </w:rPr>
              <w:t>N (%)</w:t>
            </w:r>
          </w:p>
        </w:tc>
        <w:tc>
          <w:tcPr>
            <w:tcW w:w="1720" w:type="dxa"/>
            <w:tcBorders>
              <w:bottom w:val="nil"/>
            </w:tcBorders>
            <w:shd w:val="clear" w:color="auto" w:fill="DEEAF6"/>
          </w:tcPr>
          <w:p w14:paraId="6F456B75" w14:textId="77777777" w:rsidR="00123D21" w:rsidRPr="009C7E5A" w:rsidRDefault="00123D21" w:rsidP="00DC7677">
            <w:pPr>
              <w:spacing w:before="40" w:after="40"/>
              <w:rPr>
                <w:rFonts w:cs="Calibri"/>
                <w:b/>
                <w:bCs/>
                <w:color w:val="263287"/>
                <w:sz w:val="20"/>
                <w:szCs w:val="20"/>
                <w:lang w:eastAsia="ja-JP"/>
              </w:rPr>
            </w:pPr>
            <w:r w:rsidRPr="009C7E5A">
              <w:rPr>
                <w:rFonts w:cs="Calibri"/>
                <w:b/>
                <w:bCs/>
                <w:color w:val="263287"/>
                <w:sz w:val="20"/>
                <w:szCs w:val="20"/>
                <w:lang w:eastAsia="ja-JP"/>
              </w:rPr>
              <w:t>ADCT-402-101</w:t>
            </w:r>
          </w:p>
          <w:p w14:paraId="553860D0" w14:textId="77777777" w:rsidR="00123D21" w:rsidRPr="009C7E5A" w:rsidRDefault="00123D21" w:rsidP="00DC7677">
            <w:pPr>
              <w:spacing w:before="40" w:after="40"/>
              <w:rPr>
                <w:rFonts w:cs="Calibri"/>
                <w:b/>
                <w:bCs/>
                <w:color w:val="263287"/>
                <w:sz w:val="20"/>
                <w:szCs w:val="20"/>
              </w:rPr>
            </w:pPr>
            <w:r w:rsidRPr="009C7E5A">
              <w:rPr>
                <w:rFonts w:cs="Calibri"/>
                <w:b/>
                <w:bCs/>
                <w:color w:val="263287"/>
                <w:sz w:val="20"/>
                <w:szCs w:val="20"/>
              </w:rPr>
              <w:t>N=70</w:t>
            </w:r>
          </w:p>
          <w:p w14:paraId="6EE6E865" w14:textId="77777777" w:rsidR="00123D21" w:rsidRPr="009C7E5A" w:rsidRDefault="00123D21" w:rsidP="00DC7677">
            <w:pPr>
              <w:spacing w:before="40" w:after="40"/>
              <w:rPr>
                <w:rFonts w:cs="Calibri"/>
                <w:b/>
                <w:bCs/>
                <w:color w:val="263287"/>
                <w:sz w:val="20"/>
                <w:szCs w:val="20"/>
                <w:lang w:eastAsia="ja-JP"/>
              </w:rPr>
            </w:pPr>
            <w:r w:rsidRPr="009C7E5A">
              <w:rPr>
                <w:rFonts w:cs="Calibri"/>
                <w:b/>
                <w:bCs/>
                <w:color w:val="263287"/>
                <w:sz w:val="20"/>
                <w:szCs w:val="20"/>
              </w:rPr>
              <w:t>N (%)</w:t>
            </w:r>
          </w:p>
        </w:tc>
        <w:tc>
          <w:tcPr>
            <w:tcW w:w="2310" w:type="dxa"/>
            <w:tcBorders>
              <w:bottom w:val="nil"/>
            </w:tcBorders>
            <w:shd w:val="clear" w:color="auto" w:fill="DEEAF6"/>
          </w:tcPr>
          <w:p w14:paraId="2B6E6CEB" w14:textId="77777777" w:rsidR="00123D21" w:rsidRPr="009C7E5A" w:rsidRDefault="00123D21" w:rsidP="00DC7677">
            <w:pPr>
              <w:spacing w:before="40" w:after="40"/>
              <w:rPr>
                <w:rFonts w:cs="Calibri"/>
                <w:b/>
                <w:bCs/>
                <w:color w:val="263287"/>
                <w:sz w:val="20"/>
                <w:szCs w:val="20"/>
                <w:lang w:eastAsia="ja-JP"/>
              </w:rPr>
            </w:pPr>
            <w:r w:rsidRPr="009C7E5A">
              <w:rPr>
                <w:rFonts w:cs="Calibri"/>
                <w:b/>
                <w:bCs/>
                <w:color w:val="263287"/>
                <w:sz w:val="20"/>
                <w:szCs w:val="20"/>
                <w:lang w:eastAsia="ja-JP"/>
              </w:rPr>
              <w:t>Pooled</w:t>
            </w:r>
          </w:p>
          <w:p w14:paraId="46554185" w14:textId="77777777" w:rsidR="00123D21" w:rsidRPr="009C7E5A" w:rsidRDefault="00123D21" w:rsidP="00DC7677">
            <w:pPr>
              <w:spacing w:before="40" w:after="40"/>
              <w:rPr>
                <w:rFonts w:cs="Calibri"/>
                <w:b/>
                <w:bCs/>
                <w:color w:val="263287"/>
                <w:sz w:val="20"/>
                <w:szCs w:val="20"/>
                <w:lang w:eastAsia="ja-JP"/>
              </w:rPr>
            </w:pPr>
            <w:r w:rsidRPr="009C7E5A">
              <w:rPr>
                <w:rFonts w:cs="Calibri"/>
                <w:b/>
                <w:bCs/>
                <w:color w:val="263287"/>
                <w:sz w:val="20"/>
                <w:szCs w:val="20"/>
                <w:lang w:eastAsia="ja-JP"/>
              </w:rPr>
              <w:t>N=215</w:t>
            </w:r>
          </w:p>
          <w:p w14:paraId="4FBF7677" w14:textId="77777777" w:rsidR="00123D21" w:rsidRPr="009C7E5A" w:rsidRDefault="00123D21" w:rsidP="00DC7677">
            <w:pPr>
              <w:spacing w:before="40" w:after="40"/>
              <w:rPr>
                <w:rFonts w:cs="Calibri"/>
                <w:b/>
                <w:bCs/>
                <w:color w:val="263287"/>
                <w:sz w:val="20"/>
                <w:szCs w:val="20"/>
                <w:lang w:eastAsia="ja-JP"/>
              </w:rPr>
            </w:pPr>
            <w:r w:rsidRPr="009C7E5A">
              <w:rPr>
                <w:rFonts w:cs="Calibri"/>
                <w:b/>
                <w:bCs/>
                <w:color w:val="263287"/>
                <w:sz w:val="20"/>
                <w:szCs w:val="20"/>
              </w:rPr>
              <w:t>N (%)</w:t>
            </w:r>
          </w:p>
        </w:tc>
      </w:tr>
      <w:tr w:rsidR="00123D21" w:rsidRPr="009C7E5A" w14:paraId="78A84520" w14:textId="77777777" w:rsidTr="00DC7677">
        <w:tc>
          <w:tcPr>
            <w:tcW w:w="3287" w:type="dxa"/>
          </w:tcPr>
          <w:p w14:paraId="032B0E07" w14:textId="77777777" w:rsidR="00123D21" w:rsidRPr="009C7E5A" w:rsidRDefault="00123D21" w:rsidP="00DC7677">
            <w:pPr>
              <w:spacing w:before="40" w:after="40"/>
              <w:rPr>
                <w:rFonts w:cs="Calibri"/>
                <w:sz w:val="20"/>
                <w:szCs w:val="20"/>
                <w:lang w:eastAsia="ja-JP"/>
              </w:rPr>
            </w:pPr>
            <w:r w:rsidRPr="009C7E5A">
              <w:rPr>
                <w:rFonts w:cs="Calibri"/>
                <w:sz w:val="20"/>
                <w:szCs w:val="20"/>
                <w:lang w:eastAsia="ja-JP"/>
              </w:rPr>
              <w:t>Patients with any fatal TEAEs</w:t>
            </w:r>
          </w:p>
        </w:tc>
        <w:tc>
          <w:tcPr>
            <w:tcW w:w="1812" w:type="dxa"/>
          </w:tcPr>
          <w:p w14:paraId="25C5D439" w14:textId="77777777" w:rsidR="00123D21" w:rsidRPr="009C7E5A" w:rsidRDefault="00123D21" w:rsidP="00DC7677">
            <w:pPr>
              <w:spacing w:before="40" w:after="40"/>
              <w:rPr>
                <w:rFonts w:cs="Calibri"/>
                <w:sz w:val="20"/>
                <w:szCs w:val="20"/>
                <w:lang w:eastAsia="ja-JP"/>
              </w:rPr>
            </w:pPr>
            <w:r w:rsidRPr="009C7E5A">
              <w:rPr>
                <w:rFonts w:cs="Calibri"/>
                <w:sz w:val="20"/>
                <w:szCs w:val="20"/>
                <w:lang w:eastAsia="ja-JP"/>
              </w:rPr>
              <w:t xml:space="preserve">8 (5.5) </w:t>
            </w:r>
          </w:p>
        </w:tc>
        <w:tc>
          <w:tcPr>
            <w:tcW w:w="1720" w:type="dxa"/>
          </w:tcPr>
          <w:p w14:paraId="316B5298" w14:textId="77777777" w:rsidR="00123D21" w:rsidRPr="009C7E5A" w:rsidRDefault="00123D21" w:rsidP="00DC7677">
            <w:pPr>
              <w:spacing w:before="40" w:after="40"/>
              <w:rPr>
                <w:rFonts w:cs="Calibri"/>
                <w:sz w:val="20"/>
                <w:szCs w:val="20"/>
                <w:lang w:eastAsia="ja-JP"/>
              </w:rPr>
            </w:pPr>
            <w:r w:rsidRPr="009C7E5A">
              <w:rPr>
                <w:rFonts w:cs="Calibri"/>
                <w:sz w:val="20"/>
                <w:szCs w:val="20"/>
                <w:lang w:eastAsia="ja-JP"/>
              </w:rPr>
              <w:t>11 (15.7)</w:t>
            </w:r>
          </w:p>
        </w:tc>
        <w:tc>
          <w:tcPr>
            <w:tcW w:w="2310" w:type="dxa"/>
          </w:tcPr>
          <w:p w14:paraId="7D4C716C" w14:textId="77777777" w:rsidR="00123D21" w:rsidRPr="009C7E5A" w:rsidRDefault="00123D21" w:rsidP="00DC7677">
            <w:pPr>
              <w:spacing w:before="40" w:after="40"/>
              <w:rPr>
                <w:rFonts w:cs="Calibri"/>
                <w:sz w:val="20"/>
                <w:szCs w:val="20"/>
                <w:lang w:eastAsia="ja-JP"/>
              </w:rPr>
            </w:pPr>
            <w:r w:rsidRPr="009C7E5A">
              <w:rPr>
                <w:rFonts w:cs="Calibri"/>
                <w:sz w:val="20"/>
                <w:szCs w:val="20"/>
                <w:lang w:eastAsia="ja-JP"/>
              </w:rPr>
              <w:t>19 (8.8)</w:t>
            </w:r>
          </w:p>
        </w:tc>
      </w:tr>
      <w:tr w:rsidR="00123D21" w:rsidRPr="009C7E5A" w14:paraId="79E1A168" w14:textId="77777777" w:rsidTr="00DC7677">
        <w:tc>
          <w:tcPr>
            <w:tcW w:w="3287" w:type="dxa"/>
            <w:tcBorders>
              <w:bottom w:val="nil"/>
            </w:tcBorders>
          </w:tcPr>
          <w:p w14:paraId="6A70D76E"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 xml:space="preserve">GIT disorders (SOC) </w:t>
            </w:r>
          </w:p>
        </w:tc>
        <w:tc>
          <w:tcPr>
            <w:tcW w:w="1812" w:type="dxa"/>
            <w:tcBorders>
              <w:bottom w:val="nil"/>
            </w:tcBorders>
          </w:tcPr>
          <w:p w14:paraId="06058C14"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 xml:space="preserve">1 (0.7) </w:t>
            </w:r>
          </w:p>
        </w:tc>
        <w:tc>
          <w:tcPr>
            <w:tcW w:w="1720" w:type="dxa"/>
            <w:tcBorders>
              <w:bottom w:val="nil"/>
            </w:tcBorders>
          </w:tcPr>
          <w:p w14:paraId="1DDB8B13"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2 (2.9)</w:t>
            </w:r>
          </w:p>
        </w:tc>
        <w:tc>
          <w:tcPr>
            <w:tcW w:w="2310" w:type="dxa"/>
            <w:tcBorders>
              <w:bottom w:val="nil"/>
            </w:tcBorders>
          </w:tcPr>
          <w:p w14:paraId="0A730709"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3 (1.4)</w:t>
            </w:r>
          </w:p>
        </w:tc>
      </w:tr>
      <w:tr w:rsidR="00123D21" w:rsidRPr="009C7E5A" w14:paraId="004BBBF7" w14:textId="77777777" w:rsidTr="00DC7677">
        <w:tc>
          <w:tcPr>
            <w:tcW w:w="3287" w:type="dxa"/>
            <w:tcBorders>
              <w:top w:val="nil"/>
              <w:bottom w:val="nil"/>
            </w:tcBorders>
          </w:tcPr>
          <w:p w14:paraId="5FFA1B60" w14:textId="77777777" w:rsidR="00123D21" w:rsidRPr="009C7E5A" w:rsidRDefault="00123D21" w:rsidP="00DC7677">
            <w:pPr>
              <w:tabs>
                <w:tab w:val="left" w:pos="465"/>
              </w:tabs>
              <w:spacing w:before="40" w:after="40"/>
              <w:rPr>
                <w:rFonts w:cs="Calibri"/>
                <w:noProof/>
                <w:sz w:val="20"/>
                <w:szCs w:val="20"/>
                <w:lang w:eastAsia="ja-JP"/>
              </w:rPr>
            </w:pPr>
            <w:r w:rsidRPr="009C7E5A">
              <w:rPr>
                <w:rFonts w:cs="Calibri"/>
                <w:noProof/>
                <w:sz w:val="20"/>
                <w:szCs w:val="20"/>
                <w:lang w:eastAsia="ja-JP"/>
              </w:rPr>
              <w:t xml:space="preserve">GIT haemorrhage </w:t>
            </w:r>
          </w:p>
        </w:tc>
        <w:tc>
          <w:tcPr>
            <w:tcW w:w="1812" w:type="dxa"/>
            <w:tcBorders>
              <w:top w:val="nil"/>
              <w:bottom w:val="nil"/>
            </w:tcBorders>
          </w:tcPr>
          <w:p w14:paraId="18F910D0"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 xml:space="preserve">0 </w:t>
            </w:r>
          </w:p>
        </w:tc>
        <w:tc>
          <w:tcPr>
            <w:tcW w:w="1720" w:type="dxa"/>
            <w:tcBorders>
              <w:top w:val="nil"/>
              <w:bottom w:val="nil"/>
            </w:tcBorders>
          </w:tcPr>
          <w:p w14:paraId="2606B45C"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1 (1.4)</w:t>
            </w:r>
          </w:p>
        </w:tc>
        <w:tc>
          <w:tcPr>
            <w:tcW w:w="2310" w:type="dxa"/>
            <w:tcBorders>
              <w:top w:val="nil"/>
              <w:bottom w:val="nil"/>
            </w:tcBorders>
          </w:tcPr>
          <w:p w14:paraId="6A41FB1F"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1 (0.5)</w:t>
            </w:r>
          </w:p>
        </w:tc>
      </w:tr>
      <w:tr w:rsidR="00123D21" w:rsidRPr="009C7E5A" w14:paraId="2DA8FFC6" w14:textId="77777777" w:rsidTr="00DC7677">
        <w:tc>
          <w:tcPr>
            <w:tcW w:w="3287" w:type="dxa"/>
            <w:tcBorders>
              <w:top w:val="nil"/>
              <w:bottom w:val="nil"/>
            </w:tcBorders>
          </w:tcPr>
          <w:p w14:paraId="7476B530"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 xml:space="preserve">Abdominal compartment syndrome </w:t>
            </w:r>
          </w:p>
        </w:tc>
        <w:tc>
          <w:tcPr>
            <w:tcW w:w="1812" w:type="dxa"/>
            <w:tcBorders>
              <w:top w:val="nil"/>
              <w:bottom w:val="nil"/>
            </w:tcBorders>
          </w:tcPr>
          <w:p w14:paraId="0911F711"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 xml:space="preserve">0 </w:t>
            </w:r>
          </w:p>
        </w:tc>
        <w:tc>
          <w:tcPr>
            <w:tcW w:w="1720" w:type="dxa"/>
            <w:tcBorders>
              <w:top w:val="nil"/>
              <w:bottom w:val="nil"/>
            </w:tcBorders>
          </w:tcPr>
          <w:p w14:paraId="113FF602"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1 (1.4)</w:t>
            </w:r>
          </w:p>
        </w:tc>
        <w:tc>
          <w:tcPr>
            <w:tcW w:w="2310" w:type="dxa"/>
            <w:tcBorders>
              <w:top w:val="nil"/>
              <w:bottom w:val="nil"/>
            </w:tcBorders>
          </w:tcPr>
          <w:p w14:paraId="5DCD725B"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1 (0.5)</w:t>
            </w:r>
          </w:p>
        </w:tc>
      </w:tr>
      <w:tr w:rsidR="00123D21" w:rsidRPr="009C7E5A" w14:paraId="673D64DF" w14:textId="77777777" w:rsidTr="00DC7677">
        <w:tc>
          <w:tcPr>
            <w:tcW w:w="3287" w:type="dxa"/>
            <w:tcBorders>
              <w:top w:val="nil"/>
            </w:tcBorders>
          </w:tcPr>
          <w:p w14:paraId="47692C4A"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 xml:space="preserve">Small intestine perforation </w:t>
            </w:r>
          </w:p>
        </w:tc>
        <w:tc>
          <w:tcPr>
            <w:tcW w:w="1812" w:type="dxa"/>
            <w:tcBorders>
              <w:top w:val="nil"/>
            </w:tcBorders>
          </w:tcPr>
          <w:p w14:paraId="28D4F929"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 xml:space="preserve">1 (0.7) </w:t>
            </w:r>
          </w:p>
        </w:tc>
        <w:tc>
          <w:tcPr>
            <w:tcW w:w="1720" w:type="dxa"/>
            <w:tcBorders>
              <w:top w:val="nil"/>
            </w:tcBorders>
          </w:tcPr>
          <w:p w14:paraId="0D67716A"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0</w:t>
            </w:r>
          </w:p>
        </w:tc>
        <w:tc>
          <w:tcPr>
            <w:tcW w:w="2310" w:type="dxa"/>
            <w:tcBorders>
              <w:top w:val="nil"/>
            </w:tcBorders>
          </w:tcPr>
          <w:p w14:paraId="5476A8FA"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1 (0.5)</w:t>
            </w:r>
          </w:p>
        </w:tc>
      </w:tr>
      <w:tr w:rsidR="00123D21" w:rsidRPr="009C7E5A" w14:paraId="433DBF36" w14:textId="77777777" w:rsidTr="00DC7677">
        <w:tc>
          <w:tcPr>
            <w:tcW w:w="3287" w:type="dxa"/>
            <w:tcBorders>
              <w:bottom w:val="nil"/>
            </w:tcBorders>
          </w:tcPr>
          <w:p w14:paraId="3953A7FD"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General disorders &amp; administration site conditions (SOC)</w:t>
            </w:r>
          </w:p>
        </w:tc>
        <w:tc>
          <w:tcPr>
            <w:tcW w:w="1812" w:type="dxa"/>
            <w:tcBorders>
              <w:bottom w:val="nil"/>
            </w:tcBorders>
          </w:tcPr>
          <w:p w14:paraId="59605ABE"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 xml:space="preserve">1 (0.7) </w:t>
            </w:r>
          </w:p>
        </w:tc>
        <w:tc>
          <w:tcPr>
            <w:tcW w:w="1720" w:type="dxa"/>
            <w:tcBorders>
              <w:bottom w:val="nil"/>
            </w:tcBorders>
          </w:tcPr>
          <w:p w14:paraId="60860FF3"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3 (4.3)</w:t>
            </w:r>
          </w:p>
        </w:tc>
        <w:tc>
          <w:tcPr>
            <w:tcW w:w="2310" w:type="dxa"/>
            <w:tcBorders>
              <w:bottom w:val="nil"/>
            </w:tcBorders>
          </w:tcPr>
          <w:p w14:paraId="121ED0D2"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4 (1.9)</w:t>
            </w:r>
          </w:p>
        </w:tc>
      </w:tr>
      <w:tr w:rsidR="00123D21" w:rsidRPr="009C7E5A" w14:paraId="59047EF8" w14:textId="77777777" w:rsidTr="00DC7677">
        <w:tc>
          <w:tcPr>
            <w:tcW w:w="3287" w:type="dxa"/>
            <w:tcBorders>
              <w:top w:val="nil"/>
            </w:tcBorders>
          </w:tcPr>
          <w:p w14:paraId="32DD59ED"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 xml:space="preserve">Disease progression </w:t>
            </w:r>
          </w:p>
        </w:tc>
        <w:tc>
          <w:tcPr>
            <w:tcW w:w="1812" w:type="dxa"/>
            <w:tcBorders>
              <w:top w:val="nil"/>
            </w:tcBorders>
          </w:tcPr>
          <w:p w14:paraId="70CFB4BB"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 xml:space="preserve">1 (0.7) </w:t>
            </w:r>
          </w:p>
        </w:tc>
        <w:tc>
          <w:tcPr>
            <w:tcW w:w="1720" w:type="dxa"/>
            <w:tcBorders>
              <w:top w:val="nil"/>
            </w:tcBorders>
          </w:tcPr>
          <w:p w14:paraId="6B556FC1"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3 (4.3)</w:t>
            </w:r>
          </w:p>
        </w:tc>
        <w:tc>
          <w:tcPr>
            <w:tcW w:w="2310" w:type="dxa"/>
            <w:tcBorders>
              <w:top w:val="nil"/>
            </w:tcBorders>
          </w:tcPr>
          <w:p w14:paraId="47AD28D6"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4 (1.9)</w:t>
            </w:r>
          </w:p>
        </w:tc>
      </w:tr>
      <w:tr w:rsidR="00123D21" w:rsidRPr="009C7E5A" w14:paraId="6C5A1BB9" w14:textId="77777777" w:rsidTr="00DC7677">
        <w:tc>
          <w:tcPr>
            <w:tcW w:w="3287" w:type="dxa"/>
            <w:tcBorders>
              <w:bottom w:val="nil"/>
            </w:tcBorders>
          </w:tcPr>
          <w:p w14:paraId="1C87D925"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Infections &amp; infestations (SOC)</w:t>
            </w:r>
          </w:p>
        </w:tc>
        <w:tc>
          <w:tcPr>
            <w:tcW w:w="1812" w:type="dxa"/>
            <w:tcBorders>
              <w:bottom w:val="nil"/>
            </w:tcBorders>
          </w:tcPr>
          <w:p w14:paraId="22A22D3F"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 xml:space="preserve">3 (2.1) </w:t>
            </w:r>
          </w:p>
        </w:tc>
        <w:tc>
          <w:tcPr>
            <w:tcW w:w="1720" w:type="dxa"/>
            <w:tcBorders>
              <w:bottom w:val="nil"/>
            </w:tcBorders>
          </w:tcPr>
          <w:p w14:paraId="42AE8455"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2 (2.9)</w:t>
            </w:r>
          </w:p>
        </w:tc>
        <w:tc>
          <w:tcPr>
            <w:tcW w:w="2310" w:type="dxa"/>
            <w:tcBorders>
              <w:bottom w:val="nil"/>
            </w:tcBorders>
          </w:tcPr>
          <w:p w14:paraId="3C177E6E"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5 (2.3)</w:t>
            </w:r>
          </w:p>
        </w:tc>
      </w:tr>
      <w:tr w:rsidR="00123D21" w:rsidRPr="009C7E5A" w14:paraId="066E4B17" w14:textId="77777777" w:rsidTr="00DC7677">
        <w:tc>
          <w:tcPr>
            <w:tcW w:w="3287" w:type="dxa"/>
            <w:tcBorders>
              <w:top w:val="nil"/>
              <w:bottom w:val="nil"/>
            </w:tcBorders>
          </w:tcPr>
          <w:p w14:paraId="57E67946"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Sepsis</w:t>
            </w:r>
          </w:p>
        </w:tc>
        <w:tc>
          <w:tcPr>
            <w:tcW w:w="1812" w:type="dxa"/>
            <w:tcBorders>
              <w:top w:val="nil"/>
              <w:bottom w:val="nil"/>
            </w:tcBorders>
          </w:tcPr>
          <w:p w14:paraId="3FC75004"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 xml:space="preserve">1 (0.7) </w:t>
            </w:r>
          </w:p>
        </w:tc>
        <w:tc>
          <w:tcPr>
            <w:tcW w:w="1720" w:type="dxa"/>
            <w:tcBorders>
              <w:top w:val="nil"/>
              <w:bottom w:val="nil"/>
            </w:tcBorders>
          </w:tcPr>
          <w:p w14:paraId="5C557E45"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1 (1.4)</w:t>
            </w:r>
          </w:p>
        </w:tc>
        <w:tc>
          <w:tcPr>
            <w:tcW w:w="2310" w:type="dxa"/>
            <w:tcBorders>
              <w:top w:val="nil"/>
              <w:bottom w:val="nil"/>
            </w:tcBorders>
          </w:tcPr>
          <w:p w14:paraId="56DA0E95"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2 (0.9)</w:t>
            </w:r>
          </w:p>
        </w:tc>
      </w:tr>
      <w:tr w:rsidR="00123D21" w:rsidRPr="009C7E5A" w14:paraId="53DDD5DC" w14:textId="77777777" w:rsidTr="00DC7677">
        <w:tc>
          <w:tcPr>
            <w:tcW w:w="3287" w:type="dxa"/>
            <w:tcBorders>
              <w:top w:val="nil"/>
              <w:bottom w:val="nil"/>
            </w:tcBorders>
          </w:tcPr>
          <w:p w14:paraId="5043667B"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 xml:space="preserve">Lung infection </w:t>
            </w:r>
          </w:p>
        </w:tc>
        <w:tc>
          <w:tcPr>
            <w:tcW w:w="1812" w:type="dxa"/>
            <w:tcBorders>
              <w:top w:val="nil"/>
              <w:bottom w:val="nil"/>
            </w:tcBorders>
          </w:tcPr>
          <w:p w14:paraId="44BF4E35"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0</w:t>
            </w:r>
          </w:p>
        </w:tc>
        <w:tc>
          <w:tcPr>
            <w:tcW w:w="1720" w:type="dxa"/>
            <w:tcBorders>
              <w:top w:val="nil"/>
              <w:bottom w:val="nil"/>
            </w:tcBorders>
          </w:tcPr>
          <w:p w14:paraId="7A2812B4"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1 (1.4)</w:t>
            </w:r>
          </w:p>
        </w:tc>
        <w:tc>
          <w:tcPr>
            <w:tcW w:w="2310" w:type="dxa"/>
            <w:tcBorders>
              <w:top w:val="nil"/>
              <w:bottom w:val="nil"/>
            </w:tcBorders>
          </w:tcPr>
          <w:p w14:paraId="6E628038"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sz w:val="20"/>
                <w:szCs w:val="20"/>
              </w:rPr>
              <w:t>1 (0.5)</w:t>
            </w:r>
          </w:p>
        </w:tc>
      </w:tr>
      <w:tr w:rsidR="00123D21" w:rsidRPr="009C7E5A" w14:paraId="7344DF7D" w14:textId="77777777" w:rsidTr="00DC7677">
        <w:tc>
          <w:tcPr>
            <w:tcW w:w="3287" w:type="dxa"/>
            <w:tcBorders>
              <w:top w:val="nil"/>
              <w:bottom w:val="nil"/>
            </w:tcBorders>
          </w:tcPr>
          <w:p w14:paraId="006239F5"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 xml:space="preserve">Pneumonia </w:t>
            </w:r>
          </w:p>
        </w:tc>
        <w:tc>
          <w:tcPr>
            <w:tcW w:w="1812" w:type="dxa"/>
            <w:tcBorders>
              <w:top w:val="nil"/>
              <w:bottom w:val="nil"/>
            </w:tcBorders>
          </w:tcPr>
          <w:p w14:paraId="53562818"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1 (0.7)</w:t>
            </w:r>
          </w:p>
        </w:tc>
        <w:tc>
          <w:tcPr>
            <w:tcW w:w="1720" w:type="dxa"/>
            <w:tcBorders>
              <w:top w:val="nil"/>
              <w:bottom w:val="nil"/>
            </w:tcBorders>
          </w:tcPr>
          <w:p w14:paraId="2B4D147C"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0</w:t>
            </w:r>
          </w:p>
        </w:tc>
        <w:tc>
          <w:tcPr>
            <w:tcW w:w="2310" w:type="dxa"/>
            <w:tcBorders>
              <w:top w:val="nil"/>
              <w:bottom w:val="nil"/>
            </w:tcBorders>
          </w:tcPr>
          <w:p w14:paraId="4717B343" w14:textId="77777777" w:rsidR="00123D21" w:rsidRPr="009C7E5A" w:rsidRDefault="00123D21" w:rsidP="00DC7677">
            <w:pPr>
              <w:pStyle w:val="Default"/>
              <w:spacing w:before="40" w:after="40"/>
              <w:rPr>
                <w:rFonts w:ascii="Cambria" w:hAnsi="Cambria" w:cs="Calibri"/>
                <w:sz w:val="20"/>
                <w:szCs w:val="20"/>
              </w:rPr>
            </w:pPr>
            <w:r w:rsidRPr="009C7E5A">
              <w:rPr>
                <w:rFonts w:ascii="Cambria" w:hAnsi="Cambria" w:cs="Calibri"/>
                <w:noProof/>
                <w:sz w:val="20"/>
                <w:szCs w:val="20"/>
                <w:lang w:eastAsia="ja-JP"/>
              </w:rPr>
              <w:t>1 (0.5)</w:t>
            </w:r>
          </w:p>
        </w:tc>
      </w:tr>
      <w:tr w:rsidR="00123D21" w:rsidRPr="009C7E5A" w14:paraId="206B5198" w14:textId="77777777" w:rsidTr="00DC7677">
        <w:tc>
          <w:tcPr>
            <w:tcW w:w="3287" w:type="dxa"/>
            <w:tcBorders>
              <w:top w:val="nil"/>
            </w:tcBorders>
          </w:tcPr>
          <w:p w14:paraId="343EA98F"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 xml:space="preserve">Septic shock </w:t>
            </w:r>
          </w:p>
        </w:tc>
        <w:tc>
          <w:tcPr>
            <w:tcW w:w="1812" w:type="dxa"/>
            <w:tcBorders>
              <w:top w:val="nil"/>
            </w:tcBorders>
          </w:tcPr>
          <w:p w14:paraId="62FBA332"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1 (0.7)</w:t>
            </w:r>
          </w:p>
        </w:tc>
        <w:tc>
          <w:tcPr>
            <w:tcW w:w="1720" w:type="dxa"/>
            <w:tcBorders>
              <w:top w:val="nil"/>
            </w:tcBorders>
          </w:tcPr>
          <w:p w14:paraId="6AB0A39B"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0</w:t>
            </w:r>
          </w:p>
        </w:tc>
        <w:tc>
          <w:tcPr>
            <w:tcW w:w="2310" w:type="dxa"/>
            <w:tcBorders>
              <w:top w:val="nil"/>
            </w:tcBorders>
          </w:tcPr>
          <w:p w14:paraId="15816779"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1 (0.5)</w:t>
            </w:r>
          </w:p>
        </w:tc>
      </w:tr>
      <w:tr w:rsidR="00123D21" w:rsidRPr="009C7E5A" w14:paraId="61E3F957" w14:textId="77777777" w:rsidTr="00DC7677">
        <w:tc>
          <w:tcPr>
            <w:tcW w:w="3287" w:type="dxa"/>
            <w:tcBorders>
              <w:bottom w:val="nil"/>
            </w:tcBorders>
          </w:tcPr>
          <w:p w14:paraId="5025F661"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Injury, poisoning &amp; procedural complication (SOC)</w:t>
            </w:r>
          </w:p>
        </w:tc>
        <w:tc>
          <w:tcPr>
            <w:tcW w:w="1812" w:type="dxa"/>
            <w:tcBorders>
              <w:bottom w:val="nil"/>
            </w:tcBorders>
          </w:tcPr>
          <w:p w14:paraId="5B69CFFD"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 xml:space="preserve">0 </w:t>
            </w:r>
          </w:p>
        </w:tc>
        <w:tc>
          <w:tcPr>
            <w:tcW w:w="1720" w:type="dxa"/>
            <w:tcBorders>
              <w:bottom w:val="nil"/>
            </w:tcBorders>
          </w:tcPr>
          <w:p w14:paraId="055CF435"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1 (1.4)</w:t>
            </w:r>
          </w:p>
        </w:tc>
        <w:tc>
          <w:tcPr>
            <w:tcW w:w="2310" w:type="dxa"/>
            <w:tcBorders>
              <w:bottom w:val="nil"/>
            </w:tcBorders>
          </w:tcPr>
          <w:p w14:paraId="5A1139D1"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1 (0.5)</w:t>
            </w:r>
          </w:p>
        </w:tc>
      </w:tr>
      <w:tr w:rsidR="00123D21" w:rsidRPr="009C7E5A" w14:paraId="26132C38" w14:textId="77777777" w:rsidTr="00DC7677">
        <w:tc>
          <w:tcPr>
            <w:tcW w:w="3287" w:type="dxa"/>
            <w:tcBorders>
              <w:top w:val="nil"/>
            </w:tcBorders>
          </w:tcPr>
          <w:p w14:paraId="01E16676"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 xml:space="preserve">Subdural haematoma </w:t>
            </w:r>
          </w:p>
        </w:tc>
        <w:tc>
          <w:tcPr>
            <w:tcW w:w="1812" w:type="dxa"/>
            <w:tcBorders>
              <w:top w:val="nil"/>
            </w:tcBorders>
          </w:tcPr>
          <w:p w14:paraId="3F2466E7"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 xml:space="preserve">0 </w:t>
            </w:r>
          </w:p>
        </w:tc>
        <w:tc>
          <w:tcPr>
            <w:tcW w:w="1720" w:type="dxa"/>
            <w:tcBorders>
              <w:top w:val="nil"/>
            </w:tcBorders>
          </w:tcPr>
          <w:p w14:paraId="728C81EF"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1 (1.4)</w:t>
            </w:r>
          </w:p>
        </w:tc>
        <w:tc>
          <w:tcPr>
            <w:tcW w:w="2310" w:type="dxa"/>
            <w:tcBorders>
              <w:top w:val="nil"/>
            </w:tcBorders>
          </w:tcPr>
          <w:p w14:paraId="1361B2C0"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1 (0.5)</w:t>
            </w:r>
          </w:p>
        </w:tc>
      </w:tr>
      <w:tr w:rsidR="00123D21" w:rsidRPr="009C7E5A" w14:paraId="464D8679" w14:textId="77777777" w:rsidTr="00DC7677">
        <w:tc>
          <w:tcPr>
            <w:tcW w:w="3287" w:type="dxa"/>
            <w:tcBorders>
              <w:bottom w:val="nil"/>
            </w:tcBorders>
          </w:tcPr>
          <w:p w14:paraId="48942A39"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Neoplasms benign, malignant &amp; unspecified (incl cysts and polyps) (SOC)</w:t>
            </w:r>
          </w:p>
        </w:tc>
        <w:tc>
          <w:tcPr>
            <w:tcW w:w="1812" w:type="dxa"/>
            <w:tcBorders>
              <w:bottom w:val="nil"/>
            </w:tcBorders>
          </w:tcPr>
          <w:p w14:paraId="7724AA4A"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 xml:space="preserve">1 (0.7) </w:t>
            </w:r>
          </w:p>
        </w:tc>
        <w:tc>
          <w:tcPr>
            <w:tcW w:w="1720" w:type="dxa"/>
            <w:tcBorders>
              <w:bottom w:val="nil"/>
            </w:tcBorders>
          </w:tcPr>
          <w:p w14:paraId="54A5D410"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3 (4.3)</w:t>
            </w:r>
          </w:p>
        </w:tc>
        <w:tc>
          <w:tcPr>
            <w:tcW w:w="2310" w:type="dxa"/>
            <w:tcBorders>
              <w:bottom w:val="nil"/>
            </w:tcBorders>
          </w:tcPr>
          <w:p w14:paraId="78C55B53"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4 (1.9)</w:t>
            </w:r>
          </w:p>
        </w:tc>
      </w:tr>
      <w:tr w:rsidR="00123D21" w:rsidRPr="009C7E5A" w14:paraId="72B312F8" w14:textId="77777777" w:rsidTr="00DC7677">
        <w:tc>
          <w:tcPr>
            <w:tcW w:w="3287" w:type="dxa"/>
            <w:tcBorders>
              <w:top w:val="nil"/>
              <w:bottom w:val="nil"/>
            </w:tcBorders>
          </w:tcPr>
          <w:p w14:paraId="272CAB99"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DLBCL</w:t>
            </w:r>
          </w:p>
        </w:tc>
        <w:tc>
          <w:tcPr>
            <w:tcW w:w="1812" w:type="dxa"/>
            <w:tcBorders>
              <w:top w:val="nil"/>
              <w:bottom w:val="nil"/>
            </w:tcBorders>
          </w:tcPr>
          <w:p w14:paraId="77BFC5AD"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 xml:space="preserve">1 (0.7) </w:t>
            </w:r>
          </w:p>
        </w:tc>
        <w:tc>
          <w:tcPr>
            <w:tcW w:w="1720" w:type="dxa"/>
            <w:tcBorders>
              <w:top w:val="nil"/>
              <w:bottom w:val="nil"/>
            </w:tcBorders>
          </w:tcPr>
          <w:p w14:paraId="130F676D"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2 (2.9)</w:t>
            </w:r>
          </w:p>
        </w:tc>
        <w:tc>
          <w:tcPr>
            <w:tcW w:w="2310" w:type="dxa"/>
            <w:tcBorders>
              <w:top w:val="nil"/>
              <w:bottom w:val="nil"/>
            </w:tcBorders>
          </w:tcPr>
          <w:p w14:paraId="50FF7186"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3 (1.4)</w:t>
            </w:r>
          </w:p>
        </w:tc>
      </w:tr>
      <w:tr w:rsidR="00123D21" w:rsidRPr="009C7E5A" w14:paraId="3F7E9921" w14:textId="77777777" w:rsidTr="00DC7677">
        <w:tc>
          <w:tcPr>
            <w:tcW w:w="3287" w:type="dxa"/>
            <w:tcBorders>
              <w:top w:val="nil"/>
            </w:tcBorders>
          </w:tcPr>
          <w:p w14:paraId="5AEBA682"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Lymphoma</w:t>
            </w:r>
          </w:p>
        </w:tc>
        <w:tc>
          <w:tcPr>
            <w:tcW w:w="1812" w:type="dxa"/>
            <w:tcBorders>
              <w:top w:val="nil"/>
            </w:tcBorders>
          </w:tcPr>
          <w:p w14:paraId="1D5FB128"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 xml:space="preserve">0 </w:t>
            </w:r>
          </w:p>
        </w:tc>
        <w:tc>
          <w:tcPr>
            <w:tcW w:w="1720" w:type="dxa"/>
            <w:tcBorders>
              <w:top w:val="nil"/>
            </w:tcBorders>
          </w:tcPr>
          <w:p w14:paraId="7B1BFC88" w14:textId="29E06044"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1 (1.4</w:t>
            </w:r>
            <w:r w:rsidR="00D16B2D" w:rsidRPr="009C7E5A">
              <w:rPr>
                <w:rFonts w:ascii="Cambria" w:hAnsi="Cambria" w:cs="Calibri"/>
                <w:noProof/>
                <w:sz w:val="20"/>
                <w:szCs w:val="20"/>
                <w:lang w:eastAsia="ja-JP"/>
              </w:rPr>
              <w:t>)</w:t>
            </w:r>
          </w:p>
        </w:tc>
        <w:tc>
          <w:tcPr>
            <w:tcW w:w="2310" w:type="dxa"/>
            <w:tcBorders>
              <w:top w:val="nil"/>
            </w:tcBorders>
          </w:tcPr>
          <w:p w14:paraId="7BB3E5AA"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1 (0.5)</w:t>
            </w:r>
          </w:p>
        </w:tc>
      </w:tr>
      <w:tr w:rsidR="00123D21" w:rsidRPr="009C7E5A" w14:paraId="0BEF8663" w14:textId="77777777" w:rsidTr="00DC7677">
        <w:tc>
          <w:tcPr>
            <w:tcW w:w="3287" w:type="dxa"/>
            <w:tcBorders>
              <w:bottom w:val="nil"/>
            </w:tcBorders>
          </w:tcPr>
          <w:p w14:paraId="76C54FE4" w14:textId="77777777" w:rsidR="00123D21" w:rsidRPr="009C7E5A" w:rsidRDefault="00123D21" w:rsidP="00DC7677">
            <w:pPr>
              <w:spacing w:before="40" w:after="40"/>
              <w:rPr>
                <w:rFonts w:cs="Calibri"/>
                <w:noProof/>
                <w:sz w:val="20"/>
                <w:szCs w:val="20"/>
                <w:lang w:eastAsia="ja-JP"/>
              </w:rPr>
            </w:pPr>
            <w:r w:rsidRPr="009C7E5A">
              <w:rPr>
                <w:rFonts w:cs="Calibri"/>
                <w:noProof/>
                <w:sz w:val="20"/>
                <w:szCs w:val="20"/>
                <w:lang w:eastAsia="ja-JP"/>
              </w:rPr>
              <w:t>Renal &amp; urinary disorders (SOC)</w:t>
            </w:r>
          </w:p>
        </w:tc>
        <w:tc>
          <w:tcPr>
            <w:tcW w:w="1812" w:type="dxa"/>
            <w:tcBorders>
              <w:bottom w:val="nil"/>
            </w:tcBorders>
          </w:tcPr>
          <w:p w14:paraId="0A96D3EB"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 xml:space="preserve">1 (0.7) </w:t>
            </w:r>
          </w:p>
        </w:tc>
        <w:tc>
          <w:tcPr>
            <w:tcW w:w="1720" w:type="dxa"/>
            <w:tcBorders>
              <w:bottom w:val="nil"/>
            </w:tcBorders>
          </w:tcPr>
          <w:p w14:paraId="574C9C09"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0</w:t>
            </w:r>
          </w:p>
        </w:tc>
        <w:tc>
          <w:tcPr>
            <w:tcW w:w="2310" w:type="dxa"/>
            <w:tcBorders>
              <w:bottom w:val="nil"/>
            </w:tcBorders>
          </w:tcPr>
          <w:p w14:paraId="310AF1EB" w14:textId="77777777" w:rsidR="00123D21" w:rsidRPr="009C7E5A" w:rsidRDefault="00123D21" w:rsidP="00DC7677">
            <w:pPr>
              <w:pStyle w:val="Default"/>
              <w:spacing w:before="40" w:after="40"/>
              <w:rPr>
                <w:rFonts w:ascii="Cambria" w:hAnsi="Cambria" w:cs="Calibri"/>
                <w:noProof/>
                <w:sz w:val="20"/>
                <w:szCs w:val="20"/>
                <w:lang w:eastAsia="ja-JP"/>
              </w:rPr>
            </w:pPr>
            <w:r w:rsidRPr="009C7E5A">
              <w:rPr>
                <w:rFonts w:ascii="Cambria" w:hAnsi="Cambria" w:cs="Calibri"/>
                <w:noProof/>
                <w:sz w:val="20"/>
                <w:szCs w:val="20"/>
                <w:lang w:eastAsia="ja-JP"/>
              </w:rPr>
              <w:t>1 (0.5)</w:t>
            </w:r>
          </w:p>
        </w:tc>
      </w:tr>
      <w:tr w:rsidR="00123D21" w:rsidRPr="009C7E5A" w14:paraId="205462A4" w14:textId="77777777" w:rsidTr="00B14C46">
        <w:tc>
          <w:tcPr>
            <w:tcW w:w="3287" w:type="dxa"/>
            <w:tcBorders>
              <w:top w:val="nil"/>
              <w:bottom w:val="nil"/>
            </w:tcBorders>
          </w:tcPr>
          <w:p w14:paraId="7F033869" w14:textId="77777777" w:rsidR="00123D21" w:rsidRPr="009C7E5A" w:rsidRDefault="00123D21" w:rsidP="00DC7677">
            <w:pPr>
              <w:spacing w:before="40"/>
              <w:rPr>
                <w:rFonts w:cs="Calibri"/>
                <w:noProof/>
                <w:sz w:val="20"/>
                <w:szCs w:val="20"/>
                <w:lang w:eastAsia="ja-JP"/>
              </w:rPr>
            </w:pPr>
            <w:r w:rsidRPr="009C7E5A">
              <w:rPr>
                <w:rFonts w:cs="Calibri"/>
                <w:noProof/>
                <w:sz w:val="20"/>
                <w:szCs w:val="20"/>
                <w:lang w:eastAsia="ja-JP"/>
              </w:rPr>
              <w:t>Acute kidney inury</w:t>
            </w:r>
          </w:p>
        </w:tc>
        <w:tc>
          <w:tcPr>
            <w:tcW w:w="1812" w:type="dxa"/>
            <w:tcBorders>
              <w:top w:val="nil"/>
              <w:bottom w:val="nil"/>
            </w:tcBorders>
          </w:tcPr>
          <w:p w14:paraId="39981A0B" w14:textId="77777777" w:rsidR="00123D21" w:rsidRPr="009C7E5A" w:rsidRDefault="00123D21" w:rsidP="00DC7677">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 xml:space="preserve">1 (0.7) </w:t>
            </w:r>
          </w:p>
        </w:tc>
        <w:tc>
          <w:tcPr>
            <w:tcW w:w="1720" w:type="dxa"/>
            <w:tcBorders>
              <w:top w:val="nil"/>
              <w:bottom w:val="nil"/>
            </w:tcBorders>
          </w:tcPr>
          <w:p w14:paraId="1B2BE241" w14:textId="77777777" w:rsidR="00123D21" w:rsidRPr="009C7E5A" w:rsidRDefault="00123D21" w:rsidP="00DC7677">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0</w:t>
            </w:r>
          </w:p>
        </w:tc>
        <w:tc>
          <w:tcPr>
            <w:tcW w:w="2310" w:type="dxa"/>
            <w:tcBorders>
              <w:top w:val="nil"/>
              <w:bottom w:val="nil"/>
            </w:tcBorders>
          </w:tcPr>
          <w:p w14:paraId="7D938B4F" w14:textId="77777777" w:rsidR="00123D21" w:rsidRPr="009C7E5A" w:rsidRDefault="00123D21" w:rsidP="00DC7677">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1 (0.5)</w:t>
            </w:r>
          </w:p>
        </w:tc>
      </w:tr>
      <w:tr w:rsidR="0003665B" w:rsidRPr="009C7E5A" w14:paraId="76684761" w14:textId="77777777" w:rsidTr="00B14C46">
        <w:tc>
          <w:tcPr>
            <w:tcW w:w="3287" w:type="dxa"/>
            <w:tcBorders>
              <w:top w:val="nil"/>
              <w:bottom w:val="nil"/>
            </w:tcBorders>
          </w:tcPr>
          <w:p w14:paraId="52AD5C02" w14:textId="1AD93B9B" w:rsidR="0003665B" w:rsidRPr="009C7E5A" w:rsidRDefault="0003665B" w:rsidP="0003665B">
            <w:pPr>
              <w:spacing w:before="40"/>
              <w:rPr>
                <w:rFonts w:cs="Calibri"/>
                <w:noProof/>
                <w:sz w:val="20"/>
                <w:szCs w:val="20"/>
                <w:lang w:val="en-US" w:eastAsia="ja-JP"/>
              </w:rPr>
            </w:pPr>
            <w:r w:rsidRPr="009C7E5A">
              <w:rPr>
                <w:rFonts w:cs="Calibri"/>
                <w:noProof/>
                <w:sz w:val="20"/>
                <w:szCs w:val="20"/>
                <w:lang w:val="en-US" w:eastAsia="ja-JP"/>
              </w:rPr>
              <w:t>Respiratory, thoracic and mediastinal disorders (SOC)</w:t>
            </w:r>
          </w:p>
        </w:tc>
        <w:tc>
          <w:tcPr>
            <w:tcW w:w="1812" w:type="dxa"/>
            <w:tcBorders>
              <w:top w:val="nil"/>
              <w:bottom w:val="nil"/>
            </w:tcBorders>
          </w:tcPr>
          <w:p w14:paraId="5FAFA6DF" w14:textId="71D4DAB8" w:rsidR="0003665B" w:rsidRPr="009C7E5A" w:rsidRDefault="0003665B" w:rsidP="0003665B">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 xml:space="preserve">1 (0.7) </w:t>
            </w:r>
          </w:p>
        </w:tc>
        <w:tc>
          <w:tcPr>
            <w:tcW w:w="1720" w:type="dxa"/>
            <w:tcBorders>
              <w:top w:val="nil"/>
              <w:bottom w:val="nil"/>
            </w:tcBorders>
          </w:tcPr>
          <w:p w14:paraId="70A1934C" w14:textId="3033A3A6" w:rsidR="0003665B" w:rsidRPr="009C7E5A" w:rsidRDefault="0003665B" w:rsidP="0003665B">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0</w:t>
            </w:r>
          </w:p>
        </w:tc>
        <w:tc>
          <w:tcPr>
            <w:tcW w:w="2310" w:type="dxa"/>
            <w:tcBorders>
              <w:top w:val="nil"/>
              <w:bottom w:val="nil"/>
            </w:tcBorders>
          </w:tcPr>
          <w:p w14:paraId="019CC618" w14:textId="4819E06F" w:rsidR="0003665B" w:rsidRPr="009C7E5A" w:rsidRDefault="0003665B" w:rsidP="0003665B">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1 (0.5)</w:t>
            </w:r>
          </w:p>
        </w:tc>
      </w:tr>
      <w:tr w:rsidR="0003665B" w:rsidRPr="009C7E5A" w14:paraId="4A9E9AA4" w14:textId="77777777" w:rsidTr="00DC7677">
        <w:tc>
          <w:tcPr>
            <w:tcW w:w="3287" w:type="dxa"/>
            <w:tcBorders>
              <w:top w:val="nil"/>
            </w:tcBorders>
          </w:tcPr>
          <w:p w14:paraId="4B9008DD" w14:textId="106F028F" w:rsidR="0003665B" w:rsidRPr="009C7E5A" w:rsidRDefault="0003665B" w:rsidP="0003665B">
            <w:pPr>
              <w:spacing w:before="40"/>
              <w:rPr>
                <w:rFonts w:cs="Calibri"/>
                <w:noProof/>
                <w:sz w:val="20"/>
                <w:szCs w:val="20"/>
                <w:lang w:val="en-US" w:eastAsia="ja-JP"/>
              </w:rPr>
            </w:pPr>
            <w:r w:rsidRPr="009C7E5A">
              <w:rPr>
                <w:rFonts w:cs="Calibri"/>
                <w:noProof/>
                <w:sz w:val="20"/>
                <w:szCs w:val="20"/>
                <w:lang w:val="sv-SE" w:eastAsia="ja-JP"/>
              </w:rPr>
              <w:t>Haemoptysis</w:t>
            </w:r>
          </w:p>
        </w:tc>
        <w:tc>
          <w:tcPr>
            <w:tcW w:w="1812" w:type="dxa"/>
            <w:tcBorders>
              <w:top w:val="nil"/>
            </w:tcBorders>
          </w:tcPr>
          <w:p w14:paraId="6FB0D3AF" w14:textId="0DD7B025" w:rsidR="0003665B" w:rsidRPr="009C7E5A" w:rsidRDefault="0003665B" w:rsidP="0003665B">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 xml:space="preserve">1 (0.7) </w:t>
            </w:r>
          </w:p>
        </w:tc>
        <w:tc>
          <w:tcPr>
            <w:tcW w:w="1720" w:type="dxa"/>
            <w:tcBorders>
              <w:top w:val="nil"/>
            </w:tcBorders>
          </w:tcPr>
          <w:p w14:paraId="6DB5D2C3" w14:textId="23C3E6F4" w:rsidR="0003665B" w:rsidRPr="009C7E5A" w:rsidRDefault="0003665B" w:rsidP="0003665B">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0</w:t>
            </w:r>
          </w:p>
        </w:tc>
        <w:tc>
          <w:tcPr>
            <w:tcW w:w="2310" w:type="dxa"/>
            <w:tcBorders>
              <w:top w:val="nil"/>
            </w:tcBorders>
          </w:tcPr>
          <w:p w14:paraId="73637C25" w14:textId="2D7FF64F" w:rsidR="0003665B" w:rsidRPr="009C7E5A" w:rsidRDefault="0003665B" w:rsidP="0003665B">
            <w:pPr>
              <w:pStyle w:val="Default"/>
              <w:spacing w:before="40"/>
              <w:rPr>
                <w:rFonts w:ascii="Cambria" w:hAnsi="Cambria" w:cs="Calibri"/>
                <w:noProof/>
                <w:sz w:val="20"/>
                <w:szCs w:val="20"/>
                <w:lang w:eastAsia="ja-JP"/>
              </w:rPr>
            </w:pPr>
            <w:r w:rsidRPr="009C7E5A">
              <w:rPr>
                <w:rFonts w:ascii="Cambria" w:hAnsi="Cambria" w:cs="Calibri"/>
                <w:noProof/>
                <w:sz w:val="20"/>
                <w:szCs w:val="20"/>
                <w:lang w:eastAsia="ja-JP"/>
              </w:rPr>
              <w:t>1 (0.5)</w:t>
            </w:r>
          </w:p>
        </w:tc>
      </w:tr>
    </w:tbl>
    <w:p w14:paraId="012DCA85" w14:textId="77777777" w:rsidR="00354D34" w:rsidRDefault="00354D34" w:rsidP="00354D34">
      <w:pPr>
        <w:pStyle w:val="TableDescription"/>
      </w:pPr>
      <w:r>
        <w:lastRenderedPageBreak/>
        <w:t>DLBCL= diffuse large B-cell lymphoma; GIT = gastrointestinal tract; PT = preferred term; SOC = system organ class; TEAE = treatment-emergent adverse event</w:t>
      </w:r>
    </w:p>
    <w:p w14:paraId="54BEF4A8" w14:textId="77777777" w:rsidR="00354D34" w:rsidRDefault="00354D34" w:rsidP="00354D34">
      <w:pPr>
        <w:pStyle w:val="TableDescription"/>
      </w:pPr>
      <w:r>
        <w:t>Pooled studies = ADCT-402-201 and ADCT-402-101.</w:t>
      </w:r>
    </w:p>
    <w:p w14:paraId="3CBCAE8B" w14:textId="77777777" w:rsidR="00354D34" w:rsidRDefault="00354D34" w:rsidP="00354D34">
      <w:pPr>
        <w:pStyle w:val="TableDescription"/>
      </w:pPr>
      <w:r>
        <w:t>Adverse events are coded using MedDRA version 22.0. For each SOC and PT patients are included only once at the maximum severity.</w:t>
      </w:r>
    </w:p>
    <w:p w14:paraId="5B26688E" w14:textId="2D80E3D0" w:rsidR="00B57557" w:rsidRDefault="00354D34" w:rsidP="00354D34">
      <w:pPr>
        <w:pStyle w:val="TableDescription"/>
      </w:pPr>
      <w:r>
        <w:t>DCO 01 March 2021.</w:t>
      </w:r>
    </w:p>
    <w:p w14:paraId="62747517" w14:textId="77777777" w:rsidR="00106817" w:rsidRDefault="00106817" w:rsidP="00106817">
      <w:r>
        <w:t>In study ADCT-402-201, the most frequent TEAE leading to dose reduction, dose delay or treatment withdrawal was GGT increased (occurring in 4.1%, 21.4%, and 12.4% of patients, respectively).</w:t>
      </w:r>
    </w:p>
    <w:p w14:paraId="28BCE1E0" w14:textId="1CD1AFAB" w:rsidR="00106817" w:rsidRDefault="00106817" w:rsidP="00106817">
      <w:r>
        <w:t>Oedema or effusion, LFT increased, and skin reactions and nail disorders were identified as adverse event (AE) groups of particular interest based on the AE profiles of other PBD-based therapies. The statistical analysis plan additionally included pain and fatigue for a total of five special interest AE groups. A summary of these AE groups is provided in Table 1</w:t>
      </w:r>
      <w:r w:rsidR="00176F09">
        <w:t>1</w:t>
      </w:r>
      <w:r>
        <w:t>.</w:t>
      </w:r>
    </w:p>
    <w:p w14:paraId="31D10CA0" w14:textId="27C8A0FC" w:rsidR="001840A9" w:rsidRDefault="00106817" w:rsidP="00106817">
      <w:pPr>
        <w:pStyle w:val="TableTitle"/>
      </w:pPr>
      <w:r>
        <w:t>Table 1</w:t>
      </w:r>
      <w:r w:rsidR="00176F09">
        <w:t>1</w:t>
      </w:r>
      <w:r w:rsidR="00825F28">
        <w:t>.</w:t>
      </w:r>
      <w:r>
        <w:t xml:space="preserve"> Selected TEAEs by </w:t>
      </w:r>
      <w:r w:rsidR="00DA7CC7">
        <w:t>g</w:t>
      </w:r>
      <w:r>
        <w:t xml:space="preserve">roup, with PTs </w:t>
      </w:r>
      <w:r w:rsidR="00DA7CC7">
        <w:t>r</w:t>
      </w:r>
      <w:r>
        <w:t xml:space="preserve">eported in ≥ 10% of </w:t>
      </w:r>
      <w:r w:rsidR="00DA7CC7">
        <w:t>p</w:t>
      </w:r>
      <w:r>
        <w:t>atients with DLBCL in Study ADCT-402-20</w:t>
      </w:r>
      <w:r w:rsidR="00854A35">
        <w:t>1</w:t>
      </w:r>
      <w:r>
        <w:t xml:space="preserve"> and </w:t>
      </w:r>
      <w:r w:rsidR="00DA7CC7">
        <w:t>c</w:t>
      </w:r>
      <w:r>
        <w:t xml:space="preserve">orresponding </w:t>
      </w:r>
      <w:r w:rsidR="00DA7CC7">
        <w:t>e</w:t>
      </w:r>
      <w:r>
        <w:t>vents for Study ADCT-402-</w:t>
      </w:r>
      <w:r w:rsidR="00854A35">
        <w:t>1</w:t>
      </w:r>
      <w:r>
        <w:t xml:space="preserve">01 and 215 </w:t>
      </w:r>
      <w:r w:rsidR="00DA7CC7">
        <w:t>p</w:t>
      </w:r>
      <w:r>
        <w:t xml:space="preserve">atients in the </w:t>
      </w:r>
      <w:r w:rsidR="00DA7CC7">
        <w:t>p</w:t>
      </w:r>
      <w:r>
        <w:t xml:space="preserve">ooled </w:t>
      </w:r>
      <w:r w:rsidR="00DA7CC7">
        <w:t>d</w:t>
      </w:r>
      <w:r>
        <w:t>ataset, 150 µg/kg groups.</w:t>
      </w:r>
    </w:p>
    <w:tbl>
      <w:tblPr>
        <w:tblStyle w:val="TableGrid"/>
        <w:tblW w:w="9303" w:type="dxa"/>
        <w:tblLook w:val="04A0" w:firstRow="1" w:lastRow="0" w:firstColumn="1" w:lastColumn="0" w:noHBand="0" w:noVBand="1"/>
        <w:tblCaption w:val="Table 11. Selected TEAEs by group, with PTs reported in ≥ 10% of patients with DLBCL in Study ADCT-402-202 and corresponding events for Study ADCT-402-201 and 215 patients in the pooled dataset, 150 µg/kg groups."/>
        <w:tblDescription w:val="Table 11. Selected TEAEs by group, with PTs reported in ≥ 10% of patients with DLBCL in Study ADCT-402-202 and corresponding events for Study ADCT-402-201 and 215 patients in the pooled dataset, 150 µg/kg groups."/>
      </w:tblPr>
      <w:tblGrid>
        <w:gridCol w:w="2641"/>
        <w:gridCol w:w="2197"/>
        <w:gridCol w:w="2198"/>
        <w:gridCol w:w="2267"/>
      </w:tblGrid>
      <w:tr w:rsidR="0052630A" w:rsidRPr="006C2F62" w14:paraId="0F5D1571" w14:textId="77777777" w:rsidTr="0052630A">
        <w:tc>
          <w:tcPr>
            <w:tcW w:w="2641" w:type="dxa"/>
            <w:tcBorders>
              <w:bottom w:val="nil"/>
            </w:tcBorders>
            <w:shd w:val="clear" w:color="auto" w:fill="DEEAF6"/>
            <w:vAlign w:val="bottom"/>
          </w:tcPr>
          <w:p w14:paraId="554F5109" w14:textId="77777777" w:rsidR="0052630A" w:rsidRPr="006C2F62" w:rsidRDefault="0052630A" w:rsidP="00DC7677">
            <w:pPr>
              <w:spacing w:before="40" w:after="40"/>
              <w:rPr>
                <w:rFonts w:cs="Calibri"/>
                <w:b/>
                <w:bCs/>
                <w:noProof/>
                <w:color w:val="263287"/>
                <w:sz w:val="20"/>
                <w:szCs w:val="20"/>
                <w:lang w:eastAsia="ja-JP"/>
              </w:rPr>
            </w:pPr>
            <w:r w:rsidRPr="006C2F62">
              <w:rPr>
                <w:rFonts w:cs="Calibri"/>
                <w:b/>
                <w:bCs/>
                <w:noProof/>
                <w:color w:val="263287"/>
                <w:sz w:val="20"/>
                <w:szCs w:val="20"/>
                <w:lang w:eastAsia="ja-JP"/>
              </w:rPr>
              <w:t>Grouped selected TEAE (all Grades), with PTs ≥ 10%</w:t>
            </w:r>
          </w:p>
        </w:tc>
        <w:tc>
          <w:tcPr>
            <w:tcW w:w="2197" w:type="dxa"/>
            <w:tcBorders>
              <w:bottom w:val="nil"/>
            </w:tcBorders>
            <w:shd w:val="clear" w:color="auto" w:fill="DEEAF6"/>
          </w:tcPr>
          <w:p w14:paraId="5EE4A31B" w14:textId="77777777" w:rsidR="0052630A" w:rsidRPr="006C2F62" w:rsidRDefault="0052630A" w:rsidP="00DC7677">
            <w:pPr>
              <w:spacing w:before="40" w:after="40"/>
              <w:rPr>
                <w:rFonts w:cs="Calibri"/>
                <w:b/>
                <w:bCs/>
                <w:color w:val="263287"/>
                <w:sz w:val="20"/>
                <w:szCs w:val="20"/>
                <w:lang w:eastAsia="ja-JP"/>
              </w:rPr>
            </w:pPr>
            <w:r w:rsidRPr="006C2F62">
              <w:rPr>
                <w:rFonts w:cs="Calibri"/>
                <w:b/>
                <w:bCs/>
                <w:color w:val="263287"/>
                <w:sz w:val="20"/>
                <w:szCs w:val="20"/>
                <w:lang w:eastAsia="ja-JP"/>
              </w:rPr>
              <w:t xml:space="preserve">ADCT-402-201 </w:t>
            </w:r>
          </w:p>
          <w:p w14:paraId="04521EAD" w14:textId="77777777" w:rsidR="0052630A" w:rsidRPr="006C2F62" w:rsidRDefault="0052630A" w:rsidP="00DC7677">
            <w:pPr>
              <w:spacing w:before="40" w:after="40"/>
              <w:rPr>
                <w:rFonts w:cs="Calibri"/>
                <w:b/>
                <w:bCs/>
                <w:color w:val="263287"/>
                <w:sz w:val="20"/>
                <w:szCs w:val="20"/>
              </w:rPr>
            </w:pPr>
            <w:r w:rsidRPr="006C2F62">
              <w:rPr>
                <w:rFonts w:cs="Calibri"/>
                <w:b/>
                <w:bCs/>
                <w:color w:val="263287"/>
                <w:sz w:val="20"/>
                <w:szCs w:val="20"/>
              </w:rPr>
              <w:t>N=145</w:t>
            </w:r>
          </w:p>
          <w:p w14:paraId="5D6F7A7C" w14:textId="77777777" w:rsidR="0052630A" w:rsidRPr="006C2F62" w:rsidRDefault="0052630A" w:rsidP="00DC7677">
            <w:pPr>
              <w:spacing w:before="40" w:after="40"/>
              <w:rPr>
                <w:rFonts w:cs="Calibri"/>
                <w:b/>
                <w:bCs/>
                <w:color w:val="263287"/>
                <w:sz w:val="20"/>
                <w:szCs w:val="20"/>
                <w:lang w:eastAsia="ja-JP"/>
              </w:rPr>
            </w:pPr>
            <w:r w:rsidRPr="006C2F62">
              <w:rPr>
                <w:rFonts w:cs="Calibri"/>
                <w:b/>
                <w:bCs/>
                <w:color w:val="263287"/>
                <w:sz w:val="20"/>
                <w:szCs w:val="20"/>
              </w:rPr>
              <w:t>N (%)</w:t>
            </w:r>
          </w:p>
        </w:tc>
        <w:tc>
          <w:tcPr>
            <w:tcW w:w="2198" w:type="dxa"/>
            <w:tcBorders>
              <w:bottom w:val="nil"/>
            </w:tcBorders>
            <w:shd w:val="clear" w:color="auto" w:fill="DEEAF6"/>
          </w:tcPr>
          <w:p w14:paraId="18BAC443" w14:textId="77777777" w:rsidR="0052630A" w:rsidRPr="006C2F62" w:rsidRDefault="0052630A" w:rsidP="00DC7677">
            <w:pPr>
              <w:spacing w:before="40" w:after="40"/>
              <w:rPr>
                <w:rFonts w:cs="Calibri"/>
                <w:b/>
                <w:bCs/>
                <w:color w:val="263287"/>
                <w:sz w:val="20"/>
                <w:szCs w:val="20"/>
                <w:lang w:eastAsia="ja-JP"/>
              </w:rPr>
            </w:pPr>
            <w:r w:rsidRPr="006C2F62">
              <w:rPr>
                <w:rFonts w:cs="Calibri"/>
                <w:b/>
                <w:bCs/>
                <w:color w:val="263287"/>
                <w:sz w:val="20"/>
                <w:szCs w:val="20"/>
                <w:lang w:eastAsia="ja-JP"/>
              </w:rPr>
              <w:t>ADCT-402-101</w:t>
            </w:r>
          </w:p>
          <w:p w14:paraId="5007F051" w14:textId="77777777" w:rsidR="0052630A" w:rsidRPr="006C2F62" w:rsidRDefault="0052630A" w:rsidP="00DC7677">
            <w:pPr>
              <w:spacing w:before="40" w:after="40"/>
              <w:rPr>
                <w:rFonts w:cs="Calibri"/>
                <w:b/>
                <w:bCs/>
                <w:color w:val="263287"/>
                <w:sz w:val="20"/>
                <w:szCs w:val="20"/>
              </w:rPr>
            </w:pPr>
            <w:r w:rsidRPr="006C2F62">
              <w:rPr>
                <w:rFonts w:cs="Calibri"/>
                <w:b/>
                <w:bCs/>
                <w:color w:val="263287"/>
                <w:sz w:val="20"/>
                <w:szCs w:val="20"/>
              </w:rPr>
              <w:t>N=70</w:t>
            </w:r>
          </w:p>
          <w:p w14:paraId="5B9B332F" w14:textId="77777777" w:rsidR="0052630A" w:rsidRPr="006C2F62" w:rsidRDefault="0052630A" w:rsidP="00DC7677">
            <w:pPr>
              <w:spacing w:before="40" w:after="40"/>
              <w:rPr>
                <w:rFonts w:cs="Calibri"/>
                <w:b/>
                <w:bCs/>
                <w:color w:val="263287"/>
                <w:sz w:val="20"/>
                <w:szCs w:val="20"/>
                <w:lang w:eastAsia="ja-JP"/>
              </w:rPr>
            </w:pPr>
            <w:r w:rsidRPr="006C2F62">
              <w:rPr>
                <w:rFonts w:cs="Calibri"/>
                <w:b/>
                <w:bCs/>
                <w:color w:val="263287"/>
                <w:sz w:val="20"/>
                <w:szCs w:val="20"/>
              </w:rPr>
              <w:t>N (%)</w:t>
            </w:r>
          </w:p>
        </w:tc>
        <w:tc>
          <w:tcPr>
            <w:tcW w:w="2267" w:type="dxa"/>
            <w:tcBorders>
              <w:bottom w:val="nil"/>
            </w:tcBorders>
            <w:shd w:val="clear" w:color="auto" w:fill="DEEAF6"/>
          </w:tcPr>
          <w:p w14:paraId="6C077128" w14:textId="77777777" w:rsidR="0052630A" w:rsidRPr="006C2F62" w:rsidRDefault="0052630A" w:rsidP="00DC7677">
            <w:pPr>
              <w:spacing w:before="40" w:after="40"/>
              <w:rPr>
                <w:rFonts w:cs="Calibri"/>
                <w:b/>
                <w:bCs/>
                <w:color w:val="263287"/>
                <w:sz w:val="20"/>
                <w:szCs w:val="20"/>
                <w:lang w:eastAsia="ja-JP"/>
              </w:rPr>
            </w:pPr>
            <w:r w:rsidRPr="006C2F62">
              <w:rPr>
                <w:rFonts w:cs="Calibri"/>
                <w:b/>
                <w:bCs/>
                <w:color w:val="263287"/>
                <w:sz w:val="20"/>
                <w:szCs w:val="20"/>
                <w:lang w:eastAsia="ja-JP"/>
              </w:rPr>
              <w:t>Pooled</w:t>
            </w:r>
          </w:p>
          <w:p w14:paraId="748CF8A0" w14:textId="77777777" w:rsidR="0052630A" w:rsidRPr="006C2F62" w:rsidRDefault="0052630A" w:rsidP="00DC7677">
            <w:pPr>
              <w:spacing w:before="40" w:after="40"/>
              <w:rPr>
                <w:rFonts w:cs="Calibri"/>
                <w:b/>
                <w:bCs/>
                <w:color w:val="263287"/>
                <w:sz w:val="20"/>
                <w:szCs w:val="20"/>
                <w:lang w:eastAsia="ja-JP"/>
              </w:rPr>
            </w:pPr>
            <w:r w:rsidRPr="006C2F62">
              <w:rPr>
                <w:rFonts w:cs="Calibri"/>
                <w:b/>
                <w:bCs/>
                <w:color w:val="263287"/>
                <w:sz w:val="20"/>
                <w:szCs w:val="20"/>
                <w:lang w:eastAsia="ja-JP"/>
              </w:rPr>
              <w:t>N=215</w:t>
            </w:r>
          </w:p>
          <w:p w14:paraId="5F2AFDF2" w14:textId="77777777" w:rsidR="0052630A" w:rsidRPr="006C2F62" w:rsidRDefault="0052630A" w:rsidP="00DC7677">
            <w:pPr>
              <w:spacing w:before="40" w:after="40"/>
              <w:rPr>
                <w:rFonts w:cs="Calibri"/>
                <w:b/>
                <w:bCs/>
                <w:color w:val="263287"/>
                <w:sz w:val="20"/>
                <w:szCs w:val="20"/>
                <w:lang w:eastAsia="ja-JP"/>
              </w:rPr>
            </w:pPr>
            <w:r w:rsidRPr="006C2F62">
              <w:rPr>
                <w:rFonts w:cs="Calibri"/>
                <w:b/>
                <w:bCs/>
                <w:color w:val="263287"/>
                <w:sz w:val="20"/>
                <w:szCs w:val="20"/>
              </w:rPr>
              <w:t>N (%)</w:t>
            </w:r>
          </w:p>
        </w:tc>
      </w:tr>
      <w:tr w:rsidR="0052630A" w:rsidRPr="006C2F62" w14:paraId="6FA1F78E" w14:textId="77777777" w:rsidTr="00DC7677">
        <w:tc>
          <w:tcPr>
            <w:tcW w:w="2641" w:type="dxa"/>
            <w:tcBorders>
              <w:bottom w:val="nil"/>
            </w:tcBorders>
          </w:tcPr>
          <w:p w14:paraId="010C5271" w14:textId="77777777" w:rsidR="0052630A" w:rsidRPr="006C2F62" w:rsidRDefault="0052630A" w:rsidP="00DC7677">
            <w:pPr>
              <w:spacing w:before="40" w:after="40"/>
              <w:rPr>
                <w:rFonts w:cs="Calibri"/>
                <w:b/>
                <w:bCs/>
                <w:noProof/>
                <w:sz w:val="20"/>
                <w:szCs w:val="20"/>
                <w:lang w:eastAsia="ja-JP"/>
              </w:rPr>
            </w:pPr>
            <w:r w:rsidRPr="006C2F62">
              <w:rPr>
                <w:rFonts w:cs="Calibri"/>
                <w:b/>
                <w:bCs/>
                <w:noProof/>
                <w:sz w:val="20"/>
                <w:szCs w:val="20"/>
                <w:lang w:eastAsia="ja-JP"/>
              </w:rPr>
              <w:t xml:space="preserve">Oedema or effusion </w:t>
            </w:r>
          </w:p>
        </w:tc>
        <w:tc>
          <w:tcPr>
            <w:tcW w:w="2197" w:type="dxa"/>
            <w:tcBorders>
              <w:bottom w:val="nil"/>
            </w:tcBorders>
          </w:tcPr>
          <w:p w14:paraId="50C369FA" w14:textId="77777777" w:rsidR="0052630A" w:rsidRPr="006C2F62" w:rsidRDefault="0052630A" w:rsidP="00DC7677">
            <w:pPr>
              <w:spacing w:before="40" w:after="40"/>
              <w:rPr>
                <w:rFonts w:cs="Calibri"/>
                <w:b/>
                <w:bCs/>
                <w:noProof/>
                <w:sz w:val="20"/>
                <w:szCs w:val="20"/>
                <w:lang w:eastAsia="ja-JP"/>
              </w:rPr>
            </w:pPr>
            <w:r w:rsidRPr="006C2F62">
              <w:rPr>
                <w:rFonts w:eastAsiaTheme="minorHAnsi" w:cs="Calibri"/>
                <w:b/>
                <w:bCs/>
                <w:sz w:val="20"/>
                <w:szCs w:val="20"/>
              </w:rPr>
              <w:t xml:space="preserve">45 (31.0) </w:t>
            </w:r>
          </w:p>
        </w:tc>
        <w:tc>
          <w:tcPr>
            <w:tcW w:w="2198" w:type="dxa"/>
            <w:tcBorders>
              <w:bottom w:val="nil"/>
            </w:tcBorders>
          </w:tcPr>
          <w:p w14:paraId="73C58D1C" w14:textId="77777777" w:rsidR="0052630A" w:rsidRPr="006C2F62" w:rsidRDefault="0052630A" w:rsidP="00DC7677">
            <w:pPr>
              <w:spacing w:before="40" w:after="40"/>
              <w:rPr>
                <w:rFonts w:cs="Calibri"/>
                <w:b/>
                <w:bCs/>
                <w:noProof/>
                <w:sz w:val="20"/>
                <w:szCs w:val="20"/>
                <w:lang w:eastAsia="ja-JP"/>
              </w:rPr>
            </w:pPr>
            <w:r w:rsidRPr="006C2F62">
              <w:rPr>
                <w:rFonts w:eastAsiaTheme="minorHAnsi" w:cs="Calibri"/>
                <w:b/>
                <w:bCs/>
                <w:sz w:val="20"/>
                <w:szCs w:val="20"/>
              </w:rPr>
              <w:t xml:space="preserve">33 (47.1) </w:t>
            </w:r>
          </w:p>
        </w:tc>
        <w:tc>
          <w:tcPr>
            <w:tcW w:w="2267" w:type="dxa"/>
            <w:tcBorders>
              <w:bottom w:val="nil"/>
            </w:tcBorders>
          </w:tcPr>
          <w:p w14:paraId="7CC3690C" w14:textId="77777777" w:rsidR="0052630A" w:rsidRPr="006C2F62" w:rsidRDefault="0052630A" w:rsidP="00DC7677">
            <w:pPr>
              <w:spacing w:before="40" w:after="40"/>
              <w:rPr>
                <w:rFonts w:cs="Calibri"/>
                <w:b/>
                <w:bCs/>
                <w:noProof/>
                <w:sz w:val="20"/>
                <w:szCs w:val="20"/>
                <w:lang w:eastAsia="ja-JP"/>
              </w:rPr>
            </w:pPr>
            <w:r w:rsidRPr="006C2F62">
              <w:rPr>
                <w:rFonts w:eastAsiaTheme="minorHAnsi" w:cs="Calibri"/>
                <w:b/>
                <w:bCs/>
                <w:sz w:val="20"/>
                <w:szCs w:val="20"/>
              </w:rPr>
              <w:t>78 (36.3)</w:t>
            </w:r>
          </w:p>
        </w:tc>
      </w:tr>
      <w:tr w:rsidR="0052630A" w:rsidRPr="006C2F62" w14:paraId="0D706768" w14:textId="77777777" w:rsidTr="00DC7677">
        <w:tc>
          <w:tcPr>
            <w:tcW w:w="2641" w:type="dxa"/>
            <w:tcBorders>
              <w:top w:val="nil"/>
              <w:bottom w:val="nil"/>
            </w:tcBorders>
          </w:tcPr>
          <w:p w14:paraId="33A2E8B7"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Oedema peripheral </w:t>
            </w:r>
          </w:p>
        </w:tc>
        <w:tc>
          <w:tcPr>
            <w:tcW w:w="2197" w:type="dxa"/>
            <w:tcBorders>
              <w:top w:val="nil"/>
              <w:bottom w:val="nil"/>
            </w:tcBorders>
          </w:tcPr>
          <w:p w14:paraId="0BC67E23"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29 (20.0) </w:t>
            </w:r>
          </w:p>
        </w:tc>
        <w:tc>
          <w:tcPr>
            <w:tcW w:w="2198" w:type="dxa"/>
            <w:tcBorders>
              <w:top w:val="nil"/>
              <w:bottom w:val="nil"/>
            </w:tcBorders>
          </w:tcPr>
          <w:p w14:paraId="58E1CD65"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21 (30.0)</w:t>
            </w:r>
          </w:p>
        </w:tc>
        <w:tc>
          <w:tcPr>
            <w:tcW w:w="2267" w:type="dxa"/>
            <w:tcBorders>
              <w:top w:val="nil"/>
              <w:bottom w:val="nil"/>
            </w:tcBorders>
          </w:tcPr>
          <w:p w14:paraId="69917CDF"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50 (23.3)</w:t>
            </w:r>
          </w:p>
        </w:tc>
      </w:tr>
      <w:tr w:rsidR="0052630A" w:rsidRPr="006C2F62" w14:paraId="381F91AA" w14:textId="77777777" w:rsidTr="00DC7677">
        <w:tc>
          <w:tcPr>
            <w:tcW w:w="2641" w:type="dxa"/>
            <w:tcBorders>
              <w:top w:val="nil"/>
            </w:tcBorders>
          </w:tcPr>
          <w:p w14:paraId="2C3BC5F1"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Pleural effusion </w:t>
            </w:r>
          </w:p>
        </w:tc>
        <w:tc>
          <w:tcPr>
            <w:tcW w:w="2197" w:type="dxa"/>
            <w:tcBorders>
              <w:top w:val="nil"/>
            </w:tcBorders>
          </w:tcPr>
          <w:p w14:paraId="0C257B22"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16 (11.0) </w:t>
            </w:r>
          </w:p>
        </w:tc>
        <w:tc>
          <w:tcPr>
            <w:tcW w:w="2198" w:type="dxa"/>
            <w:tcBorders>
              <w:top w:val="nil"/>
            </w:tcBorders>
          </w:tcPr>
          <w:p w14:paraId="14F16CE5"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13 (18.6)</w:t>
            </w:r>
          </w:p>
        </w:tc>
        <w:tc>
          <w:tcPr>
            <w:tcW w:w="2267" w:type="dxa"/>
            <w:tcBorders>
              <w:top w:val="nil"/>
            </w:tcBorders>
          </w:tcPr>
          <w:p w14:paraId="0CEB40BF"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29 (13.5)</w:t>
            </w:r>
          </w:p>
        </w:tc>
      </w:tr>
      <w:tr w:rsidR="0052630A" w:rsidRPr="006C2F62" w14:paraId="6B430919" w14:textId="77777777" w:rsidTr="00DC7677">
        <w:tc>
          <w:tcPr>
            <w:tcW w:w="2641" w:type="dxa"/>
            <w:tcBorders>
              <w:bottom w:val="nil"/>
            </w:tcBorders>
          </w:tcPr>
          <w:p w14:paraId="2E23FC07" w14:textId="77777777" w:rsidR="0052630A" w:rsidRPr="006C2F62" w:rsidRDefault="0052630A" w:rsidP="00DC7677">
            <w:pPr>
              <w:spacing w:before="40" w:after="40"/>
              <w:rPr>
                <w:rFonts w:cs="Calibri"/>
                <w:b/>
                <w:bCs/>
                <w:noProof/>
                <w:sz w:val="20"/>
                <w:szCs w:val="20"/>
                <w:lang w:eastAsia="ja-JP"/>
              </w:rPr>
            </w:pPr>
            <w:r w:rsidRPr="006C2F62">
              <w:rPr>
                <w:rFonts w:cs="Calibri"/>
                <w:b/>
                <w:bCs/>
                <w:noProof/>
                <w:sz w:val="20"/>
                <w:szCs w:val="20"/>
                <w:lang w:eastAsia="ja-JP"/>
              </w:rPr>
              <w:t xml:space="preserve">Fatigue </w:t>
            </w:r>
          </w:p>
        </w:tc>
        <w:tc>
          <w:tcPr>
            <w:tcW w:w="2197" w:type="dxa"/>
            <w:tcBorders>
              <w:bottom w:val="nil"/>
            </w:tcBorders>
          </w:tcPr>
          <w:p w14:paraId="35886725" w14:textId="77777777" w:rsidR="0052630A" w:rsidRPr="006C2F62" w:rsidRDefault="0052630A" w:rsidP="00DC7677">
            <w:pPr>
              <w:spacing w:before="40" w:after="40"/>
              <w:rPr>
                <w:rFonts w:eastAsiaTheme="minorHAnsi" w:cs="Calibri"/>
                <w:b/>
                <w:bCs/>
                <w:sz w:val="20"/>
                <w:szCs w:val="20"/>
              </w:rPr>
            </w:pPr>
            <w:r w:rsidRPr="006C2F62">
              <w:rPr>
                <w:rFonts w:eastAsiaTheme="minorHAnsi" w:cs="Calibri"/>
                <w:b/>
                <w:bCs/>
                <w:sz w:val="20"/>
                <w:szCs w:val="20"/>
              </w:rPr>
              <w:t xml:space="preserve">56 (38.6) </w:t>
            </w:r>
          </w:p>
        </w:tc>
        <w:tc>
          <w:tcPr>
            <w:tcW w:w="2198" w:type="dxa"/>
            <w:tcBorders>
              <w:bottom w:val="nil"/>
            </w:tcBorders>
          </w:tcPr>
          <w:p w14:paraId="4CE9BEAC" w14:textId="77777777" w:rsidR="0052630A" w:rsidRPr="006C2F62" w:rsidRDefault="0052630A" w:rsidP="00DC7677">
            <w:pPr>
              <w:spacing w:before="40" w:after="40"/>
              <w:rPr>
                <w:rFonts w:eastAsiaTheme="minorHAnsi" w:cs="Calibri"/>
                <w:b/>
                <w:bCs/>
                <w:sz w:val="20"/>
                <w:szCs w:val="20"/>
              </w:rPr>
            </w:pPr>
            <w:r w:rsidRPr="006C2F62">
              <w:rPr>
                <w:rFonts w:eastAsiaTheme="minorHAnsi" w:cs="Calibri"/>
                <w:b/>
                <w:bCs/>
                <w:sz w:val="20"/>
                <w:szCs w:val="20"/>
              </w:rPr>
              <w:t>28 (40.0)</w:t>
            </w:r>
          </w:p>
        </w:tc>
        <w:tc>
          <w:tcPr>
            <w:tcW w:w="2267" w:type="dxa"/>
            <w:tcBorders>
              <w:bottom w:val="nil"/>
            </w:tcBorders>
          </w:tcPr>
          <w:p w14:paraId="3E44AA38" w14:textId="77777777" w:rsidR="0052630A" w:rsidRPr="006C2F62" w:rsidRDefault="0052630A" w:rsidP="00DC7677">
            <w:pPr>
              <w:spacing w:before="40" w:after="40"/>
              <w:rPr>
                <w:rFonts w:eastAsiaTheme="minorHAnsi" w:cs="Calibri"/>
                <w:b/>
                <w:bCs/>
                <w:sz w:val="20"/>
                <w:szCs w:val="20"/>
              </w:rPr>
            </w:pPr>
            <w:r w:rsidRPr="006C2F62">
              <w:rPr>
                <w:rFonts w:eastAsiaTheme="minorHAnsi" w:cs="Calibri"/>
                <w:b/>
                <w:bCs/>
                <w:sz w:val="20"/>
                <w:szCs w:val="20"/>
              </w:rPr>
              <w:t>84 (39.1)</w:t>
            </w:r>
          </w:p>
        </w:tc>
      </w:tr>
      <w:tr w:rsidR="0052630A" w:rsidRPr="006C2F62" w14:paraId="184D0E97" w14:textId="77777777" w:rsidTr="00DC7677">
        <w:tc>
          <w:tcPr>
            <w:tcW w:w="2641" w:type="dxa"/>
            <w:tcBorders>
              <w:top w:val="nil"/>
            </w:tcBorders>
          </w:tcPr>
          <w:p w14:paraId="05C0ED5C"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Fatigue</w:t>
            </w:r>
          </w:p>
        </w:tc>
        <w:tc>
          <w:tcPr>
            <w:tcW w:w="2197" w:type="dxa"/>
            <w:tcBorders>
              <w:top w:val="nil"/>
            </w:tcBorders>
          </w:tcPr>
          <w:p w14:paraId="555E9DD7" w14:textId="77777777" w:rsidR="0052630A" w:rsidRPr="006C2F62" w:rsidRDefault="0052630A" w:rsidP="00DC7677">
            <w:pPr>
              <w:spacing w:before="40" w:after="40"/>
              <w:rPr>
                <w:rFonts w:cs="Calibri"/>
                <w:noProof/>
                <w:sz w:val="20"/>
                <w:szCs w:val="20"/>
                <w:lang w:eastAsia="ja-JP"/>
              </w:rPr>
            </w:pPr>
            <w:r w:rsidRPr="006C2F62">
              <w:rPr>
                <w:rFonts w:eastAsiaTheme="minorHAnsi" w:cs="Calibri"/>
                <w:sz w:val="20"/>
                <w:szCs w:val="20"/>
              </w:rPr>
              <w:t xml:space="preserve">40 (27.6) </w:t>
            </w:r>
          </w:p>
        </w:tc>
        <w:tc>
          <w:tcPr>
            <w:tcW w:w="2198" w:type="dxa"/>
            <w:tcBorders>
              <w:top w:val="nil"/>
            </w:tcBorders>
          </w:tcPr>
          <w:p w14:paraId="29DA1C85" w14:textId="77777777" w:rsidR="0052630A" w:rsidRPr="006C2F62" w:rsidRDefault="0052630A" w:rsidP="00DC7677">
            <w:pPr>
              <w:spacing w:before="40" w:after="40"/>
              <w:rPr>
                <w:rFonts w:cs="Calibri"/>
                <w:noProof/>
                <w:sz w:val="20"/>
                <w:szCs w:val="20"/>
                <w:lang w:eastAsia="ja-JP"/>
              </w:rPr>
            </w:pPr>
            <w:r w:rsidRPr="006C2F62">
              <w:rPr>
                <w:rFonts w:eastAsiaTheme="minorHAnsi" w:cs="Calibri"/>
                <w:sz w:val="20"/>
                <w:szCs w:val="20"/>
              </w:rPr>
              <w:t xml:space="preserve">25 (35.7) </w:t>
            </w:r>
          </w:p>
        </w:tc>
        <w:tc>
          <w:tcPr>
            <w:tcW w:w="2267" w:type="dxa"/>
            <w:tcBorders>
              <w:top w:val="nil"/>
            </w:tcBorders>
          </w:tcPr>
          <w:p w14:paraId="2F84E4DF" w14:textId="77777777" w:rsidR="0052630A" w:rsidRPr="006C2F62" w:rsidRDefault="0052630A" w:rsidP="00DC7677">
            <w:pPr>
              <w:spacing w:before="40" w:after="40"/>
              <w:rPr>
                <w:rFonts w:cs="Calibri"/>
                <w:noProof/>
                <w:sz w:val="20"/>
                <w:szCs w:val="20"/>
                <w:lang w:eastAsia="ja-JP"/>
              </w:rPr>
            </w:pPr>
            <w:r w:rsidRPr="006C2F62">
              <w:rPr>
                <w:rFonts w:eastAsiaTheme="minorHAnsi" w:cs="Calibri"/>
                <w:sz w:val="20"/>
                <w:szCs w:val="20"/>
              </w:rPr>
              <w:t>65 (30.2)</w:t>
            </w:r>
          </w:p>
        </w:tc>
      </w:tr>
      <w:tr w:rsidR="0052630A" w:rsidRPr="006C2F62" w14:paraId="7A6E40CA" w14:textId="77777777" w:rsidTr="00DC7677">
        <w:tc>
          <w:tcPr>
            <w:tcW w:w="2641" w:type="dxa"/>
            <w:tcBorders>
              <w:bottom w:val="nil"/>
            </w:tcBorders>
          </w:tcPr>
          <w:p w14:paraId="5F356695" w14:textId="77777777" w:rsidR="0052630A" w:rsidRPr="006C2F62" w:rsidRDefault="0052630A" w:rsidP="00DC7677">
            <w:pPr>
              <w:spacing w:before="40" w:after="40"/>
              <w:rPr>
                <w:rFonts w:cs="Calibri"/>
                <w:b/>
                <w:bCs/>
                <w:noProof/>
                <w:sz w:val="20"/>
                <w:szCs w:val="20"/>
                <w:lang w:eastAsia="ja-JP"/>
              </w:rPr>
            </w:pPr>
            <w:r w:rsidRPr="006C2F62">
              <w:rPr>
                <w:rFonts w:cs="Calibri"/>
                <w:b/>
                <w:bCs/>
                <w:noProof/>
                <w:sz w:val="20"/>
                <w:szCs w:val="20"/>
                <w:lang w:eastAsia="ja-JP"/>
              </w:rPr>
              <w:t>Liver function tests</w:t>
            </w:r>
          </w:p>
        </w:tc>
        <w:tc>
          <w:tcPr>
            <w:tcW w:w="2197" w:type="dxa"/>
            <w:tcBorders>
              <w:bottom w:val="nil"/>
            </w:tcBorders>
          </w:tcPr>
          <w:p w14:paraId="1EAD5705" w14:textId="77777777" w:rsidR="0052630A" w:rsidRPr="006C2F62" w:rsidRDefault="0052630A" w:rsidP="00DC7677">
            <w:pPr>
              <w:spacing w:before="40" w:after="40"/>
              <w:rPr>
                <w:rFonts w:cs="Calibri"/>
                <w:b/>
                <w:bCs/>
                <w:noProof/>
                <w:sz w:val="20"/>
                <w:szCs w:val="20"/>
                <w:lang w:eastAsia="ja-JP"/>
              </w:rPr>
            </w:pPr>
            <w:r w:rsidRPr="006C2F62">
              <w:rPr>
                <w:rFonts w:eastAsiaTheme="minorHAnsi" w:cs="Calibri"/>
                <w:b/>
                <w:bCs/>
                <w:sz w:val="20"/>
                <w:szCs w:val="20"/>
              </w:rPr>
              <w:t>76 (52.4)</w:t>
            </w:r>
          </w:p>
        </w:tc>
        <w:tc>
          <w:tcPr>
            <w:tcW w:w="2198" w:type="dxa"/>
            <w:tcBorders>
              <w:bottom w:val="nil"/>
            </w:tcBorders>
          </w:tcPr>
          <w:p w14:paraId="7AF01C13" w14:textId="77777777" w:rsidR="0052630A" w:rsidRPr="006C2F62" w:rsidRDefault="0052630A" w:rsidP="00DC7677">
            <w:pPr>
              <w:spacing w:before="40" w:after="40"/>
              <w:rPr>
                <w:rFonts w:cs="Calibri"/>
                <w:b/>
                <w:bCs/>
                <w:noProof/>
                <w:sz w:val="20"/>
                <w:szCs w:val="20"/>
                <w:lang w:eastAsia="ja-JP"/>
              </w:rPr>
            </w:pPr>
            <w:r w:rsidRPr="006C2F62">
              <w:rPr>
                <w:rFonts w:eastAsiaTheme="minorHAnsi" w:cs="Calibri"/>
                <w:b/>
                <w:bCs/>
                <w:sz w:val="20"/>
                <w:szCs w:val="20"/>
              </w:rPr>
              <w:t>22 (31.4)</w:t>
            </w:r>
          </w:p>
        </w:tc>
        <w:tc>
          <w:tcPr>
            <w:tcW w:w="2267" w:type="dxa"/>
            <w:tcBorders>
              <w:bottom w:val="nil"/>
            </w:tcBorders>
          </w:tcPr>
          <w:p w14:paraId="68720D1F" w14:textId="77777777" w:rsidR="0052630A" w:rsidRPr="006C2F62" w:rsidRDefault="0052630A" w:rsidP="00DC7677">
            <w:pPr>
              <w:spacing w:before="40" w:after="40"/>
              <w:rPr>
                <w:rFonts w:cs="Calibri"/>
                <w:b/>
                <w:bCs/>
                <w:noProof/>
                <w:sz w:val="20"/>
                <w:szCs w:val="20"/>
                <w:lang w:eastAsia="ja-JP"/>
              </w:rPr>
            </w:pPr>
            <w:r w:rsidRPr="006C2F62">
              <w:rPr>
                <w:rFonts w:eastAsiaTheme="minorHAnsi" w:cs="Calibri"/>
                <w:b/>
                <w:bCs/>
                <w:sz w:val="20"/>
                <w:szCs w:val="20"/>
              </w:rPr>
              <w:t>98 (45.6)</w:t>
            </w:r>
          </w:p>
        </w:tc>
      </w:tr>
      <w:tr w:rsidR="0052630A" w:rsidRPr="006C2F62" w14:paraId="257A5885" w14:textId="77777777" w:rsidTr="00DC7677">
        <w:tc>
          <w:tcPr>
            <w:tcW w:w="2641" w:type="dxa"/>
            <w:tcBorders>
              <w:top w:val="nil"/>
              <w:bottom w:val="nil"/>
            </w:tcBorders>
          </w:tcPr>
          <w:p w14:paraId="72B8801D"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ALT increased </w:t>
            </w:r>
          </w:p>
        </w:tc>
        <w:tc>
          <w:tcPr>
            <w:tcW w:w="2197" w:type="dxa"/>
            <w:tcBorders>
              <w:top w:val="nil"/>
              <w:bottom w:val="nil"/>
            </w:tcBorders>
          </w:tcPr>
          <w:p w14:paraId="2B17C6C2"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23 (15.9) </w:t>
            </w:r>
          </w:p>
        </w:tc>
        <w:tc>
          <w:tcPr>
            <w:tcW w:w="2198" w:type="dxa"/>
            <w:tcBorders>
              <w:top w:val="nil"/>
              <w:bottom w:val="nil"/>
            </w:tcBorders>
          </w:tcPr>
          <w:p w14:paraId="4A30BB72"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12 (17.1)</w:t>
            </w:r>
          </w:p>
        </w:tc>
        <w:tc>
          <w:tcPr>
            <w:tcW w:w="2267" w:type="dxa"/>
            <w:tcBorders>
              <w:top w:val="nil"/>
              <w:bottom w:val="nil"/>
            </w:tcBorders>
          </w:tcPr>
          <w:p w14:paraId="4A93DC61"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35 (16.3)</w:t>
            </w:r>
          </w:p>
        </w:tc>
      </w:tr>
      <w:tr w:rsidR="0052630A" w:rsidRPr="006C2F62" w14:paraId="5796C8BB" w14:textId="77777777" w:rsidTr="00DC7677">
        <w:tc>
          <w:tcPr>
            <w:tcW w:w="2641" w:type="dxa"/>
            <w:tcBorders>
              <w:top w:val="nil"/>
              <w:bottom w:val="nil"/>
            </w:tcBorders>
          </w:tcPr>
          <w:p w14:paraId="61A2B3A4"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AST increased</w:t>
            </w:r>
          </w:p>
        </w:tc>
        <w:tc>
          <w:tcPr>
            <w:tcW w:w="2197" w:type="dxa"/>
            <w:tcBorders>
              <w:top w:val="nil"/>
              <w:bottom w:val="nil"/>
            </w:tcBorders>
          </w:tcPr>
          <w:p w14:paraId="39D285CD"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23 (15.9) </w:t>
            </w:r>
          </w:p>
        </w:tc>
        <w:tc>
          <w:tcPr>
            <w:tcW w:w="2198" w:type="dxa"/>
            <w:tcBorders>
              <w:top w:val="nil"/>
              <w:bottom w:val="nil"/>
            </w:tcBorders>
          </w:tcPr>
          <w:p w14:paraId="5C63E08A"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11 (15.7)</w:t>
            </w:r>
          </w:p>
        </w:tc>
        <w:tc>
          <w:tcPr>
            <w:tcW w:w="2267" w:type="dxa"/>
            <w:tcBorders>
              <w:top w:val="nil"/>
              <w:bottom w:val="nil"/>
            </w:tcBorders>
          </w:tcPr>
          <w:p w14:paraId="7EA9EA84"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34 (15.8)</w:t>
            </w:r>
          </w:p>
        </w:tc>
      </w:tr>
      <w:tr w:rsidR="0052630A" w:rsidRPr="006C2F62" w14:paraId="600384D0" w14:textId="77777777" w:rsidTr="00DC7677">
        <w:tc>
          <w:tcPr>
            <w:tcW w:w="2641" w:type="dxa"/>
            <w:tcBorders>
              <w:top w:val="nil"/>
              <w:bottom w:val="nil"/>
            </w:tcBorders>
          </w:tcPr>
          <w:p w14:paraId="4E9F94A9"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Blood ALP increased </w:t>
            </w:r>
          </w:p>
        </w:tc>
        <w:tc>
          <w:tcPr>
            <w:tcW w:w="2197" w:type="dxa"/>
            <w:tcBorders>
              <w:top w:val="nil"/>
              <w:bottom w:val="nil"/>
            </w:tcBorders>
          </w:tcPr>
          <w:p w14:paraId="5B16F25B"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29 (20.0) </w:t>
            </w:r>
          </w:p>
        </w:tc>
        <w:tc>
          <w:tcPr>
            <w:tcW w:w="2198" w:type="dxa"/>
            <w:tcBorders>
              <w:top w:val="nil"/>
              <w:bottom w:val="nil"/>
            </w:tcBorders>
          </w:tcPr>
          <w:p w14:paraId="1A5C7A88"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12 (17.1)</w:t>
            </w:r>
          </w:p>
        </w:tc>
        <w:tc>
          <w:tcPr>
            <w:tcW w:w="2267" w:type="dxa"/>
            <w:tcBorders>
              <w:top w:val="nil"/>
              <w:bottom w:val="nil"/>
            </w:tcBorders>
          </w:tcPr>
          <w:p w14:paraId="68D57557"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41 (19.1)</w:t>
            </w:r>
          </w:p>
        </w:tc>
      </w:tr>
      <w:tr w:rsidR="0052630A" w:rsidRPr="006C2F62" w14:paraId="25C5EA4C" w14:textId="77777777" w:rsidTr="00DC7677">
        <w:tc>
          <w:tcPr>
            <w:tcW w:w="2641" w:type="dxa"/>
            <w:tcBorders>
              <w:top w:val="nil"/>
            </w:tcBorders>
          </w:tcPr>
          <w:p w14:paraId="020B0339"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GGT increased </w:t>
            </w:r>
          </w:p>
        </w:tc>
        <w:tc>
          <w:tcPr>
            <w:tcW w:w="2197" w:type="dxa"/>
            <w:tcBorders>
              <w:top w:val="nil"/>
            </w:tcBorders>
          </w:tcPr>
          <w:p w14:paraId="7B874525"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61 (42.1) </w:t>
            </w:r>
          </w:p>
        </w:tc>
        <w:tc>
          <w:tcPr>
            <w:tcW w:w="2198" w:type="dxa"/>
            <w:tcBorders>
              <w:top w:val="nil"/>
            </w:tcBorders>
          </w:tcPr>
          <w:p w14:paraId="0F74996D"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16 (22.9)</w:t>
            </w:r>
          </w:p>
        </w:tc>
        <w:tc>
          <w:tcPr>
            <w:tcW w:w="2267" w:type="dxa"/>
            <w:tcBorders>
              <w:top w:val="nil"/>
            </w:tcBorders>
          </w:tcPr>
          <w:p w14:paraId="072EB442" w14:textId="77777777" w:rsidR="0052630A" w:rsidRPr="006C2F62" w:rsidRDefault="0052630A" w:rsidP="00DC7677">
            <w:pPr>
              <w:spacing w:before="40" w:after="40"/>
              <w:rPr>
                <w:rFonts w:cs="Calibri"/>
                <w:sz w:val="20"/>
                <w:szCs w:val="20"/>
                <w:lang w:eastAsia="ja-JP"/>
              </w:rPr>
            </w:pPr>
            <w:r w:rsidRPr="006C2F62">
              <w:rPr>
                <w:rFonts w:cs="Calibri"/>
                <w:noProof/>
                <w:sz w:val="20"/>
                <w:szCs w:val="20"/>
                <w:lang w:eastAsia="ja-JP"/>
              </w:rPr>
              <w:t>77 (35.8)</w:t>
            </w:r>
          </w:p>
        </w:tc>
      </w:tr>
      <w:tr w:rsidR="0052630A" w:rsidRPr="006C2F62" w14:paraId="53AD15F8" w14:textId="77777777" w:rsidTr="00DC7677">
        <w:tc>
          <w:tcPr>
            <w:tcW w:w="2641" w:type="dxa"/>
          </w:tcPr>
          <w:p w14:paraId="34BA206E" w14:textId="77777777" w:rsidR="0052630A" w:rsidRPr="006C2F62" w:rsidRDefault="0052630A" w:rsidP="00DC7677">
            <w:pPr>
              <w:spacing w:before="40" w:after="40"/>
              <w:rPr>
                <w:rFonts w:cs="Calibri"/>
                <w:b/>
                <w:bCs/>
                <w:noProof/>
                <w:sz w:val="20"/>
                <w:szCs w:val="20"/>
                <w:lang w:eastAsia="ja-JP"/>
              </w:rPr>
            </w:pPr>
            <w:r w:rsidRPr="006C2F62">
              <w:rPr>
                <w:rFonts w:cs="Calibri"/>
                <w:b/>
                <w:bCs/>
                <w:noProof/>
                <w:sz w:val="20"/>
                <w:szCs w:val="20"/>
                <w:lang w:eastAsia="ja-JP"/>
              </w:rPr>
              <w:t xml:space="preserve">Pain </w:t>
            </w:r>
          </w:p>
        </w:tc>
        <w:tc>
          <w:tcPr>
            <w:tcW w:w="2197" w:type="dxa"/>
          </w:tcPr>
          <w:p w14:paraId="637AE5FD" w14:textId="77777777" w:rsidR="0052630A" w:rsidRPr="00825F28" w:rsidRDefault="0052630A" w:rsidP="00DC7677">
            <w:pPr>
              <w:spacing w:before="40" w:after="40"/>
              <w:rPr>
                <w:rFonts w:cs="Calibri"/>
                <w:b/>
                <w:bCs/>
                <w:noProof/>
                <w:sz w:val="20"/>
                <w:szCs w:val="20"/>
                <w:lang w:eastAsia="ja-JP"/>
              </w:rPr>
            </w:pPr>
            <w:r w:rsidRPr="00825F28">
              <w:rPr>
                <w:rFonts w:eastAsiaTheme="minorHAnsi" w:cs="Calibri"/>
                <w:b/>
                <w:bCs/>
                <w:sz w:val="20"/>
                <w:szCs w:val="20"/>
              </w:rPr>
              <w:t xml:space="preserve">38 (26.2) </w:t>
            </w:r>
          </w:p>
        </w:tc>
        <w:tc>
          <w:tcPr>
            <w:tcW w:w="2198" w:type="dxa"/>
          </w:tcPr>
          <w:p w14:paraId="7CD6066E" w14:textId="77777777" w:rsidR="0052630A" w:rsidRPr="00825F28" w:rsidRDefault="0052630A" w:rsidP="00DC7677">
            <w:pPr>
              <w:spacing w:before="40" w:after="40"/>
              <w:rPr>
                <w:rFonts w:cs="Calibri"/>
                <w:b/>
                <w:bCs/>
                <w:noProof/>
                <w:sz w:val="20"/>
                <w:szCs w:val="20"/>
                <w:lang w:eastAsia="ja-JP"/>
              </w:rPr>
            </w:pPr>
            <w:r w:rsidRPr="00825F28">
              <w:rPr>
                <w:rFonts w:eastAsiaTheme="minorHAnsi" w:cs="Calibri"/>
                <w:b/>
                <w:bCs/>
                <w:sz w:val="20"/>
                <w:szCs w:val="20"/>
              </w:rPr>
              <w:t>22 (31.4)</w:t>
            </w:r>
          </w:p>
        </w:tc>
        <w:tc>
          <w:tcPr>
            <w:tcW w:w="2267" w:type="dxa"/>
          </w:tcPr>
          <w:p w14:paraId="39C19CE7" w14:textId="77777777" w:rsidR="0052630A" w:rsidRPr="00825F28" w:rsidRDefault="0052630A" w:rsidP="00DC7677">
            <w:pPr>
              <w:spacing w:before="40" w:after="40"/>
              <w:rPr>
                <w:rFonts w:cs="Calibri"/>
                <w:b/>
                <w:bCs/>
                <w:sz w:val="20"/>
                <w:szCs w:val="20"/>
                <w:lang w:eastAsia="ja-JP"/>
              </w:rPr>
            </w:pPr>
            <w:r w:rsidRPr="00825F28">
              <w:rPr>
                <w:rFonts w:eastAsiaTheme="minorHAnsi" w:cs="Calibri"/>
                <w:b/>
                <w:bCs/>
                <w:sz w:val="20"/>
                <w:szCs w:val="20"/>
              </w:rPr>
              <w:t>60 (27.9)</w:t>
            </w:r>
          </w:p>
        </w:tc>
      </w:tr>
      <w:tr w:rsidR="0052630A" w:rsidRPr="006C2F62" w14:paraId="014470E6" w14:textId="77777777" w:rsidTr="00DC7677">
        <w:tc>
          <w:tcPr>
            <w:tcW w:w="2641" w:type="dxa"/>
            <w:tcBorders>
              <w:bottom w:val="nil"/>
            </w:tcBorders>
          </w:tcPr>
          <w:p w14:paraId="3230B2F2" w14:textId="77777777" w:rsidR="0052630A" w:rsidRPr="006C2F62" w:rsidRDefault="0052630A" w:rsidP="00DC7677">
            <w:pPr>
              <w:spacing w:before="40" w:after="40"/>
              <w:rPr>
                <w:rFonts w:cs="Calibri"/>
                <w:b/>
                <w:bCs/>
                <w:noProof/>
                <w:sz w:val="20"/>
                <w:szCs w:val="20"/>
                <w:lang w:eastAsia="ja-JP"/>
              </w:rPr>
            </w:pPr>
            <w:r w:rsidRPr="006C2F62">
              <w:rPr>
                <w:rFonts w:cs="Calibri"/>
                <w:b/>
                <w:bCs/>
                <w:noProof/>
                <w:sz w:val="20"/>
                <w:szCs w:val="20"/>
                <w:lang w:eastAsia="ja-JP"/>
              </w:rPr>
              <w:t>Skin reactions &amp; nail disorders</w:t>
            </w:r>
          </w:p>
        </w:tc>
        <w:tc>
          <w:tcPr>
            <w:tcW w:w="2197" w:type="dxa"/>
            <w:tcBorders>
              <w:bottom w:val="nil"/>
            </w:tcBorders>
          </w:tcPr>
          <w:p w14:paraId="114DBE51" w14:textId="77777777" w:rsidR="0052630A" w:rsidRPr="006C2F62" w:rsidRDefault="0052630A" w:rsidP="00DC7677">
            <w:pPr>
              <w:spacing w:before="40" w:after="40"/>
              <w:rPr>
                <w:rFonts w:cs="Calibri"/>
                <w:b/>
                <w:bCs/>
                <w:noProof/>
                <w:sz w:val="20"/>
                <w:szCs w:val="20"/>
                <w:lang w:eastAsia="ja-JP"/>
              </w:rPr>
            </w:pPr>
            <w:r w:rsidRPr="006C2F62">
              <w:rPr>
                <w:rFonts w:cs="Calibri"/>
                <w:b/>
                <w:bCs/>
                <w:noProof/>
                <w:sz w:val="20"/>
                <w:szCs w:val="20"/>
                <w:lang w:eastAsia="ja-JP"/>
              </w:rPr>
              <w:t xml:space="preserve">63 (43.4) </w:t>
            </w:r>
          </w:p>
        </w:tc>
        <w:tc>
          <w:tcPr>
            <w:tcW w:w="2198" w:type="dxa"/>
            <w:tcBorders>
              <w:bottom w:val="nil"/>
            </w:tcBorders>
          </w:tcPr>
          <w:p w14:paraId="6E8AD914" w14:textId="77777777" w:rsidR="0052630A" w:rsidRPr="006C2F62" w:rsidRDefault="0052630A" w:rsidP="00DC7677">
            <w:pPr>
              <w:spacing w:before="40" w:after="40"/>
              <w:rPr>
                <w:rFonts w:cs="Calibri"/>
                <w:b/>
                <w:bCs/>
                <w:noProof/>
                <w:sz w:val="20"/>
                <w:szCs w:val="20"/>
                <w:lang w:eastAsia="ja-JP"/>
              </w:rPr>
            </w:pPr>
            <w:r w:rsidRPr="006C2F62">
              <w:rPr>
                <w:rFonts w:cs="Calibri"/>
                <w:b/>
                <w:bCs/>
                <w:noProof/>
                <w:sz w:val="20"/>
                <w:szCs w:val="20"/>
                <w:lang w:eastAsia="ja-JP"/>
              </w:rPr>
              <w:t>37 (52.9)</w:t>
            </w:r>
          </w:p>
        </w:tc>
        <w:tc>
          <w:tcPr>
            <w:tcW w:w="2267" w:type="dxa"/>
            <w:tcBorders>
              <w:bottom w:val="nil"/>
            </w:tcBorders>
          </w:tcPr>
          <w:p w14:paraId="5FB6C22F" w14:textId="77777777" w:rsidR="0052630A" w:rsidRPr="006C2F62" w:rsidRDefault="0052630A" w:rsidP="00DC7677">
            <w:pPr>
              <w:spacing w:before="40" w:after="40"/>
              <w:rPr>
                <w:rFonts w:cs="Calibri"/>
                <w:b/>
                <w:bCs/>
                <w:noProof/>
                <w:sz w:val="20"/>
                <w:szCs w:val="20"/>
                <w:lang w:eastAsia="ja-JP"/>
              </w:rPr>
            </w:pPr>
            <w:r w:rsidRPr="006C2F62">
              <w:rPr>
                <w:rFonts w:cs="Calibri"/>
                <w:b/>
                <w:bCs/>
                <w:noProof/>
                <w:sz w:val="20"/>
                <w:szCs w:val="20"/>
                <w:lang w:eastAsia="ja-JP"/>
              </w:rPr>
              <w:t>100 (46.5)</w:t>
            </w:r>
          </w:p>
        </w:tc>
      </w:tr>
      <w:tr w:rsidR="0052630A" w:rsidRPr="006C2F62" w14:paraId="745BAE74" w14:textId="77777777" w:rsidTr="00DC7677">
        <w:tc>
          <w:tcPr>
            <w:tcW w:w="2641" w:type="dxa"/>
            <w:tcBorders>
              <w:top w:val="nil"/>
              <w:bottom w:val="nil"/>
            </w:tcBorders>
          </w:tcPr>
          <w:p w14:paraId="39ABE9A4"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Erythema</w:t>
            </w:r>
          </w:p>
        </w:tc>
        <w:tc>
          <w:tcPr>
            <w:tcW w:w="2197" w:type="dxa"/>
            <w:tcBorders>
              <w:top w:val="nil"/>
              <w:bottom w:val="nil"/>
            </w:tcBorders>
          </w:tcPr>
          <w:p w14:paraId="132F1A5D"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15 (10.3) </w:t>
            </w:r>
          </w:p>
        </w:tc>
        <w:tc>
          <w:tcPr>
            <w:tcW w:w="2198" w:type="dxa"/>
            <w:tcBorders>
              <w:top w:val="nil"/>
              <w:bottom w:val="nil"/>
            </w:tcBorders>
          </w:tcPr>
          <w:p w14:paraId="1113224D"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7 (10.0)</w:t>
            </w:r>
          </w:p>
        </w:tc>
        <w:tc>
          <w:tcPr>
            <w:tcW w:w="2267" w:type="dxa"/>
            <w:tcBorders>
              <w:top w:val="nil"/>
              <w:bottom w:val="nil"/>
            </w:tcBorders>
          </w:tcPr>
          <w:p w14:paraId="2617A683"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22 (10.2)</w:t>
            </w:r>
          </w:p>
        </w:tc>
      </w:tr>
      <w:tr w:rsidR="0052630A" w:rsidRPr="006C2F62" w14:paraId="7A172BD1" w14:textId="77777777" w:rsidTr="00DC7677">
        <w:tc>
          <w:tcPr>
            <w:tcW w:w="2641" w:type="dxa"/>
            <w:tcBorders>
              <w:top w:val="nil"/>
              <w:bottom w:val="nil"/>
            </w:tcBorders>
          </w:tcPr>
          <w:p w14:paraId="7C408130"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Phototosensitivity reaction</w:t>
            </w:r>
          </w:p>
        </w:tc>
        <w:tc>
          <w:tcPr>
            <w:tcW w:w="2197" w:type="dxa"/>
            <w:tcBorders>
              <w:top w:val="nil"/>
              <w:bottom w:val="nil"/>
            </w:tcBorders>
          </w:tcPr>
          <w:p w14:paraId="51A901C0"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 xml:space="preserve">15 (10.3) </w:t>
            </w:r>
          </w:p>
        </w:tc>
        <w:tc>
          <w:tcPr>
            <w:tcW w:w="2198" w:type="dxa"/>
            <w:tcBorders>
              <w:top w:val="nil"/>
              <w:bottom w:val="nil"/>
            </w:tcBorders>
          </w:tcPr>
          <w:p w14:paraId="5BB51191"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2 (2.9)</w:t>
            </w:r>
          </w:p>
        </w:tc>
        <w:tc>
          <w:tcPr>
            <w:tcW w:w="2267" w:type="dxa"/>
            <w:tcBorders>
              <w:top w:val="nil"/>
              <w:bottom w:val="nil"/>
            </w:tcBorders>
          </w:tcPr>
          <w:p w14:paraId="4C6FDA51"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17 (7.9)</w:t>
            </w:r>
          </w:p>
        </w:tc>
      </w:tr>
      <w:tr w:rsidR="0052630A" w:rsidRPr="006C2F62" w14:paraId="4D60A143" w14:textId="77777777" w:rsidTr="00DC7677">
        <w:tc>
          <w:tcPr>
            <w:tcW w:w="2641" w:type="dxa"/>
            <w:tcBorders>
              <w:top w:val="nil"/>
              <w:bottom w:val="nil"/>
            </w:tcBorders>
          </w:tcPr>
          <w:p w14:paraId="65F8DB52" w14:textId="77777777" w:rsidR="0052630A" w:rsidRPr="006C2F62" w:rsidRDefault="0052630A" w:rsidP="00DC7677">
            <w:pPr>
              <w:spacing w:before="40" w:after="40"/>
              <w:rPr>
                <w:rFonts w:cs="Calibri"/>
                <w:noProof/>
                <w:sz w:val="20"/>
                <w:szCs w:val="20"/>
                <w:lang w:eastAsia="ja-JP"/>
              </w:rPr>
            </w:pPr>
            <w:r w:rsidRPr="006C2F62">
              <w:rPr>
                <w:rFonts w:cs="Calibri"/>
                <w:noProof/>
                <w:sz w:val="20"/>
                <w:szCs w:val="20"/>
                <w:lang w:eastAsia="ja-JP"/>
              </w:rPr>
              <w:t>Pruritus</w:t>
            </w:r>
          </w:p>
        </w:tc>
        <w:tc>
          <w:tcPr>
            <w:tcW w:w="2197" w:type="dxa"/>
            <w:tcBorders>
              <w:top w:val="nil"/>
              <w:bottom w:val="nil"/>
            </w:tcBorders>
          </w:tcPr>
          <w:p w14:paraId="1702D64C" w14:textId="77777777" w:rsidR="0052630A" w:rsidRPr="006C2F62" w:rsidRDefault="0052630A" w:rsidP="00DC7677">
            <w:pPr>
              <w:spacing w:before="40" w:after="40"/>
              <w:rPr>
                <w:rFonts w:cs="Calibri"/>
                <w:noProof/>
                <w:sz w:val="20"/>
                <w:szCs w:val="20"/>
                <w:lang w:eastAsia="ja-JP"/>
              </w:rPr>
            </w:pPr>
            <w:r w:rsidRPr="006C2F62">
              <w:rPr>
                <w:rFonts w:eastAsiaTheme="minorHAnsi" w:cs="Calibri"/>
                <w:sz w:val="20"/>
                <w:szCs w:val="20"/>
              </w:rPr>
              <w:t xml:space="preserve">19 (13.1) </w:t>
            </w:r>
          </w:p>
        </w:tc>
        <w:tc>
          <w:tcPr>
            <w:tcW w:w="2198" w:type="dxa"/>
            <w:tcBorders>
              <w:top w:val="nil"/>
              <w:bottom w:val="nil"/>
            </w:tcBorders>
          </w:tcPr>
          <w:p w14:paraId="62E3DE99" w14:textId="77777777" w:rsidR="0052630A" w:rsidRPr="006C2F62" w:rsidRDefault="0052630A" w:rsidP="00DC7677">
            <w:pPr>
              <w:spacing w:before="40" w:after="40"/>
              <w:rPr>
                <w:rFonts w:cs="Calibri"/>
                <w:noProof/>
                <w:sz w:val="20"/>
                <w:szCs w:val="20"/>
                <w:lang w:eastAsia="ja-JP"/>
              </w:rPr>
            </w:pPr>
            <w:r w:rsidRPr="006C2F62">
              <w:rPr>
                <w:rFonts w:eastAsiaTheme="minorHAnsi" w:cs="Calibri"/>
                <w:sz w:val="20"/>
                <w:szCs w:val="20"/>
              </w:rPr>
              <w:t>6 (8.6)</w:t>
            </w:r>
          </w:p>
        </w:tc>
        <w:tc>
          <w:tcPr>
            <w:tcW w:w="2267" w:type="dxa"/>
            <w:tcBorders>
              <w:top w:val="nil"/>
              <w:bottom w:val="nil"/>
            </w:tcBorders>
          </w:tcPr>
          <w:p w14:paraId="5ADF8E3D" w14:textId="77777777" w:rsidR="0052630A" w:rsidRPr="006C2F62" w:rsidRDefault="0052630A" w:rsidP="00DC7677">
            <w:pPr>
              <w:spacing w:before="40" w:after="40"/>
              <w:rPr>
                <w:rFonts w:cs="Calibri"/>
                <w:noProof/>
                <w:sz w:val="20"/>
                <w:szCs w:val="20"/>
                <w:lang w:eastAsia="ja-JP"/>
              </w:rPr>
            </w:pPr>
            <w:r w:rsidRPr="006C2F62">
              <w:rPr>
                <w:rFonts w:eastAsiaTheme="minorHAnsi" w:cs="Calibri"/>
                <w:sz w:val="20"/>
                <w:szCs w:val="20"/>
              </w:rPr>
              <w:t>25 (11.6)</w:t>
            </w:r>
          </w:p>
        </w:tc>
      </w:tr>
      <w:tr w:rsidR="0052630A" w:rsidRPr="006C2F62" w14:paraId="13293B73" w14:textId="77777777" w:rsidTr="00DC7677">
        <w:tc>
          <w:tcPr>
            <w:tcW w:w="2641" w:type="dxa"/>
            <w:tcBorders>
              <w:top w:val="nil"/>
            </w:tcBorders>
          </w:tcPr>
          <w:p w14:paraId="0F175EC9" w14:textId="77777777" w:rsidR="0052630A" w:rsidRPr="006C2F62" w:rsidRDefault="0052630A" w:rsidP="00DC7677">
            <w:pPr>
              <w:spacing w:before="40"/>
              <w:rPr>
                <w:rFonts w:cs="Calibri"/>
                <w:noProof/>
                <w:sz w:val="20"/>
                <w:szCs w:val="20"/>
                <w:lang w:eastAsia="ja-JP"/>
              </w:rPr>
            </w:pPr>
            <w:r w:rsidRPr="006C2F62">
              <w:rPr>
                <w:rFonts w:cs="Calibri"/>
                <w:noProof/>
                <w:sz w:val="20"/>
                <w:szCs w:val="20"/>
                <w:lang w:eastAsia="ja-JP"/>
              </w:rPr>
              <w:t xml:space="preserve">Rash </w:t>
            </w:r>
          </w:p>
        </w:tc>
        <w:tc>
          <w:tcPr>
            <w:tcW w:w="2197" w:type="dxa"/>
            <w:tcBorders>
              <w:top w:val="nil"/>
            </w:tcBorders>
          </w:tcPr>
          <w:p w14:paraId="0E9BF786" w14:textId="77777777" w:rsidR="0052630A" w:rsidRPr="006C2F62" w:rsidRDefault="0052630A" w:rsidP="00DC7677">
            <w:pPr>
              <w:spacing w:before="40"/>
              <w:rPr>
                <w:rFonts w:eastAsiaTheme="minorHAnsi" w:cs="Calibri"/>
                <w:sz w:val="20"/>
                <w:szCs w:val="20"/>
              </w:rPr>
            </w:pPr>
            <w:r w:rsidRPr="006C2F62">
              <w:rPr>
                <w:rFonts w:eastAsiaTheme="minorHAnsi" w:cs="Calibri"/>
                <w:sz w:val="20"/>
                <w:szCs w:val="20"/>
              </w:rPr>
              <w:t xml:space="preserve">19 (13.1) </w:t>
            </w:r>
          </w:p>
        </w:tc>
        <w:tc>
          <w:tcPr>
            <w:tcW w:w="2198" w:type="dxa"/>
            <w:tcBorders>
              <w:top w:val="nil"/>
            </w:tcBorders>
          </w:tcPr>
          <w:p w14:paraId="1073937E" w14:textId="77777777" w:rsidR="0052630A" w:rsidRPr="006C2F62" w:rsidRDefault="0052630A" w:rsidP="00DC7677">
            <w:pPr>
              <w:spacing w:before="40"/>
              <w:rPr>
                <w:rFonts w:eastAsiaTheme="minorHAnsi" w:cs="Calibri"/>
                <w:sz w:val="20"/>
                <w:szCs w:val="20"/>
              </w:rPr>
            </w:pPr>
            <w:r w:rsidRPr="006C2F62">
              <w:rPr>
                <w:rFonts w:eastAsiaTheme="minorHAnsi" w:cs="Calibri"/>
                <w:sz w:val="20"/>
                <w:szCs w:val="20"/>
              </w:rPr>
              <w:t>24 (34.3)</w:t>
            </w:r>
          </w:p>
        </w:tc>
        <w:tc>
          <w:tcPr>
            <w:tcW w:w="2267" w:type="dxa"/>
            <w:tcBorders>
              <w:top w:val="nil"/>
            </w:tcBorders>
          </w:tcPr>
          <w:p w14:paraId="3CEE0B03" w14:textId="77777777" w:rsidR="0052630A" w:rsidRPr="006C2F62" w:rsidRDefault="0052630A" w:rsidP="00DC7677">
            <w:pPr>
              <w:spacing w:before="40"/>
              <w:rPr>
                <w:rFonts w:eastAsiaTheme="minorHAnsi" w:cs="Calibri"/>
                <w:sz w:val="20"/>
                <w:szCs w:val="20"/>
              </w:rPr>
            </w:pPr>
            <w:r w:rsidRPr="006C2F62">
              <w:rPr>
                <w:rFonts w:eastAsiaTheme="minorHAnsi" w:cs="Calibri"/>
                <w:sz w:val="20"/>
                <w:szCs w:val="20"/>
              </w:rPr>
              <w:t>43 (20.0)</w:t>
            </w:r>
          </w:p>
        </w:tc>
      </w:tr>
    </w:tbl>
    <w:p w14:paraId="7EC22E82" w14:textId="08E5C372" w:rsidR="00025070" w:rsidRPr="00025070" w:rsidRDefault="00025070" w:rsidP="00536AFF">
      <w:pPr>
        <w:pStyle w:val="Heading5"/>
      </w:pPr>
      <w:r w:rsidRPr="00025070">
        <w:t>Special populations</w:t>
      </w:r>
    </w:p>
    <w:p w14:paraId="7A7F3B04" w14:textId="77777777" w:rsidR="00025070" w:rsidRPr="00025070" w:rsidRDefault="00025070" w:rsidP="00025070">
      <w:r w:rsidRPr="00025070">
        <w:t xml:space="preserve">The data in this section all relate to the pooled dataset comprising DLBCL patients who received loncastuximab tesirine at 150 </w:t>
      </w:r>
      <w:proofErr w:type="spellStart"/>
      <w:r w:rsidRPr="00025070">
        <w:t>μg</w:t>
      </w:r>
      <w:proofErr w:type="spellEnd"/>
      <w:r w:rsidRPr="00025070">
        <w:t>/kg in studies ADCT-402-201 and ADCT-402-101.</w:t>
      </w:r>
    </w:p>
    <w:p w14:paraId="7E080A27" w14:textId="77777777" w:rsidR="00025070" w:rsidRPr="00025070" w:rsidRDefault="00025070" w:rsidP="00536AFF">
      <w:pPr>
        <w:pStyle w:val="Heading6"/>
      </w:pPr>
      <w:r w:rsidRPr="00025070">
        <w:t>Age</w:t>
      </w:r>
    </w:p>
    <w:p w14:paraId="157A6432" w14:textId="77777777" w:rsidR="00025070" w:rsidRPr="00025070" w:rsidRDefault="00025070" w:rsidP="00025070">
      <w:r w:rsidRPr="00025070">
        <w:t xml:space="preserve">There was a higher incidence of peripheral oedema in patients aged ≥65 years (n=105) compared to &lt;65 years (n=110): 27.6% vs 19.1%, respectively. </w:t>
      </w:r>
    </w:p>
    <w:p w14:paraId="1362868B" w14:textId="77777777" w:rsidR="00025070" w:rsidRPr="00025070" w:rsidRDefault="00025070" w:rsidP="00536AFF">
      <w:pPr>
        <w:pStyle w:val="Heading6"/>
      </w:pPr>
      <w:r w:rsidRPr="00025070">
        <w:t>Sex</w:t>
      </w:r>
    </w:p>
    <w:p w14:paraId="45D034B3" w14:textId="77777777" w:rsidR="00025070" w:rsidRPr="00025070" w:rsidRDefault="00025070" w:rsidP="00025070">
      <w:r w:rsidRPr="00025070">
        <w:t xml:space="preserve">Female patients (n=94) had a higher rate than males (n=121) of anaemia (36.2% vs 23.1%) and vomiting (22.3% vs 9.9%). </w:t>
      </w:r>
    </w:p>
    <w:p w14:paraId="5F828553" w14:textId="77777777" w:rsidR="00025070" w:rsidRPr="00025070" w:rsidRDefault="00025070" w:rsidP="00536AFF">
      <w:pPr>
        <w:pStyle w:val="Heading6"/>
      </w:pPr>
      <w:r w:rsidRPr="00025070">
        <w:lastRenderedPageBreak/>
        <w:t>Race</w:t>
      </w:r>
    </w:p>
    <w:p w14:paraId="2D41BA3D" w14:textId="77777777" w:rsidR="00025070" w:rsidRPr="00025070" w:rsidRDefault="00025070" w:rsidP="00025070">
      <w:r w:rsidRPr="00025070">
        <w:t>Most patients in the pooled dataset were White (n=197; 91.6%). Therefore, comparisons between the racial groups were not undertaken because it was considered that they would not be clinically meaningful.</w:t>
      </w:r>
    </w:p>
    <w:p w14:paraId="4D927E04" w14:textId="77777777" w:rsidR="00025070" w:rsidRPr="00025070" w:rsidRDefault="00025070" w:rsidP="00536AFF">
      <w:pPr>
        <w:pStyle w:val="Heading6"/>
      </w:pPr>
      <w:r w:rsidRPr="00025070">
        <w:t>Geographical region</w:t>
      </w:r>
    </w:p>
    <w:p w14:paraId="07F940B7" w14:textId="77777777" w:rsidR="00025070" w:rsidRPr="00025070" w:rsidRDefault="00025070" w:rsidP="00025070">
      <w:r w:rsidRPr="00025070">
        <w:t>Patients were from either Europe (n=125; 58.1%) or the USA (n=90; 41.9%). The rate of any TEAEs leading to dose delay or reduction was numerically higher among European participants (52.8%) compared to those in the USA (40.0%), as was the rate of any TEAEs with a fatal outcome (10.4% vs 6.7%).</w:t>
      </w:r>
    </w:p>
    <w:p w14:paraId="0034571E" w14:textId="77777777" w:rsidR="00025070" w:rsidRPr="00025070" w:rsidRDefault="00025070" w:rsidP="00025070">
      <w:r w:rsidRPr="00025070">
        <w:t>There was imbalance in the reported incidence of the some TEAEs between patients in Europe versus the US, including:</w:t>
      </w:r>
    </w:p>
    <w:p w14:paraId="72FEDAEF" w14:textId="77777777" w:rsidR="00025070" w:rsidRPr="00025070" w:rsidRDefault="00025070" w:rsidP="009C7E5A">
      <w:pPr>
        <w:pStyle w:val="ListBullet"/>
      </w:pPr>
      <w:r w:rsidRPr="00025070">
        <w:t>oedema peripheral: 14.4% vs 35.6%</w:t>
      </w:r>
    </w:p>
    <w:p w14:paraId="3621F624" w14:textId="77777777" w:rsidR="00025070" w:rsidRPr="00025070" w:rsidRDefault="00025070" w:rsidP="009C7E5A">
      <w:pPr>
        <w:pStyle w:val="ListBullet"/>
      </w:pPr>
      <w:r w:rsidRPr="00025070">
        <w:t>dyspnoea: 8.8% vs 25.6%</w:t>
      </w:r>
    </w:p>
    <w:p w14:paraId="4FEC99EB" w14:textId="77777777" w:rsidR="00025070" w:rsidRPr="00025070" w:rsidRDefault="00025070" w:rsidP="009C7E5A">
      <w:pPr>
        <w:pStyle w:val="ListBullet"/>
      </w:pPr>
      <w:r w:rsidRPr="00025070">
        <w:t>dizziness: 0.8% vs 18.9%</w:t>
      </w:r>
    </w:p>
    <w:p w14:paraId="42D9BA37" w14:textId="77777777" w:rsidR="00025070" w:rsidRPr="00025070" w:rsidRDefault="00025070" w:rsidP="009C7E5A">
      <w:pPr>
        <w:pStyle w:val="ListBullet"/>
      </w:pPr>
      <w:r w:rsidRPr="00025070">
        <w:t>GGT increased (any grade): 44.8% vs 23.3%</w:t>
      </w:r>
    </w:p>
    <w:p w14:paraId="35C9B4C3" w14:textId="77777777" w:rsidR="00025070" w:rsidRPr="00025070" w:rsidRDefault="00025070" w:rsidP="009C7E5A">
      <w:pPr>
        <w:pStyle w:val="ListBullet"/>
      </w:pPr>
      <w:r w:rsidRPr="00025070">
        <w:t>GGT increased (Grade ≥3): 23.2% vs 8.9%</w:t>
      </w:r>
    </w:p>
    <w:p w14:paraId="16285C15" w14:textId="77777777" w:rsidR="00025070" w:rsidRPr="00025070" w:rsidRDefault="00025070" w:rsidP="00025070">
      <w:r w:rsidRPr="00025070">
        <w:t>The sponsor has commented that the reasons for these regional differences are unclear.</w:t>
      </w:r>
    </w:p>
    <w:p w14:paraId="21655A4F" w14:textId="77777777" w:rsidR="00025070" w:rsidRPr="00025070" w:rsidRDefault="00025070" w:rsidP="00536AFF">
      <w:pPr>
        <w:pStyle w:val="Heading6"/>
      </w:pPr>
      <w:r w:rsidRPr="00025070">
        <w:t>Cardiac safety</w:t>
      </w:r>
    </w:p>
    <w:p w14:paraId="48464504" w14:textId="77777777" w:rsidR="00025070" w:rsidRPr="00025070" w:rsidRDefault="00025070" w:rsidP="00025070">
      <w:r w:rsidRPr="00025070">
        <w:t>In study ADCT-402-201, 3 consecutive (also called triplicate) 12-lead ECGs were performed at defined time points during the study per protocol. Concentrations of PBD-conjugated Ab and unconjugated SG3199 were assessed at all paired triplicate ECG-PK time points.</w:t>
      </w:r>
    </w:p>
    <w:p w14:paraId="4AD28CC2" w14:textId="77777777" w:rsidR="00025070" w:rsidRPr="00025070" w:rsidRDefault="00025070" w:rsidP="00025070">
      <w:r w:rsidRPr="00025070">
        <w:t>Results of the cardiac safety analyses indicate that loncastuximab tesirine does not have a clinically relevant effect on heart rate or on the QT interval corrected for heart rate by the Fridericia method (</w:t>
      </w:r>
      <w:proofErr w:type="spellStart"/>
      <w:r w:rsidRPr="00025070">
        <w:t>QTcF</w:t>
      </w:r>
      <w:proofErr w:type="spellEnd"/>
      <w:r w:rsidRPr="00025070">
        <w:t xml:space="preserve">). </w:t>
      </w:r>
    </w:p>
    <w:p w14:paraId="0A6ED44F" w14:textId="77777777" w:rsidR="00025070" w:rsidRPr="00025070" w:rsidRDefault="00025070" w:rsidP="00025070">
      <w:r w:rsidRPr="00025070">
        <w:t xml:space="preserve">In the concentration-QTc analysis for PBD-conjugated Ab, a </w:t>
      </w:r>
      <w:proofErr w:type="spellStart"/>
      <w:r w:rsidRPr="00025070">
        <w:t>QTcF</w:t>
      </w:r>
      <w:proofErr w:type="spellEnd"/>
      <w:r w:rsidRPr="00025070">
        <w:t xml:space="preserve"> effect exceeding 10 </w:t>
      </w:r>
      <w:proofErr w:type="spellStart"/>
      <w:r w:rsidRPr="00025070">
        <w:t>ms</w:t>
      </w:r>
      <w:proofErr w:type="spellEnd"/>
      <w:r w:rsidRPr="00025070">
        <w:t xml:space="preserve"> (upper bound of 90% CI) was able to be excluded at therapeutic exposures. The concentration-QTc analysis for SG3199 was not considered relevant due to the limited exposure and minimal time points with detectable SG3199 in serum.</w:t>
      </w:r>
    </w:p>
    <w:p w14:paraId="4624CFFA" w14:textId="77777777" w:rsidR="00025070" w:rsidRPr="00025070" w:rsidRDefault="00025070" w:rsidP="00536AFF">
      <w:pPr>
        <w:pStyle w:val="Heading5"/>
      </w:pPr>
      <w:r w:rsidRPr="00025070">
        <w:t>Post-marketing experience</w:t>
      </w:r>
    </w:p>
    <w:p w14:paraId="0D4B8DA1" w14:textId="77777777" w:rsidR="00025070" w:rsidRPr="00025070" w:rsidRDefault="00025070" w:rsidP="00025070">
      <w:r w:rsidRPr="00025070">
        <w:t>During the clinical evaluation of loncastuximab tesirine, the sponsor informed the TGA of three verified safety signals for the drug:</w:t>
      </w:r>
    </w:p>
    <w:p w14:paraId="26850ADE" w14:textId="77777777" w:rsidR="00025070" w:rsidRPr="00025070" w:rsidRDefault="00025070" w:rsidP="009C7E5A">
      <w:pPr>
        <w:pStyle w:val="ListBullet"/>
      </w:pPr>
      <w:r w:rsidRPr="00025070">
        <w:t>Severe liver injury</w:t>
      </w:r>
    </w:p>
    <w:p w14:paraId="58FEB506" w14:textId="77777777" w:rsidR="00025070" w:rsidRPr="00025070" w:rsidRDefault="00025070" w:rsidP="009C7E5A">
      <w:pPr>
        <w:pStyle w:val="ListBullet"/>
      </w:pPr>
      <w:r w:rsidRPr="00025070">
        <w:t>Capillary leak syndrome (CLS)</w:t>
      </w:r>
    </w:p>
    <w:p w14:paraId="3E7380DF" w14:textId="77777777" w:rsidR="00025070" w:rsidRPr="00025070" w:rsidRDefault="00025070" w:rsidP="009C7E5A">
      <w:pPr>
        <w:pStyle w:val="ListBullet"/>
      </w:pPr>
      <w:r w:rsidRPr="00025070">
        <w:t>Cutaneous collagenous vasculopathy (CCV)</w:t>
      </w:r>
    </w:p>
    <w:p w14:paraId="7023AEBF" w14:textId="77777777" w:rsidR="00025070" w:rsidRPr="00025070" w:rsidRDefault="00025070" w:rsidP="00025070">
      <w:r w:rsidRPr="00025070">
        <w:t>In response to these signals, the sponsor planned to include severe liver injury and CLS in the EU RMP as important potential risks, and to update Warnings and Precautions section of the product label with both conditions. Additionally, the sponsor planned to update the adverse reactions section of the product information with information about CCV.</w:t>
      </w:r>
    </w:p>
    <w:p w14:paraId="23F3B705" w14:textId="77777777" w:rsidR="00025070" w:rsidRPr="00025070" w:rsidRDefault="00025070" w:rsidP="00536AFF">
      <w:pPr>
        <w:pStyle w:val="Heading5"/>
      </w:pPr>
      <w:bookmarkStart w:id="60" w:name="_Ref220056966"/>
      <w:r w:rsidRPr="00025070">
        <w:lastRenderedPageBreak/>
        <w:t>Other</w:t>
      </w:r>
      <w:bookmarkEnd w:id="60"/>
      <w:r w:rsidRPr="00025070">
        <w:t xml:space="preserve"> </w:t>
      </w:r>
    </w:p>
    <w:p w14:paraId="57C1085E" w14:textId="77777777" w:rsidR="00025070" w:rsidRPr="00025070" w:rsidRDefault="00025070" w:rsidP="00536AFF">
      <w:pPr>
        <w:pStyle w:val="Heading6"/>
      </w:pPr>
      <w:r w:rsidRPr="00025070">
        <w:t>Dosage selection</w:t>
      </w:r>
    </w:p>
    <w:p w14:paraId="236AD7EA" w14:textId="77777777" w:rsidR="00025070" w:rsidRPr="00025070" w:rsidRDefault="00025070" w:rsidP="00025070">
      <w:r w:rsidRPr="00025070">
        <w:t xml:space="preserve">The dose for the key Phase 2 study ADCT-402-201 for patients with R/R DLBCL (150 </w:t>
      </w:r>
      <w:proofErr w:type="spellStart"/>
      <w:r w:rsidRPr="00025070">
        <w:t>μg</w:t>
      </w:r>
      <w:proofErr w:type="spellEnd"/>
      <w:r w:rsidRPr="00025070">
        <w:t xml:space="preserve">/kg Q3W x 2 then 75 µg/kg Q3W) was chosen based on cumulative safety, PK and efficacy data from the Phase 1, first-in-human, study ADCT-402-101. The main dose-finding results for study ADCT-402-101 are summarised below.  </w:t>
      </w:r>
    </w:p>
    <w:p w14:paraId="54E9F6B6" w14:textId="77777777" w:rsidR="00025070" w:rsidRPr="00025070" w:rsidRDefault="00025070" w:rsidP="00025070">
      <w:r w:rsidRPr="00025070">
        <w:t xml:space="preserve">In Part 1, patients were assigned to treatment according to a 3+3 dose-escalation design. The maximum tolerated dose was not reached due to the low number of dose-limiting toxicities. However, based on a cumulative increase in non-dose-limiting toxicities in the 200 </w:t>
      </w:r>
      <w:proofErr w:type="spellStart"/>
      <w:r w:rsidRPr="00025070">
        <w:t>μg</w:t>
      </w:r>
      <w:proofErr w:type="spellEnd"/>
      <w:r w:rsidRPr="00025070">
        <w:t xml:space="preserve">/kg dose group and evidence of clinical activity (efficacy) at the 120 </w:t>
      </w:r>
      <w:proofErr w:type="spellStart"/>
      <w:r w:rsidRPr="00025070">
        <w:t>μg</w:t>
      </w:r>
      <w:proofErr w:type="spellEnd"/>
      <w:r w:rsidRPr="00025070">
        <w:t xml:space="preserve">/kg and 150 </w:t>
      </w:r>
      <w:proofErr w:type="spellStart"/>
      <w:r w:rsidRPr="00025070">
        <w:t>μg</w:t>
      </w:r>
      <w:proofErr w:type="spellEnd"/>
      <w:r w:rsidRPr="00025070">
        <w:t>/kg dose levels, these latter two dose regimens were selected for expansion in Part 2 of the study.</w:t>
      </w:r>
    </w:p>
    <w:p w14:paraId="2EAA81A1" w14:textId="77777777" w:rsidR="00025070" w:rsidRPr="00025070" w:rsidRDefault="00025070" w:rsidP="00025070">
      <w:r w:rsidRPr="00025070">
        <w:t>In Part 2, all patients were assigned to dose groups 120 µg/kg Q3W or 150 µg/kg Q3W, with some patients in the higher dose group having their dose reduced to 75 µg/kg Q3W after 2 or 3 cycles at 150 µg/kg.</w:t>
      </w:r>
    </w:p>
    <w:p w14:paraId="5E3BCB56" w14:textId="77777777" w:rsidR="00025070" w:rsidRPr="00025070" w:rsidRDefault="00025070" w:rsidP="00536AFF">
      <w:pPr>
        <w:pStyle w:val="Heading6"/>
      </w:pPr>
      <w:r w:rsidRPr="00025070">
        <w:t>Clinical activity (efficacy)</w:t>
      </w:r>
    </w:p>
    <w:p w14:paraId="36F497E1" w14:textId="77777777" w:rsidR="00025070" w:rsidRPr="00025070" w:rsidRDefault="00025070" w:rsidP="00025070">
      <w:r w:rsidRPr="00025070">
        <w:t xml:space="preserve">In patients with DLBCL (n=139), the ORR was 43.8% (95% CI: 26.4, 62.3) in the 120 </w:t>
      </w:r>
      <w:proofErr w:type="spellStart"/>
      <w:r w:rsidRPr="00025070">
        <w:t>μg</w:t>
      </w:r>
      <w:proofErr w:type="spellEnd"/>
      <w:r w:rsidRPr="00025070">
        <w:t xml:space="preserve">/kg Q3W group (n=32), and 41.4% (95% CI: 29.8, 53.8) in the overall 150 </w:t>
      </w:r>
      <w:proofErr w:type="spellStart"/>
      <w:r w:rsidRPr="00025070">
        <w:t>μg</w:t>
      </w:r>
      <w:proofErr w:type="spellEnd"/>
      <w:r w:rsidRPr="00025070">
        <w:t xml:space="preserve">/kg Q3W group (n=70). For subsets of the 150 </w:t>
      </w:r>
      <w:proofErr w:type="spellStart"/>
      <w:r w:rsidRPr="00025070">
        <w:t>μg</w:t>
      </w:r>
      <w:proofErr w:type="spellEnd"/>
      <w:r w:rsidRPr="00025070">
        <w:t>/kg group by dosage regimen, the ORRs were:</w:t>
      </w:r>
    </w:p>
    <w:p w14:paraId="60737352" w14:textId="77777777" w:rsidR="00025070" w:rsidRPr="00025070" w:rsidRDefault="00025070" w:rsidP="009C7E5A">
      <w:pPr>
        <w:pStyle w:val="ListBullet"/>
      </w:pPr>
      <w:r w:rsidRPr="00025070">
        <w:t xml:space="preserve">43.5% (95% CI: 23.2, 65.5) for </w:t>
      </w:r>
      <w:r w:rsidRPr="00025070">
        <w:rPr>
          <w:u w:val="single"/>
        </w:rPr>
        <w:t xml:space="preserve">150 </w:t>
      </w:r>
      <w:proofErr w:type="spellStart"/>
      <w:r w:rsidRPr="00025070">
        <w:rPr>
          <w:u w:val="single"/>
        </w:rPr>
        <w:t>μg</w:t>
      </w:r>
      <w:proofErr w:type="spellEnd"/>
      <w:r w:rsidRPr="00025070">
        <w:rPr>
          <w:u w:val="single"/>
        </w:rPr>
        <w:t>/kg Q3W ongoing</w:t>
      </w:r>
      <w:r w:rsidRPr="00025070">
        <w:t xml:space="preserve"> (n=23) </w:t>
      </w:r>
    </w:p>
    <w:p w14:paraId="481BEFCC" w14:textId="77777777" w:rsidR="00025070" w:rsidRPr="00025070" w:rsidRDefault="00025070" w:rsidP="009C7E5A">
      <w:pPr>
        <w:pStyle w:val="ListBullet"/>
      </w:pPr>
      <w:r w:rsidRPr="00025070">
        <w:t xml:space="preserve">33.3% (95% CI: 18.0, 51.8) for </w:t>
      </w:r>
      <w:r w:rsidRPr="00025070">
        <w:rPr>
          <w:u w:val="single"/>
        </w:rPr>
        <w:t xml:space="preserve">150 </w:t>
      </w:r>
      <w:proofErr w:type="spellStart"/>
      <w:r w:rsidRPr="00025070">
        <w:rPr>
          <w:u w:val="single"/>
        </w:rPr>
        <w:t>μg</w:t>
      </w:r>
      <w:proofErr w:type="spellEnd"/>
      <w:r w:rsidRPr="00025070">
        <w:rPr>
          <w:u w:val="single"/>
        </w:rPr>
        <w:t>/kg Q3W x 3 then 75 µg/kg Q3W</w:t>
      </w:r>
      <w:r w:rsidRPr="00025070">
        <w:t xml:space="preserve"> (n=33) </w:t>
      </w:r>
    </w:p>
    <w:p w14:paraId="72CB4B3C" w14:textId="77777777" w:rsidR="00025070" w:rsidRPr="00025070" w:rsidRDefault="00025070" w:rsidP="009C7E5A">
      <w:pPr>
        <w:pStyle w:val="ListBullet"/>
      </w:pPr>
      <w:r w:rsidRPr="00025070">
        <w:t xml:space="preserve">57.1% (95% CI: 28.9, 82.3) for </w:t>
      </w:r>
      <w:r w:rsidRPr="00025070">
        <w:rPr>
          <w:u w:val="single"/>
        </w:rPr>
        <w:t xml:space="preserve">150 </w:t>
      </w:r>
      <w:proofErr w:type="spellStart"/>
      <w:r w:rsidRPr="00025070">
        <w:rPr>
          <w:u w:val="single"/>
        </w:rPr>
        <w:t>μg</w:t>
      </w:r>
      <w:proofErr w:type="spellEnd"/>
      <w:r w:rsidRPr="00025070">
        <w:rPr>
          <w:u w:val="single"/>
        </w:rPr>
        <w:t>/kg Q3W x 2 then 75 µg/kg Q3W</w:t>
      </w:r>
      <w:r w:rsidRPr="00025070">
        <w:t xml:space="preserve"> (n=14) </w:t>
      </w:r>
    </w:p>
    <w:p w14:paraId="7C122CBD" w14:textId="77777777" w:rsidR="00025070" w:rsidRPr="00025070" w:rsidRDefault="00025070" w:rsidP="00536AFF">
      <w:pPr>
        <w:pStyle w:val="Heading6"/>
      </w:pPr>
      <w:r w:rsidRPr="00025070">
        <w:t>Safety</w:t>
      </w:r>
    </w:p>
    <w:p w14:paraId="604B36E2" w14:textId="4D73DAB2" w:rsidR="00025070" w:rsidRPr="00025070" w:rsidRDefault="00025070" w:rsidP="00025070">
      <w:r w:rsidRPr="00025070">
        <w:t xml:space="preserve">In the safety analysis set </w:t>
      </w:r>
      <w:r w:rsidR="00B43AB2">
        <w:t xml:space="preserve">in study </w:t>
      </w:r>
      <w:r w:rsidR="00B43AB2" w:rsidRPr="00025070">
        <w:t>ADCT-402-101</w:t>
      </w:r>
      <w:r w:rsidRPr="00025070">
        <w:t xml:space="preserve">for DLBCL, the 150 </w:t>
      </w:r>
      <w:proofErr w:type="spellStart"/>
      <w:r w:rsidRPr="00025070">
        <w:t>μg</w:t>
      </w:r>
      <w:proofErr w:type="spellEnd"/>
      <w:r w:rsidRPr="00025070">
        <w:t xml:space="preserve">/kg Q3W dose group included 88 patients overall, with 39 patients receiving 150 </w:t>
      </w:r>
      <w:proofErr w:type="spellStart"/>
      <w:r w:rsidRPr="00025070">
        <w:t>μg</w:t>
      </w:r>
      <w:proofErr w:type="spellEnd"/>
      <w:r w:rsidRPr="00025070">
        <w:t xml:space="preserve">/kg Q3W x 3 then 75 µg/kg Q3W, and 33 patients receiving 150 </w:t>
      </w:r>
      <w:proofErr w:type="spellStart"/>
      <w:r w:rsidRPr="00025070">
        <w:t>μg</w:t>
      </w:r>
      <w:proofErr w:type="spellEnd"/>
      <w:r w:rsidRPr="00025070">
        <w:t xml:space="preserve">/kg Q3W ongoing. The 120 </w:t>
      </w:r>
      <w:proofErr w:type="spellStart"/>
      <w:r w:rsidRPr="00025070">
        <w:t>μg</w:t>
      </w:r>
      <w:proofErr w:type="spellEnd"/>
      <w:r w:rsidRPr="00025070">
        <w:t xml:space="preserve">/kg Q3W group comprised </w:t>
      </w:r>
      <w:r w:rsidR="00442519">
        <w:t xml:space="preserve">42 </w:t>
      </w:r>
      <w:r w:rsidRPr="00025070">
        <w:t>patients total for the safety analysis.</w:t>
      </w:r>
    </w:p>
    <w:p w14:paraId="40856F6B" w14:textId="2C57F457" w:rsidR="00025070" w:rsidRPr="00025070" w:rsidRDefault="00025070" w:rsidP="00025070">
      <w:r w:rsidRPr="00025070">
        <w:t xml:space="preserve">A greater proportion of patients in the </w:t>
      </w:r>
      <w:r w:rsidR="0005785F">
        <w:t xml:space="preserve">DLBCL </w:t>
      </w:r>
      <w:r w:rsidRPr="00025070">
        <w:t>150 µg/kg group than in the 120 µg/kg dose group experienced serious TEAEs (52.9% vs 43.8%) and fatal TEAEs (27.1% vs 18.8%). Safety profiles were otherwise comparable between these groups. The probability of a first TEAE leading to dose modifications rose sharply after the second dose: from &lt;15% during the first two doses, to approximately 30% at the third dose, and approximately 50% at the fourth dose.</w:t>
      </w:r>
    </w:p>
    <w:p w14:paraId="5A102440" w14:textId="436166A3" w:rsidR="00025070" w:rsidRPr="00025070" w:rsidRDefault="00176F09" w:rsidP="00025070">
      <w:r>
        <w:t>Table 12</w:t>
      </w:r>
      <w:r w:rsidR="00025070" w:rsidRPr="00025070">
        <w:t xml:space="preserve"> presents a summary of TEAE rates by dose subsets of the 150 µg/kg group. Rates of any Grade ≥3 TEAEs, any serious TEAEs, and fatal TEAEs were lower in patients receiving 150 </w:t>
      </w:r>
      <w:proofErr w:type="spellStart"/>
      <w:r w:rsidR="00025070" w:rsidRPr="00025070">
        <w:t>μg</w:t>
      </w:r>
      <w:proofErr w:type="spellEnd"/>
      <w:r w:rsidR="00025070" w:rsidRPr="00025070">
        <w:t xml:space="preserve">/kg Q3W x 2 then 75 µg/kg Q3W compared to other regimens in the 150 </w:t>
      </w:r>
      <w:proofErr w:type="spellStart"/>
      <w:r w:rsidR="00025070" w:rsidRPr="00025070">
        <w:t>μg</w:t>
      </w:r>
      <w:proofErr w:type="spellEnd"/>
      <w:r w:rsidR="00025070" w:rsidRPr="00025070">
        <w:t>/kg group.</w:t>
      </w:r>
    </w:p>
    <w:p w14:paraId="384B96EC" w14:textId="45456A99" w:rsidR="00025070" w:rsidRPr="00025070" w:rsidRDefault="00025070" w:rsidP="00536AFF">
      <w:pPr>
        <w:pStyle w:val="TableTitle"/>
      </w:pPr>
      <w:bookmarkStart w:id="61" w:name="_Ref218681131"/>
      <w:r w:rsidRPr="00025070">
        <w:lastRenderedPageBreak/>
        <w:t>Table</w:t>
      </w:r>
      <w:bookmarkEnd w:id="61"/>
      <w:r w:rsidR="00176F09">
        <w:t xml:space="preserve"> 12</w:t>
      </w:r>
      <w:r w:rsidR="00825F28">
        <w:t>.</w:t>
      </w:r>
      <w:r w:rsidRPr="00025070">
        <w:t xml:space="preserve"> Summary of TEAEs in patients in the 150 </w:t>
      </w:r>
      <w:proofErr w:type="spellStart"/>
      <w:r w:rsidRPr="00025070">
        <w:t>μg</w:t>
      </w:r>
      <w:proofErr w:type="spellEnd"/>
      <w:r w:rsidRPr="00025070">
        <w:t>/kg dose group by dosage regimen (Study ADCT-402-101, Part 2; Safety Analysis Set)</w:t>
      </w:r>
    </w:p>
    <w:p w14:paraId="48F0C193" w14:textId="373D983C" w:rsidR="0052630A" w:rsidRDefault="00F27F3C" w:rsidP="00025070">
      <w:r w:rsidRPr="00F27F3C">
        <w:rPr>
          <w:noProof/>
        </w:rPr>
        <w:drawing>
          <wp:inline distT="0" distB="0" distL="0" distR="0" wp14:anchorId="510604FF" wp14:editId="4128DD5F">
            <wp:extent cx="4937760" cy="4301894"/>
            <wp:effectExtent l="0" t="0" r="0" b="3810"/>
            <wp:docPr id="1055499605" name="Picture 1" descr="Table 12. Summary of TEAEs in DLBCL patients in the 150 μg/kg dose group by dosage regimen (Study ADCT-402-101, Part 2;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99605" name="Picture 1" descr="Table 12. Summary of TEAEs in DLBCL patients in the 150 μg/kg dose group by dosage regimen (Study ADCT-402-101, Part 2; Safety Analysis Set)"/>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4963822" cy="4324600"/>
                    </a:xfrm>
                    <a:prstGeom prst="rect">
                      <a:avLst/>
                    </a:prstGeom>
                  </pic:spPr>
                </pic:pic>
              </a:graphicData>
            </a:graphic>
          </wp:inline>
        </w:drawing>
      </w:r>
    </w:p>
    <w:p w14:paraId="317C28D5" w14:textId="77777777" w:rsidR="005F0F1D" w:rsidRDefault="005F0F1D" w:rsidP="005F0F1D">
      <w:pPr>
        <w:pStyle w:val="TableDescription"/>
      </w:pPr>
      <w:r>
        <w:t>ADCT-402 = loncastuximab tesirine</w:t>
      </w:r>
    </w:p>
    <w:p w14:paraId="03374D69" w14:textId="77777777" w:rsidR="005F0F1D" w:rsidRDefault="005F0F1D" w:rsidP="005F0F1D">
      <w:pPr>
        <w:pStyle w:val="TableDescription"/>
      </w:pPr>
      <w:r>
        <w:t>a "Related" defined as possibly related, probably related, or related including missing relationship.</w:t>
      </w:r>
    </w:p>
    <w:p w14:paraId="3B453C1E" w14:textId="7BA15EB0" w:rsidR="005F0F1D" w:rsidRDefault="005F0F1D" w:rsidP="005F0F1D">
      <w:pPr>
        <w:pStyle w:val="TableDescription"/>
      </w:pPr>
      <w:r>
        <w:t>Note: Adverse events are graded using CTCAE v4.0. Only treatment-emergent adverse events are summarised. For each category, patients are included only once, even if they experienced multiple events in that category.</w:t>
      </w:r>
    </w:p>
    <w:p w14:paraId="7DB12593" w14:textId="77777777" w:rsidR="00647D79" w:rsidRDefault="00647D79" w:rsidP="00647D79">
      <w:pPr>
        <w:pStyle w:val="Heading6"/>
      </w:pPr>
      <w:r>
        <w:t>Final dose selection</w:t>
      </w:r>
    </w:p>
    <w:p w14:paraId="0FFB64AD" w14:textId="57A74E08" w:rsidR="00647D79" w:rsidRDefault="00647D79" w:rsidP="00647D79">
      <w:r>
        <w:t xml:space="preserve">In addition to the above data from study ADCT-402-101, the final dose selection for study ADCT-402-201 was also informed by the ER modelling which demonstrated associations between increasing exposure and improved ORR and OS, but also with increased risk of adverse effects such as increased GGT. </w:t>
      </w:r>
    </w:p>
    <w:p w14:paraId="3A520675" w14:textId="77777777" w:rsidR="00647D79" w:rsidRDefault="00647D79" w:rsidP="00647D79">
      <w:r>
        <w:t xml:space="preserve">Overall, the 150 </w:t>
      </w:r>
      <w:proofErr w:type="spellStart"/>
      <w:r>
        <w:t>μg</w:t>
      </w:r>
      <w:proofErr w:type="spellEnd"/>
      <w:r>
        <w:t xml:space="preserve">/kg Q3W × 2 followed by 75 </w:t>
      </w:r>
      <w:proofErr w:type="spellStart"/>
      <w:r>
        <w:t>μg</w:t>
      </w:r>
      <w:proofErr w:type="spellEnd"/>
      <w:r>
        <w:t>/kg Q3W regimen was selected for study ADCT-402-201 to optimise the balance between maximising anti-tumour efficacy and mitigating cumulative toxicity through a planned dose reduction strategy.</w:t>
      </w:r>
    </w:p>
    <w:p w14:paraId="490BC295" w14:textId="77777777" w:rsidR="00647D79" w:rsidRDefault="00647D79" w:rsidP="00647D79">
      <w:pPr>
        <w:pStyle w:val="Heading6"/>
      </w:pPr>
      <w:r>
        <w:t>Confirmatory study</w:t>
      </w:r>
    </w:p>
    <w:p w14:paraId="6334AA5D" w14:textId="5F135A96" w:rsidR="00647D79" w:rsidRDefault="00647D79" w:rsidP="00647D79">
      <w:r>
        <w:t>To satisfy the requirements of the proposed provisional registration, the sponsor has commenced confirmatory study ADCT-402-311 (LOTIS-5), which is a phase 3 randomised study of loncastuximab tesirine combined with rituximab versus combined rituximab, gemcitabine and oxaliplatin (R-</w:t>
      </w:r>
      <w:proofErr w:type="spellStart"/>
      <w:r>
        <w:t>GemOx</w:t>
      </w:r>
      <w:proofErr w:type="spellEnd"/>
      <w:r>
        <w:t>) in patients with R/R DLBCL. The primary endpoint of LOTIS-5 is PFS by independent central review and estimated TGA submission is by the end of 2027 (Table 1</w:t>
      </w:r>
      <w:r w:rsidR="00176F09">
        <w:t>3</w:t>
      </w:r>
      <w:r>
        <w:t xml:space="preserve">). </w:t>
      </w:r>
    </w:p>
    <w:p w14:paraId="7678A2A0" w14:textId="77777777" w:rsidR="00647D79" w:rsidRDefault="00647D79" w:rsidP="00647D79">
      <w:r>
        <w:t xml:space="preserve">Regular meetings of the independent Data Monitoring Committee have all recommended the study to continue without modification, including at a pre-specified futility interim analysis in </w:t>
      </w:r>
      <w:r>
        <w:lastRenderedPageBreak/>
        <w:t>July 2024, and safety review at the most recent meeting on 30 Sep 2025. The study is now fully enrolled with 420 randomised patients.</w:t>
      </w:r>
    </w:p>
    <w:p w14:paraId="0D03C319" w14:textId="6C954CC0" w:rsidR="00647D79" w:rsidRDefault="00647D79" w:rsidP="00647D79">
      <w:r>
        <w:t>Loncastuximab tesirine has received conditional or provisional approval based on LOTIS-5 as the agreed confirmatory study in several jurisdictions, including the United States (Apr</w:t>
      </w:r>
      <w:r w:rsidR="00A11F67">
        <w:t>il</w:t>
      </w:r>
      <w:r>
        <w:t xml:space="preserve"> 2021), the European Union (Dec</w:t>
      </w:r>
      <w:r w:rsidR="00A11F67">
        <w:t>ember</w:t>
      </w:r>
      <w:r>
        <w:t xml:space="preserve"> 2022), the United Kingdom (Feb</w:t>
      </w:r>
      <w:r w:rsidR="00A11F67">
        <w:t>ruary</w:t>
      </w:r>
      <w:r>
        <w:t xml:space="preserve"> 2023), and Canada (Mar 2025).</w:t>
      </w:r>
    </w:p>
    <w:p w14:paraId="29DAAE9D" w14:textId="32B0DBA1" w:rsidR="005F0F1D" w:rsidRDefault="00647D79" w:rsidP="00647D79">
      <w:pPr>
        <w:pStyle w:val="TableTitle"/>
      </w:pPr>
      <w:r>
        <w:t>Table 1</w:t>
      </w:r>
      <w:r w:rsidR="00176F09">
        <w:t>3.</w:t>
      </w:r>
      <w:r>
        <w:t xml:space="preserve"> Clinical study plan for provisional registration</w:t>
      </w:r>
    </w:p>
    <w:p w14:paraId="28765840" w14:textId="5F2456E1" w:rsidR="008C0FD1" w:rsidRPr="003E6A48" w:rsidRDefault="008C0FD1" w:rsidP="009C7E5A">
      <w:r w:rsidRPr="007C5AFD">
        <w:rPr>
          <w:noProof/>
        </w:rPr>
        <w:drawing>
          <wp:inline distT="0" distB="0" distL="0" distR="0" wp14:anchorId="1025E875" wp14:editId="375A857C">
            <wp:extent cx="5759450" cy="1831291"/>
            <wp:effectExtent l="0" t="0" r="0" b="0"/>
            <wp:docPr id="918642049" name="Picture 1" descr="Table 13. Clinical study plan for provisional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42049" name="Picture 1" descr="Table 13. Clinical study plan for provisional registration"/>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5759450" cy="1831291"/>
                    </a:xfrm>
                    <a:prstGeom prst="rect">
                      <a:avLst/>
                    </a:prstGeom>
                  </pic:spPr>
                </pic:pic>
              </a:graphicData>
            </a:graphic>
          </wp:inline>
        </w:drawing>
      </w:r>
    </w:p>
    <w:p w14:paraId="52B1ACFB" w14:textId="1A268E94" w:rsidR="00A73332" w:rsidRDefault="005F6B03" w:rsidP="005F6B03">
      <w:pPr>
        <w:pStyle w:val="TableDescription"/>
      </w:pPr>
      <w:r w:rsidRPr="005F6B03">
        <w:t xml:space="preserve">Abbreviations: PFS = progression free survival; ORR = overall response rate; </w:t>
      </w:r>
      <w:proofErr w:type="spellStart"/>
      <w:r w:rsidRPr="005F6B03">
        <w:t>DoR</w:t>
      </w:r>
      <w:proofErr w:type="spellEnd"/>
      <w:r w:rsidRPr="005F6B03">
        <w:t xml:space="preserve"> = duration of response</w:t>
      </w:r>
    </w:p>
    <w:p w14:paraId="250F6AA3" w14:textId="77777777" w:rsidR="00EC03E0" w:rsidRDefault="00EC03E0" w:rsidP="00EC03E0">
      <w:pPr>
        <w:pStyle w:val="Heading3"/>
        <w:rPr>
          <w:lang w:eastAsia="en-AU"/>
        </w:rPr>
      </w:pPr>
      <w:bookmarkStart w:id="62" w:name="_Toc103679298"/>
      <w:bookmarkStart w:id="63" w:name="_Toc232504991"/>
      <w:r>
        <w:rPr>
          <w:lang w:eastAsia="en-AU"/>
        </w:rPr>
        <w:t>Risk management plan</w:t>
      </w:r>
      <w:bookmarkEnd w:id="62"/>
      <w:bookmarkEnd w:id="63"/>
    </w:p>
    <w:p w14:paraId="72C901DB" w14:textId="77777777" w:rsidR="009431B5" w:rsidRPr="009431B5" w:rsidRDefault="009431B5" w:rsidP="009431B5">
      <w:r w:rsidRPr="009431B5">
        <w:t>The sponsor has submitted EU-RMP version 3.0 (date 18 Sep 2025; DLP 01 Mar 2021) and Australian-Specific Annex (ASA) version 0.3 (date 17 Dec 2025) in support of this application.</w:t>
      </w:r>
    </w:p>
    <w:p w14:paraId="245920D4" w14:textId="38D5E5B0" w:rsidR="009431B5" w:rsidRDefault="009431B5" w:rsidP="009431B5">
      <w:r w:rsidRPr="009431B5">
        <w:t>The summary of safety concerns is outlined below</w:t>
      </w:r>
      <w:r w:rsidR="007E4CC2">
        <w:t xml:space="preserve"> in Table 1</w:t>
      </w:r>
      <w:r w:rsidR="00176F09">
        <w:t>4</w:t>
      </w:r>
      <w:r w:rsidRPr="009431B5">
        <w:t>.</w:t>
      </w:r>
    </w:p>
    <w:p w14:paraId="09748732" w14:textId="2E7DB601" w:rsidR="007E4CC2" w:rsidRPr="009431B5" w:rsidRDefault="007E4CC2" w:rsidP="007E4CC2">
      <w:pPr>
        <w:pStyle w:val="TableTitle"/>
      </w:pPr>
      <w:r w:rsidRPr="007E4CC2">
        <w:t>Table 1</w:t>
      </w:r>
      <w:r w:rsidR="00176F09">
        <w:t>4</w:t>
      </w:r>
      <w:r w:rsidR="00A11F67">
        <w:t>.</w:t>
      </w:r>
      <w:r w:rsidRPr="007E4CC2">
        <w:t xml:space="preserve"> Summary of safety concerns</w:t>
      </w:r>
    </w:p>
    <w:tbl>
      <w:tblPr>
        <w:tblStyle w:val="TableGrid"/>
        <w:tblW w:w="9469"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Caption w:val="Table 14. Summary of safety concerns"/>
        <w:tblDescription w:val="Table 14. Summary of safety concerns"/>
      </w:tblPr>
      <w:tblGrid>
        <w:gridCol w:w="1327"/>
        <w:gridCol w:w="4400"/>
        <w:gridCol w:w="851"/>
        <w:gridCol w:w="1020"/>
        <w:gridCol w:w="823"/>
        <w:gridCol w:w="1048"/>
      </w:tblGrid>
      <w:tr w:rsidR="00152D97" w:rsidRPr="00BF52F4" w14:paraId="4A7678E9" w14:textId="77777777" w:rsidTr="00E31435">
        <w:trPr>
          <w:trHeight w:val="131"/>
          <w:jc w:val="center"/>
        </w:trPr>
        <w:tc>
          <w:tcPr>
            <w:tcW w:w="5727" w:type="dxa"/>
            <w:gridSpan w:val="2"/>
            <w:vMerge w:val="restart"/>
            <w:shd w:val="clear" w:color="auto" w:fill="DEEAF6"/>
          </w:tcPr>
          <w:p w14:paraId="6FE48FCF" w14:textId="77777777" w:rsidR="00152D97" w:rsidRPr="006456F1" w:rsidRDefault="00152D97" w:rsidP="00DC7677">
            <w:pPr>
              <w:pStyle w:val="Tabletext0"/>
              <w:rPr>
                <w:b/>
                <w:color w:val="263287"/>
                <w:kern w:val="0"/>
              </w:rPr>
            </w:pPr>
            <w:r w:rsidRPr="006456F1">
              <w:rPr>
                <w:b/>
                <w:color w:val="263287"/>
                <w:kern w:val="0"/>
              </w:rPr>
              <w:t>Summary of safety concerns</w:t>
            </w:r>
          </w:p>
        </w:tc>
        <w:tc>
          <w:tcPr>
            <w:tcW w:w="1871" w:type="dxa"/>
            <w:gridSpan w:val="2"/>
            <w:shd w:val="clear" w:color="auto" w:fill="DEEAF6"/>
          </w:tcPr>
          <w:p w14:paraId="2E6DFC39" w14:textId="77777777" w:rsidR="00152D97" w:rsidRPr="006456F1" w:rsidRDefault="00152D97" w:rsidP="00DC7677">
            <w:pPr>
              <w:pStyle w:val="Tabletext0"/>
              <w:rPr>
                <w:b/>
                <w:color w:val="263287"/>
                <w:kern w:val="0"/>
                <w:sz w:val="18"/>
              </w:rPr>
            </w:pPr>
            <w:r w:rsidRPr="006456F1">
              <w:rPr>
                <w:b/>
                <w:color w:val="263287"/>
                <w:kern w:val="0"/>
                <w:sz w:val="18"/>
              </w:rPr>
              <w:t>Pharmacovigilance</w:t>
            </w:r>
          </w:p>
        </w:tc>
        <w:tc>
          <w:tcPr>
            <w:tcW w:w="1871" w:type="dxa"/>
            <w:gridSpan w:val="2"/>
            <w:shd w:val="clear" w:color="auto" w:fill="DEEAF6"/>
          </w:tcPr>
          <w:p w14:paraId="4C71F2A5" w14:textId="77777777" w:rsidR="00152D97" w:rsidRPr="006456F1" w:rsidRDefault="00152D97" w:rsidP="00DC7677">
            <w:pPr>
              <w:pStyle w:val="Tabletext0"/>
              <w:rPr>
                <w:b/>
                <w:color w:val="263287"/>
                <w:kern w:val="0"/>
                <w:sz w:val="18"/>
              </w:rPr>
            </w:pPr>
            <w:r w:rsidRPr="006456F1">
              <w:rPr>
                <w:b/>
                <w:color w:val="263287"/>
                <w:kern w:val="0"/>
                <w:sz w:val="18"/>
              </w:rPr>
              <w:t>Risk Minimisation</w:t>
            </w:r>
          </w:p>
        </w:tc>
      </w:tr>
      <w:tr w:rsidR="00152D97" w:rsidRPr="00BF52F4" w14:paraId="303B06BD" w14:textId="77777777" w:rsidTr="00E31435">
        <w:trPr>
          <w:trHeight w:val="150"/>
          <w:jc w:val="center"/>
        </w:trPr>
        <w:tc>
          <w:tcPr>
            <w:tcW w:w="5727" w:type="dxa"/>
            <w:gridSpan w:val="2"/>
            <w:vMerge/>
            <w:shd w:val="clear" w:color="auto" w:fill="DEEAF6"/>
          </w:tcPr>
          <w:p w14:paraId="3E095BBC" w14:textId="77777777" w:rsidR="00152D97" w:rsidRPr="006456F1" w:rsidRDefault="00152D97" w:rsidP="00DC7677">
            <w:pPr>
              <w:pStyle w:val="Tabletext0"/>
              <w:rPr>
                <w:b/>
                <w:color w:val="263287"/>
                <w:kern w:val="0"/>
              </w:rPr>
            </w:pPr>
          </w:p>
        </w:tc>
        <w:tc>
          <w:tcPr>
            <w:tcW w:w="851" w:type="dxa"/>
            <w:shd w:val="clear" w:color="auto" w:fill="DEEAF6"/>
          </w:tcPr>
          <w:p w14:paraId="08111404" w14:textId="77777777" w:rsidR="00152D97" w:rsidRPr="006456F1" w:rsidRDefault="00152D97" w:rsidP="00DC7677">
            <w:pPr>
              <w:pStyle w:val="Tabletext0"/>
              <w:rPr>
                <w:color w:val="263287"/>
                <w:kern w:val="0"/>
                <w:sz w:val="18"/>
              </w:rPr>
            </w:pPr>
            <w:r w:rsidRPr="006456F1">
              <w:rPr>
                <w:color w:val="263287"/>
                <w:kern w:val="0"/>
                <w:sz w:val="18"/>
              </w:rPr>
              <w:t>Routine</w:t>
            </w:r>
          </w:p>
        </w:tc>
        <w:tc>
          <w:tcPr>
            <w:tcW w:w="1020" w:type="dxa"/>
            <w:shd w:val="clear" w:color="auto" w:fill="DEEAF6"/>
          </w:tcPr>
          <w:p w14:paraId="12399354" w14:textId="77777777" w:rsidR="00152D97" w:rsidRPr="006456F1" w:rsidRDefault="00152D97" w:rsidP="00DC7677">
            <w:pPr>
              <w:pStyle w:val="Tabletext0"/>
              <w:rPr>
                <w:color w:val="263287"/>
                <w:kern w:val="0"/>
                <w:sz w:val="18"/>
              </w:rPr>
            </w:pPr>
            <w:r w:rsidRPr="006456F1">
              <w:rPr>
                <w:color w:val="263287"/>
                <w:kern w:val="0"/>
                <w:sz w:val="18"/>
              </w:rPr>
              <w:t>Additional</w:t>
            </w:r>
          </w:p>
        </w:tc>
        <w:tc>
          <w:tcPr>
            <w:tcW w:w="823" w:type="dxa"/>
            <w:shd w:val="clear" w:color="auto" w:fill="DEEAF6"/>
          </w:tcPr>
          <w:p w14:paraId="45D5C7FF" w14:textId="77777777" w:rsidR="00152D97" w:rsidRPr="006456F1" w:rsidRDefault="00152D97" w:rsidP="00DC7677">
            <w:pPr>
              <w:pStyle w:val="Tabletext0"/>
              <w:rPr>
                <w:color w:val="263287"/>
                <w:kern w:val="0"/>
                <w:sz w:val="18"/>
              </w:rPr>
            </w:pPr>
            <w:r w:rsidRPr="006456F1">
              <w:rPr>
                <w:color w:val="263287"/>
                <w:kern w:val="0"/>
                <w:sz w:val="18"/>
              </w:rPr>
              <w:t>Routine</w:t>
            </w:r>
          </w:p>
        </w:tc>
        <w:tc>
          <w:tcPr>
            <w:tcW w:w="1048" w:type="dxa"/>
            <w:shd w:val="clear" w:color="auto" w:fill="DEEAF6"/>
          </w:tcPr>
          <w:p w14:paraId="35664A3E" w14:textId="77777777" w:rsidR="00152D97" w:rsidRPr="006456F1" w:rsidRDefault="00152D97" w:rsidP="00DC7677">
            <w:pPr>
              <w:pStyle w:val="Tabletext0"/>
              <w:rPr>
                <w:color w:val="263287"/>
                <w:kern w:val="0"/>
                <w:sz w:val="18"/>
              </w:rPr>
            </w:pPr>
            <w:r w:rsidRPr="006456F1">
              <w:rPr>
                <w:color w:val="263287"/>
                <w:kern w:val="0"/>
                <w:sz w:val="18"/>
              </w:rPr>
              <w:t>Additional</w:t>
            </w:r>
          </w:p>
        </w:tc>
      </w:tr>
      <w:tr w:rsidR="00152D97" w:rsidRPr="00BF52F4" w14:paraId="13D916DB" w14:textId="77777777" w:rsidTr="00E31435">
        <w:trPr>
          <w:trHeight w:val="137"/>
          <w:jc w:val="center"/>
        </w:trPr>
        <w:tc>
          <w:tcPr>
            <w:tcW w:w="1327" w:type="dxa"/>
            <w:vMerge w:val="restart"/>
          </w:tcPr>
          <w:p w14:paraId="637E4ECF" w14:textId="77777777" w:rsidR="00152D97" w:rsidRPr="00BF52F4" w:rsidRDefault="00152D97" w:rsidP="00DC7677">
            <w:pPr>
              <w:pStyle w:val="Tabletext0"/>
              <w:rPr>
                <w:b/>
                <w:kern w:val="0"/>
              </w:rPr>
            </w:pPr>
            <w:r w:rsidRPr="00BF52F4">
              <w:rPr>
                <w:b/>
                <w:kern w:val="0"/>
              </w:rPr>
              <w:t>Important identified risks</w:t>
            </w:r>
          </w:p>
        </w:tc>
        <w:tc>
          <w:tcPr>
            <w:tcW w:w="4400" w:type="dxa"/>
          </w:tcPr>
          <w:p w14:paraId="7FA24658" w14:textId="77777777" w:rsidR="00152D97" w:rsidRPr="00BF52F4" w:rsidRDefault="00152D97" w:rsidP="00DC7677">
            <w:pPr>
              <w:pStyle w:val="Tabletext0"/>
              <w:rPr>
                <w:kern w:val="0"/>
              </w:rPr>
            </w:pPr>
            <w:r w:rsidRPr="008843B9">
              <w:rPr>
                <w:kern w:val="0"/>
              </w:rPr>
              <w:t>Phototoxicity</w:t>
            </w:r>
          </w:p>
        </w:tc>
        <w:tc>
          <w:tcPr>
            <w:tcW w:w="851" w:type="dxa"/>
            <w:vAlign w:val="center"/>
          </w:tcPr>
          <w:p w14:paraId="0F71946F" w14:textId="77777777" w:rsidR="00152D97" w:rsidRPr="00404AD8" w:rsidRDefault="00152D97" w:rsidP="00DC7677">
            <w:pPr>
              <w:pStyle w:val="Tabletext0"/>
              <w:jc w:val="center"/>
              <w:rPr>
                <w:kern w:val="0"/>
              </w:rPr>
            </w:pPr>
            <w:r w:rsidRPr="00404AD8">
              <w:rPr>
                <w:rFonts w:ascii="Wingdings" w:eastAsia="Wingdings" w:hAnsi="Wingdings" w:cs="Wingdings"/>
                <w:kern w:val="0"/>
              </w:rPr>
              <w:t>ü</w:t>
            </w:r>
            <w:r w:rsidRPr="008F547B">
              <w:rPr>
                <w:rFonts w:eastAsia="Cambria"/>
                <w:kern w:val="0"/>
                <w:vertAlign w:val="superscript"/>
              </w:rPr>
              <w:t>#</w:t>
            </w:r>
          </w:p>
        </w:tc>
        <w:tc>
          <w:tcPr>
            <w:tcW w:w="1020" w:type="dxa"/>
            <w:vAlign w:val="center"/>
          </w:tcPr>
          <w:p w14:paraId="1358208C" w14:textId="77777777" w:rsidR="00152D97" w:rsidRPr="008F547B" w:rsidRDefault="00152D97" w:rsidP="00DC7677">
            <w:pPr>
              <w:pStyle w:val="Tabletext0"/>
              <w:jc w:val="center"/>
              <w:rPr>
                <w:kern w:val="0"/>
              </w:rPr>
            </w:pPr>
            <w:r w:rsidRPr="008F547B">
              <w:rPr>
                <w:kern w:val="0"/>
              </w:rPr>
              <w:t>–</w:t>
            </w:r>
          </w:p>
        </w:tc>
        <w:tc>
          <w:tcPr>
            <w:tcW w:w="823" w:type="dxa"/>
            <w:vAlign w:val="center"/>
          </w:tcPr>
          <w:p w14:paraId="36E55382" w14:textId="77777777" w:rsidR="00152D97" w:rsidRPr="008F547B" w:rsidRDefault="00152D97" w:rsidP="00DC7677">
            <w:pPr>
              <w:pStyle w:val="Tabletext0"/>
              <w:jc w:val="center"/>
              <w:rPr>
                <w:kern w:val="0"/>
              </w:rPr>
            </w:pPr>
            <w:r w:rsidRPr="008F547B">
              <w:rPr>
                <w:rFonts w:ascii="Wingdings" w:eastAsia="Wingdings" w:hAnsi="Wingdings" w:cs="Wingdings"/>
                <w:kern w:val="0"/>
              </w:rPr>
              <w:t>ü</w:t>
            </w:r>
          </w:p>
        </w:tc>
        <w:tc>
          <w:tcPr>
            <w:tcW w:w="1048" w:type="dxa"/>
            <w:vAlign w:val="center"/>
          </w:tcPr>
          <w:p w14:paraId="16C161FE" w14:textId="77777777" w:rsidR="00152D97" w:rsidRPr="008F547B" w:rsidRDefault="00152D97" w:rsidP="00DC7677">
            <w:pPr>
              <w:pStyle w:val="Tabletext0"/>
              <w:jc w:val="center"/>
              <w:rPr>
                <w:kern w:val="0"/>
              </w:rPr>
            </w:pPr>
            <w:r w:rsidRPr="008F547B">
              <w:rPr>
                <w:rFonts w:ascii="Wingdings" w:eastAsia="Wingdings" w:hAnsi="Wingdings" w:cs="Wingdings"/>
                <w:kern w:val="0"/>
              </w:rPr>
              <w:t>ü</w:t>
            </w:r>
            <w:r w:rsidRPr="008F547B">
              <w:rPr>
                <w:rFonts w:asciiTheme="majorHAnsi" w:hAnsiTheme="majorHAnsi"/>
                <w:kern w:val="0"/>
                <w:szCs w:val="20"/>
              </w:rPr>
              <w:t>*</w:t>
            </w:r>
          </w:p>
        </w:tc>
      </w:tr>
      <w:tr w:rsidR="00152D97" w:rsidRPr="00BF52F4" w14:paraId="4F79BDE7" w14:textId="77777777" w:rsidTr="00E31435">
        <w:trPr>
          <w:trHeight w:val="94"/>
          <w:jc w:val="center"/>
        </w:trPr>
        <w:tc>
          <w:tcPr>
            <w:tcW w:w="1327" w:type="dxa"/>
            <w:vMerge/>
          </w:tcPr>
          <w:p w14:paraId="0A4E9146" w14:textId="77777777" w:rsidR="00152D97" w:rsidRPr="00BF52F4" w:rsidRDefault="00152D97" w:rsidP="00DC7677">
            <w:pPr>
              <w:pStyle w:val="Tabletext0"/>
              <w:rPr>
                <w:b/>
                <w:kern w:val="0"/>
              </w:rPr>
            </w:pPr>
          </w:p>
        </w:tc>
        <w:tc>
          <w:tcPr>
            <w:tcW w:w="4400" w:type="dxa"/>
          </w:tcPr>
          <w:p w14:paraId="0327E960" w14:textId="77777777" w:rsidR="00152D97" w:rsidRPr="00BF52F4" w:rsidRDefault="00152D97" w:rsidP="00DC7677">
            <w:pPr>
              <w:pStyle w:val="Tabletext0"/>
              <w:rPr>
                <w:kern w:val="0"/>
              </w:rPr>
            </w:pPr>
            <w:r w:rsidRPr="006D0778">
              <w:rPr>
                <w:kern w:val="0"/>
              </w:rPr>
              <w:t>Oedema and effusion</w:t>
            </w:r>
          </w:p>
        </w:tc>
        <w:tc>
          <w:tcPr>
            <w:tcW w:w="851" w:type="dxa"/>
            <w:vAlign w:val="center"/>
          </w:tcPr>
          <w:p w14:paraId="2D30AB2B" w14:textId="77777777" w:rsidR="00152D97" w:rsidRPr="00404AD8" w:rsidRDefault="00152D97" w:rsidP="00DC7677">
            <w:pPr>
              <w:pStyle w:val="Tabletext0"/>
              <w:jc w:val="center"/>
              <w:rPr>
                <w:kern w:val="0"/>
              </w:rPr>
            </w:pPr>
            <w:r w:rsidRPr="00404AD8">
              <w:rPr>
                <w:rFonts w:ascii="Wingdings" w:eastAsia="Wingdings" w:hAnsi="Wingdings" w:cs="Wingdings"/>
                <w:kern w:val="0"/>
              </w:rPr>
              <w:t>ü</w:t>
            </w:r>
          </w:p>
        </w:tc>
        <w:tc>
          <w:tcPr>
            <w:tcW w:w="1020" w:type="dxa"/>
            <w:vAlign w:val="center"/>
          </w:tcPr>
          <w:p w14:paraId="3F23594E" w14:textId="77777777" w:rsidR="00152D97" w:rsidRPr="008F547B" w:rsidRDefault="00152D97" w:rsidP="00DC7677">
            <w:pPr>
              <w:pStyle w:val="Tabletext0"/>
              <w:jc w:val="center"/>
              <w:rPr>
                <w:kern w:val="0"/>
              </w:rPr>
            </w:pPr>
            <w:r w:rsidRPr="008F547B">
              <w:rPr>
                <w:kern w:val="0"/>
              </w:rPr>
              <w:t>–</w:t>
            </w:r>
          </w:p>
        </w:tc>
        <w:tc>
          <w:tcPr>
            <w:tcW w:w="823" w:type="dxa"/>
            <w:vAlign w:val="center"/>
          </w:tcPr>
          <w:p w14:paraId="4A25D728" w14:textId="77777777" w:rsidR="00152D97" w:rsidRPr="008F547B" w:rsidRDefault="00152D97" w:rsidP="00DC7677">
            <w:pPr>
              <w:pStyle w:val="Tabletext0"/>
              <w:jc w:val="center"/>
              <w:rPr>
                <w:kern w:val="0"/>
              </w:rPr>
            </w:pPr>
            <w:r w:rsidRPr="008F547B">
              <w:rPr>
                <w:rFonts w:ascii="Wingdings" w:eastAsia="Wingdings" w:hAnsi="Wingdings" w:cs="Wingdings"/>
                <w:kern w:val="0"/>
              </w:rPr>
              <w:t>ü</w:t>
            </w:r>
          </w:p>
        </w:tc>
        <w:tc>
          <w:tcPr>
            <w:tcW w:w="1048" w:type="dxa"/>
            <w:vAlign w:val="center"/>
          </w:tcPr>
          <w:p w14:paraId="28BC00DC" w14:textId="77777777" w:rsidR="00152D97" w:rsidRPr="008F547B" w:rsidRDefault="00152D97" w:rsidP="00DC7677">
            <w:pPr>
              <w:pStyle w:val="Tabletext0"/>
              <w:jc w:val="center"/>
              <w:rPr>
                <w:kern w:val="0"/>
              </w:rPr>
            </w:pPr>
            <w:r w:rsidRPr="008F547B">
              <w:rPr>
                <w:kern w:val="0"/>
              </w:rPr>
              <w:t>–</w:t>
            </w:r>
          </w:p>
        </w:tc>
      </w:tr>
      <w:tr w:rsidR="00152D97" w:rsidRPr="00BF52F4" w14:paraId="5FEF8EC7" w14:textId="77777777" w:rsidTr="00E31435">
        <w:trPr>
          <w:trHeight w:val="159"/>
          <w:jc w:val="center"/>
        </w:trPr>
        <w:tc>
          <w:tcPr>
            <w:tcW w:w="1327" w:type="dxa"/>
          </w:tcPr>
          <w:p w14:paraId="0C7739C9" w14:textId="77777777" w:rsidR="00152D97" w:rsidRPr="00BF52F4" w:rsidRDefault="00152D97" w:rsidP="00DC7677">
            <w:pPr>
              <w:pStyle w:val="Tabletext0"/>
              <w:rPr>
                <w:b/>
                <w:kern w:val="0"/>
              </w:rPr>
            </w:pPr>
            <w:r w:rsidRPr="00BF52F4">
              <w:rPr>
                <w:b/>
                <w:kern w:val="0"/>
              </w:rPr>
              <w:t>Important potential risks</w:t>
            </w:r>
          </w:p>
        </w:tc>
        <w:tc>
          <w:tcPr>
            <w:tcW w:w="4400" w:type="dxa"/>
          </w:tcPr>
          <w:p w14:paraId="54F098F4" w14:textId="77777777" w:rsidR="00152D97" w:rsidRPr="00BF52F4" w:rsidRDefault="00152D97" w:rsidP="00DC7677">
            <w:pPr>
              <w:pStyle w:val="Tabletext0"/>
              <w:rPr>
                <w:kern w:val="0"/>
              </w:rPr>
            </w:pPr>
            <w:r w:rsidRPr="00D80285">
              <w:rPr>
                <w:kern w:val="0"/>
              </w:rPr>
              <w:t>Embryo-foetal toxicity</w:t>
            </w:r>
          </w:p>
        </w:tc>
        <w:tc>
          <w:tcPr>
            <w:tcW w:w="851" w:type="dxa"/>
            <w:vAlign w:val="center"/>
          </w:tcPr>
          <w:p w14:paraId="2D28A6AD" w14:textId="77777777" w:rsidR="00152D97" w:rsidRPr="00404AD8" w:rsidRDefault="00152D97" w:rsidP="00DC7677">
            <w:pPr>
              <w:pStyle w:val="Tabletext0"/>
              <w:jc w:val="center"/>
              <w:rPr>
                <w:kern w:val="0"/>
              </w:rPr>
            </w:pPr>
            <w:r w:rsidRPr="00404AD8">
              <w:rPr>
                <w:rFonts w:ascii="Wingdings" w:eastAsia="Wingdings" w:hAnsi="Wingdings" w:cs="Wingdings"/>
                <w:kern w:val="0"/>
              </w:rPr>
              <w:t>ü</w:t>
            </w:r>
          </w:p>
        </w:tc>
        <w:tc>
          <w:tcPr>
            <w:tcW w:w="1020" w:type="dxa"/>
            <w:vAlign w:val="center"/>
          </w:tcPr>
          <w:p w14:paraId="0B8F131E" w14:textId="77777777" w:rsidR="00152D97" w:rsidRPr="008F547B" w:rsidRDefault="00152D97" w:rsidP="00DC7677">
            <w:pPr>
              <w:pStyle w:val="Tabletext0"/>
              <w:jc w:val="center"/>
              <w:rPr>
                <w:kern w:val="0"/>
              </w:rPr>
            </w:pPr>
            <w:r w:rsidRPr="008F547B">
              <w:rPr>
                <w:kern w:val="0"/>
              </w:rPr>
              <w:t>–</w:t>
            </w:r>
          </w:p>
        </w:tc>
        <w:tc>
          <w:tcPr>
            <w:tcW w:w="823" w:type="dxa"/>
            <w:vAlign w:val="center"/>
          </w:tcPr>
          <w:p w14:paraId="0ADD1854" w14:textId="77777777" w:rsidR="00152D97" w:rsidRPr="008F547B" w:rsidRDefault="00152D97" w:rsidP="00DC7677">
            <w:pPr>
              <w:pStyle w:val="Tabletext0"/>
              <w:jc w:val="center"/>
              <w:rPr>
                <w:kern w:val="0"/>
              </w:rPr>
            </w:pPr>
            <w:r w:rsidRPr="008F547B">
              <w:rPr>
                <w:rFonts w:ascii="Wingdings" w:eastAsia="Wingdings" w:hAnsi="Wingdings" w:cs="Wingdings"/>
                <w:kern w:val="0"/>
              </w:rPr>
              <w:t>ü</w:t>
            </w:r>
          </w:p>
        </w:tc>
        <w:tc>
          <w:tcPr>
            <w:tcW w:w="1048" w:type="dxa"/>
            <w:vAlign w:val="center"/>
          </w:tcPr>
          <w:p w14:paraId="5EFB0B5B" w14:textId="77777777" w:rsidR="00152D97" w:rsidRPr="008F547B" w:rsidRDefault="00152D97" w:rsidP="00DC7677">
            <w:pPr>
              <w:pStyle w:val="Tabletext0"/>
              <w:jc w:val="center"/>
              <w:rPr>
                <w:kern w:val="0"/>
              </w:rPr>
            </w:pPr>
            <w:r w:rsidRPr="008F547B">
              <w:rPr>
                <w:kern w:val="0"/>
              </w:rPr>
              <w:t>–</w:t>
            </w:r>
          </w:p>
        </w:tc>
      </w:tr>
      <w:tr w:rsidR="00152D97" w:rsidRPr="00BF52F4" w14:paraId="3A85F3F0" w14:textId="77777777" w:rsidTr="00E31435">
        <w:trPr>
          <w:trHeight w:val="178"/>
          <w:jc w:val="center"/>
        </w:trPr>
        <w:tc>
          <w:tcPr>
            <w:tcW w:w="1327" w:type="dxa"/>
            <w:vMerge w:val="restart"/>
          </w:tcPr>
          <w:p w14:paraId="044557A4" w14:textId="77777777" w:rsidR="00152D97" w:rsidRPr="00BF52F4" w:rsidRDefault="00152D97" w:rsidP="00DC7677">
            <w:pPr>
              <w:pStyle w:val="Tabletext0"/>
              <w:rPr>
                <w:b/>
                <w:kern w:val="0"/>
              </w:rPr>
            </w:pPr>
            <w:r w:rsidRPr="00BF52F4">
              <w:rPr>
                <w:b/>
                <w:kern w:val="0"/>
              </w:rPr>
              <w:t>Missing information</w:t>
            </w:r>
          </w:p>
        </w:tc>
        <w:tc>
          <w:tcPr>
            <w:tcW w:w="4400" w:type="dxa"/>
          </w:tcPr>
          <w:p w14:paraId="733FDEE7" w14:textId="77777777" w:rsidR="00152D97" w:rsidRPr="00BF52F4" w:rsidRDefault="00152D97" w:rsidP="00DC7677">
            <w:pPr>
              <w:pStyle w:val="Tabletext0"/>
              <w:rPr>
                <w:kern w:val="0"/>
              </w:rPr>
            </w:pPr>
            <w:r w:rsidRPr="00D80285">
              <w:rPr>
                <w:kern w:val="0"/>
              </w:rPr>
              <w:t>Use in patients with moderate or severe hepatic impairment</w:t>
            </w:r>
          </w:p>
        </w:tc>
        <w:tc>
          <w:tcPr>
            <w:tcW w:w="851" w:type="dxa"/>
            <w:vAlign w:val="center"/>
          </w:tcPr>
          <w:p w14:paraId="74574A30" w14:textId="77777777" w:rsidR="00152D97" w:rsidRPr="00404AD8" w:rsidRDefault="00152D97" w:rsidP="00DC7677">
            <w:pPr>
              <w:pStyle w:val="Tabletext0"/>
              <w:jc w:val="center"/>
              <w:rPr>
                <w:kern w:val="0"/>
              </w:rPr>
            </w:pPr>
            <w:r w:rsidRPr="00404AD8">
              <w:rPr>
                <w:rFonts w:ascii="Wingdings" w:eastAsia="Wingdings" w:hAnsi="Wingdings" w:cs="Wingdings"/>
                <w:kern w:val="0"/>
              </w:rPr>
              <w:t>ü</w:t>
            </w:r>
          </w:p>
        </w:tc>
        <w:tc>
          <w:tcPr>
            <w:tcW w:w="1020" w:type="dxa"/>
            <w:vAlign w:val="center"/>
          </w:tcPr>
          <w:p w14:paraId="53C60075" w14:textId="77777777" w:rsidR="00152D97" w:rsidRPr="008F547B" w:rsidRDefault="00152D97" w:rsidP="00DC7677">
            <w:pPr>
              <w:pStyle w:val="Tabletext0"/>
              <w:jc w:val="center"/>
              <w:rPr>
                <w:kern w:val="0"/>
              </w:rPr>
            </w:pPr>
            <w:r w:rsidRPr="008F547B">
              <w:rPr>
                <w:rFonts w:ascii="Wingdings" w:eastAsia="Wingdings" w:hAnsi="Wingdings" w:cs="Wingdings"/>
                <w:kern w:val="0"/>
              </w:rPr>
              <w:t>ü</w:t>
            </w:r>
            <w:r w:rsidRPr="008F547B">
              <w:rPr>
                <w:rFonts w:asciiTheme="majorHAnsi" w:hAnsiTheme="majorHAnsi"/>
                <w:kern w:val="0"/>
                <w:szCs w:val="20"/>
              </w:rPr>
              <w:t>†</w:t>
            </w:r>
          </w:p>
        </w:tc>
        <w:tc>
          <w:tcPr>
            <w:tcW w:w="823" w:type="dxa"/>
            <w:vAlign w:val="center"/>
          </w:tcPr>
          <w:p w14:paraId="6E0C6D6E" w14:textId="77777777" w:rsidR="00152D97" w:rsidRPr="008F547B" w:rsidRDefault="00152D97" w:rsidP="00DC7677">
            <w:pPr>
              <w:pStyle w:val="Tabletext0"/>
              <w:jc w:val="center"/>
              <w:rPr>
                <w:kern w:val="0"/>
              </w:rPr>
            </w:pPr>
            <w:r w:rsidRPr="008F547B">
              <w:rPr>
                <w:rFonts w:ascii="Wingdings" w:eastAsia="Wingdings" w:hAnsi="Wingdings" w:cs="Wingdings"/>
                <w:kern w:val="0"/>
              </w:rPr>
              <w:t>ü</w:t>
            </w:r>
          </w:p>
        </w:tc>
        <w:tc>
          <w:tcPr>
            <w:tcW w:w="1048" w:type="dxa"/>
            <w:vAlign w:val="center"/>
          </w:tcPr>
          <w:p w14:paraId="6DCF087F" w14:textId="77777777" w:rsidR="00152D97" w:rsidRPr="008F547B" w:rsidRDefault="00152D97" w:rsidP="00DC7677">
            <w:pPr>
              <w:pStyle w:val="Tabletext0"/>
              <w:jc w:val="center"/>
              <w:rPr>
                <w:kern w:val="0"/>
              </w:rPr>
            </w:pPr>
            <w:r w:rsidRPr="008F547B">
              <w:rPr>
                <w:kern w:val="0"/>
              </w:rPr>
              <w:t>–</w:t>
            </w:r>
          </w:p>
        </w:tc>
      </w:tr>
      <w:tr w:rsidR="00152D97" w:rsidRPr="00BF52F4" w14:paraId="249FC9F4" w14:textId="77777777" w:rsidTr="00E31435">
        <w:trPr>
          <w:trHeight w:val="103"/>
          <w:jc w:val="center"/>
        </w:trPr>
        <w:tc>
          <w:tcPr>
            <w:tcW w:w="1327" w:type="dxa"/>
            <w:vMerge/>
          </w:tcPr>
          <w:p w14:paraId="3FEC0525" w14:textId="77777777" w:rsidR="00152D97" w:rsidRPr="00BF52F4" w:rsidRDefault="00152D97" w:rsidP="00DC7677">
            <w:pPr>
              <w:pStyle w:val="Tabletext0"/>
              <w:rPr>
                <w:kern w:val="0"/>
              </w:rPr>
            </w:pPr>
          </w:p>
        </w:tc>
        <w:tc>
          <w:tcPr>
            <w:tcW w:w="4400" w:type="dxa"/>
          </w:tcPr>
          <w:p w14:paraId="5C8E36CE" w14:textId="77777777" w:rsidR="00152D97" w:rsidRPr="00BF52F4" w:rsidRDefault="00152D97" w:rsidP="00DC7677">
            <w:pPr>
              <w:pStyle w:val="Tabletext0"/>
              <w:rPr>
                <w:kern w:val="0"/>
              </w:rPr>
            </w:pPr>
            <w:r w:rsidRPr="000B2584">
              <w:rPr>
                <w:kern w:val="0"/>
              </w:rPr>
              <w:t>Use in patients with severe renal impairment</w:t>
            </w:r>
          </w:p>
        </w:tc>
        <w:tc>
          <w:tcPr>
            <w:tcW w:w="851" w:type="dxa"/>
            <w:vAlign w:val="center"/>
          </w:tcPr>
          <w:p w14:paraId="56D958EC" w14:textId="77777777" w:rsidR="00152D97" w:rsidRPr="00404AD8" w:rsidRDefault="00152D97" w:rsidP="00DC7677">
            <w:pPr>
              <w:pStyle w:val="Tabletext0"/>
              <w:jc w:val="center"/>
              <w:rPr>
                <w:kern w:val="0"/>
              </w:rPr>
            </w:pPr>
            <w:r w:rsidRPr="00404AD8">
              <w:rPr>
                <w:rFonts w:ascii="Wingdings" w:eastAsia="Wingdings" w:hAnsi="Wingdings" w:cs="Wingdings"/>
                <w:kern w:val="0"/>
              </w:rPr>
              <w:t>ü</w:t>
            </w:r>
          </w:p>
        </w:tc>
        <w:tc>
          <w:tcPr>
            <w:tcW w:w="1020" w:type="dxa"/>
            <w:vAlign w:val="center"/>
          </w:tcPr>
          <w:p w14:paraId="6B3538A3" w14:textId="77777777" w:rsidR="00152D97" w:rsidRPr="00404AD8" w:rsidRDefault="00152D97" w:rsidP="00DC7677">
            <w:pPr>
              <w:pStyle w:val="Tabletext0"/>
              <w:jc w:val="center"/>
              <w:rPr>
                <w:kern w:val="0"/>
              </w:rPr>
            </w:pPr>
            <w:r w:rsidRPr="00404AD8">
              <w:rPr>
                <w:kern w:val="0"/>
              </w:rPr>
              <w:t>–</w:t>
            </w:r>
          </w:p>
        </w:tc>
        <w:tc>
          <w:tcPr>
            <w:tcW w:w="823" w:type="dxa"/>
            <w:vAlign w:val="center"/>
          </w:tcPr>
          <w:p w14:paraId="73CABC6C" w14:textId="77777777" w:rsidR="00152D97" w:rsidRPr="00404AD8" w:rsidRDefault="00152D97" w:rsidP="00DC7677">
            <w:pPr>
              <w:pStyle w:val="Tabletext0"/>
              <w:jc w:val="center"/>
              <w:rPr>
                <w:kern w:val="0"/>
              </w:rPr>
            </w:pPr>
            <w:r w:rsidRPr="00404AD8">
              <w:rPr>
                <w:rFonts w:ascii="Wingdings" w:eastAsia="Wingdings" w:hAnsi="Wingdings" w:cs="Wingdings"/>
                <w:kern w:val="0"/>
              </w:rPr>
              <w:t>ü</w:t>
            </w:r>
          </w:p>
        </w:tc>
        <w:tc>
          <w:tcPr>
            <w:tcW w:w="1048" w:type="dxa"/>
            <w:vAlign w:val="center"/>
          </w:tcPr>
          <w:p w14:paraId="43AB7B23" w14:textId="77777777" w:rsidR="00152D97" w:rsidRPr="00404AD8" w:rsidRDefault="00152D97" w:rsidP="00DC7677">
            <w:pPr>
              <w:pStyle w:val="Tabletext0"/>
              <w:jc w:val="center"/>
              <w:rPr>
                <w:kern w:val="0"/>
              </w:rPr>
            </w:pPr>
            <w:r w:rsidRPr="00404AD8">
              <w:rPr>
                <w:kern w:val="0"/>
              </w:rPr>
              <w:t>–</w:t>
            </w:r>
          </w:p>
        </w:tc>
      </w:tr>
    </w:tbl>
    <w:p w14:paraId="5290DCA0" w14:textId="77777777" w:rsidR="00E31435" w:rsidRDefault="00E31435" w:rsidP="00E31435">
      <w:pPr>
        <w:pStyle w:val="TableDescription"/>
      </w:pPr>
      <w:r>
        <w:t>#Follow-up questionnaire</w:t>
      </w:r>
    </w:p>
    <w:p w14:paraId="1A6CB8A0" w14:textId="77777777" w:rsidR="00E31435" w:rsidRDefault="00E31435" w:rsidP="00E31435">
      <w:pPr>
        <w:pStyle w:val="TableDescription"/>
      </w:pPr>
      <w:r>
        <w:t>†Hepatic impairment study</w:t>
      </w:r>
    </w:p>
    <w:p w14:paraId="437585C3" w14:textId="57F38513" w:rsidR="005C7D58" w:rsidRDefault="00E31435" w:rsidP="00E31435">
      <w:pPr>
        <w:pStyle w:val="TableDescription"/>
      </w:pPr>
      <w:r>
        <w:t>*Patient Card</w:t>
      </w:r>
    </w:p>
    <w:p w14:paraId="3ADA8E53" w14:textId="5CF90B8A" w:rsidR="004F46C9" w:rsidRDefault="004F46C9" w:rsidP="004F46C9">
      <w:r>
        <w:t>The RMP evaluator has commented that the summary of safety concerns and pharmacovigilance plan are both acceptable from an RMP perspective, and that there were no RMP recommendations that would impede decision on this submission.</w:t>
      </w:r>
    </w:p>
    <w:p w14:paraId="38DE8B9C" w14:textId="593C9D73" w:rsidR="00FB0857" w:rsidRPr="008970E1" w:rsidRDefault="004F46C9" w:rsidP="004F46C9">
      <w:r>
        <w:t>The RMP evaluator has advised the sponsor to update the Risk Minimisation Plan section of the ASA as detailed in their report when the ASA is next updated, and that the Patient Card in its final format should be submitted for review no later than 6 weeks prior to product launch.</w:t>
      </w:r>
    </w:p>
    <w:p w14:paraId="74A4F87F" w14:textId="77777777" w:rsidR="00C22214" w:rsidRDefault="00C22214" w:rsidP="00C22214">
      <w:pPr>
        <w:pStyle w:val="Heading3"/>
      </w:pPr>
      <w:bookmarkStart w:id="64" w:name="_Toc247691531"/>
      <w:bookmarkStart w:id="65" w:name="_Toc314842515"/>
      <w:bookmarkStart w:id="66" w:name="_Toc103679299"/>
      <w:bookmarkStart w:id="67" w:name="_Toc232504992"/>
      <w:r>
        <w:lastRenderedPageBreak/>
        <w:t>Risk-benefit analysis</w:t>
      </w:r>
      <w:bookmarkEnd w:id="64"/>
      <w:bookmarkEnd w:id="65"/>
      <w:bookmarkEnd w:id="66"/>
      <w:bookmarkEnd w:id="67"/>
    </w:p>
    <w:p w14:paraId="48056FE1" w14:textId="7100D5D6" w:rsidR="00F956F3" w:rsidRPr="00F956F3" w:rsidRDefault="00F956F3" w:rsidP="00F956F3">
      <w:bookmarkStart w:id="68" w:name="_Toc247691532"/>
      <w:bookmarkStart w:id="69" w:name="_Toc314842516"/>
      <w:r w:rsidRPr="00F956F3">
        <w:t>R/R DLBCL is an aggressive malignancy with a particularly poor prognosis in patients who are ineligible for, or who have failed, salvage chemotherapy. A large, international, retrospective study (SCHOLAR-1) reported an average ORR of 26% (CRR 7%) and a median OS of 6.3 months in this population.</w:t>
      </w:r>
      <w:r w:rsidR="00957BB0">
        <w:rPr>
          <w:rStyle w:val="FootnoteReference"/>
        </w:rPr>
        <w:footnoteReference w:id="10"/>
      </w:r>
      <w:r w:rsidRPr="00F956F3">
        <w:t xml:space="preserve"> Whilst several novel treatments have received approval in the later line setting in recent years, optimal therapy remains unclear and there is an unmet clinical need for further safe and effective options.</w:t>
      </w:r>
    </w:p>
    <w:p w14:paraId="13A1E315" w14:textId="77777777" w:rsidR="00F956F3" w:rsidRPr="00F956F3" w:rsidRDefault="00F956F3" w:rsidP="00F956F3">
      <w:pPr>
        <w:pStyle w:val="Heading4"/>
      </w:pPr>
      <w:bookmarkStart w:id="70" w:name="_Toc232504993"/>
      <w:r w:rsidRPr="00F956F3">
        <w:t>Defining the condition</w:t>
      </w:r>
      <w:bookmarkEnd w:id="70"/>
    </w:p>
    <w:p w14:paraId="44915606" w14:textId="6B59B6FD" w:rsidR="00F956F3" w:rsidRPr="00F956F3" w:rsidRDefault="00F956F3" w:rsidP="00F956F3">
      <w:r w:rsidRPr="00F956F3">
        <w:t>Interpretation of DLBCL studies requires consideration of the evolving classification systems. DLBCL is technically not a single disease, but a grouping of morphologically, genetically and clinically different diseases</w:t>
      </w:r>
      <w:r w:rsidR="009C1A1B">
        <w:fldChar w:fldCharType="begin"/>
      </w:r>
      <w:r w:rsidR="009C1A1B">
        <w:instrText xml:space="preserve"> NOTEREF _Ref229392741 \f \h </w:instrText>
      </w:r>
      <w:r w:rsidR="009C1A1B">
        <w:fldChar w:fldCharType="separate"/>
      </w:r>
      <w:r w:rsidR="009C1A1B" w:rsidRPr="009C1A1B">
        <w:rPr>
          <w:rStyle w:val="FootnoteReference"/>
        </w:rPr>
        <w:t>3</w:t>
      </w:r>
      <w:r w:rsidR="009C1A1B">
        <w:fldChar w:fldCharType="end"/>
      </w:r>
      <w:r w:rsidRPr="00F956F3">
        <w:t>. Consequently, advances in scientific methods result in updated classifications/sub-categorisations. Pivotal phase 2 study ADCT-402-201 was designed at the time of the 2016 WHO classification (revised 4</w:t>
      </w:r>
      <w:r w:rsidRPr="00F956F3">
        <w:rPr>
          <w:vertAlign w:val="superscript"/>
        </w:rPr>
        <w:t>th</w:t>
      </w:r>
      <w:r w:rsidRPr="00F956F3">
        <w:t xml:space="preserve"> edition)</w:t>
      </w:r>
      <w:r w:rsidR="009C1A1B">
        <w:fldChar w:fldCharType="begin"/>
      </w:r>
      <w:r w:rsidR="009C1A1B">
        <w:instrText xml:space="preserve"> NOTEREF _Ref229559065 \f \h </w:instrText>
      </w:r>
      <w:r w:rsidR="009C1A1B">
        <w:fldChar w:fldCharType="separate"/>
      </w:r>
      <w:r w:rsidR="009C1A1B" w:rsidRPr="009C1A1B">
        <w:rPr>
          <w:rStyle w:val="FootnoteReference"/>
        </w:rPr>
        <w:t>9</w:t>
      </w:r>
      <w:r w:rsidR="009C1A1B">
        <w:fldChar w:fldCharType="end"/>
      </w:r>
      <w:r w:rsidRPr="00F956F3">
        <w:t xml:space="preserve"> and appropriately used these diagnostic definitions. However, the 5</w:t>
      </w:r>
      <w:r w:rsidRPr="00F956F3">
        <w:rPr>
          <w:vertAlign w:val="superscript"/>
        </w:rPr>
        <w:t>th</w:t>
      </w:r>
      <w:r w:rsidRPr="00F956F3">
        <w:t xml:space="preserve"> edition has subsequently been published</w:t>
      </w:r>
      <w:r w:rsidR="00A82826">
        <w:rPr>
          <w:vertAlign w:val="superscript"/>
        </w:rPr>
        <w:t xml:space="preserve"> </w:t>
      </w:r>
      <w:r w:rsidRPr="00F956F3">
        <w:t xml:space="preserve">with several updates, including a major change to the classification of HGBL with </w:t>
      </w:r>
      <w:r w:rsidRPr="00F956F3">
        <w:rPr>
          <w:i/>
          <w:iCs/>
        </w:rPr>
        <w:t>MYC</w:t>
      </w:r>
      <w:r w:rsidRPr="00F956F3">
        <w:t xml:space="preserve"> and </w:t>
      </w:r>
      <w:r w:rsidRPr="00F956F3">
        <w:rPr>
          <w:i/>
          <w:iCs/>
        </w:rPr>
        <w:t>BCL2</w:t>
      </w:r>
      <w:r w:rsidRPr="00F956F3">
        <w:t xml:space="preserve"> and/or </w:t>
      </w:r>
      <w:r w:rsidRPr="00F956F3">
        <w:rPr>
          <w:i/>
          <w:iCs/>
        </w:rPr>
        <w:t>BCL6</w:t>
      </w:r>
      <w:r w:rsidRPr="00F956F3">
        <w:t xml:space="preserve"> rearrangements.</w:t>
      </w:r>
      <w:r w:rsidR="00A82826">
        <w:fldChar w:fldCharType="begin"/>
      </w:r>
      <w:r w:rsidR="00A82826">
        <w:instrText xml:space="preserve"> NOTEREF _Ref229392741 \f \h </w:instrText>
      </w:r>
      <w:r w:rsidR="00A82826">
        <w:fldChar w:fldCharType="separate"/>
      </w:r>
      <w:r w:rsidR="00A82826" w:rsidRPr="00A82826">
        <w:rPr>
          <w:rStyle w:val="FootnoteReference"/>
        </w:rPr>
        <w:t>3</w:t>
      </w:r>
      <w:r w:rsidR="00A82826">
        <w:fldChar w:fldCharType="end"/>
      </w:r>
      <w:r w:rsidR="00060EB5" w:rsidRPr="00060EB5">
        <w:rPr>
          <w:vertAlign w:val="superscript"/>
        </w:rPr>
        <w:t>,</w:t>
      </w:r>
      <w:r w:rsidR="00060EB5">
        <w:rPr>
          <w:rStyle w:val="FootnoteReference"/>
        </w:rPr>
        <w:footnoteReference w:id="11"/>
      </w:r>
      <w:r w:rsidRPr="00F956F3">
        <w:t xml:space="preserve"> This category now consists exclusively of </w:t>
      </w:r>
      <w:r w:rsidRPr="00F956F3">
        <w:rPr>
          <w:i/>
          <w:iCs/>
        </w:rPr>
        <w:t>MYC</w:t>
      </w:r>
      <w:r w:rsidRPr="00F956F3">
        <w:t xml:space="preserve"> and </w:t>
      </w:r>
      <w:r w:rsidRPr="00F956F3">
        <w:rPr>
          <w:i/>
          <w:iCs/>
        </w:rPr>
        <w:t>BCL2</w:t>
      </w:r>
      <w:r w:rsidRPr="00F956F3">
        <w:t xml:space="preserve"> rearranged DLBCL/HGBL, while the </w:t>
      </w:r>
      <w:r w:rsidRPr="00F956F3">
        <w:rPr>
          <w:i/>
          <w:iCs/>
        </w:rPr>
        <w:t>MYC</w:t>
      </w:r>
      <w:r w:rsidRPr="00F956F3">
        <w:t>+</w:t>
      </w:r>
      <w:r w:rsidRPr="00F956F3">
        <w:rPr>
          <w:i/>
          <w:iCs/>
        </w:rPr>
        <w:t>BCL6</w:t>
      </w:r>
      <w:r w:rsidRPr="00F956F3">
        <w:t>-rearranged cases are considered subtypes of DLBCL NOS or of HGBL NOS</w:t>
      </w:r>
      <w:r w:rsidRPr="00F956F3">
        <w:fldChar w:fldCharType="begin"/>
      </w:r>
      <w:r w:rsidRPr="00F956F3">
        <w:instrText xml:space="preserve"> NOTEREF _Ref184205064 \f \h </w:instrText>
      </w:r>
      <w:r w:rsidRPr="00F956F3">
        <w:fldChar w:fldCharType="separate"/>
      </w:r>
      <w:r w:rsidRPr="00F956F3">
        <w:rPr>
          <w:vertAlign w:val="superscript"/>
        </w:rPr>
        <w:t>4</w:t>
      </w:r>
      <w:r w:rsidRPr="00F956F3">
        <w:fldChar w:fldCharType="end"/>
      </w:r>
      <w:r w:rsidRPr="00F956F3">
        <w:t xml:space="preserve">. Some of the relevant changes are illustrated in </w:t>
      </w:r>
      <w:r w:rsidRPr="00F956F3">
        <w:fldChar w:fldCharType="begin"/>
      </w:r>
      <w:r w:rsidRPr="00F956F3">
        <w:instrText xml:space="preserve"> REF _Ref222410494 \h </w:instrText>
      </w:r>
      <w:r w:rsidRPr="00F956F3">
        <w:fldChar w:fldCharType="separate"/>
      </w:r>
      <w:r w:rsidRPr="00F956F3">
        <w:t>Figure 6</w:t>
      </w:r>
      <w:r w:rsidRPr="00F956F3">
        <w:fldChar w:fldCharType="end"/>
      </w:r>
      <w:r w:rsidRPr="00F956F3">
        <w:t>.</w:t>
      </w:r>
    </w:p>
    <w:p w14:paraId="6D2009F0" w14:textId="610414B0" w:rsidR="001C31A1" w:rsidRDefault="000C79A3" w:rsidP="000C79A3">
      <w:pPr>
        <w:pStyle w:val="FigureTitle"/>
      </w:pPr>
      <w:r w:rsidRPr="000C79A3">
        <w:t>Figure 6</w:t>
      </w:r>
      <w:r>
        <w:t>.</w:t>
      </w:r>
      <w:r w:rsidRPr="000C79A3">
        <w:t xml:space="preserve"> Summary of the relationship between large B-cell lymphoma entities as named and defined in the revised 4th edition of the WHO classification (WHO-HAEM4R) and in the present 5th edition (WHO-HAEM5)</w:t>
      </w:r>
      <w:r w:rsidR="00CE1FD8">
        <w:rPr>
          <w:rStyle w:val="FootnoteReference"/>
        </w:rPr>
        <w:footnoteReference w:id="12"/>
      </w:r>
    </w:p>
    <w:p w14:paraId="1F6EB849" w14:textId="0A7CF13C" w:rsidR="00EA5BD7" w:rsidRDefault="00EA5BD7" w:rsidP="009C7E5A">
      <w:r w:rsidRPr="00B75F29">
        <w:rPr>
          <w:noProof/>
        </w:rPr>
        <w:drawing>
          <wp:inline distT="0" distB="0" distL="0" distR="0" wp14:anchorId="763F4CBB" wp14:editId="635DDE75">
            <wp:extent cx="3148043" cy="2301914"/>
            <wp:effectExtent l="19050" t="19050" r="14605" b="22225"/>
            <wp:docPr id="1596764796" name="Picture 1" descr="A diagram of a dise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64796" name="Picture 1" descr="A diagram of a disease&#10;&#10;AI-generated content may be incorrect."/>
                    <pic:cNvPicPr/>
                  </pic:nvPicPr>
                  <pic:blipFill>
                    <a:blip r:embed="rId51"/>
                    <a:stretch>
                      <a:fillRect/>
                    </a:stretch>
                  </pic:blipFill>
                  <pic:spPr>
                    <a:xfrm>
                      <a:off x="0" y="0"/>
                      <a:ext cx="3268373" cy="2389902"/>
                    </a:xfrm>
                    <a:prstGeom prst="rect">
                      <a:avLst/>
                    </a:prstGeom>
                    <a:ln>
                      <a:solidFill>
                        <a:schemeClr val="accent1"/>
                      </a:solidFill>
                    </a:ln>
                  </pic:spPr>
                </pic:pic>
              </a:graphicData>
            </a:graphic>
          </wp:inline>
        </w:drawing>
      </w:r>
    </w:p>
    <w:p w14:paraId="5F6E6759" w14:textId="77777777" w:rsidR="00031F72" w:rsidRDefault="00031F72" w:rsidP="00031F72">
      <w:pPr>
        <w:pStyle w:val="TableDescription"/>
      </w:pPr>
      <w:r>
        <w:t>CHL = classic Hodgkin lymphoma; CNS = central nervous system; DLBCL = diffuse large B-cell lymphoma; G = germline configuration; HGBL = high-grade B-cell lymphoma; IDD = immune deficiency/dysregulation; LBCL = large B-cell lymphoma; NOS = not otherwise specified; R = rearrangement</w:t>
      </w:r>
    </w:p>
    <w:p w14:paraId="48456271" w14:textId="297F9794" w:rsidR="00031F72" w:rsidRDefault="00031F72" w:rsidP="00031F72">
      <w:pPr>
        <w:pStyle w:val="TableDescription"/>
      </w:pPr>
      <w:r>
        <w:t xml:space="preserve">* “Rare B-cell lymphomas” refer to those fulfilling definitions of specific </w:t>
      </w:r>
      <w:proofErr w:type="spellStart"/>
      <w:r>
        <w:t>clinico</w:t>
      </w:r>
      <w:proofErr w:type="spellEnd"/>
      <w:r>
        <w:t>-pathological entities while incidentally bearing concomitant MYC and BCL2 rearrangements. Examples are fluid overload-associated large B-cell lymphomas and rare follicular lymphomas.</w:t>
      </w:r>
    </w:p>
    <w:p w14:paraId="47108FA0" w14:textId="7379AEB1" w:rsidR="00940688" w:rsidRPr="00940688" w:rsidRDefault="00940688" w:rsidP="00940688">
      <w:r w:rsidRPr="00940688">
        <w:lastRenderedPageBreak/>
        <w:t>Additionally, the International Consensus Classification (ICC)</w:t>
      </w:r>
      <w:r w:rsidR="00176F09">
        <w:fldChar w:fldCharType="begin"/>
      </w:r>
      <w:r w:rsidR="00176F09">
        <w:instrText xml:space="preserve"> NOTEREF _Ref229392808 \f \h </w:instrText>
      </w:r>
      <w:r w:rsidR="00176F09">
        <w:fldChar w:fldCharType="separate"/>
      </w:r>
      <w:r w:rsidR="00176F09" w:rsidRPr="00176F09">
        <w:rPr>
          <w:rStyle w:val="FootnoteReference"/>
        </w:rPr>
        <w:t>4</w:t>
      </w:r>
      <w:r w:rsidR="00176F09">
        <w:fldChar w:fldCharType="end"/>
      </w:r>
      <w:r w:rsidRPr="00940688">
        <w:t xml:space="preserve"> co-exists alongside the WHO schema as a valid alternative reference, with some differences in definitions and categorisation.</w:t>
      </w:r>
    </w:p>
    <w:p w14:paraId="6162CCE2" w14:textId="27BC03AE" w:rsidR="00940688" w:rsidRPr="00940688" w:rsidRDefault="00940688" w:rsidP="00940688">
      <w:pPr>
        <w:rPr>
          <w:lang w:val="en-US"/>
        </w:rPr>
      </w:pPr>
      <w:r w:rsidRPr="00940688">
        <w:t>For this application, the sponsor-proposed indication is “</w:t>
      </w:r>
      <w:r w:rsidRPr="00940688">
        <w:rPr>
          <w:i/>
          <w:iCs/>
        </w:rPr>
        <w:t>for the treatment of adult patients with relapsed or refractory diffuse large B-cell lymphoma</w:t>
      </w:r>
      <w:r w:rsidRPr="00940688">
        <w:t xml:space="preserve">”. This differs from some international registrations which specify DLBCL NOS, HGBL, and/or DLBCL arising from low grade lymphoma because the Australian orphan drug designation was approved for the </w:t>
      </w:r>
      <w:r w:rsidRPr="00940688">
        <w:rPr>
          <w:lang w:val="en-US"/>
        </w:rPr>
        <w:t>“</w:t>
      </w:r>
      <w:r w:rsidRPr="00940688">
        <w:rPr>
          <w:i/>
          <w:iCs/>
          <w:lang w:val="en-US"/>
        </w:rPr>
        <w:t>treatment of Diffuse Large B-Cell Lymphoma (DLBCL)</w:t>
      </w:r>
      <w:r w:rsidRPr="00940688">
        <w:rPr>
          <w:lang w:val="en-US"/>
        </w:rPr>
        <w:t xml:space="preserve">”. </w:t>
      </w:r>
    </w:p>
    <w:p w14:paraId="265AD930" w14:textId="77777777" w:rsidR="00940688" w:rsidRPr="00940688" w:rsidRDefault="00940688" w:rsidP="00940688">
      <w:r w:rsidRPr="00940688">
        <w:t>The exact diagnostic inclusion criterion in the study protocol for ADCT-402-201 was: “</w:t>
      </w:r>
      <w:r w:rsidRPr="00940688">
        <w:rPr>
          <w:i/>
          <w:iCs/>
        </w:rPr>
        <w:t>Pathologic diagnosis of DLBCL, as defined by the 2016 WHO classification, to include: DLBCL not otherwise specified; primary mediastinal large B-cell lymphoma; and high-grade B-cell lymphoma, with MYC and BCL2 and/or BCL6 rearrangements</w:t>
      </w:r>
      <w:r w:rsidRPr="00940688">
        <w:t>”</w:t>
      </w:r>
    </w:p>
    <w:p w14:paraId="064ACD2C" w14:textId="6546ECFD" w:rsidR="00940688" w:rsidRPr="00940688" w:rsidRDefault="00940688" w:rsidP="00940688">
      <w:r w:rsidRPr="00940688">
        <w:t xml:space="preserve">Overall, </w:t>
      </w:r>
      <w:r w:rsidR="00332A9B">
        <w:t>the Delegate</w:t>
      </w:r>
      <w:r w:rsidR="00E20380">
        <w:rPr>
          <w:rStyle w:val="FootnoteReference"/>
        </w:rPr>
        <w:footnoteReference w:id="13"/>
      </w:r>
      <w:r w:rsidR="00332A9B">
        <w:t xml:space="preserve"> was</w:t>
      </w:r>
      <w:r w:rsidRPr="00940688">
        <w:t xml:space="preserve"> satisfied with maintaining the broader umbrella condition of DLBCL in the indication as proposed by the sponsor because:</w:t>
      </w:r>
    </w:p>
    <w:p w14:paraId="7EADD670" w14:textId="77777777" w:rsidR="00940688" w:rsidRPr="00940688" w:rsidRDefault="00940688" w:rsidP="00332A9B">
      <w:pPr>
        <w:pStyle w:val="ListBullet"/>
      </w:pPr>
      <w:r w:rsidRPr="00940688">
        <w:t>The baseline demographic and disease characteristics of the study population for ADCT-402-201 are sufficiently similar to Australia to maintain external validity</w:t>
      </w:r>
    </w:p>
    <w:p w14:paraId="6E089580" w14:textId="77777777" w:rsidR="00940688" w:rsidRPr="00940688" w:rsidRDefault="00940688" w:rsidP="00332A9B">
      <w:pPr>
        <w:pStyle w:val="ListBullet"/>
      </w:pPr>
      <w:r w:rsidRPr="00940688">
        <w:t xml:space="preserve">The definition of HGBL with </w:t>
      </w:r>
      <w:r w:rsidRPr="00940688">
        <w:rPr>
          <w:i/>
          <w:iCs/>
        </w:rPr>
        <w:t>MYC</w:t>
      </w:r>
      <w:r w:rsidRPr="00940688">
        <w:t xml:space="preserve"> and </w:t>
      </w:r>
      <w:r w:rsidRPr="00940688">
        <w:rPr>
          <w:i/>
          <w:iCs/>
        </w:rPr>
        <w:t>BCL2</w:t>
      </w:r>
      <w:r w:rsidRPr="00940688">
        <w:t xml:space="preserve"> and/or </w:t>
      </w:r>
      <w:r w:rsidRPr="00940688">
        <w:rPr>
          <w:i/>
          <w:iCs/>
        </w:rPr>
        <w:t>BCL6</w:t>
      </w:r>
      <w:r w:rsidRPr="00940688">
        <w:t xml:space="preserve"> rearrangements has changed significantly since the enrolment of the study, and it is unclear how the patients with this diagnosis would be classified today and this group was small (n=10)</w:t>
      </w:r>
    </w:p>
    <w:p w14:paraId="5A5C316E" w14:textId="7AE64D04" w:rsidR="00940688" w:rsidRPr="00940688" w:rsidRDefault="00940688" w:rsidP="00332A9B">
      <w:pPr>
        <w:pStyle w:val="ListBullet"/>
      </w:pPr>
      <w:r w:rsidRPr="00940688">
        <w:t xml:space="preserve">A not insignificant proportion of the patients with HGBL with </w:t>
      </w:r>
      <w:r w:rsidRPr="00940688">
        <w:rPr>
          <w:i/>
          <w:iCs/>
        </w:rPr>
        <w:t>MYC</w:t>
      </w:r>
      <w:r w:rsidRPr="00940688">
        <w:t xml:space="preserve"> and </w:t>
      </w:r>
      <w:r w:rsidRPr="00940688">
        <w:rPr>
          <w:i/>
          <w:iCs/>
        </w:rPr>
        <w:t>BCL2</w:t>
      </w:r>
      <w:r w:rsidRPr="00940688">
        <w:t xml:space="preserve"> and/or </w:t>
      </w:r>
      <w:r w:rsidRPr="00940688">
        <w:rPr>
          <w:i/>
          <w:iCs/>
        </w:rPr>
        <w:t>BCL6</w:t>
      </w:r>
      <w:r w:rsidRPr="00940688">
        <w:t xml:space="preserve"> rearrangements may now be re-classified as a form of DLBCL</w:t>
      </w:r>
      <w:r w:rsidR="00922934">
        <w:t xml:space="preserve">. </w:t>
      </w:r>
    </w:p>
    <w:p w14:paraId="1DE13263" w14:textId="77777777" w:rsidR="00940688" w:rsidRPr="00940688" w:rsidRDefault="00940688" w:rsidP="00332A9B">
      <w:pPr>
        <w:pStyle w:val="ListBullet"/>
      </w:pPr>
      <w:r w:rsidRPr="00940688">
        <w:t>The proposed indication encompasses DLBCL arising from low grade lymphoma</w:t>
      </w:r>
    </w:p>
    <w:p w14:paraId="6356C93E" w14:textId="77777777" w:rsidR="00940688" w:rsidRPr="00940688" w:rsidRDefault="00940688" w:rsidP="00332A9B">
      <w:pPr>
        <w:pStyle w:val="ListBullet"/>
      </w:pPr>
      <w:r w:rsidRPr="00940688">
        <w:t>An accepted amendment to the indication specifies that loncastuximab tesirine is not indicated for patients with primary CNS lymphoma</w:t>
      </w:r>
    </w:p>
    <w:p w14:paraId="13734218" w14:textId="77777777" w:rsidR="00940688" w:rsidRPr="00940688" w:rsidRDefault="00940688" w:rsidP="00332A9B">
      <w:pPr>
        <w:pStyle w:val="ListBullet"/>
      </w:pPr>
      <w:r w:rsidRPr="00940688">
        <w:t>The nature of DLBCL is such that its classification will continue to evolve and, therefore, I have recommended amendments to section 5.1 of the Product Information to clarify how the disease was defined at the time of the study ADCT-402-201. Thus, prescribers can refer to this to understand the pivotal study population rather than making the indication more prescriptive in a way which may not remain accurate into the future.</w:t>
      </w:r>
    </w:p>
    <w:p w14:paraId="74F12FCF" w14:textId="77777777" w:rsidR="00940688" w:rsidRPr="00940688" w:rsidRDefault="00940688" w:rsidP="00332A9B">
      <w:pPr>
        <w:pStyle w:val="Heading4"/>
      </w:pPr>
      <w:bookmarkStart w:id="71" w:name="_Toc232504994"/>
      <w:r w:rsidRPr="00940688">
        <w:t>Indication</w:t>
      </w:r>
      <w:bookmarkEnd w:id="71"/>
    </w:p>
    <w:p w14:paraId="63C41554" w14:textId="0D162D4F" w:rsidR="00940688" w:rsidRPr="00940688" w:rsidRDefault="00332A9B" w:rsidP="00940688">
      <w:r>
        <w:t xml:space="preserve">The Delegate </w:t>
      </w:r>
      <w:r w:rsidR="00940688" w:rsidRPr="00940688">
        <w:t>consider</w:t>
      </w:r>
      <w:r>
        <w:t>ed</w:t>
      </w:r>
      <w:r w:rsidR="00940688" w:rsidRPr="00940688">
        <w:t xml:space="preserve"> that the following amendment to the indication is required to clarify that the proposed use has only been established with use of the product as monotherapy.</w:t>
      </w:r>
    </w:p>
    <w:p w14:paraId="74731E8A" w14:textId="040F52DC" w:rsidR="00940688" w:rsidRPr="00940688" w:rsidRDefault="0036009D" w:rsidP="00332A9B">
      <w:pPr>
        <w:pStyle w:val="Indication"/>
      </w:pPr>
      <w:r>
        <w:t>Zynlonta</w:t>
      </w:r>
      <w:r w:rsidR="00940688" w:rsidRPr="00940688">
        <w:t xml:space="preserve"> </w:t>
      </w:r>
      <w:r w:rsidR="00940688" w:rsidRPr="00332A9B">
        <w:rPr>
          <w:b/>
          <w:bCs/>
        </w:rPr>
        <w:t>monotherapy</w:t>
      </w:r>
      <w:r w:rsidR="00940688" w:rsidRPr="00940688">
        <w:t xml:space="preserve"> is </w:t>
      </w:r>
      <w:r w:rsidR="00940688" w:rsidRPr="00940688">
        <w:rPr>
          <w:b/>
          <w:bCs/>
        </w:rPr>
        <w:t>provisionally approved</w:t>
      </w:r>
      <w:r w:rsidR="00940688" w:rsidRPr="00940688">
        <w:t xml:space="preserve"> for the treatment of adult patients with relapsed or refractory diffuse large B-cell lymphoma after two or more lines of systemic therapy.</w:t>
      </w:r>
    </w:p>
    <w:p w14:paraId="7F678AF7" w14:textId="6E47F700" w:rsidR="00940688" w:rsidRPr="00940688" w:rsidRDefault="0036009D" w:rsidP="00332A9B">
      <w:pPr>
        <w:pStyle w:val="Indication"/>
      </w:pPr>
      <w:r>
        <w:t>Zynlonta</w:t>
      </w:r>
      <w:r w:rsidR="00940688" w:rsidRPr="00940688">
        <w:t xml:space="preserve"> is not indicated for patients with primary central nervous system lymphoma.</w:t>
      </w:r>
    </w:p>
    <w:p w14:paraId="424B293B" w14:textId="77777777" w:rsidR="00940688" w:rsidRPr="00940688" w:rsidRDefault="00940688" w:rsidP="00332A9B">
      <w:pPr>
        <w:pStyle w:val="Indication"/>
      </w:pPr>
      <w:r w:rsidRPr="00940688">
        <w:t xml:space="preserve">The decision to approve this indication has been granted on the results from an open-label, uncontrolled Phase 2 study based on the overall response rate. Continued approval of this indication depends on verification and description of benefit in confirmatory trials. </w:t>
      </w:r>
    </w:p>
    <w:p w14:paraId="4A44DB96" w14:textId="77777777" w:rsidR="00940688" w:rsidRPr="00940688" w:rsidRDefault="00940688" w:rsidP="00332A9B">
      <w:pPr>
        <w:pStyle w:val="Heading4"/>
      </w:pPr>
      <w:bookmarkStart w:id="72" w:name="_Toc232504995"/>
      <w:r w:rsidRPr="00940688">
        <w:t>Confirmatory study</w:t>
      </w:r>
      <w:bookmarkEnd w:id="72"/>
    </w:p>
    <w:p w14:paraId="4EA8E414" w14:textId="77777777" w:rsidR="00940688" w:rsidRPr="00940688" w:rsidRDefault="00940688" w:rsidP="00940688">
      <w:r w:rsidRPr="00940688">
        <w:t xml:space="preserve">The pivotal phase 2 study for the current application for provisional registration, ADCT-402-201, has established the efficacy (ORR 48.3% [95% CI: 39.9, 56.7]) and safety profile of </w:t>
      </w:r>
      <w:r w:rsidRPr="00940688">
        <w:lastRenderedPageBreak/>
        <w:t>loncastuximab tesirine for monotherapy of R/R DLBCL in adults sufficiently to meet the standards of provisional registration.</w:t>
      </w:r>
    </w:p>
    <w:p w14:paraId="5841A44F" w14:textId="1223F480" w:rsidR="00E91BC4" w:rsidRPr="001C31A1" w:rsidRDefault="00940688" w:rsidP="00940688">
      <w:r w:rsidRPr="00940688">
        <w:t>The proposed confirmatory phase 3 study, ADCT-402-311, is underway comparing loncastuximab tesirine + rituximab to R-</w:t>
      </w:r>
      <w:proofErr w:type="spellStart"/>
      <w:r w:rsidRPr="00940688">
        <w:t>GemOx</w:t>
      </w:r>
      <w:proofErr w:type="spellEnd"/>
      <w:r w:rsidRPr="00940688">
        <w:t xml:space="preserve"> in adults with R/R DLBCL after at least 1 prior line of therapy, with primary endpoint PFS. Although the study is evaluating combination therapy, the effect of loncastuximab </w:t>
      </w:r>
      <w:proofErr w:type="gramStart"/>
      <w:r w:rsidRPr="00940688">
        <w:t>is able to</w:t>
      </w:r>
      <w:proofErr w:type="gramEnd"/>
      <w:r w:rsidRPr="00940688">
        <w:t xml:space="preserve"> be isolated because of the use of rituximab in both arms, and the use of a combination confirmatory trial to support a monotherapy provisional approval has precedent. Therefore, </w:t>
      </w:r>
      <w:r w:rsidR="00332A9B">
        <w:t>the Delegate accepted</w:t>
      </w:r>
      <w:r w:rsidRPr="00940688">
        <w:t xml:space="preserve"> ADCT-402-311 as the confirmatory study.</w:t>
      </w:r>
    </w:p>
    <w:p w14:paraId="307F236C" w14:textId="7FD19BD3" w:rsidR="00C22214" w:rsidRPr="002E238E" w:rsidRDefault="0046285C" w:rsidP="00C22214">
      <w:pPr>
        <w:pStyle w:val="Heading2"/>
      </w:pPr>
      <w:bookmarkStart w:id="73" w:name="_Toc103679300"/>
      <w:bookmarkStart w:id="74" w:name="_Toc232504996"/>
      <w:r>
        <w:t>Assessment</w:t>
      </w:r>
      <w:r w:rsidR="00190853">
        <w:t xml:space="preserve"> </w:t>
      </w:r>
      <w:r>
        <w:t>o</w:t>
      </w:r>
      <w:r w:rsidR="00C22214">
        <w:t>utcome</w:t>
      </w:r>
      <w:bookmarkEnd w:id="68"/>
      <w:bookmarkEnd w:id="69"/>
      <w:bookmarkEnd w:id="73"/>
      <w:bookmarkEnd w:id="74"/>
    </w:p>
    <w:p w14:paraId="4EF22939" w14:textId="73F8AEC6" w:rsidR="00C22214" w:rsidRPr="0017005C" w:rsidRDefault="00C22214" w:rsidP="0006104E">
      <w:r w:rsidRPr="0017005C">
        <w:t xml:space="preserve">Based on a review of quality, safety, and efficacy, the TGA </w:t>
      </w:r>
      <w:r w:rsidR="00B46DFB">
        <w:t>decided to</w:t>
      </w:r>
      <w:r w:rsidRPr="0017005C">
        <w:t xml:space="preserve"> </w:t>
      </w:r>
      <w:r w:rsidR="00C104DC" w:rsidRPr="00C104DC">
        <w:t xml:space="preserve">provisionally </w:t>
      </w:r>
      <w:r w:rsidRPr="0017005C">
        <w:t>regist</w:t>
      </w:r>
      <w:r w:rsidR="00B46DFB">
        <w:t>er</w:t>
      </w:r>
      <w:r w:rsidRPr="0017005C">
        <w:t xml:space="preserve"> </w:t>
      </w:r>
      <w:r w:rsidR="0036009D">
        <w:t>Zynlonta</w:t>
      </w:r>
      <w:r w:rsidR="005F7261">
        <w:t xml:space="preserve"> (</w:t>
      </w:r>
      <w:r w:rsidR="005F7261" w:rsidRPr="005F7261">
        <w:t>loncastuximab tesirine</w:t>
      </w:r>
      <w:r w:rsidR="005F7261">
        <w:t>)</w:t>
      </w:r>
      <w:r w:rsidR="005F7261" w:rsidRPr="005F7261">
        <w:t xml:space="preserve"> </w:t>
      </w:r>
      <w:r w:rsidRPr="0017005C">
        <w:t>for the following indication:</w:t>
      </w:r>
    </w:p>
    <w:p w14:paraId="4E8E85FA" w14:textId="43FA35A7" w:rsidR="00DB6CA8" w:rsidRDefault="0036009D" w:rsidP="00DB6CA8">
      <w:pPr>
        <w:pStyle w:val="Indication"/>
      </w:pPr>
      <w:r>
        <w:t>Zynlonta</w:t>
      </w:r>
      <w:r w:rsidR="00DB6CA8">
        <w:t xml:space="preserve"> monotherapy is provisionally approved for the treatment of adult patients with relapsed or refractory diffuse large B-cell lymphoma after two or more lines of systemic therapy.</w:t>
      </w:r>
    </w:p>
    <w:p w14:paraId="4CB69572" w14:textId="3D5DAB61" w:rsidR="00DB6CA8" w:rsidRDefault="0036009D" w:rsidP="00DB6CA8">
      <w:pPr>
        <w:pStyle w:val="Indication"/>
      </w:pPr>
      <w:r>
        <w:t>Zynlonta</w:t>
      </w:r>
      <w:r w:rsidR="00DB6CA8">
        <w:t xml:space="preserve"> is not indicated for patients with primary central nervous system lymphoma.</w:t>
      </w:r>
    </w:p>
    <w:p w14:paraId="3B245AB5" w14:textId="13901726" w:rsidR="00C22214" w:rsidRPr="00BD5DBD" w:rsidRDefault="00DB6CA8" w:rsidP="00DB6CA8">
      <w:pPr>
        <w:pStyle w:val="Indication"/>
      </w:pPr>
      <w:r>
        <w:t>The decision to approve this indication has been granted on the results from an open-label, uncontrolled Phase 2 study based on the overall response rate. Continued approval of this indication depends on verification and description of benefit in confirmatory trials.</w:t>
      </w:r>
      <w:r w:rsidR="00C22214" w:rsidRPr="00BD5DBD">
        <w:t>]</w:t>
      </w:r>
    </w:p>
    <w:p w14:paraId="0D732DA4" w14:textId="74882685" w:rsidR="00854D98" w:rsidRPr="00D23139" w:rsidRDefault="00854D98" w:rsidP="004B2938">
      <w:pPr>
        <w:pStyle w:val="Heading4"/>
      </w:pPr>
      <w:bookmarkStart w:id="75" w:name="_Toc103679301"/>
      <w:bookmarkStart w:id="76" w:name="_Toc232504997"/>
      <w:r w:rsidRPr="00D23139">
        <w:t>Specific conditions of registration</w:t>
      </w:r>
      <w:bookmarkEnd w:id="76"/>
      <w:r w:rsidRPr="00D23139">
        <w:t xml:space="preserve"> </w:t>
      </w:r>
      <w:bookmarkEnd w:id="75"/>
    </w:p>
    <w:p w14:paraId="536E517D" w14:textId="48220E81" w:rsidR="00555E67" w:rsidRPr="00555E67" w:rsidRDefault="0036009D" w:rsidP="00555E67">
      <w:pPr>
        <w:rPr>
          <w:szCs w:val="22"/>
        </w:rPr>
      </w:pPr>
      <w:r>
        <w:rPr>
          <w:szCs w:val="22"/>
        </w:rPr>
        <w:t>Zynlonta</w:t>
      </w:r>
      <w:r w:rsidR="00555E67" w:rsidRPr="00555E67">
        <w:rPr>
          <w:szCs w:val="22"/>
        </w:rPr>
        <w:t xml:space="preserve"> (loncastuximab tesirine) is to be included in the Black Triangle Scheme. The PI and CMI for </w:t>
      </w:r>
      <w:r>
        <w:rPr>
          <w:szCs w:val="22"/>
        </w:rPr>
        <w:t>Zynlonta</w:t>
      </w:r>
      <w:r w:rsidR="00555E67" w:rsidRPr="00555E67">
        <w:rPr>
          <w:szCs w:val="22"/>
        </w:rPr>
        <w:t xml:space="preserve"> must include the black triangle symbol and mandatory accompanying text for five years, or the product’s entire period of provisional registration, whichever is longer.</w:t>
      </w:r>
    </w:p>
    <w:p w14:paraId="4A38FBCE" w14:textId="739A77C3" w:rsidR="00555E67" w:rsidRPr="00555E67" w:rsidRDefault="00555E67" w:rsidP="00555E67">
      <w:pPr>
        <w:rPr>
          <w:szCs w:val="22"/>
        </w:rPr>
      </w:pPr>
      <w:r w:rsidRPr="00555E67">
        <w:rPr>
          <w:szCs w:val="22"/>
        </w:rPr>
        <w:t xml:space="preserve">The </w:t>
      </w:r>
      <w:r w:rsidR="0036009D">
        <w:rPr>
          <w:szCs w:val="22"/>
        </w:rPr>
        <w:t>Zynlonta</w:t>
      </w:r>
      <w:r w:rsidRPr="00555E67">
        <w:rPr>
          <w:szCs w:val="22"/>
        </w:rPr>
        <w:t xml:space="preserve"> EU-Risk Management Plan (RMP) (version 3.0, date 18 September 2025; DLP 1 March 2021), with Australia-Specific Annex (ASA) (version 0.3, dated 17 December 2025), included with submission PM-2025-00489-1-4, and any subsequent revisions, as agreed with the TGA will be implemented in Australia.</w:t>
      </w:r>
    </w:p>
    <w:p w14:paraId="1558FE88" w14:textId="42813924" w:rsidR="00555E67" w:rsidRPr="00555E67" w:rsidRDefault="00555E67" w:rsidP="00555E67">
      <w:pPr>
        <w:rPr>
          <w:szCs w:val="22"/>
        </w:rPr>
      </w:pPr>
      <w:r w:rsidRPr="00555E67">
        <w:rPr>
          <w:szCs w:val="22"/>
        </w:rPr>
        <w:t>An obligatory component of risk management plans is routine pharmacovigilance. Routine pharmacovigilance includes the submission of periodic safety update reports (PSURs).</w:t>
      </w:r>
    </w:p>
    <w:p w14:paraId="3330D8E7" w14:textId="77777777" w:rsidR="002C30F3" w:rsidRPr="002C30F3" w:rsidRDefault="00555E67" w:rsidP="002C30F3">
      <w:pPr>
        <w:rPr>
          <w:szCs w:val="22"/>
        </w:rPr>
      </w:pPr>
      <w:r w:rsidRPr="00555E67">
        <w:rPr>
          <w:szCs w:val="22"/>
        </w:rP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w:t>
      </w:r>
      <w:r w:rsidR="002C30F3">
        <w:rPr>
          <w:szCs w:val="22"/>
        </w:rPr>
        <w:t xml:space="preserve"> </w:t>
      </w:r>
      <w:r w:rsidR="002C30F3" w:rsidRPr="002C30F3">
        <w:rPr>
          <w:szCs w:val="22"/>
        </w:rPr>
        <w:t>report until the period covered by such reports is not less than three years from the date of this approval letter, or the entire period of provisional registration, whichever is longer. Each report must be submitted within ninety calendar days of the data lock point for that report.</w:t>
      </w:r>
    </w:p>
    <w:p w14:paraId="6F4E3DDF" w14:textId="77777777" w:rsidR="002C30F3" w:rsidRPr="002C30F3" w:rsidRDefault="002C30F3" w:rsidP="002C30F3">
      <w:pPr>
        <w:rPr>
          <w:szCs w:val="22"/>
        </w:rPr>
      </w:pPr>
      <w:r w:rsidRPr="002C30F3">
        <w:rPr>
          <w:szCs w:val="22"/>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0B400E8C" w14:textId="602FC72B" w:rsidR="002C30F3" w:rsidRPr="002C30F3" w:rsidRDefault="002C30F3" w:rsidP="002C30F3">
      <w:pPr>
        <w:rPr>
          <w:szCs w:val="22"/>
        </w:rPr>
      </w:pPr>
      <w:r w:rsidRPr="002C30F3">
        <w:rPr>
          <w:szCs w:val="22"/>
        </w:rPr>
        <w:t>The sponsor must conduct studies as described in the clinical study plan in version</w:t>
      </w:r>
      <w:r>
        <w:rPr>
          <w:szCs w:val="22"/>
        </w:rPr>
        <w:t xml:space="preserve"> </w:t>
      </w:r>
      <w:r w:rsidRPr="002C30F3">
        <w:rPr>
          <w:szCs w:val="22"/>
        </w:rPr>
        <w:t>0.3 (date 17 December 2025) of the Australia-Specific Annex. Study reports for ADCT-402-311 (LOTIS-5) should be submitted to the TGA for evaluation.</w:t>
      </w:r>
    </w:p>
    <w:p w14:paraId="05FFF381" w14:textId="7CAF7AF7" w:rsidR="002C30F3" w:rsidRPr="002C30F3" w:rsidRDefault="002C30F3" w:rsidP="0036009D">
      <w:pPr>
        <w:pStyle w:val="Heading5"/>
        <w:rPr>
          <w:szCs w:val="22"/>
        </w:rPr>
      </w:pPr>
      <w:r w:rsidRPr="002C30F3">
        <w:lastRenderedPageBreak/>
        <w:t>Laboratory testing &amp; compliance with Certified Product Details (CPD)</w:t>
      </w:r>
    </w:p>
    <w:p w14:paraId="472D5329" w14:textId="6D6E22BB" w:rsidR="002C30F3" w:rsidRPr="002C30F3" w:rsidRDefault="002C30F3" w:rsidP="002C30F3">
      <w:pPr>
        <w:pStyle w:val="ListBullet"/>
      </w:pPr>
      <w:r w:rsidRPr="002C30F3">
        <w:t xml:space="preserve">All batches of </w:t>
      </w:r>
      <w:r w:rsidR="0036009D">
        <w:t>Zynlonta</w:t>
      </w:r>
      <w:r w:rsidRPr="002C30F3">
        <w:t xml:space="preserve"> loncastuximab tesirine10 mg powder for concentrate for solution for infusion vial supplied in Australia must comply with the product details and specifications approved during evaluation and detailed in the Certified Product Details (CPD).</w:t>
      </w:r>
    </w:p>
    <w:p w14:paraId="30DC27AF" w14:textId="48C4E582" w:rsidR="002C30F3" w:rsidRPr="002C30F3" w:rsidRDefault="002C30F3" w:rsidP="002C30F3">
      <w:pPr>
        <w:pStyle w:val="ListBullet"/>
      </w:pPr>
      <w:r w:rsidRPr="002C30F3">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40F4BAA4" w14:textId="70A6EBD2" w:rsidR="002C30F3" w:rsidRPr="002C30F3" w:rsidRDefault="002C30F3" w:rsidP="002C30F3">
      <w:pPr>
        <w:pStyle w:val="Heading5"/>
      </w:pPr>
      <w:r w:rsidRPr="002C30F3">
        <w:t xml:space="preserve">Certified </w:t>
      </w:r>
      <w:r w:rsidR="009C7E5A" w:rsidRPr="002C30F3">
        <w:t>product deta</w:t>
      </w:r>
      <w:r w:rsidRPr="002C30F3">
        <w:t>ils</w:t>
      </w:r>
    </w:p>
    <w:p w14:paraId="7913A0C6" w14:textId="77777777" w:rsidR="002C30F3" w:rsidRPr="002C30F3" w:rsidRDefault="002C30F3" w:rsidP="002C30F3">
      <w:pPr>
        <w:rPr>
          <w:szCs w:val="22"/>
        </w:rPr>
      </w:pPr>
      <w:r w:rsidRPr="002C30F3">
        <w:rPr>
          <w:szCs w:val="22"/>
        </w:rP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3AC2FB9F" w14:textId="5E3AF2DA" w:rsidR="002C30F3" w:rsidRDefault="002C30F3" w:rsidP="002C30F3">
      <w:pPr>
        <w:rPr>
          <w:szCs w:val="22"/>
        </w:rPr>
      </w:pPr>
      <w:r w:rsidRPr="002C30F3">
        <w:rPr>
          <w:szCs w:val="22"/>
        </w:rPr>
        <w:t>A template for preparation of CPD for biological prescription medicines can be obtained from the TGA website</w:t>
      </w:r>
      <w:r w:rsidR="0036009D">
        <w:rPr>
          <w:szCs w:val="22"/>
        </w:rPr>
        <w:t>:</w:t>
      </w:r>
    </w:p>
    <w:p w14:paraId="75A22F3C" w14:textId="77777777" w:rsidR="0036009D" w:rsidRDefault="0036009D" w:rsidP="0036009D">
      <w:hyperlink r:id="rId52" w:history="1">
        <w:r>
          <w:rPr>
            <w:rStyle w:val="Hyperlink"/>
          </w:rPr>
          <w:t>Certified Product Details guidance</w:t>
        </w:r>
      </w:hyperlink>
    </w:p>
    <w:p w14:paraId="69FB0861" w14:textId="77777777" w:rsidR="0036009D" w:rsidRDefault="0036009D" w:rsidP="0036009D">
      <w:hyperlink r:id="rId53" w:history="1">
        <w:r>
          <w:rPr>
            <w:color w:val="0000FF"/>
            <w:u w:val="single"/>
          </w:rPr>
          <w:t>Certified Product Details form</w:t>
        </w:r>
      </w:hyperlink>
    </w:p>
    <w:p w14:paraId="0F9C1952" w14:textId="46BD475E" w:rsidR="00BA657C" w:rsidRPr="00BA657C" w:rsidRDefault="00BA657C" w:rsidP="009C7E5A">
      <w:pPr>
        <w:pStyle w:val="Heading2"/>
      </w:pPr>
      <w:bookmarkStart w:id="77" w:name="_Toc196738290"/>
      <w:bookmarkStart w:id="78" w:name="_Toc232504998"/>
      <w:r w:rsidRPr="00BA657C">
        <w:t>Product Information and Consumer Medicine Information</w:t>
      </w:r>
      <w:bookmarkEnd w:id="78"/>
      <w:r w:rsidRPr="00BA657C">
        <w:t xml:space="preserve"> </w:t>
      </w:r>
      <w:bookmarkEnd w:id="77"/>
    </w:p>
    <w:p w14:paraId="5F276616" w14:textId="6667B73D" w:rsidR="004D0933" w:rsidRPr="004D0933" w:rsidRDefault="004D0933" w:rsidP="004D0933">
      <w:bookmarkStart w:id="79" w:name="_Hlk200021736"/>
      <w:r w:rsidRPr="004D0933">
        <w:t xml:space="preserve">For the most recent Product Information (PI) and Consumer Medicine Information (CMI), please refer to the TGA </w:t>
      </w:r>
      <w:hyperlink r:id="rId54" w:history="1">
        <w:r w:rsidRPr="004D0933">
          <w:rPr>
            <w:rStyle w:val="Hyperlink"/>
          </w:rPr>
          <w:t>PI/CMI search facility.</w:t>
        </w:r>
      </w:hyperlink>
    </w:p>
    <w:bookmarkEnd w:id="79"/>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55"/>
          <w:footerReference w:type="default" r:id="rId56"/>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2"/>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7"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8"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9"/>
      <w:footerReference w:type="first" r:id="rId6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2F927" w14:textId="77777777" w:rsidR="00AA7A75" w:rsidRDefault="00AA7A75" w:rsidP="00F02AEC">
      <w:pPr>
        <w:spacing w:after="0" w:line="240" w:lineRule="auto"/>
      </w:pPr>
      <w:r>
        <w:separator/>
      </w:r>
    </w:p>
  </w:endnote>
  <w:endnote w:type="continuationSeparator" w:id="0">
    <w:p w14:paraId="18038CC3" w14:textId="77777777" w:rsidR="00AA7A75" w:rsidRDefault="00AA7A75"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2E20" w14:textId="32DF121F" w:rsidR="007E4FF8" w:rsidRDefault="007E4FF8">
    <w:pPr>
      <w:pStyle w:val="Footer"/>
    </w:pPr>
    <w:r>
      <w:rPr>
        <w:noProof/>
      </w:rPr>
      <mc:AlternateContent>
        <mc:Choice Requires="wps">
          <w:drawing>
            <wp:anchor distT="0" distB="0" distL="0" distR="0" simplePos="0" relativeHeight="251658247" behindDoc="0" locked="0" layoutInCell="1" allowOverlap="1" wp14:anchorId="32C7110B" wp14:editId="569C8F27">
              <wp:simplePos x="635" y="635"/>
              <wp:positionH relativeFrom="page">
                <wp:align>center</wp:align>
              </wp:positionH>
              <wp:positionV relativeFrom="page">
                <wp:align>bottom</wp:align>
              </wp:positionV>
              <wp:extent cx="622300" cy="391160"/>
              <wp:effectExtent l="0" t="0" r="6350" b="0"/>
              <wp:wrapNone/>
              <wp:docPr id="17743684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7110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DAC4767" w:rsidR="007452E8" w:rsidRDefault="007E4FF8" w:rsidP="007452E8">
          <w:pPr>
            <w:pStyle w:val="Footer"/>
          </w:pPr>
          <w:r>
            <w:rPr>
              <w:noProof/>
            </w:rPr>
            <mc:AlternateContent>
              <mc:Choice Requires="wps">
                <w:drawing>
                  <wp:anchor distT="0" distB="0" distL="0" distR="0" simplePos="0" relativeHeight="251658248" behindDoc="0" locked="0" layoutInCell="1" allowOverlap="1" wp14:anchorId="553C4243" wp14:editId="46704321">
                    <wp:simplePos x="635" y="635"/>
                    <wp:positionH relativeFrom="page">
                      <wp:align>center</wp:align>
                    </wp:positionH>
                    <wp:positionV relativeFrom="page">
                      <wp:align>bottom</wp:align>
                    </wp:positionV>
                    <wp:extent cx="622300" cy="391160"/>
                    <wp:effectExtent l="0" t="0" r="6350" b="0"/>
                    <wp:wrapNone/>
                    <wp:docPr id="9730109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C4243"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66C74AA" w:rsidR="007452E8" w:rsidRDefault="007E4FF8" w:rsidP="007452E8">
    <w:pPr>
      <w:pStyle w:val="Footer"/>
      <w:ind w:left="-1701"/>
    </w:pPr>
    <w:r>
      <w:rPr>
        <w:noProof/>
      </w:rPr>
      <mc:AlternateContent>
        <mc:Choice Requires="wps">
          <w:drawing>
            <wp:anchor distT="0" distB="0" distL="0" distR="0" simplePos="0" relativeHeight="251658246" behindDoc="0" locked="0" layoutInCell="1" allowOverlap="1" wp14:anchorId="39C48635" wp14:editId="0BB44853">
              <wp:simplePos x="635" y="635"/>
              <wp:positionH relativeFrom="page">
                <wp:align>center</wp:align>
              </wp:positionH>
              <wp:positionV relativeFrom="page">
                <wp:align>bottom</wp:align>
              </wp:positionV>
              <wp:extent cx="622300" cy="391160"/>
              <wp:effectExtent l="0" t="0" r="6350" b="0"/>
              <wp:wrapNone/>
              <wp:docPr id="3892818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48635"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797"/>
      <w:gridCol w:w="1275"/>
    </w:tblGrid>
    <w:tr w:rsidR="007452E8" w:rsidRPr="004A3084" w14:paraId="6266BC33" w14:textId="77777777" w:rsidTr="003C742B">
      <w:trPr>
        <w:trHeight w:val="423"/>
      </w:trPr>
      <w:tc>
        <w:tcPr>
          <w:tcW w:w="7797" w:type="dxa"/>
          <w:tcBorders>
            <w:top w:val="single" w:sz="4" w:space="0" w:color="auto"/>
          </w:tcBorders>
        </w:tcPr>
        <w:p w14:paraId="3C421323" w14:textId="7F1DA728" w:rsidR="007452E8" w:rsidRPr="004A3084" w:rsidRDefault="007E4FF8" w:rsidP="007452E8">
          <w:pPr>
            <w:pStyle w:val="Footer"/>
          </w:pPr>
          <w:r w:rsidRPr="00E77C7D">
            <w:rPr>
              <w:noProof/>
            </w:rPr>
            <mc:AlternateContent>
              <mc:Choice Requires="wps">
                <w:drawing>
                  <wp:anchor distT="0" distB="0" distL="0" distR="0" simplePos="0" relativeHeight="251658249" behindDoc="0" locked="0" layoutInCell="1" allowOverlap="1" wp14:anchorId="17DC9217" wp14:editId="6D91AF89">
                    <wp:simplePos x="0" y="0"/>
                    <wp:positionH relativeFrom="page">
                      <wp:posOffset>2541270</wp:posOffset>
                    </wp:positionH>
                    <wp:positionV relativeFrom="page">
                      <wp:posOffset>137160</wp:posOffset>
                    </wp:positionV>
                    <wp:extent cx="622300" cy="391160"/>
                    <wp:effectExtent l="0" t="0" r="6350" b="0"/>
                    <wp:wrapNone/>
                    <wp:docPr id="84197400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DC9217" id="_x0000_t202" coordsize="21600,21600" o:spt="202" path="m,l,21600r21600,l21600,xe">
                    <v:stroke joinstyle="miter"/>
                    <v:path gradientshapeok="t" o:connecttype="rect"/>
                  </v:shapetype>
                  <v:shape id="Text Box 9" o:spid="_x0000_s1033" type="#_x0000_t202" alt="OFFICIAL" style="position:absolute;margin-left:200.1pt;margin-top:10.8pt;width:49pt;height:30.8pt;z-index:251658249;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" filled="f" stroked="f">
                    <v:textbox style="mso-fit-shape-to-text:t" inset="0,0,0,15pt">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E77C7D">
            <w:t xml:space="preserve">AusPAR - </w:t>
          </w:r>
          <w:r w:rsidR="008C2A5F" w:rsidRPr="00E77C7D">
            <w:t xml:space="preserve">Zynlonta </w:t>
          </w:r>
          <w:r w:rsidR="007452E8" w:rsidRPr="00E77C7D">
            <w:t xml:space="preserve">- </w:t>
          </w:r>
          <w:r w:rsidR="008C2A5F" w:rsidRPr="00E77C7D">
            <w:t>loncastuximab tesirine</w:t>
          </w:r>
          <w:r w:rsidR="007452E8" w:rsidRPr="00E77C7D">
            <w:t xml:space="preserve"> </w:t>
          </w:r>
          <w:r w:rsidR="008C754C" w:rsidRPr="00E77C7D">
            <w:t>-</w:t>
          </w:r>
          <w:r w:rsidR="007452E8" w:rsidRPr="00E77C7D">
            <w:t xml:space="preserve"> </w:t>
          </w:r>
          <w:r w:rsidR="008C2A5F" w:rsidRPr="00E77C7D">
            <w:t xml:space="preserve">Swedish Orphan Biovitrum Pty </w:t>
          </w:r>
          <w:proofErr w:type="gramStart"/>
          <w:r w:rsidR="008C2A5F" w:rsidRPr="00E77C7D">
            <w:t xml:space="preserve">Ltd </w:t>
          </w:r>
          <w:r w:rsidR="007452E8" w:rsidRPr="00E77C7D">
            <w:t xml:space="preserve"> -</w:t>
          </w:r>
          <w:proofErr w:type="gramEnd"/>
          <w:r w:rsidR="007452E8" w:rsidRPr="00E77C7D">
            <w:t xml:space="preserve"> </w:t>
          </w:r>
          <w:r w:rsidR="0088750B" w:rsidRPr="00E77C7D">
            <w:t>PM-2025-00489-1-4</w:t>
          </w:r>
          <w:r w:rsidR="007452E8" w:rsidRPr="00E77C7D">
            <w:br/>
            <w:t>Date of Finalisation</w:t>
          </w:r>
          <w:r w:rsidR="00382D9B">
            <w:t>:</w:t>
          </w:r>
          <w:r w:rsidR="00E77C7D" w:rsidRPr="00E77C7D">
            <w:t xml:space="preserve"> 2 June 2026</w:t>
          </w:r>
        </w:p>
      </w:tc>
      <w:tc>
        <w:tcPr>
          <w:tcW w:w="1275"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26045BC3" w:rsidR="007452E8" w:rsidRPr="008E3C43" w:rsidRDefault="007E4FF8" w:rsidP="007452E8">
    <w:pPr>
      <w:pStyle w:val="Footer"/>
    </w:pPr>
    <w:r>
      <w:rPr>
        <w:noProof/>
      </w:rPr>
      <mc:AlternateContent>
        <mc:Choice Requires="wps">
          <w:drawing>
            <wp:anchor distT="0" distB="0" distL="0" distR="0" simplePos="0" relativeHeight="251658250" behindDoc="0" locked="0" layoutInCell="1" allowOverlap="1" wp14:anchorId="104118EA" wp14:editId="6897F4AA">
              <wp:simplePos x="635" y="635"/>
              <wp:positionH relativeFrom="page">
                <wp:align>center</wp:align>
              </wp:positionH>
              <wp:positionV relativeFrom="page">
                <wp:align>bottom</wp:align>
              </wp:positionV>
              <wp:extent cx="622300" cy="391160"/>
              <wp:effectExtent l="0" t="0" r="6350" b="0"/>
              <wp:wrapNone/>
              <wp:docPr id="9097008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18EA" id="_x0000_t202" coordsize="21600,21600" o:spt="202" path="m,l,21600r21600,l21600,xe">
              <v:stroke joinstyle="miter"/>
              <v:path gradientshapeok="t" o:connecttype="rect"/>
            </v:shapetype>
            <v:shape id="Text Box 10" o:spid="_x0000_s1035" type="#_x0000_t202" alt="OFFICIAL" style="position:absolute;margin-left:0;margin-top:0;width:49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9DBEB" w14:textId="77777777" w:rsidR="00AA7A75" w:rsidRDefault="00AA7A75" w:rsidP="00F02AEC">
      <w:pPr>
        <w:spacing w:after="0" w:line="240" w:lineRule="auto"/>
      </w:pPr>
      <w:r>
        <w:separator/>
      </w:r>
    </w:p>
  </w:footnote>
  <w:footnote w:type="continuationSeparator" w:id="0">
    <w:p w14:paraId="1602EA24" w14:textId="77777777" w:rsidR="00AA7A75" w:rsidRDefault="00AA7A75"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022DE693" w14:textId="453C69EC" w:rsidR="00E72B4D" w:rsidRDefault="00E72B4D">
      <w:pPr>
        <w:pStyle w:val="FootnoteText"/>
      </w:pPr>
      <w:r>
        <w:rPr>
          <w:rStyle w:val="FootnoteReference"/>
        </w:rPr>
        <w:footnoteRef/>
      </w:r>
      <w:r>
        <w:t xml:space="preserve"> </w:t>
      </w:r>
      <w:r w:rsidRPr="00E72B4D">
        <w:t>Li, S., Young, K. H., &amp; Medeiros, L. J. (2018). Diffuse large B-cell lymphoma. Pathology, 50(1), 74–87. https://doi.org/10.1016/j.pathol.2017.09.006</w:t>
      </w:r>
    </w:p>
  </w:footnote>
  <w:footnote w:id="3">
    <w:p w14:paraId="23659291" w14:textId="6E7EBB13" w:rsidR="00E577CD" w:rsidRDefault="00E577CD">
      <w:pPr>
        <w:pStyle w:val="FootnoteText"/>
      </w:pPr>
      <w:r>
        <w:rPr>
          <w:rStyle w:val="FootnoteReference"/>
        </w:rPr>
        <w:footnoteRef/>
      </w:r>
      <w:r>
        <w:t xml:space="preserve"> </w:t>
      </w:r>
      <w:r w:rsidRPr="00E577CD">
        <w:t>Kurz, K. S., Ott, M., Kalmbach, S., et al. (2023). Large B-Cell Lymphomas in the 5th Edition of the WHO-Classification of Haematolymphoid Neoplasms-Updated Classification and New Concepts. Cancers, 15(8), 2285. https://doi.org/10.3390/cancers15082285</w:t>
      </w:r>
    </w:p>
  </w:footnote>
  <w:footnote w:id="4">
    <w:p w14:paraId="00239D00" w14:textId="484082C9" w:rsidR="00B02C03" w:rsidRDefault="00B02C03">
      <w:pPr>
        <w:pStyle w:val="FootnoteText"/>
      </w:pPr>
      <w:r>
        <w:rPr>
          <w:rStyle w:val="FootnoteReference"/>
        </w:rPr>
        <w:footnoteRef/>
      </w:r>
      <w:r>
        <w:t xml:space="preserve"> </w:t>
      </w:r>
      <w:r w:rsidRPr="00B02C03">
        <w:t>Campo, E., Jaffe, E. S., Cook, J. R., et al. (2022). The International Consensus Classification of Mature Lymphoid Neoplasms: a report from the Clinical Advisory Committee. Blood, 140(11), 1229–1253. https://doi.org/10.1182/blood.2022015851.</w:t>
      </w:r>
    </w:p>
  </w:footnote>
  <w:footnote w:id="5">
    <w:p w14:paraId="2D92BB2E" w14:textId="4AD1F683" w:rsidR="000A57EE" w:rsidRDefault="000A57EE">
      <w:pPr>
        <w:pStyle w:val="FootnoteText"/>
      </w:pPr>
      <w:r>
        <w:rPr>
          <w:rStyle w:val="FootnoteReference"/>
        </w:rPr>
        <w:footnoteRef/>
      </w:r>
      <w:r>
        <w:t xml:space="preserve"> </w:t>
      </w:r>
      <w:r w:rsidRPr="000A57EE">
        <w:t>European Society for Medical Oncology (ESMO). (2025). ESMO Living Guideline – Lymphomas – Relapsed/Refractory DLBCL. v1.0 - October 2025. Last accessed 26 Nov 2025 from https://www.esmo.org/guidelines/living-guidelines/esmo-living-guideline-lymphomas/diffuse-large-b-cell-lymphoma-dlbcl/dlbcl-disease-management/relapsed-refractory-dlbcl</w:t>
      </w:r>
    </w:p>
  </w:footnote>
  <w:footnote w:id="6">
    <w:p w14:paraId="73B5CD6E" w14:textId="5A30DF44" w:rsidR="00C60573" w:rsidRDefault="00C60573">
      <w:pPr>
        <w:pStyle w:val="FootnoteText"/>
      </w:pPr>
      <w:r>
        <w:rPr>
          <w:rStyle w:val="FootnoteReference"/>
        </w:rPr>
        <w:footnoteRef/>
      </w:r>
      <w:r w:rsidRPr="00454539">
        <w:rPr>
          <w:lang w:val="sv-SE"/>
        </w:rPr>
        <w:t xml:space="preserve"> </w:t>
      </w:r>
      <w:r w:rsidRPr="00454539">
        <w:rPr>
          <w:lang w:val="sv-SE"/>
        </w:rPr>
        <w:t xml:space="preserve">Tiberghien AC, Levy JN, Masterson LA, et al. </w:t>
      </w:r>
      <w:r w:rsidRPr="00C60573">
        <w:t xml:space="preserve">Design and synthesis of tesirine, a clinical antibody- drug conjugate </w:t>
      </w:r>
      <w:proofErr w:type="spellStart"/>
      <w:r w:rsidRPr="00C60573">
        <w:t>pyrrolobenzodiazepine</w:t>
      </w:r>
      <w:proofErr w:type="spellEnd"/>
      <w:r w:rsidRPr="00C60573">
        <w:t xml:space="preserve"> dimer payload. ASC Med Chem Lett 2016;7(11):983–7.</w:t>
      </w:r>
    </w:p>
  </w:footnote>
  <w:footnote w:id="7">
    <w:p w14:paraId="6271BBE2" w14:textId="75D64A49" w:rsidR="00942353" w:rsidRDefault="00942353">
      <w:pPr>
        <w:pStyle w:val="FootnoteText"/>
      </w:pPr>
      <w:r>
        <w:rPr>
          <w:rStyle w:val="FootnoteReference"/>
        </w:rPr>
        <w:footnoteRef/>
      </w:r>
      <w:r>
        <w:t xml:space="preserve"> </w:t>
      </w:r>
      <w:r w:rsidRPr="00942353">
        <w:t xml:space="preserve">Anderson KC, Bates MP, Slaughenhoupt BL, et al. Expression of human B cell-associated antigens on </w:t>
      </w:r>
      <w:proofErr w:type="spellStart"/>
      <w:r w:rsidRPr="00942353">
        <w:t>leukaemias</w:t>
      </w:r>
      <w:proofErr w:type="spellEnd"/>
      <w:r w:rsidRPr="00942353">
        <w:t xml:space="preserve"> and lymphomas: a model of human B cell differentiation. Blood 1984;63(6):1424–33.</w:t>
      </w:r>
    </w:p>
  </w:footnote>
  <w:footnote w:id="8">
    <w:p w14:paraId="6335C92A" w14:textId="3B9644CF" w:rsidR="00F07C53" w:rsidRDefault="00F07C53">
      <w:pPr>
        <w:pStyle w:val="FootnoteText"/>
      </w:pPr>
      <w:r>
        <w:rPr>
          <w:rStyle w:val="FootnoteReference"/>
        </w:rPr>
        <w:footnoteRef/>
      </w:r>
      <w:r>
        <w:t xml:space="preserve"> </w:t>
      </w:r>
      <w:r w:rsidRPr="00F07C53">
        <w:t xml:space="preserve">Scheuermann RH and </w:t>
      </w:r>
      <w:proofErr w:type="spellStart"/>
      <w:r w:rsidRPr="00F07C53">
        <w:t>Racila</w:t>
      </w:r>
      <w:proofErr w:type="spellEnd"/>
      <w:r w:rsidRPr="00F07C53">
        <w:t xml:space="preserve"> E. CD19 antigen in leukaemia and lymphoma diagnosis and immunotherapy. Leuk Lymphoma 1995;18(5-6):385–97.</w:t>
      </w:r>
    </w:p>
  </w:footnote>
  <w:footnote w:id="9">
    <w:p w14:paraId="435BD04E" w14:textId="7A7D221F" w:rsidR="008C1736" w:rsidRDefault="008C1736">
      <w:pPr>
        <w:pStyle w:val="FootnoteText"/>
      </w:pPr>
      <w:r>
        <w:rPr>
          <w:rStyle w:val="FootnoteReference"/>
        </w:rPr>
        <w:footnoteRef/>
      </w:r>
      <w:r w:rsidRPr="00EA646C">
        <w:rPr>
          <w:lang w:val="it-IT"/>
        </w:rPr>
        <w:t xml:space="preserve"> </w:t>
      </w:r>
      <w:r w:rsidRPr="00EA646C">
        <w:rPr>
          <w:lang w:val="it-IT"/>
        </w:rPr>
        <w:t xml:space="preserve">Swerdlow, S. H., Campo, E., Pileri, S. A., et al. </w:t>
      </w:r>
      <w:r w:rsidRPr="008C1736">
        <w:t>(2016). The 2016 revision of the World Health Organization classification of lymphoid neoplasms. Blood, 127(20), 2375–2390. https://doi.org/10.1182/blood-2016-01-643569</w:t>
      </w:r>
    </w:p>
  </w:footnote>
  <w:footnote w:id="10">
    <w:p w14:paraId="37594331" w14:textId="799B792B" w:rsidR="00957BB0" w:rsidRPr="00454539" w:rsidRDefault="00957BB0">
      <w:pPr>
        <w:pStyle w:val="FootnoteText"/>
        <w:rPr>
          <w:lang w:val="sv-SE"/>
        </w:rPr>
      </w:pPr>
      <w:r>
        <w:rPr>
          <w:rStyle w:val="FootnoteReference"/>
        </w:rPr>
        <w:footnoteRef/>
      </w:r>
      <w:r>
        <w:t xml:space="preserve"> </w:t>
      </w:r>
      <w:r w:rsidRPr="00957BB0">
        <w:t xml:space="preserve">Crump, M., </w:t>
      </w:r>
      <w:proofErr w:type="spellStart"/>
      <w:r w:rsidRPr="00957BB0">
        <w:t>Neelapu</w:t>
      </w:r>
      <w:proofErr w:type="spellEnd"/>
      <w:r w:rsidRPr="00957BB0">
        <w:t xml:space="preserve">, S. S., Farooq, U., et al. (2017). Outcomes in refractory diffuse large B-cell lymphoma: results from the international SCHOLAR-1 study. </w:t>
      </w:r>
      <w:r w:rsidRPr="00454539">
        <w:rPr>
          <w:lang w:val="sv-SE"/>
        </w:rPr>
        <w:t>Blood, 130(16), 1800–1808. https://doi.org/10.1182/blood-2017-03-769620</w:t>
      </w:r>
    </w:p>
  </w:footnote>
  <w:footnote w:id="11">
    <w:p w14:paraId="6BCDF647" w14:textId="2125A1AC" w:rsidR="00060EB5" w:rsidRPr="00454539" w:rsidRDefault="00060EB5">
      <w:pPr>
        <w:pStyle w:val="FootnoteText"/>
        <w:rPr>
          <w:lang w:val="sv-SE"/>
        </w:rPr>
      </w:pPr>
      <w:r>
        <w:rPr>
          <w:rStyle w:val="FootnoteReference"/>
        </w:rPr>
        <w:footnoteRef/>
      </w:r>
      <w:r w:rsidRPr="00454539">
        <w:rPr>
          <w:lang w:val="sv-SE"/>
        </w:rPr>
        <w:t xml:space="preserve"> </w:t>
      </w:r>
      <w:r w:rsidRPr="00454539">
        <w:rPr>
          <w:lang w:val="sv-SE"/>
        </w:rPr>
        <w:t xml:space="preserve">Alaggio, </w:t>
      </w:r>
      <w:r w:rsidRPr="00454539">
        <w:rPr>
          <w:lang w:val="sv-SE"/>
        </w:rPr>
        <w:t xml:space="preserve">R., Amador, C., Anagnostopoulos, I., et al. </w:t>
      </w:r>
      <w:r w:rsidRPr="00060EB5">
        <w:t xml:space="preserve">(2022). The 5th edition of the World Health Organization Classification of Haematolymphoid Tumours: Lymphoid Neoplasms. </w:t>
      </w:r>
      <w:r w:rsidRPr="00454539">
        <w:rPr>
          <w:lang w:val="sv-SE"/>
        </w:rPr>
        <w:t>Leukemia, 36(7), 1720–1748. https://doi.org/10.1038/s41375-022-01620-2</w:t>
      </w:r>
    </w:p>
  </w:footnote>
  <w:footnote w:id="12">
    <w:p w14:paraId="749A9317" w14:textId="71CFF97E" w:rsidR="00CE1FD8" w:rsidRDefault="00CE1FD8">
      <w:pPr>
        <w:pStyle w:val="FootnoteText"/>
      </w:pPr>
      <w:r>
        <w:rPr>
          <w:rStyle w:val="FootnoteReference"/>
        </w:rPr>
        <w:footnoteRef/>
      </w:r>
      <w:r w:rsidRPr="00454539">
        <w:rPr>
          <w:lang w:val="sv-SE"/>
        </w:rPr>
        <w:t xml:space="preserve"> </w:t>
      </w:r>
      <w:r w:rsidRPr="00454539">
        <w:rPr>
          <w:lang w:val="sv-SE"/>
        </w:rPr>
        <w:t xml:space="preserve">Alaggio, </w:t>
      </w:r>
      <w:r w:rsidRPr="00454539">
        <w:rPr>
          <w:lang w:val="sv-SE"/>
        </w:rPr>
        <w:t xml:space="preserve">R., Amador, C., Anagnostopoulos, I., et al. </w:t>
      </w:r>
      <w:r w:rsidRPr="00CE1FD8">
        <w:t>(2022). The 5th edition of the World Health Organization Classification of Haematolymphoid Tumours: Lymphoid Neoplasms. Leukemia, 36(7), 1720–1748. https://doi.org/10.1038/s41375-022-01620-2</w:t>
      </w:r>
    </w:p>
  </w:footnote>
  <w:footnote w:id="13">
    <w:p w14:paraId="6CFE896A" w14:textId="3188FB51" w:rsidR="00E20380" w:rsidRDefault="00E20380">
      <w:pPr>
        <w:pStyle w:val="FootnoteText"/>
      </w:pPr>
      <w:r>
        <w:rPr>
          <w:rStyle w:val="FootnoteReference"/>
        </w:rPr>
        <w:footnoteRef/>
      </w:r>
      <w:r>
        <w:t xml:space="preserve"> </w:t>
      </w:r>
      <w:r w:rsidR="007A0DA2" w:rsidRPr="007A0DA2">
        <w:t>The Delegate of the Secretary of the Department of Health, Disability and Ageing who decided the submission under Section 25 of the Therapeutic Goods Act 1989.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FCB3" w14:textId="093B1D27" w:rsidR="007E4FF8" w:rsidRDefault="007E4FF8">
    <w:pPr>
      <w:pStyle w:val="Header"/>
    </w:pPr>
    <w:r>
      <w:rPr>
        <w:noProof/>
      </w:rPr>
      <mc:AlternateContent>
        <mc:Choice Requires="wps">
          <w:drawing>
            <wp:anchor distT="0" distB="0" distL="0" distR="0" simplePos="0" relativeHeight="251658242" behindDoc="0" locked="0" layoutInCell="1" allowOverlap="1" wp14:anchorId="3BDA164B" wp14:editId="743987F4">
              <wp:simplePos x="635" y="635"/>
              <wp:positionH relativeFrom="page">
                <wp:align>center</wp:align>
              </wp:positionH>
              <wp:positionV relativeFrom="page">
                <wp:align>top</wp:align>
              </wp:positionV>
              <wp:extent cx="622300" cy="391160"/>
              <wp:effectExtent l="0" t="0" r="6350" b="8890"/>
              <wp:wrapNone/>
              <wp:docPr id="784331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A164B"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495EEAE9" w:rsidR="007452E8" w:rsidRPr="00CB0550" w:rsidRDefault="007E4FF8" w:rsidP="00CB0550">
    <w:pPr>
      <w:pStyle w:val="Header"/>
      <w:jc w:val="left"/>
    </w:pPr>
    <w:r>
      <w:rPr>
        <w:noProof/>
      </w:rPr>
      <mc:AlternateContent>
        <mc:Choice Requires="wps">
          <w:drawing>
            <wp:anchor distT="0" distB="0" distL="0" distR="0" simplePos="0" relativeHeight="251658243" behindDoc="0" locked="0" layoutInCell="1" allowOverlap="1" wp14:anchorId="5966BD6A" wp14:editId="01118435">
              <wp:simplePos x="635" y="635"/>
              <wp:positionH relativeFrom="page">
                <wp:align>center</wp:align>
              </wp:positionH>
              <wp:positionV relativeFrom="page">
                <wp:align>top</wp:align>
              </wp:positionV>
              <wp:extent cx="622300" cy="391160"/>
              <wp:effectExtent l="0" t="0" r="6350" b="8890"/>
              <wp:wrapNone/>
              <wp:docPr id="15778969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6BD6A"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31E19A61" w:rsidR="007452E8" w:rsidRPr="002B29B2" w:rsidRDefault="007E4FF8" w:rsidP="007452E8">
          <w:pPr>
            <w:ind w:left="-57"/>
            <w:rPr>
              <w:noProof/>
            </w:rPr>
          </w:pPr>
          <w:r>
            <w:rPr>
              <w:noProof/>
            </w:rPr>
            <mc:AlternateContent>
              <mc:Choice Requires="wps">
                <w:drawing>
                  <wp:anchor distT="0" distB="0" distL="0" distR="0" simplePos="0" relativeHeight="251658241" behindDoc="0" locked="0" layoutInCell="1" allowOverlap="1" wp14:anchorId="36EC3BC1" wp14:editId="466B87D6">
                    <wp:simplePos x="635" y="635"/>
                    <wp:positionH relativeFrom="page">
                      <wp:align>center</wp:align>
                    </wp:positionH>
                    <wp:positionV relativeFrom="page">
                      <wp:align>top</wp:align>
                    </wp:positionV>
                    <wp:extent cx="622300" cy="391160"/>
                    <wp:effectExtent l="0" t="0" r="6350" b="8890"/>
                    <wp:wrapNone/>
                    <wp:docPr id="13945743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C3BC1"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419FC1D7" w:rsidR="007452E8" w:rsidRDefault="007E4FF8" w:rsidP="007452E8">
    <w:pPr>
      <w:pStyle w:val="Header"/>
    </w:pPr>
    <w:r>
      <w:rPr>
        <w:noProof/>
      </w:rPr>
      <mc:AlternateContent>
        <mc:Choice Requires="wps">
          <w:drawing>
            <wp:anchor distT="0" distB="0" distL="0" distR="0" simplePos="0" relativeHeight="251658244" behindDoc="0" locked="0" layoutInCell="1" allowOverlap="1" wp14:anchorId="28DC3F9E" wp14:editId="3D6537B9">
              <wp:simplePos x="899770" y="365760"/>
              <wp:positionH relativeFrom="page">
                <wp:align>center</wp:align>
              </wp:positionH>
              <wp:positionV relativeFrom="page">
                <wp:align>top</wp:align>
              </wp:positionV>
              <wp:extent cx="622300" cy="391160"/>
              <wp:effectExtent l="0" t="0" r="6350" b="8890"/>
              <wp:wrapNone/>
              <wp:docPr id="177355651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C3F9E"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66C0B9F" w:rsidR="007452E8" w:rsidRPr="00FE501F" w:rsidRDefault="007E4FF8" w:rsidP="007452E8">
    <w:pPr>
      <w:pStyle w:val="Headernoline"/>
    </w:pPr>
    <w:r>
      <w:rPr>
        <w:noProof/>
      </w:rPr>
      <mc:AlternateContent>
        <mc:Choice Requires="wps">
          <w:drawing>
            <wp:anchor distT="0" distB="0" distL="0" distR="0" simplePos="0" relativeHeight="251658245" behindDoc="0" locked="0" layoutInCell="1" allowOverlap="1" wp14:anchorId="2A06D344" wp14:editId="1647E18A">
              <wp:simplePos x="635" y="635"/>
              <wp:positionH relativeFrom="page">
                <wp:align>center</wp:align>
              </wp:positionH>
              <wp:positionV relativeFrom="page">
                <wp:align>top</wp:align>
              </wp:positionV>
              <wp:extent cx="622300" cy="391160"/>
              <wp:effectExtent l="0" t="0" r="6350" b="8890"/>
              <wp:wrapNone/>
              <wp:docPr id="48777718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6D344"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81A"/>
    <w:multiLevelType w:val="hybridMultilevel"/>
    <w:tmpl w:val="A1721912"/>
    <w:lvl w:ilvl="0" w:tplc="29B46B7A">
      <w:numFmt w:val="bullet"/>
      <w:lvlText w:val="•"/>
      <w:lvlJc w:val="left"/>
      <w:pPr>
        <w:ind w:left="218" w:hanging="120"/>
      </w:pPr>
      <w:rPr>
        <w:rFonts w:ascii="Cambria" w:eastAsia="Cambria" w:hAnsi="Cambria" w:cs="Cambria" w:hint="default"/>
        <w:b w:val="0"/>
        <w:bCs w:val="0"/>
        <w:i w:val="0"/>
        <w:iCs w:val="0"/>
        <w:spacing w:val="0"/>
        <w:w w:val="100"/>
        <w:sz w:val="18"/>
        <w:szCs w:val="18"/>
        <w:lang w:val="en-US" w:eastAsia="en-US" w:bidi="ar-SA"/>
      </w:rPr>
    </w:lvl>
    <w:lvl w:ilvl="1" w:tplc="A3CE8920">
      <w:numFmt w:val="bullet"/>
      <w:lvlText w:val="•"/>
      <w:lvlJc w:val="left"/>
      <w:pPr>
        <w:ind w:left="1143" w:hanging="120"/>
      </w:pPr>
      <w:rPr>
        <w:rFonts w:hint="default"/>
        <w:lang w:val="en-US" w:eastAsia="en-US" w:bidi="ar-SA"/>
      </w:rPr>
    </w:lvl>
    <w:lvl w:ilvl="2" w:tplc="2FCADB82">
      <w:numFmt w:val="bullet"/>
      <w:lvlText w:val="•"/>
      <w:lvlJc w:val="left"/>
      <w:pPr>
        <w:ind w:left="2066" w:hanging="120"/>
      </w:pPr>
      <w:rPr>
        <w:rFonts w:hint="default"/>
        <w:lang w:val="en-US" w:eastAsia="en-US" w:bidi="ar-SA"/>
      </w:rPr>
    </w:lvl>
    <w:lvl w:ilvl="3" w:tplc="926CA35E">
      <w:numFmt w:val="bullet"/>
      <w:lvlText w:val="•"/>
      <w:lvlJc w:val="left"/>
      <w:pPr>
        <w:ind w:left="2989" w:hanging="120"/>
      </w:pPr>
      <w:rPr>
        <w:rFonts w:hint="default"/>
        <w:lang w:val="en-US" w:eastAsia="en-US" w:bidi="ar-SA"/>
      </w:rPr>
    </w:lvl>
    <w:lvl w:ilvl="4" w:tplc="C152F054">
      <w:numFmt w:val="bullet"/>
      <w:lvlText w:val="•"/>
      <w:lvlJc w:val="left"/>
      <w:pPr>
        <w:ind w:left="3913" w:hanging="120"/>
      </w:pPr>
      <w:rPr>
        <w:rFonts w:hint="default"/>
        <w:lang w:val="en-US" w:eastAsia="en-US" w:bidi="ar-SA"/>
      </w:rPr>
    </w:lvl>
    <w:lvl w:ilvl="5" w:tplc="6280206E">
      <w:numFmt w:val="bullet"/>
      <w:lvlText w:val="•"/>
      <w:lvlJc w:val="left"/>
      <w:pPr>
        <w:ind w:left="4836" w:hanging="120"/>
      </w:pPr>
      <w:rPr>
        <w:rFonts w:hint="default"/>
        <w:lang w:val="en-US" w:eastAsia="en-US" w:bidi="ar-SA"/>
      </w:rPr>
    </w:lvl>
    <w:lvl w:ilvl="6" w:tplc="7A1A9F98">
      <w:numFmt w:val="bullet"/>
      <w:lvlText w:val="•"/>
      <w:lvlJc w:val="left"/>
      <w:pPr>
        <w:ind w:left="5759" w:hanging="120"/>
      </w:pPr>
      <w:rPr>
        <w:rFonts w:hint="default"/>
        <w:lang w:val="en-US" w:eastAsia="en-US" w:bidi="ar-SA"/>
      </w:rPr>
    </w:lvl>
    <w:lvl w:ilvl="7" w:tplc="044AEF9C">
      <w:numFmt w:val="bullet"/>
      <w:lvlText w:val="•"/>
      <w:lvlJc w:val="left"/>
      <w:pPr>
        <w:ind w:left="6682" w:hanging="120"/>
      </w:pPr>
      <w:rPr>
        <w:rFonts w:hint="default"/>
        <w:lang w:val="en-US" w:eastAsia="en-US" w:bidi="ar-SA"/>
      </w:rPr>
    </w:lvl>
    <w:lvl w:ilvl="8" w:tplc="CBF06BFA">
      <w:numFmt w:val="bullet"/>
      <w:lvlText w:val="•"/>
      <w:lvlJc w:val="left"/>
      <w:pPr>
        <w:ind w:left="7606" w:hanging="120"/>
      </w:pPr>
      <w:rPr>
        <w:rFonts w:hint="default"/>
        <w:lang w:val="en-US" w:eastAsia="en-US" w:bidi="ar-SA"/>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354138F1"/>
    <w:multiLevelType w:val="hybridMultilevel"/>
    <w:tmpl w:val="865027A6"/>
    <w:lvl w:ilvl="0" w:tplc="89F645DC">
      <w:numFmt w:val="bullet"/>
      <w:lvlText w:val=""/>
      <w:lvlJc w:val="left"/>
      <w:pPr>
        <w:ind w:left="398" w:hanging="228"/>
      </w:pPr>
      <w:rPr>
        <w:rFonts w:ascii="Symbol" w:eastAsia="Symbol" w:hAnsi="Symbol" w:cs="Symbol" w:hint="default"/>
        <w:b w:val="0"/>
        <w:bCs w:val="0"/>
        <w:i w:val="0"/>
        <w:iCs w:val="0"/>
        <w:spacing w:val="0"/>
        <w:w w:val="100"/>
        <w:sz w:val="22"/>
        <w:szCs w:val="22"/>
        <w:lang w:val="en-US" w:eastAsia="en-US" w:bidi="ar-SA"/>
      </w:rPr>
    </w:lvl>
    <w:lvl w:ilvl="1" w:tplc="589CCA4A">
      <w:numFmt w:val="bullet"/>
      <w:lvlText w:val="o"/>
      <w:lvlJc w:val="left"/>
      <w:pPr>
        <w:ind w:left="1468" w:hanging="360"/>
      </w:pPr>
      <w:rPr>
        <w:rFonts w:ascii="Courier New" w:eastAsia="Courier New" w:hAnsi="Courier New" w:cs="Courier New" w:hint="default"/>
        <w:b w:val="0"/>
        <w:bCs w:val="0"/>
        <w:i w:val="0"/>
        <w:iCs w:val="0"/>
        <w:spacing w:val="0"/>
        <w:w w:val="100"/>
        <w:sz w:val="22"/>
        <w:szCs w:val="22"/>
        <w:lang w:val="en-US" w:eastAsia="en-US" w:bidi="ar-SA"/>
      </w:rPr>
    </w:lvl>
    <w:lvl w:ilvl="2" w:tplc="F334AD52">
      <w:numFmt w:val="bullet"/>
      <w:lvlText w:val="•"/>
      <w:lvlJc w:val="left"/>
      <w:pPr>
        <w:ind w:left="2368" w:hanging="360"/>
      </w:pPr>
      <w:rPr>
        <w:rFonts w:hint="default"/>
        <w:lang w:val="en-US" w:eastAsia="en-US" w:bidi="ar-SA"/>
      </w:rPr>
    </w:lvl>
    <w:lvl w:ilvl="3" w:tplc="A12CBA8E">
      <w:numFmt w:val="bullet"/>
      <w:lvlText w:val="•"/>
      <w:lvlJc w:val="left"/>
      <w:pPr>
        <w:ind w:left="3277" w:hanging="360"/>
      </w:pPr>
      <w:rPr>
        <w:rFonts w:hint="default"/>
        <w:lang w:val="en-US" w:eastAsia="en-US" w:bidi="ar-SA"/>
      </w:rPr>
    </w:lvl>
    <w:lvl w:ilvl="4" w:tplc="91D65940">
      <w:numFmt w:val="bullet"/>
      <w:lvlText w:val="•"/>
      <w:lvlJc w:val="left"/>
      <w:pPr>
        <w:ind w:left="4186" w:hanging="360"/>
      </w:pPr>
      <w:rPr>
        <w:rFonts w:hint="default"/>
        <w:lang w:val="en-US" w:eastAsia="en-US" w:bidi="ar-SA"/>
      </w:rPr>
    </w:lvl>
    <w:lvl w:ilvl="5" w:tplc="821A9624">
      <w:numFmt w:val="bullet"/>
      <w:lvlText w:val="•"/>
      <w:lvlJc w:val="left"/>
      <w:pPr>
        <w:ind w:left="5095" w:hanging="360"/>
      </w:pPr>
      <w:rPr>
        <w:rFonts w:hint="default"/>
        <w:lang w:val="en-US" w:eastAsia="en-US" w:bidi="ar-SA"/>
      </w:rPr>
    </w:lvl>
    <w:lvl w:ilvl="6" w:tplc="819842A0">
      <w:numFmt w:val="bullet"/>
      <w:lvlText w:val="•"/>
      <w:lvlJc w:val="left"/>
      <w:pPr>
        <w:ind w:left="6004" w:hanging="360"/>
      </w:pPr>
      <w:rPr>
        <w:rFonts w:hint="default"/>
        <w:lang w:val="en-US" w:eastAsia="en-US" w:bidi="ar-SA"/>
      </w:rPr>
    </w:lvl>
    <w:lvl w:ilvl="7" w:tplc="7DC4657E">
      <w:numFmt w:val="bullet"/>
      <w:lvlText w:val="•"/>
      <w:lvlJc w:val="left"/>
      <w:pPr>
        <w:ind w:left="6912" w:hanging="360"/>
      </w:pPr>
      <w:rPr>
        <w:rFonts w:hint="default"/>
        <w:lang w:val="en-US" w:eastAsia="en-US" w:bidi="ar-SA"/>
      </w:rPr>
    </w:lvl>
    <w:lvl w:ilvl="8" w:tplc="00645C12">
      <w:numFmt w:val="bullet"/>
      <w:lvlText w:val="•"/>
      <w:lvlJc w:val="left"/>
      <w:pPr>
        <w:ind w:left="7821" w:hanging="360"/>
      </w:pPr>
      <w:rPr>
        <w:rFonts w:hint="default"/>
        <w:lang w:val="en-US" w:eastAsia="en-US" w:bidi="ar-SA"/>
      </w:r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62E1248D"/>
    <w:multiLevelType w:val="hybridMultilevel"/>
    <w:tmpl w:val="C43606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1"/>
  </w:num>
  <w:num w:numId="5" w16cid:durableId="1652950129">
    <w:abstractNumId w:val="6"/>
  </w:num>
  <w:num w:numId="6" w16cid:durableId="1053193207">
    <w:abstractNumId w:val="9"/>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0"/>
  </w:num>
  <w:num w:numId="9" w16cid:durableId="173421270">
    <w:abstractNumId w:val="2"/>
  </w:num>
  <w:num w:numId="10" w16cid:durableId="2108043357">
    <w:abstractNumId w:val="5"/>
  </w:num>
  <w:num w:numId="11" w16cid:durableId="1725904230">
    <w:abstractNumId w:val="8"/>
  </w:num>
  <w:num w:numId="12" w16cid:durableId="141579354">
    <w:abstractNumId w:val="12"/>
  </w:num>
  <w:num w:numId="13" w16cid:durableId="283735081">
    <w:abstractNumId w:val="14"/>
  </w:num>
  <w:num w:numId="14" w16cid:durableId="1265650136">
    <w:abstractNumId w:val="7"/>
  </w:num>
  <w:num w:numId="15" w16cid:durableId="1754160676">
    <w:abstractNumId w:val="0"/>
  </w:num>
  <w:num w:numId="16" w16cid:durableId="8117489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CA7"/>
    <w:rsid w:val="00000E6E"/>
    <w:rsid w:val="00004431"/>
    <w:rsid w:val="00004D0C"/>
    <w:rsid w:val="00005062"/>
    <w:rsid w:val="00005DFC"/>
    <w:rsid w:val="0001064C"/>
    <w:rsid w:val="0001384A"/>
    <w:rsid w:val="000148D7"/>
    <w:rsid w:val="00021C13"/>
    <w:rsid w:val="00025070"/>
    <w:rsid w:val="00031F72"/>
    <w:rsid w:val="00032A0F"/>
    <w:rsid w:val="00035581"/>
    <w:rsid w:val="0003665B"/>
    <w:rsid w:val="00040D8D"/>
    <w:rsid w:val="00046423"/>
    <w:rsid w:val="000477F5"/>
    <w:rsid w:val="0005067C"/>
    <w:rsid w:val="00051F7A"/>
    <w:rsid w:val="00056BE5"/>
    <w:rsid w:val="0005785F"/>
    <w:rsid w:val="00060EB5"/>
    <w:rsid w:val="0006104E"/>
    <w:rsid w:val="000640BD"/>
    <w:rsid w:val="00065839"/>
    <w:rsid w:val="00065FDF"/>
    <w:rsid w:val="0006693A"/>
    <w:rsid w:val="00077844"/>
    <w:rsid w:val="00083763"/>
    <w:rsid w:val="0009023D"/>
    <w:rsid w:val="00090510"/>
    <w:rsid w:val="000917AE"/>
    <w:rsid w:val="0009243C"/>
    <w:rsid w:val="00094B81"/>
    <w:rsid w:val="000955B8"/>
    <w:rsid w:val="00095C6A"/>
    <w:rsid w:val="000975AA"/>
    <w:rsid w:val="000A1A6D"/>
    <w:rsid w:val="000A57EE"/>
    <w:rsid w:val="000A7C54"/>
    <w:rsid w:val="000B6B15"/>
    <w:rsid w:val="000C25A7"/>
    <w:rsid w:val="000C79A3"/>
    <w:rsid w:val="000D313F"/>
    <w:rsid w:val="000D78EC"/>
    <w:rsid w:val="000D7934"/>
    <w:rsid w:val="000E1513"/>
    <w:rsid w:val="000E2434"/>
    <w:rsid w:val="000E2597"/>
    <w:rsid w:val="000E504E"/>
    <w:rsid w:val="000E531A"/>
    <w:rsid w:val="000E6746"/>
    <w:rsid w:val="000F7B51"/>
    <w:rsid w:val="00101BEE"/>
    <w:rsid w:val="00101CE6"/>
    <w:rsid w:val="00101FB1"/>
    <w:rsid w:val="001041B3"/>
    <w:rsid w:val="0010558A"/>
    <w:rsid w:val="00106817"/>
    <w:rsid w:val="001101FF"/>
    <w:rsid w:val="00111989"/>
    <w:rsid w:val="00113F9F"/>
    <w:rsid w:val="00114025"/>
    <w:rsid w:val="00117F2A"/>
    <w:rsid w:val="00123D21"/>
    <w:rsid w:val="00123EC2"/>
    <w:rsid w:val="0012473C"/>
    <w:rsid w:val="00127A74"/>
    <w:rsid w:val="00127E06"/>
    <w:rsid w:val="0013132F"/>
    <w:rsid w:val="00131B1B"/>
    <w:rsid w:val="0013306D"/>
    <w:rsid w:val="0013528C"/>
    <w:rsid w:val="0013561C"/>
    <w:rsid w:val="001442A2"/>
    <w:rsid w:val="001468CA"/>
    <w:rsid w:val="00146935"/>
    <w:rsid w:val="001500A8"/>
    <w:rsid w:val="00152D97"/>
    <w:rsid w:val="00155D85"/>
    <w:rsid w:val="0015612D"/>
    <w:rsid w:val="001571C4"/>
    <w:rsid w:val="00161344"/>
    <w:rsid w:val="00165D28"/>
    <w:rsid w:val="0017005C"/>
    <w:rsid w:val="0017372A"/>
    <w:rsid w:val="00175CD8"/>
    <w:rsid w:val="00176F09"/>
    <w:rsid w:val="00182BD8"/>
    <w:rsid w:val="001840A9"/>
    <w:rsid w:val="00185955"/>
    <w:rsid w:val="00190853"/>
    <w:rsid w:val="001A12CE"/>
    <w:rsid w:val="001A76F9"/>
    <w:rsid w:val="001B06FF"/>
    <w:rsid w:val="001B1703"/>
    <w:rsid w:val="001B7D25"/>
    <w:rsid w:val="001C1C2E"/>
    <w:rsid w:val="001C31A1"/>
    <w:rsid w:val="001C3FA2"/>
    <w:rsid w:val="001C5EE2"/>
    <w:rsid w:val="001D0077"/>
    <w:rsid w:val="001D3ED1"/>
    <w:rsid w:val="001D6F77"/>
    <w:rsid w:val="001E407B"/>
    <w:rsid w:val="001E5032"/>
    <w:rsid w:val="001E7FC6"/>
    <w:rsid w:val="001F2502"/>
    <w:rsid w:val="001F2E04"/>
    <w:rsid w:val="001F70A5"/>
    <w:rsid w:val="0020235D"/>
    <w:rsid w:val="0020369B"/>
    <w:rsid w:val="00204B11"/>
    <w:rsid w:val="00207B4D"/>
    <w:rsid w:val="00210F9B"/>
    <w:rsid w:val="002117B1"/>
    <w:rsid w:val="00214787"/>
    <w:rsid w:val="00214DA6"/>
    <w:rsid w:val="002151E5"/>
    <w:rsid w:val="002160E8"/>
    <w:rsid w:val="00217CCE"/>
    <w:rsid w:val="002203B1"/>
    <w:rsid w:val="00223554"/>
    <w:rsid w:val="00225E13"/>
    <w:rsid w:val="00226F39"/>
    <w:rsid w:val="002328A7"/>
    <w:rsid w:val="002334AD"/>
    <w:rsid w:val="00235BBB"/>
    <w:rsid w:val="00236F91"/>
    <w:rsid w:val="00241B60"/>
    <w:rsid w:val="0024445A"/>
    <w:rsid w:val="00251F27"/>
    <w:rsid w:val="0025287C"/>
    <w:rsid w:val="0025308A"/>
    <w:rsid w:val="0025785B"/>
    <w:rsid w:val="00257969"/>
    <w:rsid w:val="00257FBE"/>
    <w:rsid w:val="00262613"/>
    <w:rsid w:val="00265CD1"/>
    <w:rsid w:val="00270470"/>
    <w:rsid w:val="00271735"/>
    <w:rsid w:val="0027721C"/>
    <w:rsid w:val="00280048"/>
    <w:rsid w:val="0028489E"/>
    <w:rsid w:val="002848DE"/>
    <w:rsid w:val="0028794E"/>
    <w:rsid w:val="002924A1"/>
    <w:rsid w:val="00297265"/>
    <w:rsid w:val="0029733B"/>
    <w:rsid w:val="002A24D2"/>
    <w:rsid w:val="002A5841"/>
    <w:rsid w:val="002A7CC6"/>
    <w:rsid w:val="002B17B5"/>
    <w:rsid w:val="002B1EDF"/>
    <w:rsid w:val="002B2061"/>
    <w:rsid w:val="002B2A53"/>
    <w:rsid w:val="002B33C3"/>
    <w:rsid w:val="002C1232"/>
    <w:rsid w:val="002C1E44"/>
    <w:rsid w:val="002C30F3"/>
    <w:rsid w:val="002C36F2"/>
    <w:rsid w:val="002C5C92"/>
    <w:rsid w:val="002C5E29"/>
    <w:rsid w:val="002C74F2"/>
    <w:rsid w:val="002D0478"/>
    <w:rsid w:val="002D1DA3"/>
    <w:rsid w:val="002D366D"/>
    <w:rsid w:val="002D4163"/>
    <w:rsid w:val="002D703F"/>
    <w:rsid w:val="002D7127"/>
    <w:rsid w:val="002E5483"/>
    <w:rsid w:val="002E6280"/>
    <w:rsid w:val="002F0E48"/>
    <w:rsid w:val="002F599E"/>
    <w:rsid w:val="002F7ADC"/>
    <w:rsid w:val="003006C1"/>
    <w:rsid w:val="003008D8"/>
    <w:rsid w:val="00301D9A"/>
    <w:rsid w:val="00303959"/>
    <w:rsid w:val="00306E72"/>
    <w:rsid w:val="003125A6"/>
    <w:rsid w:val="00312AC3"/>
    <w:rsid w:val="00314430"/>
    <w:rsid w:val="003161F1"/>
    <w:rsid w:val="003163BC"/>
    <w:rsid w:val="00317642"/>
    <w:rsid w:val="003212D9"/>
    <w:rsid w:val="0032351A"/>
    <w:rsid w:val="00324B33"/>
    <w:rsid w:val="00327488"/>
    <w:rsid w:val="003302FF"/>
    <w:rsid w:val="0033169E"/>
    <w:rsid w:val="00332A9B"/>
    <w:rsid w:val="00333352"/>
    <w:rsid w:val="0033413A"/>
    <w:rsid w:val="00336FE1"/>
    <w:rsid w:val="00337BD8"/>
    <w:rsid w:val="00342D56"/>
    <w:rsid w:val="003456E7"/>
    <w:rsid w:val="00346EC2"/>
    <w:rsid w:val="003477F9"/>
    <w:rsid w:val="0035444D"/>
    <w:rsid w:val="00354D34"/>
    <w:rsid w:val="00355B2F"/>
    <w:rsid w:val="00356D62"/>
    <w:rsid w:val="0036009D"/>
    <w:rsid w:val="00363EE3"/>
    <w:rsid w:val="003735F3"/>
    <w:rsid w:val="00374729"/>
    <w:rsid w:val="00374E96"/>
    <w:rsid w:val="0037664E"/>
    <w:rsid w:val="00380CD4"/>
    <w:rsid w:val="00380EFC"/>
    <w:rsid w:val="00381C2F"/>
    <w:rsid w:val="00382D9B"/>
    <w:rsid w:val="00387298"/>
    <w:rsid w:val="00387984"/>
    <w:rsid w:val="00395140"/>
    <w:rsid w:val="00395832"/>
    <w:rsid w:val="003A2422"/>
    <w:rsid w:val="003A5576"/>
    <w:rsid w:val="003A6871"/>
    <w:rsid w:val="003B149C"/>
    <w:rsid w:val="003C05CB"/>
    <w:rsid w:val="003C0FDB"/>
    <w:rsid w:val="003C1192"/>
    <w:rsid w:val="003C55E2"/>
    <w:rsid w:val="003C5F81"/>
    <w:rsid w:val="003C63D5"/>
    <w:rsid w:val="003C742B"/>
    <w:rsid w:val="003C7AA8"/>
    <w:rsid w:val="003D0925"/>
    <w:rsid w:val="003D0FDC"/>
    <w:rsid w:val="003D5644"/>
    <w:rsid w:val="003D56E2"/>
    <w:rsid w:val="003D71A1"/>
    <w:rsid w:val="003D79FC"/>
    <w:rsid w:val="003E35BE"/>
    <w:rsid w:val="003E38F8"/>
    <w:rsid w:val="003E6A48"/>
    <w:rsid w:val="003F152C"/>
    <w:rsid w:val="0041688F"/>
    <w:rsid w:val="00416D30"/>
    <w:rsid w:val="00421571"/>
    <w:rsid w:val="0042376F"/>
    <w:rsid w:val="004246B8"/>
    <w:rsid w:val="004248F1"/>
    <w:rsid w:val="00432F98"/>
    <w:rsid w:val="00433318"/>
    <w:rsid w:val="004411D9"/>
    <w:rsid w:val="00441DE5"/>
    <w:rsid w:val="00442519"/>
    <w:rsid w:val="00442A56"/>
    <w:rsid w:val="004444B0"/>
    <w:rsid w:val="0045060B"/>
    <w:rsid w:val="0045328F"/>
    <w:rsid w:val="00454539"/>
    <w:rsid w:val="00455E3C"/>
    <w:rsid w:val="004626FF"/>
    <w:rsid w:val="0046285C"/>
    <w:rsid w:val="004705AE"/>
    <w:rsid w:val="00470A52"/>
    <w:rsid w:val="00471BD5"/>
    <w:rsid w:val="00477C4E"/>
    <w:rsid w:val="00477F07"/>
    <w:rsid w:val="00481503"/>
    <w:rsid w:val="00481D12"/>
    <w:rsid w:val="00482D8E"/>
    <w:rsid w:val="004854A6"/>
    <w:rsid w:val="00491A55"/>
    <w:rsid w:val="00494C3E"/>
    <w:rsid w:val="00495F2B"/>
    <w:rsid w:val="004972D4"/>
    <w:rsid w:val="00497DF1"/>
    <w:rsid w:val="004A20BC"/>
    <w:rsid w:val="004A318E"/>
    <w:rsid w:val="004A45D4"/>
    <w:rsid w:val="004A57E8"/>
    <w:rsid w:val="004A7197"/>
    <w:rsid w:val="004B0854"/>
    <w:rsid w:val="004B26A1"/>
    <w:rsid w:val="004B2938"/>
    <w:rsid w:val="004B3081"/>
    <w:rsid w:val="004B4A09"/>
    <w:rsid w:val="004B51B0"/>
    <w:rsid w:val="004C094B"/>
    <w:rsid w:val="004C138A"/>
    <w:rsid w:val="004C3CF2"/>
    <w:rsid w:val="004C41CE"/>
    <w:rsid w:val="004C631B"/>
    <w:rsid w:val="004D0933"/>
    <w:rsid w:val="004D2F00"/>
    <w:rsid w:val="004D31D8"/>
    <w:rsid w:val="004D35D1"/>
    <w:rsid w:val="004D4AD5"/>
    <w:rsid w:val="004D5388"/>
    <w:rsid w:val="004E7F16"/>
    <w:rsid w:val="004F0402"/>
    <w:rsid w:val="004F18EC"/>
    <w:rsid w:val="004F46C9"/>
    <w:rsid w:val="00500D68"/>
    <w:rsid w:val="00515992"/>
    <w:rsid w:val="0052271B"/>
    <w:rsid w:val="00522D1A"/>
    <w:rsid w:val="0052630A"/>
    <w:rsid w:val="00530935"/>
    <w:rsid w:val="0053377D"/>
    <w:rsid w:val="00534999"/>
    <w:rsid w:val="00534AA3"/>
    <w:rsid w:val="00535DFE"/>
    <w:rsid w:val="00536AFF"/>
    <w:rsid w:val="005373B5"/>
    <w:rsid w:val="00537AB7"/>
    <w:rsid w:val="0054669B"/>
    <w:rsid w:val="00546F61"/>
    <w:rsid w:val="005479F2"/>
    <w:rsid w:val="005542BC"/>
    <w:rsid w:val="00555E67"/>
    <w:rsid w:val="00557684"/>
    <w:rsid w:val="00560EC1"/>
    <w:rsid w:val="00560F7F"/>
    <w:rsid w:val="005610D1"/>
    <w:rsid w:val="00562F42"/>
    <w:rsid w:val="0056522D"/>
    <w:rsid w:val="00565739"/>
    <w:rsid w:val="0056766D"/>
    <w:rsid w:val="00575215"/>
    <w:rsid w:val="005775D0"/>
    <w:rsid w:val="00581138"/>
    <w:rsid w:val="00583F2C"/>
    <w:rsid w:val="0058575E"/>
    <w:rsid w:val="0058783C"/>
    <w:rsid w:val="005911AE"/>
    <w:rsid w:val="005926E2"/>
    <w:rsid w:val="0059313A"/>
    <w:rsid w:val="005A54EA"/>
    <w:rsid w:val="005B023F"/>
    <w:rsid w:val="005B02A2"/>
    <w:rsid w:val="005B1417"/>
    <w:rsid w:val="005B69CF"/>
    <w:rsid w:val="005B70C8"/>
    <w:rsid w:val="005C303F"/>
    <w:rsid w:val="005C3F07"/>
    <w:rsid w:val="005C4B46"/>
    <w:rsid w:val="005C5DC5"/>
    <w:rsid w:val="005C7A31"/>
    <w:rsid w:val="005C7D58"/>
    <w:rsid w:val="005D0E1E"/>
    <w:rsid w:val="005D2089"/>
    <w:rsid w:val="005D4762"/>
    <w:rsid w:val="005D5491"/>
    <w:rsid w:val="005D6536"/>
    <w:rsid w:val="005D7514"/>
    <w:rsid w:val="005E0FC6"/>
    <w:rsid w:val="005E1A7B"/>
    <w:rsid w:val="005E231F"/>
    <w:rsid w:val="005F0F1D"/>
    <w:rsid w:val="005F65A4"/>
    <w:rsid w:val="005F66E6"/>
    <w:rsid w:val="005F6B03"/>
    <w:rsid w:val="005F7261"/>
    <w:rsid w:val="0060000A"/>
    <w:rsid w:val="00600B89"/>
    <w:rsid w:val="00602D6E"/>
    <w:rsid w:val="00604EE2"/>
    <w:rsid w:val="00605C05"/>
    <w:rsid w:val="006076A9"/>
    <w:rsid w:val="00611351"/>
    <w:rsid w:val="0061217D"/>
    <w:rsid w:val="006129AE"/>
    <w:rsid w:val="00616A2B"/>
    <w:rsid w:val="006227DA"/>
    <w:rsid w:val="006277A1"/>
    <w:rsid w:val="006317D9"/>
    <w:rsid w:val="00633BD7"/>
    <w:rsid w:val="00634580"/>
    <w:rsid w:val="00634884"/>
    <w:rsid w:val="006351D9"/>
    <w:rsid w:val="00637130"/>
    <w:rsid w:val="00637F0E"/>
    <w:rsid w:val="006423F2"/>
    <w:rsid w:val="006428C5"/>
    <w:rsid w:val="0064423D"/>
    <w:rsid w:val="006456F1"/>
    <w:rsid w:val="00647D79"/>
    <w:rsid w:val="00650234"/>
    <w:rsid w:val="0066044B"/>
    <w:rsid w:val="0066233D"/>
    <w:rsid w:val="006630AA"/>
    <w:rsid w:val="00663544"/>
    <w:rsid w:val="006659A1"/>
    <w:rsid w:val="00666539"/>
    <w:rsid w:val="00666911"/>
    <w:rsid w:val="006732D3"/>
    <w:rsid w:val="00675F81"/>
    <w:rsid w:val="00677A1D"/>
    <w:rsid w:val="0068143E"/>
    <w:rsid w:val="0068507D"/>
    <w:rsid w:val="0069187C"/>
    <w:rsid w:val="00691AF2"/>
    <w:rsid w:val="00692B80"/>
    <w:rsid w:val="00692CCD"/>
    <w:rsid w:val="00692D51"/>
    <w:rsid w:val="00694DD7"/>
    <w:rsid w:val="0069636B"/>
    <w:rsid w:val="006974F5"/>
    <w:rsid w:val="006A1762"/>
    <w:rsid w:val="006A19CE"/>
    <w:rsid w:val="006A1F0B"/>
    <w:rsid w:val="006A277A"/>
    <w:rsid w:val="006A5973"/>
    <w:rsid w:val="006A6F8A"/>
    <w:rsid w:val="006B04F3"/>
    <w:rsid w:val="006B5E64"/>
    <w:rsid w:val="006B7126"/>
    <w:rsid w:val="006B7EB7"/>
    <w:rsid w:val="006C06D2"/>
    <w:rsid w:val="006C2F62"/>
    <w:rsid w:val="006C5D08"/>
    <w:rsid w:val="006C6B86"/>
    <w:rsid w:val="006D35E3"/>
    <w:rsid w:val="006D4553"/>
    <w:rsid w:val="006D4A35"/>
    <w:rsid w:val="006D6B44"/>
    <w:rsid w:val="006E0F71"/>
    <w:rsid w:val="006E123B"/>
    <w:rsid w:val="006E27FE"/>
    <w:rsid w:val="006E6059"/>
    <w:rsid w:val="006F2CA9"/>
    <w:rsid w:val="00701110"/>
    <w:rsid w:val="00702C13"/>
    <w:rsid w:val="00702E91"/>
    <w:rsid w:val="0070330F"/>
    <w:rsid w:val="00703624"/>
    <w:rsid w:val="007046ED"/>
    <w:rsid w:val="0070541F"/>
    <w:rsid w:val="0070559B"/>
    <w:rsid w:val="007072A1"/>
    <w:rsid w:val="0071060C"/>
    <w:rsid w:val="00710BC5"/>
    <w:rsid w:val="007121CA"/>
    <w:rsid w:val="0072003B"/>
    <w:rsid w:val="00721059"/>
    <w:rsid w:val="007211E6"/>
    <w:rsid w:val="00721A92"/>
    <w:rsid w:val="007220C4"/>
    <w:rsid w:val="00722E1E"/>
    <w:rsid w:val="007305ED"/>
    <w:rsid w:val="00731118"/>
    <w:rsid w:val="007311B9"/>
    <w:rsid w:val="00732361"/>
    <w:rsid w:val="00732F94"/>
    <w:rsid w:val="007357B9"/>
    <w:rsid w:val="00740AB9"/>
    <w:rsid w:val="00741AB9"/>
    <w:rsid w:val="00742D03"/>
    <w:rsid w:val="00744216"/>
    <w:rsid w:val="007452E8"/>
    <w:rsid w:val="00746990"/>
    <w:rsid w:val="00747093"/>
    <w:rsid w:val="00750D70"/>
    <w:rsid w:val="007575D0"/>
    <w:rsid w:val="007629CC"/>
    <w:rsid w:val="00764ACE"/>
    <w:rsid w:val="007662E0"/>
    <w:rsid w:val="0077576D"/>
    <w:rsid w:val="00776030"/>
    <w:rsid w:val="007762CD"/>
    <w:rsid w:val="00776E9C"/>
    <w:rsid w:val="00777745"/>
    <w:rsid w:val="00780CAF"/>
    <w:rsid w:val="007816D8"/>
    <w:rsid w:val="0078302C"/>
    <w:rsid w:val="00784150"/>
    <w:rsid w:val="00785414"/>
    <w:rsid w:val="007859B9"/>
    <w:rsid w:val="00793272"/>
    <w:rsid w:val="0079499A"/>
    <w:rsid w:val="00794B64"/>
    <w:rsid w:val="007967C3"/>
    <w:rsid w:val="007A0A33"/>
    <w:rsid w:val="007A0DA2"/>
    <w:rsid w:val="007A5E1A"/>
    <w:rsid w:val="007B04DE"/>
    <w:rsid w:val="007B0AE6"/>
    <w:rsid w:val="007B20CB"/>
    <w:rsid w:val="007B3ED7"/>
    <w:rsid w:val="007B4524"/>
    <w:rsid w:val="007B45F8"/>
    <w:rsid w:val="007C0C14"/>
    <w:rsid w:val="007C0F0B"/>
    <w:rsid w:val="007C34B0"/>
    <w:rsid w:val="007C57BC"/>
    <w:rsid w:val="007D04CA"/>
    <w:rsid w:val="007D0A2B"/>
    <w:rsid w:val="007D12A1"/>
    <w:rsid w:val="007D1B5D"/>
    <w:rsid w:val="007D40E5"/>
    <w:rsid w:val="007D4138"/>
    <w:rsid w:val="007E4178"/>
    <w:rsid w:val="007E4CC2"/>
    <w:rsid w:val="007E4FF8"/>
    <w:rsid w:val="007E6443"/>
    <w:rsid w:val="007F0A77"/>
    <w:rsid w:val="007F1E37"/>
    <w:rsid w:val="007F3D14"/>
    <w:rsid w:val="007F50D3"/>
    <w:rsid w:val="007F6B1F"/>
    <w:rsid w:val="008013F0"/>
    <w:rsid w:val="00803926"/>
    <w:rsid w:val="00804897"/>
    <w:rsid w:val="00810137"/>
    <w:rsid w:val="00816EB2"/>
    <w:rsid w:val="00817AE6"/>
    <w:rsid w:val="00817D42"/>
    <w:rsid w:val="00821D2F"/>
    <w:rsid w:val="00822C13"/>
    <w:rsid w:val="00825F28"/>
    <w:rsid w:val="0082651E"/>
    <w:rsid w:val="008275D8"/>
    <w:rsid w:val="008329DB"/>
    <w:rsid w:val="00834F89"/>
    <w:rsid w:val="008361C5"/>
    <w:rsid w:val="0083628F"/>
    <w:rsid w:val="00837AB9"/>
    <w:rsid w:val="00840191"/>
    <w:rsid w:val="00842A4B"/>
    <w:rsid w:val="00843722"/>
    <w:rsid w:val="00850637"/>
    <w:rsid w:val="00852B10"/>
    <w:rsid w:val="00852D7E"/>
    <w:rsid w:val="00854A35"/>
    <w:rsid w:val="00854D98"/>
    <w:rsid w:val="0085751E"/>
    <w:rsid w:val="00860B29"/>
    <w:rsid w:val="008622E8"/>
    <w:rsid w:val="008634AE"/>
    <w:rsid w:val="008645EE"/>
    <w:rsid w:val="0086650A"/>
    <w:rsid w:val="008667B7"/>
    <w:rsid w:val="00870144"/>
    <w:rsid w:val="0087072C"/>
    <w:rsid w:val="00871312"/>
    <w:rsid w:val="00873D7A"/>
    <w:rsid w:val="00877CB3"/>
    <w:rsid w:val="008804CF"/>
    <w:rsid w:val="00882D58"/>
    <w:rsid w:val="00882F17"/>
    <w:rsid w:val="00882F19"/>
    <w:rsid w:val="00883D35"/>
    <w:rsid w:val="00884569"/>
    <w:rsid w:val="00885B70"/>
    <w:rsid w:val="0088750B"/>
    <w:rsid w:val="00887A51"/>
    <w:rsid w:val="0089038A"/>
    <w:rsid w:val="00890D9B"/>
    <w:rsid w:val="00891C6C"/>
    <w:rsid w:val="00893709"/>
    <w:rsid w:val="00893CCD"/>
    <w:rsid w:val="008944DB"/>
    <w:rsid w:val="008964B3"/>
    <w:rsid w:val="008970E1"/>
    <w:rsid w:val="008A349B"/>
    <w:rsid w:val="008B1CB5"/>
    <w:rsid w:val="008B4140"/>
    <w:rsid w:val="008B6021"/>
    <w:rsid w:val="008C0E58"/>
    <w:rsid w:val="008C0FD1"/>
    <w:rsid w:val="008C1736"/>
    <w:rsid w:val="008C2A5F"/>
    <w:rsid w:val="008C2D69"/>
    <w:rsid w:val="008C4579"/>
    <w:rsid w:val="008C49C6"/>
    <w:rsid w:val="008C754C"/>
    <w:rsid w:val="008D0CAC"/>
    <w:rsid w:val="008D56C9"/>
    <w:rsid w:val="008D56CA"/>
    <w:rsid w:val="008D6A54"/>
    <w:rsid w:val="008E2585"/>
    <w:rsid w:val="008E2D7A"/>
    <w:rsid w:val="008F3215"/>
    <w:rsid w:val="008F4A62"/>
    <w:rsid w:val="008F7256"/>
    <w:rsid w:val="008F74AA"/>
    <w:rsid w:val="008F760A"/>
    <w:rsid w:val="009019C3"/>
    <w:rsid w:val="0090424C"/>
    <w:rsid w:val="0090605E"/>
    <w:rsid w:val="00906C74"/>
    <w:rsid w:val="009108CE"/>
    <w:rsid w:val="0091222D"/>
    <w:rsid w:val="00914DD2"/>
    <w:rsid w:val="00915A9F"/>
    <w:rsid w:val="00915E53"/>
    <w:rsid w:val="00922934"/>
    <w:rsid w:val="00923ECB"/>
    <w:rsid w:val="009263A1"/>
    <w:rsid w:val="00926A26"/>
    <w:rsid w:val="00930D58"/>
    <w:rsid w:val="009326E9"/>
    <w:rsid w:val="00935AAA"/>
    <w:rsid w:val="00936CF3"/>
    <w:rsid w:val="00936F25"/>
    <w:rsid w:val="00937320"/>
    <w:rsid w:val="00940688"/>
    <w:rsid w:val="00942353"/>
    <w:rsid w:val="009431B5"/>
    <w:rsid w:val="0094402A"/>
    <w:rsid w:val="0095031E"/>
    <w:rsid w:val="00954297"/>
    <w:rsid w:val="00954E28"/>
    <w:rsid w:val="00957BB0"/>
    <w:rsid w:val="00960A56"/>
    <w:rsid w:val="009611D8"/>
    <w:rsid w:val="00964299"/>
    <w:rsid w:val="00966EF1"/>
    <w:rsid w:val="00967223"/>
    <w:rsid w:val="009751F7"/>
    <w:rsid w:val="00980565"/>
    <w:rsid w:val="0098168B"/>
    <w:rsid w:val="0098350E"/>
    <w:rsid w:val="00990C12"/>
    <w:rsid w:val="0099404F"/>
    <w:rsid w:val="00994D62"/>
    <w:rsid w:val="00996FA5"/>
    <w:rsid w:val="009B2453"/>
    <w:rsid w:val="009B273E"/>
    <w:rsid w:val="009B5662"/>
    <w:rsid w:val="009C1A1B"/>
    <w:rsid w:val="009C2211"/>
    <w:rsid w:val="009C40E8"/>
    <w:rsid w:val="009C45C5"/>
    <w:rsid w:val="009C7E5A"/>
    <w:rsid w:val="009D2921"/>
    <w:rsid w:val="009D6CFC"/>
    <w:rsid w:val="009D6F8B"/>
    <w:rsid w:val="009E669F"/>
    <w:rsid w:val="009E6858"/>
    <w:rsid w:val="009E6F8C"/>
    <w:rsid w:val="009F3C63"/>
    <w:rsid w:val="009F405F"/>
    <w:rsid w:val="009F79CB"/>
    <w:rsid w:val="00A01844"/>
    <w:rsid w:val="00A01C56"/>
    <w:rsid w:val="00A11F67"/>
    <w:rsid w:val="00A13BFA"/>
    <w:rsid w:val="00A231DF"/>
    <w:rsid w:val="00A32672"/>
    <w:rsid w:val="00A32C50"/>
    <w:rsid w:val="00A34046"/>
    <w:rsid w:val="00A352DD"/>
    <w:rsid w:val="00A358E7"/>
    <w:rsid w:val="00A4380B"/>
    <w:rsid w:val="00A46AD1"/>
    <w:rsid w:val="00A503AF"/>
    <w:rsid w:val="00A51A2D"/>
    <w:rsid w:val="00A5421E"/>
    <w:rsid w:val="00A5596B"/>
    <w:rsid w:val="00A63C07"/>
    <w:rsid w:val="00A63D9B"/>
    <w:rsid w:val="00A704DC"/>
    <w:rsid w:val="00A721C0"/>
    <w:rsid w:val="00A72774"/>
    <w:rsid w:val="00A73332"/>
    <w:rsid w:val="00A76241"/>
    <w:rsid w:val="00A82826"/>
    <w:rsid w:val="00A864AD"/>
    <w:rsid w:val="00A87172"/>
    <w:rsid w:val="00A93DC6"/>
    <w:rsid w:val="00A9411A"/>
    <w:rsid w:val="00AA469B"/>
    <w:rsid w:val="00AA4A4B"/>
    <w:rsid w:val="00AA6682"/>
    <w:rsid w:val="00AA763D"/>
    <w:rsid w:val="00AA7A75"/>
    <w:rsid w:val="00AB0408"/>
    <w:rsid w:val="00AB0613"/>
    <w:rsid w:val="00AB0FC8"/>
    <w:rsid w:val="00AB37B0"/>
    <w:rsid w:val="00AB3F3C"/>
    <w:rsid w:val="00AB7C5C"/>
    <w:rsid w:val="00AB7CBF"/>
    <w:rsid w:val="00AC707C"/>
    <w:rsid w:val="00AD0111"/>
    <w:rsid w:val="00AD089E"/>
    <w:rsid w:val="00AD0B68"/>
    <w:rsid w:val="00AD40C3"/>
    <w:rsid w:val="00AD4C72"/>
    <w:rsid w:val="00AD5451"/>
    <w:rsid w:val="00AE1947"/>
    <w:rsid w:val="00AE1EBE"/>
    <w:rsid w:val="00AE752C"/>
    <w:rsid w:val="00AF10A4"/>
    <w:rsid w:val="00AF1C8B"/>
    <w:rsid w:val="00AF299B"/>
    <w:rsid w:val="00AF7E43"/>
    <w:rsid w:val="00B00E16"/>
    <w:rsid w:val="00B02AE0"/>
    <w:rsid w:val="00B02C03"/>
    <w:rsid w:val="00B03F25"/>
    <w:rsid w:val="00B05326"/>
    <w:rsid w:val="00B05BB3"/>
    <w:rsid w:val="00B14545"/>
    <w:rsid w:val="00B14C46"/>
    <w:rsid w:val="00B14E60"/>
    <w:rsid w:val="00B17BA2"/>
    <w:rsid w:val="00B26DC3"/>
    <w:rsid w:val="00B27409"/>
    <w:rsid w:val="00B27B1F"/>
    <w:rsid w:val="00B30B9D"/>
    <w:rsid w:val="00B312FF"/>
    <w:rsid w:val="00B3258F"/>
    <w:rsid w:val="00B33AE4"/>
    <w:rsid w:val="00B4163A"/>
    <w:rsid w:val="00B43AB2"/>
    <w:rsid w:val="00B4574D"/>
    <w:rsid w:val="00B45F79"/>
    <w:rsid w:val="00B468E1"/>
    <w:rsid w:val="00B46BC0"/>
    <w:rsid w:val="00B46DFB"/>
    <w:rsid w:val="00B5141B"/>
    <w:rsid w:val="00B54016"/>
    <w:rsid w:val="00B54BA4"/>
    <w:rsid w:val="00B55681"/>
    <w:rsid w:val="00B57557"/>
    <w:rsid w:val="00B57AAD"/>
    <w:rsid w:val="00B6374E"/>
    <w:rsid w:val="00B71B78"/>
    <w:rsid w:val="00B72B16"/>
    <w:rsid w:val="00B80408"/>
    <w:rsid w:val="00B81397"/>
    <w:rsid w:val="00B8494E"/>
    <w:rsid w:val="00B903EA"/>
    <w:rsid w:val="00B925DB"/>
    <w:rsid w:val="00B967FF"/>
    <w:rsid w:val="00B974B9"/>
    <w:rsid w:val="00BA3F6D"/>
    <w:rsid w:val="00BA4BE6"/>
    <w:rsid w:val="00BA4FC0"/>
    <w:rsid w:val="00BA61E0"/>
    <w:rsid w:val="00BA657C"/>
    <w:rsid w:val="00BA7F7D"/>
    <w:rsid w:val="00BB182D"/>
    <w:rsid w:val="00BB1C14"/>
    <w:rsid w:val="00BB37C8"/>
    <w:rsid w:val="00BB6847"/>
    <w:rsid w:val="00BB6EAB"/>
    <w:rsid w:val="00BB7F8F"/>
    <w:rsid w:val="00BC716A"/>
    <w:rsid w:val="00BC7569"/>
    <w:rsid w:val="00BD07DF"/>
    <w:rsid w:val="00BD1470"/>
    <w:rsid w:val="00BD15C7"/>
    <w:rsid w:val="00BD26F4"/>
    <w:rsid w:val="00BD54B1"/>
    <w:rsid w:val="00BD5DBD"/>
    <w:rsid w:val="00BD5DF6"/>
    <w:rsid w:val="00BD799E"/>
    <w:rsid w:val="00BE0041"/>
    <w:rsid w:val="00BE24B9"/>
    <w:rsid w:val="00BE640F"/>
    <w:rsid w:val="00BE6D2A"/>
    <w:rsid w:val="00BF3359"/>
    <w:rsid w:val="00BF3C00"/>
    <w:rsid w:val="00BF3E05"/>
    <w:rsid w:val="00BF4638"/>
    <w:rsid w:val="00BF502D"/>
    <w:rsid w:val="00BF5130"/>
    <w:rsid w:val="00BF5800"/>
    <w:rsid w:val="00C00844"/>
    <w:rsid w:val="00C059D0"/>
    <w:rsid w:val="00C07551"/>
    <w:rsid w:val="00C104DC"/>
    <w:rsid w:val="00C1109F"/>
    <w:rsid w:val="00C12D65"/>
    <w:rsid w:val="00C133AB"/>
    <w:rsid w:val="00C2046F"/>
    <w:rsid w:val="00C20B56"/>
    <w:rsid w:val="00C21576"/>
    <w:rsid w:val="00C22214"/>
    <w:rsid w:val="00C25D00"/>
    <w:rsid w:val="00C26F72"/>
    <w:rsid w:val="00C309A7"/>
    <w:rsid w:val="00C335AB"/>
    <w:rsid w:val="00C407AB"/>
    <w:rsid w:val="00C52B7B"/>
    <w:rsid w:val="00C547CD"/>
    <w:rsid w:val="00C55726"/>
    <w:rsid w:val="00C570FF"/>
    <w:rsid w:val="00C57CEA"/>
    <w:rsid w:val="00C60573"/>
    <w:rsid w:val="00C60FEC"/>
    <w:rsid w:val="00C62B1C"/>
    <w:rsid w:val="00C6574E"/>
    <w:rsid w:val="00C663D1"/>
    <w:rsid w:val="00C707FD"/>
    <w:rsid w:val="00C72DAC"/>
    <w:rsid w:val="00C76DEB"/>
    <w:rsid w:val="00C77467"/>
    <w:rsid w:val="00C811D8"/>
    <w:rsid w:val="00C816C6"/>
    <w:rsid w:val="00C81BB2"/>
    <w:rsid w:val="00C83F06"/>
    <w:rsid w:val="00C863A7"/>
    <w:rsid w:val="00C912F4"/>
    <w:rsid w:val="00C9156F"/>
    <w:rsid w:val="00C9581A"/>
    <w:rsid w:val="00C96D3F"/>
    <w:rsid w:val="00C97D29"/>
    <w:rsid w:val="00CA51BB"/>
    <w:rsid w:val="00CB0550"/>
    <w:rsid w:val="00CB1A04"/>
    <w:rsid w:val="00CB6813"/>
    <w:rsid w:val="00CB7D98"/>
    <w:rsid w:val="00CC4915"/>
    <w:rsid w:val="00CD75DD"/>
    <w:rsid w:val="00CE1FD8"/>
    <w:rsid w:val="00CF069B"/>
    <w:rsid w:val="00CF6A55"/>
    <w:rsid w:val="00CF6DC6"/>
    <w:rsid w:val="00CF6DCF"/>
    <w:rsid w:val="00D01DDB"/>
    <w:rsid w:val="00D0286E"/>
    <w:rsid w:val="00D0697C"/>
    <w:rsid w:val="00D078BE"/>
    <w:rsid w:val="00D13F8A"/>
    <w:rsid w:val="00D145C9"/>
    <w:rsid w:val="00D16B2D"/>
    <w:rsid w:val="00D16F60"/>
    <w:rsid w:val="00D172DB"/>
    <w:rsid w:val="00D22981"/>
    <w:rsid w:val="00D27B81"/>
    <w:rsid w:val="00D3349B"/>
    <w:rsid w:val="00D36C84"/>
    <w:rsid w:val="00D424A8"/>
    <w:rsid w:val="00D53496"/>
    <w:rsid w:val="00D6036F"/>
    <w:rsid w:val="00D62877"/>
    <w:rsid w:val="00D63760"/>
    <w:rsid w:val="00D6703F"/>
    <w:rsid w:val="00D702A7"/>
    <w:rsid w:val="00D725AB"/>
    <w:rsid w:val="00D734EB"/>
    <w:rsid w:val="00D82713"/>
    <w:rsid w:val="00D831AA"/>
    <w:rsid w:val="00D8581B"/>
    <w:rsid w:val="00D86F00"/>
    <w:rsid w:val="00D918D5"/>
    <w:rsid w:val="00D9279D"/>
    <w:rsid w:val="00D94C8E"/>
    <w:rsid w:val="00D95A3F"/>
    <w:rsid w:val="00DA3D58"/>
    <w:rsid w:val="00DA4C19"/>
    <w:rsid w:val="00DA7CC7"/>
    <w:rsid w:val="00DB1372"/>
    <w:rsid w:val="00DB192C"/>
    <w:rsid w:val="00DB1CF3"/>
    <w:rsid w:val="00DB5425"/>
    <w:rsid w:val="00DB6CA8"/>
    <w:rsid w:val="00DB72A6"/>
    <w:rsid w:val="00DB79FD"/>
    <w:rsid w:val="00DC1F14"/>
    <w:rsid w:val="00DC33AF"/>
    <w:rsid w:val="00DC6369"/>
    <w:rsid w:val="00DC6481"/>
    <w:rsid w:val="00DC6611"/>
    <w:rsid w:val="00DC7677"/>
    <w:rsid w:val="00DD5AFB"/>
    <w:rsid w:val="00DD7941"/>
    <w:rsid w:val="00DE1344"/>
    <w:rsid w:val="00DE157A"/>
    <w:rsid w:val="00DE28AE"/>
    <w:rsid w:val="00DE4F7B"/>
    <w:rsid w:val="00DE5134"/>
    <w:rsid w:val="00DE5D33"/>
    <w:rsid w:val="00DF1CFD"/>
    <w:rsid w:val="00DF5BFE"/>
    <w:rsid w:val="00DF7C2F"/>
    <w:rsid w:val="00E03EEB"/>
    <w:rsid w:val="00E0481D"/>
    <w:rsid w:val="00E0523F"/>
    <w:rsid w:val="00E05D9D"/>
    <w:rsid w:val="00E07D48"/>
    <w:rsid w:val="00E20380"/>
    <w:rsid w:val="00E22598"/>
    <w:rsid w:val="00E23E50"/>
    <w:rsid w:val="00E26213"/>
    <w:rsid w:val="00E274DF"/>
    <w:rsid w:val="00E31435"/>
    <w:rsid w:val="00E3298F"/>
    <w:rsid w:val="00E34D66"/>
    <w:rsid w:val="00E362C4"/>
    <w:rsid w:val="00E45EB8"/>
    <w:rsid w:val="00E46CC2"/>
    <w:rsid w:val="00E47E0C"/>
    <w:rsid w:val="00E51813"/>
    <w:rsid w:val="00E52C0B"/>
    <w:rsid w:val="00E53D3F"/>
    <w:rsid w:val="00E5579B"/>
    <w:rsid w:val="00E56469"/>
    <w:rsid w:val="00E577CD"/>
    <w:rsid w:val="00E57FF4"/>
    <w:rsid w:val="00E65C71"/>
    <w:rsid w:val="00E679D1"/>
    <w:rsid w:val="00E67C1C"/>
    <w:rsid w:val="00E72220"/>
    <w:rsid w:val="00E72B4D"/>
    <w:rsid w:val="00E77C7D"/>
    <w:rsid w:val="00E81BAF"/>
    <w:rsid w:val="00E85209"/>
    <w:rsid w:val="00E91BC4"/>
    <w:rsid w:val="00E91F11"/>
    <w:rsid w:val="00E93301"/>
    <w:rsid w:val="00E93F02"/>
    <w:rsid w:val="00E9706D"/>
    <w:rsid w:val="00E976BE"/>
    <w:rsid w:val="00EA0A92"/>
    <w:rsid w:val="00EA1D23"/>
    <w:rsid w:val="00EA3428"/>
    <w:rsid w:val="00EA3AF4"/>
    <w:rsid w:val="00EA3C8D"/>
    <w:rsid w:val="00EA4E88"/>
    <w:rsid w:val="00EA5BD7"/>
    <w:rsid w:val="00EA646C"/>
    <w:rsid w:val="00EA72A7"/>
    <w:rsid w:val="00EC03E0"/>
    <w:rsid w:val="00ED3E9E"/>
    <w:rsid w:val="00EE4B01"/>
    <w:rsid w:val="00EE5EEE"/>
    <w:rsid w:val="00EE7FC7"/>
    <w:rsid w:val="00EF1B4E"/>
    <w:rsid w:val="00EF3F0B"/>
    <w:rsid w:val="00EF5583"/>
    <w:rsid w:val="00F0289D"/>
    <w:rsid w:val="00F02AEC"/>
    <w:rsid w:val="00F0446E"/>
    <w:rsid w:val="00F07572"/>
    <w:rsid w:val="00F07C53"/>
    <w:rsid w:val="00F157FC"/>
    <w:rsid w:val="00F17199"/>
    <w:rsid w:val="00F27F3C"/>
    <w:rsid w:val="00F30AF3"/>
    <w:rsid w:val="00F34DAF"/>
    <w:rsid w:val="00F4178D"/>
    <w:rsid w:val="00F43CD1"/>
    <w:rsid w:val="00F45AE0"/>
    <w:rsid w:val="00F57421"/>
    <w:rsid w:val="00F57632"/>
    <w:rsid w:val="00F60CF2"/>
    <w:rsid w:val="00F657B4"/>
    <w:rsid w:val="00F67624"/>
    <w:rsid w:val="00F67E9C"/>
    <w:rsid w:val="00F70122"/>
    <w:rsid w:val="00F71F24"/>
    <w:rsid w:val="00F72725"/>
    <w:rsid w:val="00F7649F"/>
    <w:rsid w:val="00F8083B"/>
    <w:rsid w:val="00F82D1B"/>
    <w:rsid w:val="00F8448B"/>
    <w:rsid w:val="00F8568E"/>
    <w:rsid w:val="00F865A7"/>
    <w:rsid w:val="00F9059E"/>
    <w:rsid w:val="00F956F3"/>
    <w:rsid w:val="00FA0754"/>
    <w:rsid w:val="00FA1BC9"/>
    <w:rsid w:val="00FA4528"/>
    <w:rsid w:val="00FA49C3"/>
    <w:rsid w:val="00FA7FBF"/>
    <w:rsid w:val="00FB0857"/>
    <w:rsid w:val="00FB236E"/>
    <w:rsid w:val="00FB3F7B"/>
    <w:rsid w:val="00FB4C2A"/>
    <w:rsid w:val="00FC2107"/>
    <w:rsid w:val="00FC48FE"/>
    <w:rsid w:val="00FC6F56"/>
    <w:rsid w:val="00FD0E10"/>
    <w:rsid w:val="00FE087C"/>
    <w:rsid w:val="00FE79A0"/>
    <w:rsid w:val="00FF0939"/>
    <w:rsid w:val="1D07C614"/>
    <w:rsid w:val="4CFCA72A"/>
    <w:rsid w:val="4D97AA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437139AB-4150-4B2C-B6B3-36528BF7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E81B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8B414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Bold SemiConden" w:hAnsi="Bahnschrift SemiBold SemiConden"/>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autoRedefine/>
    <w:qFormat/>
    <w:rsid w:val="00117F2A"/>
    <w:pPr>
      <w:spacing w:before="120" w:line="240" w:lineRule="auto"/>
      <w:contextualSpacing/>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autoRedefine/>
    <w:qFormat/>
    <w:rsid w:val="00A503AF"/>
    <w:pPr>
      <w:keepNext w:val="0"/>
      <w:spacing w:before="120" w:line="240" w:lineRule="auto"/>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E81BAF"/>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A5421E"/>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A5421E"/>
    <w:rPr>
      <w:rFonts w:ascii="Cambria" w:eastAsia="Cambria" w:hAnsi="Cambria" w:cs="Times New Roman"/>
    </w:rPr>
  </w:style>
  <w:style w:type="character" w:styleId="EndnoteReference">
    <w:name w:val="endnote reference"/>
    <w:basedOn w:val="DefaultParagraphFont"/>
    <w:uiPriority w:val="99"/>
    <w:unhideWhenUsed/>
    <w:rsid w:val="00A5421E"/>
    <w:rPr>
      <w:vertAlign w:val="superscript"/>
    </w:rPr>
  </w:style>
  <w:style w:type="paragraph" w:customStyle="1" w:styleId="TableParagraph">
    <w:name w:val="Table Paragraph"/>
    <w:basedOn w:val="Normal"/>
    <w:uiPriority w:val="1"/>
    <w:qFormat/>
    <w:rsid w:val="00380CD4"/>
    <w:pPr>
      <w:widowControl w:val="0"/>
      <w:autoSpaceDE w:val="0"/>
      <w:autoSpaceDN w:val="0"/>
      <w:spacing w:after="0" w:line="240" w:lineRule="auto"/>
    </w:pPr>
    <w:rPr>
      <w:rFonts w:ascii="Times New Roman" w:eastAsia="Times New Roman" w:hAnsi="Times New Roman" w:cs="Times New Roman"/>
      <w:kern w:val="2"/>
      <w:szCs w:val="22"/>
      <w:lang w:val="en-US"/>
      <w14:ligatures w14:val="standardContextual"/>
    </w:rPr>
  </w:style>
  <w:style w:type="paragraph" w:customStyle="1" w:styleId="Default">
    <w:name w:val="Default"/>
    <w:rsid w:val="005C303F"/>
    <w:pPr>
      <w:autoSpaceDE w:val="0"/>
      <w:autoSpaceDN w:val="0"/>
      <w:adjustRightInd w:val="0"/>
      <w:spacing w:after="0" w:line="240" w:lineRule="auto"/>
    </w:pPr>
    <w:rPr>
      <w:rFonts w:ascii="Arial" w:hAnsi="Arial" w:cs="Arial"/>
      <w:color w:val="000000"/>
      <w:sz w:val="24"/>
      <w:szCs w:val="24"/>
    </w:rPr>
  </w:style>
  <w:style w:type="character" w:customStyle="1" w:styleId="Heading7Char">
    <w:name w:val="Heading 7 Char"/>
    <w:basedOn w:val="DefaultParagraphFont"/>
    <w:link w:val="Heading7"/>
    <w:uiPriority w:val="9"/>
    <w:rsid w:val="008B4140"/>
    <w:rPr>
      <w:rFonts w:asciiTheme="majorHAnsi" w:eastAsiaTheme="majorEastAsia" w:hAnsiTheme="majorHAnsi" w:cstheme="majorBidi"/>
      <w:i/>
      <w:iCs/>
      <w:color w:val="1F3763" w:themeColor="accent1" w:themeShade="7F"/>
      <w:sz w:val="22"/>
    </w:rPr>
  </w:style>
  <w:style w:type="paragraph" w:customStyle="1" w:styleId="Tabletext0">
    <w:name w:val="Table text"/>
    <w:basedOn w:val="Normal"/>
    <w:link w:val="TabletextChar"/>
    <w:qFormat/>
    <w:rsid w:val="00152D97"/>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152D97"/>
    <w:rPr>
      <w:rFonts w:ascii="Cambria" w:eastAsia="Times New Roman" w:hAnsi="Cambria" w:cs="Times New Roman"/>
      <w:snapToGrid w:val="0"/>
      <w:kern w:val="16"/>
      <w:szCs w:val="24"/>
    </w:rPr>
  </w:style>
  <w:style w:type="character" w:styleId="Mention">
    <w:name w:val="Mention"/>
    <w:basedOn w:val="DefaultParagraphFont"/>
    <w:uiPriority w:val="99"/>
    <w:unhideWhenUsed/>
    <w:rsid w:val="006B7EB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microsoft.com/office/2007/relationships/hdphoto" Target="media/hdphoto1.wdp"/><Relationship Id="rId39" Type="http://schemas.openxmlformats.org/officeDocument/2006/relationships/image" Target="media/image10.png"/><Relationship Id="rId21" Type="http://schemas.openxmlformats.org/officeDocument/2006/relationships/hyperlink" Target="https://www.tga.gov.au/black-triangle-scheme" TargetMode="External"/><Relationship Id="rId34" Type="http://schemas.microsoft.com/office/2007/relationships/hdphoto" Target="media/hdphoto3.wdp"/><Relationship Id="rId42" Type="http://schemas.microsoft.com/office/2007/relationships/hdphoto" Target="media/hdphoto7.wdp"/><Relationship Id="rId47" Type="http://schemas.openxmlformats.org/officeDocument/2006/relationships/image" Target="media/image14.png"/><Relationship Id="rId50" Type="http://schemas.microsoft.com/office/2007/relationships/hdphoto" Target="media/hdphoto11.wdp"/><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tga.gov.au/provisional-approval-pathway-prescription-medicines" TargetMode="External"/><Relationship Id="rId11" Type="http://schemas.openxmlformats.org/officeDocument/2006/relationships/header" Target="header1.xml"/><Relationship Id="rId24" Type="http://schemas.openxmlformats.org/officeDocument/2006/relationships/hyperlink" Target="https://www.tga.gov.au/obstetric-drug-information-services" TargetMode="External"/><Relationship Id="rId32" Type="http://schemas.microsoft.com/office/2007/relationships/hdphoto" Target="media/hdphoto2.wdp"/><Relationship Id="rId37" Type="http://schemas.openxmlformats.org/officeDocument/2006/relationships/image" Target="media/image9.png"/><Relationship Id="rId40" Type="http://schemas.microsoft.com/office/2007/relationships/hdphoto" Target="media/hdphoto6.wdp"/><Relationship Id="rId45" Type="http://schemas.openxmlformats.org/officeDocument/2006/relationships/image" Target="media/image13.png"/><Relationship Id="rId53" Type="http://schemas.openxmlformats.org/officeDocument/2006/relationships/hyperlink" Target="https://www.tga.gov.au/resources/resources/forms/certified-product-details-cpd-biological-prescription-medicines" TargetMode="External"/><Relationship Id="rId58" Type="http://schemas.openxmlformats.org/officeDocument/2006/relationships/hyperlink" Target="https://www.tga.gov.au"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mailto:tga.copyright@tga.gov.au" TargetMode="External"/><Relationship Id="rId14" Type="http://schemas.openxmlformats.org/officeDocument/2006/relationships/footer" Target="footer2.xml"/><Relationship Id="rId22" Type="http://schemas.openxmlformats.org/officeDocument/2006/relationships/hyperlink" Target="https://www.ebs.tga.gov.au/" TargetMode="External"/><Relationship Id="rId27" Type="http://schemas.openxmlformats.org/officeDocument/2006/relationships/hyperlink" Target="https://www.tga.gov.au/resources/resource/guidance/orphan-drug-designation"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image" Target="media/image12.png"/><Relationship Id="rId48" Type="http://schemas.microsoft.com/office/2007/relationships/hdphoto" Target="media/hdphoto10.wdp"/><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image" Target="media/image4.png"/><Relationship Id="rId33" Type="http://schemas.openxmlformats.org/officeDocument/2006/relationships/image" Target="media/image7.png"/><Relationship Id="rId38" Type="http://schemas.microsoft.com/office/2007/relationships/hdphoto" Target="media/hdphoto5.wdp"/><Relationship Id="rId46" Type="http://schemas.microsoft.com/office/2007/relationships/hdphoto" Target="media/hdphoto9.wdp"/><Relationship Id="rId59" Type="http://schemas.openxmlformats.org/officeDocument/2006/relationships/header" Target="header5.xml"/><Relationship Id="rId20" Type="http://schemas.openxmlformats.org/officeDocument/2006/relationships/hyperlink" Target="https://www.tga.gov.au/resources/artg/481165" TargetMode="External"/><Relationship Id="rId41" Type="http://schemas.openxmlformats.org/officeDocument/2006/relationships/image" Target="media/image11.png"/><Relationship Id="rId54" Type="http://schemas.openxmlformats.org/officeDocument/2006/relationships/hyperlink" Target="https://www.ebs.tg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tga.gov.au/products/medicines/find-information-about-medicine/prescribing-medicines-pregnancy-database" TargetMode="External"/><Relationship Id="rId28" Type="http://schemas.openxmlformats.org/officeDocument/2006/relationships/hyperlink" Target="https://www.tga.gov.au/resources/guidance/applying-provisional-determination-prescription-medicine" TargetMode="External"/><Relationship Id="rId36" Type="http://schemas.microsoft.com/office/2007/relationships/hdphoto" Target="media/hdphoto4.wdp"/><Relationship Id="rId49" Type="http://schemas.openxmlformats.org/officeDocument/2006/relationships/image" Target="media/image15.png"/><Relationship Id="rId57" Type="http://schemas.openxmlformats.org/officeDocument/2006/relationships/hyperlink" Target="mailto:info@tga.gov.au" TargetMode="External"/><Relationship Id="rId10" Type="http://schemas.openxmlformats.org/officeDocument/2006/relationships/endnotes" Target="endnotes.xml"/><Relationship Id="rId31" Type="http://schemas.openxmlformats.org/officeDocument/2006/relationships/image" Target="media/image6.png"/><Relationship Id="rId44" Type="http://schemas.microsoft.com/office/2007/relationships/hdphoto" Target="media/hdphoto8.wdp"/><Relationship Id="rId52" Type="http://schemas.openxmlformats.org/officeDocument/2006/relationships/hyperlink" Target="https://www.tga.gov.au/resources/guidance/submitting-certified-product-details-cpd-biological-prescription-medicines" TargetMode="External"/><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9CD18192906B4AB7987315EEFC0EB0" ma:contentTypeVersion="15" ma:contentTypeDescription="Create a new document." ma:contentTypeScope="" ma:versionID="df5ed9a8b9af9d1f96424ebc00610f6f">
  <xsd:schema xmlns:xsd="http://www.w3.org/2001/XMLSchema" xmlns:xs="http://www.w3.org/2001/XMLSchema" xmlns:p="http://schemas.microsoft.com/office/2006/metadata/properties" xmlns:ns2="02e5b975-06a1-49c5-a15f-f72c722a7374" xmlns:ns3="f655cf7e-30e8-4a0f-8e9f-d172cb12bb1b" targetNamespace="http://schemas.microsoft.com/office/2006/metadata/properties" ma:root="true" ma:fieldsID="1a45d697088753379f5e0905edf2e5cd" ns2:_="" ns3:_="">
    <xsd:import namespace="02e5b975-06a1-49c5-a15f-f72c722a7374"/>
    <xsd:import namespace="f655cf7e-30e8-4a0f-8e9f-d172cb12bb1b"/>
    <xsd:element name="properties">
      <xsd:complexType>
        <xsd:sequence>
          <xsd:element name="documentManagement">
            <xsd:complexType>
              <xsd:all>
                <xsd:element ref="ns2:c037a05abf4a4cde8f40716c4e74c80c" minOccurs="0"/>
                <xsd:element ref="ns2:d27c3ea310cd4959970339ebc0a7a978" minOccurs="0"/>
                <xsd:element ref="ns3:TaxCatchAll" minOccurs="0"/>
                <xsd:element ref="ns2:l84445f83f33466c9f372c53908e216f" minOccurs="0"/>
                <xsd:element ref="ns2:k83207d0bab34f1db94090603a9c4f86"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5b975-06a1-49c5-a15f-f72c722a7374" elementFormDefault="qualified">
    <xsd:import namespace="http://schemas.microsoft.com/office/2006/documentManagement/types"/>
    <xsd:import namespace="http://schemas.microsoft.com/office/infopath/2007/PartnerControls"/>
    <xsd:element name="c037a05abf4a4cde8f40716c4e74c80c" ma:index="9" nillable="true" ma:taxonomy="true" ma:internalName="c037a05abf4a4cde8f40716c4e74c80c" ma:taxonomyFieldName="Product" ma:displayName="product" ma:fieldId="{c037a05a-bf4a-4cde-8f40-716c4e74c80c}" ma:sspId="ab87fba6-b3a6-4e2a-943c-006c67f29307" ma:termSetId="31c25b6a-7c2a-4b2e-836f-68d686f524d1" ma:anchorId="00000000-0000-0000-0000-000000000000" ma:open="false" ma:isKeyword="false">
      <xsd:complexType>
        <xsd:sequence>
          <xsd:element ref="pc:Terms" minOccurs="0" maxOccurs="1"/>
        </xsd:sequence>
      </xsd:complexType>
    </xsd:element>
    <xsd:element name="d27c3ea310cd4959970339ebc0a7a978" ma:index="11" nillable="true" ma:taxonomy="true" ma:internalName="d27c3ea310cd4959970339ebc0a7a978" ma:taxonomyFieldName="Franchise" ma:displayName="franchise" ma:fieldId="{d27c3ea3-10cd-4959-9703-39ebc0a7a978}" ma:sspId="ab87fba6-b3a6-4e2a-943c-006c67f29307" ma:termSetId="bb3ecf80-5067-47fa-a325-40d4b7a9e9ab" ma:anchorId="00000000-0000-0000-0000-000000000000" ma:open="false" ma:isKeyword="false">
      <xsd:complexType>
        <xsd:sequence>
          <xsd:element ref="pc:Terms" minOccurs="0" maxOccurs="1"/>
        </xsd:sequence>
      </xsd:complexType>
    </xsd:element>
    <xsd:element name="l84445f83f33466c9f372c53908e216f" ma:index="14" nillable="true" ma:taxonomy="true" ma:internalName="l84445f83f33466c9f372c53908e216f" ma:taxonomyFieldName="Function" ma:displayName="function" ma:fieldId="{584445f8-3f33-466c-9f37-2c53908e216f}" ma:sspId="ab87fba6-b3a6-4e2a-943c-006c67f29307" ma:termSetId="de854747-5d57-4c24-8067-0549cb70b87d" ma:anchorId="00000000-0000-0000-0000-000000000000" ma:open="false" ma:isKeyword="false">
      <xsd:complexType>
        <xsd:sequence>
          <xsd:element ref="pc:Terms" minOccurs="0" maxOccurs="1"/>
        </xsd:sequence>
      </xsd:complexType>
    </xsd:element>
    <xsd:element name="k83207d0bab34f1db94090603a9c4f86" ma:index="16" nillable="true" ma:taxonomy="true" ma:internalName="k83207d0bab34f1db94090603a9c4f86" ma:taxonomyFieldName="Organisationtype" ma:displayName="organisationtype" ma:fieldId="{483207d0-bab3-4f1d-b940-90603a9c4f86}" ma:sspId="ab87fba6-b3a6-4e2a-943c-006c67f29307" ma:termSetId="14489088-61dd-4e64-827e-238ef81d0ace" ma:anchorId="00000000-0000-0000-0000-000000000000" ma:open="false" ma:isKeyword="false">
      <xsd:complexType>
        <xsd:sequence>
          <xsd:element ref="pc:Terms" minOccurs="0" maxOccurs="1"/>
        </xsd:sequence>
      </xsd:complex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55cf7e-30e8-4a0f-8e9f-d172cb12bb1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aaa6a7-43e8-48a0-92f6-6418ec5ea39b}" ma:internalName="TaxCatchAll" ma:showField="CatchAllData" ma:web="f655cf7e-30e8-4a0f-8e9f-d172cb12bb1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655cf7e-30e8-4a0f-8e9f-d172cb12bb1b">
      <Value>1</Value>
    </TaxCatchAll>
    <k83207d0bab34f1db94090603a9c4f86 xmlns="02e5b975-06a1-49c5-a15f-f72c722a7374">
      <Terms xmlns="http://schemas.microsoft.com/office/infopath/2007/PartnerControls"/>
    </k83207d0bab34f1db94090603a9c4f86>
    <c037a05abf4a4cde8f40716c4e74c80c xmlns="02e5b975-06a1-49c5-a15f-f72c722a7374">
      <Terms xmlns="http://schemas.microsoft.com/office/infopath/2007/PartnerControls"/>
    </c037a05abf4a4cde8f40716c4e74c80c>
    <l84445f83f33466c9f372c53908e216f xmlns="02e5b975-06a1-49c5-a15f-f72c722a7374">
      <Terms xmlns="http://schemas.microsoft.com/office/infopath/2007/PartnerControls"/>
    </l84445f83f33466c9f372c53908e216f>
    <d27c3ea310cd4959970339ebc0a7a978 xmlns="02e5b975-06a1-49c5-a15f-f72c722a7374">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1ef16579-4c18-4c73-b2ad-85016834b037</TermId>
        </TermInfo>
      </Terms>
    </d27c3ea310cd4959970339ebc0a7a978>
  </documentManagement>
</p:properties>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3A87D5C7-1DF9-4C65-999C-79293869C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5b975-06a1-49c5-a15f-f72c722a7374"/>
    <ds:schemaRef ds:uri="f655cf7e-30e8-4a0f-8e9f-d172cb12bb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E20BD-EBB4-4E86-85A3-19A8C2F4ECEB}">
  <ds:schemaRefs>
    <ds:schemaRef ds:uri="http://schemas.microsoft.com/sharepoint/v3/contenttype/forms"/>
  </ds:schemaRefs>
</ds:datastoreItem>
</file>

<file path=customXml/itemProps4.xml><?xml version="1.0" encoding="utf-8"?>
<ds:datastoreItem xmlns:ds="http://schemas.openxmlformats.org/officeDocument/2006/customXml" ds:itemID="{F4D96D4D-E684-4A34-B276-E7EE6769ABED}">
  <ds:schemaRefs>
    <ds:schemaRef ds:uri="http://schemas.microsoft.com/office/2006/metadata/properties"/>
    <ds:schemaRef ds:uri="http://schemas.microsoft.com/office/infopath/2007/PartnerControls"/>
    <ds:schemaRef ds:uri="f655cf7e-30e8-4a0f-8e9f-d172cb12bb1b"/>
    <ds:schemaRef ds:uri="02e5b975-06a1-49c5-a15f-f72c722a7374"/>
  </ds:schemaRefs>
</ds:datastoreItem>
</file>

<file path=docMetadata/LabelInfo.xml><?xml version="1.0" encoding="utf-8"?>
<clbl:labelList xmlns:clbl="http://schemas.microsoft.com/office/2020/mipLabelMetadata">
  <clbl:label id="{2a2b3b7c-2102-4caf-911e-f24595387c50}" enabled="0" method="" siteId="{2a2b3b7c-2102-4caf-911e-f24595387c50}"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36</Pages>
  <Words>11469</Words>
  <Characters>65379</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76695</CharactersWithSpaces>
  <SharedDoc>false</SharedDoc>
  <HLinks>
    <vt:vector size="288" baseType="variant">
      <vt:variant>
        <vt:i4>3473445</vt:i4>
      </vt:variant>
      <vt:variant>
        <vt:i4>252</vt:i4>
      </vt:variant>
      <vt:variant>
        <vt:i4>0</vt:i4>
      </vt:variant>
      <vt:variant>
        <vt:i4>5</vt:i4>
      </vt:variant>
      <vt:variant>
        <vt:lpwstr>https://www.tga.gov.au/</vt:lpwstr>
      </vt:variant>
      <vt:variant>
        <vt:lpwstr/>
      </vt:variant>
      <vt:variant>
        <vt:i4>5242926</vt:i4>
      </vt:variant>
      <vt:variant>
        <vt:i4>249</vt:i4>
      </vt:variant>
      <vt:variant>
        <vt:i4>0</vt:i4>
      </vt:variant>
      <vt:variant>
        <vt:i4>5</vt:i4>
      </vt:variant>
      <vt:variant>
        <vt:lpwstr>mailto:info@tga.gov.au</vt:lpwstr>
      </vt:variant>
      <vt:variant>
        <vt:lpwstr/>
      </vt:variant>
      <vt:variant>
        <vt:i4>7929907</vt:i4>
      </vt:variant>
      <vt:variant>
        <vt:i4>246</vt:i4>
      </vt:variant>
      <vt:variant>
        <vt:i4>0</vt:i4>
      </vt:variant>
      <vt:variant>
        <vt:i4>5</vt:i4>
      </vt:variant>
      <vt:variant>
        <vt:lpwstr>https://www.ebs.tga.gov.au/</vt:lpwstr>
      </vt:variant>
      <vt:variant>
        <vt:lpwstr/>
      </vt:variant>
      <vt:variant>
        <vt:i4>28</vt:i4>
      </vt:variant>
      <vt:variant>
        <vt:i4>243</vt:i4>
      </vt:variant>
      <vt:variant>
        <vt:i4>0</vt:i4>
      </vt:variant>
      <vt:variant>
        <vt:i4>5</vt:i4>
      </vt:variant>
      <vt:variant>
        <vt:lpwstr>https://www.tga.gov.au/resources/resources/forms/certified-product-details-cpd-biological-prescription-medicines</vt:lpwstr>
      </vt:variant>
      <vt:variant>
        <vt:lpwstr/>
      </vt:variant>
      <vt:variant>
        <vt:i4>4325462</vt:i4>
      </vt:variant>
      <vt:variant>
        <vt:i4>240</vt:i4>
      </vt:variant>
      <vt:variant>
        <vt:i4>0</vt:i4>
      </vt:variant>
      <vt:variant>
        <vt:i4>5</vt:i4>
      </vt:variant>
      <vt:variant>
        <vt:lpwstr>https://www.tga.gov.au/resources/guidance/submitting-certified-product-details-cpd-biological-prescription-medicines</vt:lpwstr>
      </vt:variant>
      <vt:variant>
        <vt:lpwstr/>
      </vt:variant>
      <vt:variant>
        <vt:i4>2883685</vt:i4>
      </vt:variant>
      <vt:variant>
        <vt:i4>210</vt:i4>
      </vt:variant>
      <vt:variant>
        <vt:i4>0</vt:i4>
      </vt:variant>
      <vt:variant>
        <vt:i4>5</vt:i4>
      </vt:variant>
      <vt:variant>
        <vt:lpwstr>https://www.tga.gov.au/provisional-approval-pathway-prescription-medicines</vt:lpwstr>
      </vt:variant>
      <vt:variant>
        <vt:lpwstr/>
      </vt:variant>
      <vt:variant>
        <vt:i4>3735656</vt:i4>
      </vt:variant>
      <vt:variant>
        <vt:i4>207</vt:i4>
      </vt:variant>
      <vt:variant>
        <vt:i4>0</vt:i4>
      </vt:variant>
      <vt:variant>
        <vt:i4>5</vt:i4>
      </vt:variant>
      <vt:variant>
        <vt:lpwstr>https://www.tga.gov.au/resources/guidance/applying-provisional-determination-prescription-medicine</vt:lpwstr>
      </vt:variant>
      <vt:variant>
        <vt:lpwstr/>
      </vt:variant>
      <vt:variant>
        <vt:i4>2293815</vt:i4>
      </vt:variant>
      <vt:variant>
        <vt:i4>204</vt:i4>
      </vt:variant>
      <vt:variant>
        <vt:i4>0</vt:i4>
      </vt:variant>
      <vt:variant>
        <vt:i4>5</vt:i4>
      </vt:variant>
      <vt:variant>
        <vt:lpwstr>https://www.tga.gov.au/resources/resource/guidance/orphan-drug-designation</vt:lpwstr>
      </vt:variant>
      <vt:variant>
        <vt:lpwstr/>
      </vt:variant>
      <vt:variant>
        <vt:i4>3670063</vt:i4>
      </vt:variant>
      <vt:variant>
        <vt:i4>186</vt:i4>
      </vt:variant>
      <vt:variant>
        <vt:i4>0</vt:i4>
      </vt:variant>
      <vt:variant>
        <vt:i4>5</vt:i4>
      </vt:variant>
      <vt:variant>
        <vt:lpwstr>https://www.tga.gov.au/obstetric-drug-information-services</vt:lpwstr>
      </vt:variant>
      <vt:variant>
        <vt:lpwstr/>
      </vt:variant>
      <vt:variant>
        <vt:i4>2949173</vt:i4>
      </vt:variant>
      <vt:variant>
        <vt:i4>183</vt:i4>
      </vt:variant>
      <vt:variant>
        <vt:i4>0</vt:i4>
      </vt:variant>
      <vt:variant>
        <vt:i4>5</vt:i4>
      </vt:variant>
      <vt:variant>
        <vt:lpwstr>https://www.tga.gov.au/products/medicines/find-information-about-medicine/prescribing-medicines-pregnancy-database</vt:lpwstr>
      </vt:variant>
      <vt:variant>
        <vt:lpwstr/>
      </vt:variant>
      <vt:variant>
        <vt:i4>7929907</vt:i4>
      </vt:variant>
      <vt:variant>
        <vt:i4>180</vt:i4>
      </vt:variant>
      <vt:variant>
        <vt:i4>0</vt:i4>
      </vt:variant>
      <vt:variant>
        <vt:i4>5</vt:i4>
      </vt:variant>
      <vt:variant>
        <vt:lpwstr>https://www.ebs.tga.gov.au/</vt:lpwstr>
      </vt:variant>
      <vt:variant>
        <vt:lpwstr/>
      </vt:variant>
      <vt:variant>
        <vt:i4>786511</vt:i4>
      </vt:variant>
      <vt:variant>
        <vt:i4>177</vt:i4>
      </vt:variant>
      <vt:variant>
        <vt:i4>0</vt:i4>
      </vt:variant>
      <vt:variant>
        <vt:i4>5</vt:i4>
      </vt:variant>
      <vt:variant>
        <vt:lpwstr>https://www.tga.gov.au/black-triangle-scheme</vt:lpwstr>
      </vt:variant>
      <vt:variant>
        <vt:lpwstr/>
      </vt:variant>
      <vt:variant>
        <vt:i4>5701662</vt:i4>
      </vt:variant>
      <vt:variant>
        <vt:i4>174</vt:i4>
      </vt:variant>
      <vt:variant>
        <vt:i4>0</vt:i4>
      </vt:variant>
      <vt:variant>
        <vt:i4>5</vt:i4>
      </vt:variant>
      <vt:variant>
        <vt:lpwstr>https://www.tga.gov.au/resources/artg/481165</vt:lpwstr>
      </vt:variant>
      <vt:variant>
        <vt:lpwstr/>
      </vt:variant>
      <vt:variant>
        <vt:i4>1835067</vt:i4>
      </vt:variant>
      <vt:variant>
        <vt:i4>167</vt:i4>
      </vt:variant>
      <vt:variant>
        <vt:i4>0</vt:i4>
      </vt:variant>
      <vt:variant>
        <vt:i4>5</vt:i4>
      </vt:variant>
      <vt:variant>
        <vt:lpwstr/>
      </vt:variant>
      <vt:variant>
        <vt:lpwstr>_Toc229565695</vt:lpwstr>
      </vt:variant>
      <vt:variant>
        <vt:i4>1835067</vt:i4>
      </vt:variant>
      <vt:variant>
        <vt:i4>161</vt:i4>
      </vt:variant>
      <vt:variant>
        <vt:i4>0</vt:i4>
      </vt:variant>
      <vt:variant>
        <vt:i4>5</vt:i4>
      </vt:variant>
      <vt:variant>
        <vt:lpwstr/>
      </vt:variant>
      <vt:variant>
        <vt:lpwstr>_Toc229565694</vt:lpwstr>
      </vt:variant>
      <vt:variant>
        <vt:i4>1835067</vt:i4>
      </vt:variant>
      <vt:variant>
        <vt:i4>155</vt:i4>
      </vt:variant>
      <vt:variant>
        <vt:i4>0</vt:i4>
      </vt:variant>
      <vt:variant>
        <vt:i4>5</vt:i4>
      </vt:variant>
      <vt:variant>
        <vt:lpwstr/>
      </vt:variant>
      <vt:variant>
        <vt:lpwstr>_Toc229565693</vt:lpwstr>
      </vt:variant>
      <vt:variant>
        <vt:i4>1835067</vt:i4>
      </vt:variant>
      <vt:variant>
        <vt:i4>149</vt:i4>
      </vt:variant>
      <vt:variant>
        <vt:i4>0</vt:i4>
      </vt:variant>
      <vt:variant>
        <vt:i4>5</vt:i4>
      </vt:variant>
      <vt:variant>
        <vt:lpwstr/>
      </vt:variant>
      <vt:variant>
        <vt:lpwstr>_Toc229565692</vt:lpwstr>
      </vt:variant>
      <vt:variant>
        <vt:i4>1835067</vt:i4>
      </vt:variant>
      <vt:variant>
        <vt:i4>143</vt:i4>
      </vt:variant>
      <vt:variant>
        <vt:i4>0</vt:i4>
      </vt:variant>
      <vt:variant>
        <vt:i4>5</vt:i4>
      </vt:variant>
      <vt:variant>
        <vt:lpwstr/>
      </vt:variant>
      <vt:variant>
        <vt:lpwstr>_Toc229565691</vt:lpwstr>
      </vt:variant>
      <vt:variant>
        <vt:i4>1835067</vt:i4>
      </vt:variant>
      <vt:variant>
        <vt:i4>137</vt:i4>
      </vt:variant>
      <vt:variant>
        <vt:i4>0</vt:i4>
      </vt:variant>
      <vt:variant>
        <vt:i4>5</vt:i4>
      </vt:variant>
      <vt:variant>
        <vt:lpwstr/>
      </vt:variant>
      <vt:variant>
        <vt:lpwstr>_Toc229565690</vt:lpwstr>
      </vt:variant>
      <vt:variant>
        <vt:i4>1900603</vt:i4>
      </vt:variant>
      <vt:variant>
        <vt:i4>131</vt:i4>
      </vt:variant>
      <vt:variant>
        <vt:i4>0</vt:i4>
      </vt:variant>
      <vt:variant>
        <vt:i4>5</vt:i4>
      </vt:variant>
      <vt:variant>
        <vt:lpwstr/>
      </vt:variant>
      <vt:variant>
        <vt:lpwstr>_Toc229565689</vt:lpwstr>
      </vt:variant>
      <vt:variant>
        <vt:i4>1900603</vt:i4>
      </vt:variant>
      <vt:variant>
        <vt:i4>125</vt:i4>
      </vt:variant>
      <vt:variant>
        <vt:i4>0</vt:i4>
      </vt:variant>
      <vt:variant>
        <vt:i4>5</vt:i4>
      </vt:variant>
      <vt:variant>
        <vt:lpwstr/>
      </vt:variant>
      <vt:variant>
        <vt:lpwstr>_Toc229565688</vt:lpwstr>
      </vt:variant>
      <vt:variant>
        <vt:i4>1900603</vt:i4>
      </vt:variant>
      <vt:variant>
        <vt:i4>119</vt:i4>
      </vt:variant>
      <vt:variant>
        <vt:i4>0</vt:i4>
      </vt:variant>
      <vt:variant>
        <vt:i4>5</vt:i4>
      </vt:variant>
      <vt:variant>
        <vt:lpwstr/>
      </vt:variant>
      <vt:variant>
        <vt:lpwstr>_Toc229565687</vt:lpwstr>
      </vt:variant>
      <vt:variant>
        <vt:i4>1900603</vt:i4>
      </vt:variant>
      <vt:variant>
        <vt:i4>113</vt:i4>
      </vt:variant>
      <vt:variant>
        <vt:i4>0</vt:i4>
      </vt:variant>
      <vt:variant>
        <vt:i4>5</vt:i4>
      </vt:variant>
      <vt:variant>
        <vt:lpwstr/>
      </vt:variant>
      <vt:variant>
        <vt:lpwstr>_Toc229565686</vt:lpwstr>
      </vt:variant>
      <vt:variant>
        <vt:i4>1900603</vt:i4>
      </vt:variant>
      <vt:variant>
        <vt:i4>107</vt:i4>
      </vt:variant>
      <vt:variant>
        <vt:i4>0</vt:i4>
      </vt:variant>
      <vt:variant>
        <vt:i4>5</vt:i4>
      </vt:variant>
      <vt:variant>
        <vt:lpwstr/>
      </vt:variant>
      <vt:variant>
        <vt:lpwstr>_Toc229565685</vt:lpwstr>
      </vt:variant>
      <vt:variant>
        <vt:i4>1900603</vt:i4>
      </vt:variant>
      <vt:variant>
        <vt:i4>101</vt:i4>
      </vt:variant>
      <vt:variant>
        <vt:i4>0</vt:i4>
      </vt:variant>
      <vt:variant>
        <vt:i4>5</vt:i4>
      </vt:variant>
      <vt:variant>
        <vt:lpwstr/>
      </vt:variant>
      <vt:variant>
        <vt:lpwstr>_Toc229565684</vt:lpwstr>
      </vt:variant>
      <vt:variant>
        <vt:i4>1900603</vt:i4>
      </vt:variant>
      <vt:variant>
        <vt:i4>95</vt:i4>
      </vt:variant>
      <vt:variant>
        <vt:i4>0</vt:i4>
      </vt:variant>
      <vt:variant>
        <vt:i4>5</vt:i4>
      </vt:variant>
      <vt:variant>
        <vt:lpwstr/>
      </vt:variant>
      <vt:variant>
        <vt:lpwstr>_Toc229565683</vt:lpwstr>
      </vt:variant>
      <vt:variant>
        <vt:i4>1900603</vt:i4>
      </vt:variant>
      <vt:variant>
        <vt:i4>89</vt:i4>
      </vt:variant>
      <vt:variant>
        <vt:i4>0</vt:i4>
      </vt:variant>
      <vt:variant>
        <vt:i4>5</vt:i4>
      </vt:variant>
      <vt:variant>
        <vt:lpwstr/>
      </vt:variant>
      <vt:variant>
        <vt:lpwstr>_Toc229565682</vt:lpwstr>
      </vt:variant>
      <vt:variant>
        <vt:i4>1900603</vt:i4>
      </vt:variant>
      <vt:variant>
        <vt:i4>83</vt:i4>
      </vt:variant>
      <vt:variant>
        <vt:i4>0</vt:i4>
      </vt:variant>
      <vt:variant>
        <vt:i4>5</vt:i4>
      </vt:variant>
      <vt:variant>
        <vt:lpwstr/>
      </vt:variant>
      <vt:variant>
        <vt:lpwstr>_Toc229565681</vt:lpwstr>
      </vt:variant>
      <vt:variant>
        <vt:i4>1900603</vt:i4>
      </vt:variant>
      <vt:variant>
        <vt:i4>77</vt:i4>
      </vt:variant>
      <vt:variant>
        <vt:i4>0</vt:i4>
      </vt:variant>
      <vt:variant>
        <vt:i4>5</vt:i4>
      </vt:variant>
      <vt:variant>
        <vt:lpwstr/>
      </vt:variant>
      <vt:variant>
        <vt:lpwstr>_Toc229565680</vt:lpwstr>
      </vt:variant>
      <vt:variant>
        <vt:i4>1179707</vt:i4>
      </vt:variant>
      <vt:variant>
        <vt:i4>71</vt:i4>
      </vt:variant>
      <vt:variant>
        <vt:i4>0</vt:i4>
      </vt:variant>
      <vt:variant>
        <vt:i4>5</vt:i4>
      </vt:variant>
      <vt:variant>
        <vt:lpwstr/>
      </vt:variant>
      <vt:variant>
        <vt:lpwstr>_Toc229565679</vt:lpwstr>
      </vt:variant>
      <vt:variant>
        <vt:i4>1179707</vt:i4>
      </vt:variant>
      <vt:variant>
        <vt:i4>65</vt:i4>
      </vt:variant>
      <vt:variant>
        <vt:i4>0</vt:i4>
      </vt:variant>
      <vt:variant>
        <vt:i4>5</vt:i4>
      </vt:variant>
      <vt:variant>
        <vt:lpwstr/>
      </vt:variant>
      <vt:variant>
        <vt:lpwstr>_Toc229565678</vt:lpwstr>
      </vt:variant>
      <vt:variant>
        <vt:i4>1179707</vt:i4>
      </vt:variant>
      <vt:variant>
        <vt:i4>59</vt:i4>
      </vt:variant>
      <vt:variant>
        <vt:i4>0</vt:i4>
      </vt:variant>
      <vt:variant>
        <vt:i4>5</vt:i4>
      </vt:variant>
      <vt:variant>
        <vt:lpwstr/>
      </vt:variant>
      <vt:variant>
        <vt:lpwstr>_Toc229565677</vt:lpwstr>
      </vt:variant>
      <vt:variant>
        <vt:i4>1179707</vt:i4>
      </vt:variant>
      <vt:variant>
        <vt:i4>53</vt:i4>
      </vt:variant>
      <vt:variant>
        <vt:i4>0</vt:i4>
      </vt:variant>
      <vt:variant>
        <vt:i4>5</vt:i4>
      </vt:variant>
      <vt:variant>
        <vt:lpwstr/>
      </vt:variant>
      <vt:variant>
        <vt:lpwstr>_Toc229565676</vt:lpwstr>
      </vt:variant>
      <vt:variant>
        <vt:i4>1179707</vt:i4>
      </vt:variant>
      <vt:variant>
        <vt:i4>47</vt:i4>
      </vt:variant>
      <vt:variant>
        <vt:i4>0</vt:i4>
      </vt:variant>
      <vt:variant>
        <vt:i4>5</vt:i4>
      </vt:variant>
      <vt:variant>
        <vt:lpwstr/>
      </vt:variant>
      <vt:variant>
        <vt:lpwstr>_Toc229565675</vt:lpwstr>
      </vt:variant>
      <vt:variant>
        <vt:i4>1179707</vt:i4>
      </vt:variant>
      <vt:variant>
        <vt:i4>41</vt:i4>
      </vt:variant>
      <vt:variant>
        <vt:i4>0</vt:i4>
      </vt:variant>
      <vt:variant>
        <vt:i4>5</vt:i4>
      </vt:variant>
      <vt:variant>
        <vt:lpwstr/>
      </vt:variant>
      <vt:variant>
        <vt:lpwstr>_Toc229565674</vt:lpwstr>
      </vt:variant>
      <vt:variant>
        <vt:i4>1179707</vt:i4>
      </vt:variant>
      <vt:variant>
        <vt:i4>35</vt:i4>
      </vt:variant>
      <vt:variant>
        <vt:i4>0</vt:i4>
      </vt:variant>
      <vt:variant>
        <vt:i4>5</vt:i4>
      </vt:variant>
      <vt:variant>
        <vt:lpwstr/>
      </vt:variant>
      <vt:variant>
        <vt:lpwstr>_Toc229565673</vt:lpwstr>
      </vt:variant>
      <vt:variant>
        <vt:i4>1179707</vt:i4>
      </vt:variant>
      <vt:variant>
        <vt:i4>29</vt:i4>
      </vt:variant>
      <vt:variant>
        <vt:i4>0</vt:i4>
      </vt:variant>
      <vt:variant>
        <vt:i4>5</vt:i4>
      </vt:variant>
      <vt:variant>
        <vt:lpwstr/>
      </vt:variant>
      <vt:variant>
        <vt:lpwstr>_Toc229565672</vt:lpwstr>
      </vt:variant>
      <vt:variant>
        <vt:i4>1179707</vt:i4>
      </vt:variant>
      <vt:variant>
        <vt:i4>23</vt:i4>
      </vt:variant>
      <vt:variant>
        <vt:i4>0</vt:i4>
      </vt:variant>
      <vt:variant>
        <vt:i4>5</vt:i4>
      </vt:variant>
      <vt:variant>
        <vt:lpwstr/>
      </vt:variant>
      <vt:variant>
        <vt:lpwstr>_Toc229565671</vt:lpwstr>
      </vt:variant>
      <vt:variant>
        <vt:i4>1179707</vt:i4>
      </vt:variant>
      <vt:variant>
        <vt:i4>17</vt:i4>
      </vt:variant>
      <vt:variant>
        <vt:i4>0</vt:i4>
      </vt:variant>
      <vt:variant>
        <vt:i4>5</vt:i4>
      </vt:variant>
      <vt:variant>
        <vt:lpwstr/>
      </vt:variant>
      <vt:variant>
        <vt:lpwstr>_Toc229565670</vt:lpwstr>
      </vt:variant>
      <vt:variant>
        <vt:i4>1245243</vt:i4>
      </vt:variant>
      <vt:variant>
        <vt:i4>11</vt:i4>
      </vt:variant>
      <vt:variant>
        <vt:i4>0</vt:i4>
      </vt:variant>
      <vt:variant>
        <vt:i4>5</vt:i4>
      </vt:variant>
      <vt:variant>
        <vt:lpwstr/>
      </vt:variant>
      <vt:variant>
        <vt:lpwstr>_Toc229565669</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3145805</vt:i4>
      </vt:variant>
      <vt:variant>
        <vt:i4>12</vt:i4>
      </vt:variant>
      <vt:variant>
        <vt:i4>0</vt:i4>
      </vt:variant>
      <vt:variant>
        <vt:i4>5</vt:i4>
      </vt:variant>
      <vt:variant>
        <vt:lpwstr>mailto:Samit.Patel@sobi.com</vt:lpwstr>
      </vt:variant>
      <vt:variant>
        <vt:lpwstr/>
      </vt:variant>
      <vt:variant>
        <vt:i4>4849727</vt:i4>
      </vt:variant>
      <vt:variant>
        <vt:i4>9</vt:i4>
      </vt:variant>
      <vt:variant>
        <vt:i4>0</vt:i4>
      </vt:variant>
      <vt:variant>
        <vt:i4>5</vt:i4>
      </vt:variant>
      <vt:variant>
        <vt:lpwstr>mailto:malin.lofqvist@sobi.com</vt:lpwstr>
      </vt:variant>
      <vt:variant>
        <vt:lpwstr/>
      </vt:variant>
      <vt:variant>
        <vt:i4>3145805</vt:i4>
      </vt:variant>
      <vt:variant>
        <vt:i4>6</vt:i4>
      </vt:variant>
      <vt:variant>
        <vt:i4>0</vt:i4>
      </vt:variant>
      <vt:variant>
        <vt:i4>5</vt:i4>
      </vt:variant>
      <vt:variant>
        <vt:lpwstr>mailto:Samit.Patel@sobi.com</vt:lpwstr>
      </vt:variant>
      <vt:variant>
        <vt:lpwstr/>
      </vt:variant>
      <vt:variant>
        <vt:i4>4128791</vt:i4>
      </vt:variant>
      <vt:variant>
        <vt:i4>3</vt:i4>
      </vt:variant>
      <vt:variant>
        <vt:i4>0</vt:i4>
      </vt:variant>
      <vt:variant>
        <vt:i4>5</vt:i4>
      </vt:variant>
      <vt:variant>
        <vt:lpwstr>mailto:Anne.Charoin-Pannier@sobi.com</vt:lpwstr>
      </vt:variant>
      <vt:variant>
        <vt:lpwstr/>
      </vt:variant>
      <vt:variant>
        <vt:i4>7012374</vt:i4>
      </vt:variant>
      <vt:variant>
        <vt:i4>0</vt:i4>
      </vt:variant>
      <vt:variant>
        <vt:i4>0</vt:i4>
      </vt:variant>
      <vt:variant>
        <vt:i4>5</vt:i4>
      </vt:variant>
      <vt:variant>
        <vt:lpwstr>mailto:Luca.Spaccapelo@sobi.com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Zynlonta</dc:title>
  <dc:subject>Prescription medicines</dc:subject>
  <dc:creator>Therapeutic Goods Administration</dc:creator>
  <cp:keywords/>
  <dc:description/>
  <cp:lastModifiedBy>LACK, Janet</cp:lastModifiedBy>
  <cp:revision>3</cp:revision>
  <dcterms:created xsi:type="dcterms:W3CDTF">2026-06-16T02:08:00Z</dcterms:created>
  <dcterms:modified xsi:type="dcterms:W3CDTF">2026-06-16T02:23:00Z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531f83f9,2ebff39c,5e0ccc27,69b65320,1d12e39c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1733f83e,69c2b6dd,39fef80f,322f80f5,3638ef13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2026-01-08T03:49:00Z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813969f0-483d-4e03-912d-ee2c69b78162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0x010100A39CD18192906B4AB7987315EEFC0EB0</vt:lpwstr>
  </property>
  <property fmtid="{D5CDD505-2E9C-101B-9397-08002B2CF9AE}" pid="17" name="Franchise">
    <vt:lpwstr>1;#N/A|1ef16579-4c18-4c73-b2ad-85016834b037</vt:lpwstr>
  </property>
  <property fmtid="{D5CDD505-2E9C-101B-9397-08002B2CF9AE}" pid="18" name="Function">
    <vt:lpwstr/>
  </property>
  <property fmtid="{D5CDD505-2E9C-101B-9397-08002B2CF9AE}" pid="19" name="Organisationtype">
    <vt:lpwstr/>
  </property>
  <property fmtid="{D5CDD505-2E9C-101B-9397-08002B2CF9AE}" pid="20" name="Product">
    <vt:lpwstr/>
  </property>
  <property fmtid="{D5CDD505-2E9C-101B-9397-08002B2CF9AE}" pid="21" name="docLang">
    <vt:lpwstr>en</vt:lpwstr>
  </property>
</Properties>
</file>