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DB9385E" w:rsidR="00F02AEC" w:rsidRPr="00215D48" w:rsidRDefault="00346EC2" w:rsidP="00532E25">
            <w:pPr>
              <w:pStyle w:val="Title"/>
            </w:pPr>
            <w:r w:rsidRPr="00346EC2">
              <w:t xml:space="preserve">Australian Public Assessment Report for </w:t>
            </w:r>
            <w:r w:rsidR="00BA1C03">
              <w:t>Rhapsido</w:t>
            </w:r>
          </w:p>
        </w:tc>
      </w:tr>
      <w:tr w:rsidR="00F02AEC" w:rsidRPr="00215D48" w14:paraId="318A40A3" w14:textId="77777777" w:rsidTr="00346EC2">
        <w:trPr>
          <w:trHeight w:val="995"/>
        </w:trPr>
        <w:tc>
          <w:tcPr>
            <w:tcW w:w="8720" w:type="dxa"/>
          </w:tcPr>
          <w:p w14:paraId="1AA7C701" w14:textId="286A44D1" w:rsidR="00F02AEC" w:rsidRPr="00215D48" w:rsidRDefault="00346EC2" w:rsidP="007452E8">
            <w:pPr>
              <w:pStyle w:val="Subtitle"/>
              <w:ind w:left="0"/>
            </w:pPr>
            <w:r w:rsidRPr="00346EC2">
              <w:t xml:space="preserve">Active ingredient: </w:t>
            </w:r>
            <w:r w:rsidR="00B3138B">
              <w:t>R</w:t>
            </w:r>
            <w:r w:rsidR="00B405B2" w:rsidRPr="00B405B2">
              <w:t>emibrutinib</w:t>
            </w:r>
          </w:p>
        </w:tc>
      </w:tr>
      <w:tr w:rsidR="00346EC2" w:rsidRPr="00186C01" w14:paraId="362CCAE4" w14:textId="77777777" w:rsidTr="007452E8">
        <w:trPr>
          <w:trHeight w:val="1916"/>
        </w:trPr>
        <w:tc>
          <w:tcPr>
            <w:tcW w:w="8720" w:type="dxa"/>
          </w:tcPr>
          <w:p w14:paraId="709C45C0" w14:textId="71DD61A7" w:rsidR="00346EC2" w:rsidRPr="00186C01" w:rsidRDefault="00346EC2" w:rsidP="007452E8">
            <w:pPr>
              <w:pStyle w:val="Subtitle"/>
              <w:ind w:left="0"/>
            </w:pPr>
            <w:r w:rsidRPr="00186C01">
              <w:t>Sponsor:</w:t>
            </w:r>
            <w:r w:rsidR="00B405B2" w:rsidRPr="00186C01">
              <w:t xml:space="preserve"> Novartis Pharmaceuticals Australia Pty Ltd</w:t>
            </w:r>
          </w:p>
        </w:tc>
      </w:tr>
      <w:tr w:rsidR="00F02AEC" w:rsidRPr="00215D48" w14:paraId="37F2AA1F" w14:textId="77777777" w:rsidTr="007452E8">
        <w:tc>
          <w:tcPr>
            <w:tcW w:w="8720" w:type="dxa"/>
          </w:tcPr>
          <w:p w14:paraId="1FDE8DCD" w14:textId="2690737C" w:rsidR="00F02AEC" w:rsidRPr="00215D48" w:rsidRDefault="00F45CF7" w:rsidP="007452E8">
            <w:pPr>
              <w:pStyle w:val="Date"/>
            </w:pPr>
            <w:r>
              <w:t>June</w:t>
            </w:r>
            <w:r w:rsidR="00B405B2">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0D16D24" w:rsidR="00175CD8" w:rsidRPr="00346EC2" w:rsidRDefault="00F02AEC" w:rsidP="00346EC2">
      <w:pPr>
        <w:pStyle w:val="LegalCopy"/>
        <w:rPr>
          <w:rFonts w:cs="Arial"/>
        </w:rPr>
      </w:pPr>
      <w:r w:rsidRPr="00215D48">
        <w:rPr>
          <w:rFonts w:cs="Arial"/>
        </w:rPr>
        <w:t>© Commonwealth of Australia 20</w:t>
      </w:r>
      <w:r>
        <w:rPr>
          <w:rFonts w:cs="Arial"/>
        </w:rPr>
        <w:t>2</w:t>
      </w:r>
      <w:r w:rsidR="0009023D">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1680E8D0" w14:textId="0C76C133" w:rsidR="00F24AEF"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3190955" w:history="1">
            <w:r w:rsidR="00F24AEF" w:rsidRPr="001E3B0E">
              <w:rPr>
                <w:rStyle w:val="Hyperlink"/>
                <w:noProof/>
              </w:rPr>
              <w:t>List of abbreviations</w:t>
            </w:r>
            <w:r w:rsidR="00F24AEF">
              <w:rPr>
                <w:noProof/>
                <w:webHidden/>
              </w:rPr>
              <w:tab/>
            </w:r>
            <w:r w:rsidR="00F24AEF">
              <w:rPr>
                <w:noProof/>
                <w:webHidden/>
              </w:rPr>
              <w:fldChar w:fldCharType="begin"/>
            </w:r>
            <w:r w:rsidR="00F24AEF">
              <w:rPr>
                <w:noProof/>
                <w:webHidden/>
              </w:rPr>
              <w:instrText xml:space="preserve"> PAGEREF _Toc233190955 \h </w:instrText>
            </w:r>
            <w:r w:rsidR="00F24AEF">
              <w:rPr>
                <w:noProof/>
                <w:webHidden/>
              </w:rPr>
            </w:r>
            <w:r w:rsidR="00F24AEF">
              <w:rPr>
                <w:noProof/>
                <w:webHidden/>
              </w:rPr>
              <w:fldChar w:fldCharType="separate"/>
            </w:r>
            <w:r w:rsidR="00F24AEF">
              <w:rPr>
                <w:noProof/>
                <w:webHidden/>
              </w:rPr>
              <w:t>4</w:t>
            </w:r>
            <w:r w:rsidR="00F24AEF">
              <w:rPr>
                <w:noProof/>
                <w:webHidden/>
              </w:rPr>
              <w:fldChar w:fldCharType="end"/>
            </w:r>
          </w:hyperlink>
        </w:p>
        <w:p w14:paraId="6A70368C" w14:textId="6A94C089" w:rsidR="00F24AEF" w:rsidRDefault="00F24AE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190956" w:history="1">
            <w:r w:rsidRPr="001E3B0E">
              <w:rPr>
                <w:rStyle w:val="Hyperlink"/>
                <w:noProof/>
              </w:rPr>
              <w:t>Product submission</w:t>
            </w:r>
            <w:r>
              <w:rPr>
                <w:noProof/>
                <w:webHidden/>
              </w:rPr>
              <w:tab/>
            </w:r>
            <w:r>
              <w:rPr>
                <w:noProof/>
                <w:webHidden/>
              </w:rPr>
              <w:fldChar w:fldCharType="begin"/>
            </w:r>
            <w:r>
              <w:rPr>
                <w:noProof/>
                <w:webHidden/>
              </w:rPr>
              <w:instrText xml:space="preserve"> PAGEREF _Toc233190956 \h </w:instrText>
            </w:r>
            <w:r>
              <w:rPr>
                <w:noProof/>
                <w:webHidden/>
              </w:rPr>
            </w:r>
            <w:r>
              <w:rPr>
                <w:noProof/>
                <w:webHidden/>
              </w:rPr>
              <w:fldChar w:fldCharType="separate"/>
            </w:r>
            <w:r>
              <w:rPr>
                <w:noProof/>
                <w:webHidden/>
              </w:rPr>
              <w:t>5</w:t>
            </w:r>
            <w:r>
              <w:rPr>
                <w:noProof/>
                <w:webHidden/>
              </w:rPr>
              <w:fldChar w:fldCharType="end"/>
            </w:r>
          </w:hyperlink>
        </w:p>
        <w:p w14:paraId="6DE98188" w14:textId="2C7720DC" w:rsidR="00F24AEF" w:rsidRDefault="00F24AE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190957" w:history="1">
            <w:r w:rsidRPr="001E3B0E">
              <w:rPr>
                <w:rStyle w:val="Hyperlink"/>
                <w:noProof/>
                <w:lang w:eastAsia="en-AU"/>
              </w:rPr>
              <w:t>Submission details</w:t>
            </w:r>
            <w:r>
              <w:rPr>
                <w:noProof/>
                <w:webHidden/>
              </w:rPr>
              <w:tab/>
            </w:r>
            <w:r>
              <w:rPr>
                <w:noProof/>
                <w:webHidden/>
              </w:rPr>
              <w:fldChar w:fldCharType="begin"/>
            </w:r>
            <w:r>
              <w:rPr>
                <w:noProof/>
                <w:webHidden/>
              </w:rPr>
              <w:instrText xml:space="preserve"> PAGEREF _Toc233190957 \h </w:instrText>
            </w:r>
            <w:r>
              <w:rPr>
                <w:noProof/>
                <w:webHidden/>
              </w:rPr>
            </w:r>
            <w:r>
              <w:rPr>
                <w:noProof/>
                <w:webHidden/>
              </w:rPr>
              <w:fldChar w:fldCharType="separate"/>
            </w:r>
            <w:r>
              <w:rPr>
                <w:noProof/>
                <w:webHidden/>
              </w:rPr>
              <w:t>5</w:t>
            </w:r>
            <w:r>
              <w:rPr>
                <w:noProof/>
                <w:webHidden/>
              </w:rPr>
              <w:fldChar w:fldCharType="end"/>
            </w:r>
          </w:hyperlink>
        </w:p>
        <w:p w14:paraId="321B3518" w14:textId="03BDDA5C" w:rsidR="00F24AEF" w:rsidRDefault="00F24AE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190958" w:history="1">
            <w:r w:rsidRPr="001E3B0E">
              <w:rPr>
                <w:rStyle w:val="Hyperlink"/>
                <w:noProof/>
              </w:rPr>
              <w:t>Product background</w:t>
            </w:r>
            <w:r>
              <w:rPr>
                <w:noProof/>
                <w:webHidden/>
              </w:rPr>
              <w:tab/>
            </w:r>
            <w:r>
              <w:rPr>
                <w:noProof/>
                <w:webHidden/>
              </w:rPr>
              <w:fldChar w:fldCharType="begin"/>
            </w:r>
            <w:r>
              <w:rPr>
                <w:noProof/>
                <w:webHidden/>
              </w:rPr>
              <w:instrText xml:space="preserve"> PAGEREF _Toc233190958 \h </w:instrText>
            </w:r>
            <w:r>
              <w:rPr>
                <w:noProof/>
                <w:webHidden/>
              </w:rPr>
            </w:r>
            <w:r>
              <w:rPr>
                <w:noProof/>
                <w:webHidden/>
              </w:rPr>
              <w:fldChar w:fldCharType="separate"/>
            </w:r>
            <w:r>
              <w:rPr>
                <w:noProof/>
                <w:webHidden/>
              </w:rPr>
              <w:t>6</w:t>
            </w:r>
            <w:r>
              <w:rPr>
                <w:noProof/>
                <w:webHidden/>
              </w:rPr>
              <w:fldChar w:fldCharType="end"/>
            </w:r>
          </w:hyperlink>
        </w:p>
        <w:p w14:paraId="58D0A8C4" w14:textId="243DE7F3"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59" w:history="1">
            <w:r w:rsidRPr="001E3B0E">
              <w:rPr>
                <w:rStyle w:val="Hyperlink"/>
                <w:noProof/>
              </w:rPr>
              <w:t>Disease or condition</w:t>
            </w:r>
            <w:r>
              <w:rPr>
                <w:noProof/>
                <w:webHidden/>
              </w:rPr>
              <w:tab/>
            </w:r>
            <w:r>
              <w:rPr>
                <w:noProof/>
                <w:webHidden/>
              </w:rPr>
              <w:fldChar w:fldCharType="begin"/>
            </w:r>
            <w:r>
              <w:rPr>
                <w:noProof/>
                <w:webHidden/>
              </w:rPr>
              <w:instrText xml:space="preserve"> PAGEREF _Toc233190959 \h </w:instrText>
            </w:r>
            <w:r>
              <w:rPr>
                <w:noProof/>
                <w:webHidden/>
              </w:rPr>
            </w:r>
            <w:r>
              <w:rPr>
                <w:noProof/>
                <w:webHidden/>
              </w:rPr>
              <w:fldChar w:fldCharType="separate"/>
            </w:r>
            <w:r>
              <w:rPr>
                <w:noProof/>
                <w:webHidden/>
              </w:rPr>
              <w:t>6</w:t>
            </w:r>
            <w:r>
              <w:rPr>
                <w:noProof/>
                <w:webHidden/>
              </w:rPr>
              <w:fldChar w:fldCharType="end"/>
            </w:r>
          </w:hyperlink>
        </w:p>
        <w:p w14:paraId="57E7593E" w14:textId="4B34BA97"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60" w:history="1">
            <w:r w:rsidRPr="001E3B0E">
              <w:rPr>
                <w:rStyle w:val="Hyperlink"/>
                <w:noProof/>
                <w:lang w:val="en-US"/>
              </w:rPr>
              <w:t>Current treatment options</w:t>
            </w:r>
            <w:r>
              <w:rPr>
                <w:noProof/>
                <w:webHidden/>
              </w:rPr>
              <w:tab/>
            </w:r>
            <w:r>
              <w:rPr>
                <w:noProof/>
                <w:webHidden/>
              </w:rPr>
              <w:fldChar w:fldCharType="begin"/>
            </w:r>
            <w:r>
              <w:rPr>
                <w:noProof/>
                <w:webHidden/>
              </w:rPr>
              <w:instrText xml:space="preserve"> PAGEREF _Toc233190960 \h </w:instrText>
            </w:r>
            <w:r>
              <w:rPr>
                <w:noProof/>
                <w:webHidden/>
              </w:rPr>
            </w:r>
            <w:r>
              <w:rPr>
                <w:noProof/>
                <w:webHidden/>
              </w:rPr>
              <w:fldChar w:fldCharType="separate"/>
            </w:r>
            <w:r>
              <w:rPr>
                <w:noProof/>
                <w:webHidden/>
              </w:rPr>
              <w:t>7</w:t>
            </w:r>
            <w:r>
              <w:rPr>
                <w:noProof/>
                <w:webHidden/>
              </w:rPr>
              <w:fldChar w:fldCharType="end"/>
            </w:r>
          </w:hyperlink>
        </w:p>
        <w:p w14:paraId="61578AE5" w14:textId="7B7FD317"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61" w:history="1">
            <w:r w:rsidRPr="001E3B0E">
              <w:rPr>
                <w:rStyle w:val="Hyperlink"/>
                <w:noProof/>
              </w:rPr>
              <w:t>Clinical rationale</w:t>
            </w:r>
            <w:r>
              <w:rPr>
                <w:noProof/>
                <w:webHidden/>
              </w:rPr>
              <w:tab/>
            </w:r>
            <w:r>
              <w:rPr>
                <w:noProof/>
                <w:webHidden/>
              </w:rPr>
              <w:fldChar w:fldCharType="begin"/>
            </w:r>
            <w:r>
              <w:rPr>
                <w:noProof/>
                <w:webHidden/>
              </w:rPr>
              <w:instrText xml:space="preserve"> PAGEREF _Toc233190961 \h </w:instrText>
            </w:r>
            <w:r>
              <w:rPr>
                <w:noProof/>
                <w:webHidden/>
              </w:rPr>
            </w:r>
            <w:r>
              <w:rPr>
                <w:noProof/>
                <w:webHidden/>
              </w:rPr>
              <w:fldChar w:fldCharType="separate"/>
            </w:r>
            <w:r>
              <w:rPr>
                <w:noProof/>
                <w:webHidden/>
              </w:rPr>
              <w:t>8</w:t>
            </w:r>
            <w:r>
              <w:rPr>
                <w:noProof/>
                <w:webHidden/>
              </w:rPr>
              <w:fldChar w:fldCharType="end"/>
            </w:r>
          </w:hyperlink>
        </w:p>
        <w:p w14:paraId="76785831" w14:textId="24031682" w:rsidR="00F24AEF" w:rsidRDefault="00F24AE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190962" w:history="1">
            <w:r w:rsidRPr="001E3B0E">
              <w:rPr>
                <w:rStyle w:val="Hyperlink"/>
                <w:noProof/>
              </w:rPr>
              <w:t>Regulatory status</w:t>
            </w:r>
            <w:r>
              <w:rPr>
                <w:noProof/>
                <w:webHidden/>
              </w:rPr>
              <w:tab/>
            </w:r>
            <w:r>
              <w:rPr>
                <w:noProof/>
                <w:webHidden/>
              </w:rPr>
              <w:fldChar w:fldCharType="begin"/>
            </w:r>
            <w:r>
              <w:rPr>
                <w:noProof/>
                <w:webHidden/>
              </w:rPr>
              <w:instrText xml:space="preserve"> PAGEREF _Toc233190962 \h </w:instrText>
            </w:r>
            <w:r>
              <w:rPr>
                <w:noProof/>
                <w:webHidden/>
              </w:rPr>
            </w:r>
            <w:r>
              <w:rPr>
                <w:noProof/>
                <w:webHidden/>
              </w:rPr>
              <w:fldChar w:fldCharType="separate"/>
            </w:r>
            <w:r>
              <w:rPr>
                <w:noProof/>
                <w:webHidden/>
              </w:rPr>
              <w:t>9</w:t>
            </w:r>
            <w:r>
              <w:rPr>
                <w:noProof/>
                <w:webHidden/>
              </w:rPr>
              <w:fldChar w:fldCharType="end"/>
            </w:r>
          </w:hyperlink>
        </w:p>
        <w:p w14:paraId="01DC4A50" w14:textId="38395A51"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63" w:history="1">
            <w:r w:rsidRPr="001E3B0E">
              <w:rPr>
                <w:rStyle w:val="Hyperlink"/>
                <w:noProof/>
              </w:rPr>
              <w:t>Australian regulatory status</w:t>
            </w:r>
            <w:r>
              <w:rPr>
                <w:noProof/>
                <w:webHidden/>
              </w:rPr>
              <w:tab/>
            </w:r>
            <w:r>
              <w:rPr>
                <w:noProof/>
                <w:webHidden/>
              </w:rPr>
              <w:fldChar w:fldCharType="begin"/>
            </w:r>
            <w:r>
              <w:rPr>
                <w:noProof/>
                <w:webHidden/>
              </w:rPr>
              <w:instrText xml:space="preserve"> PAGEREF _Toc233190963 \h </w:instrText>
            </w:r>
            <w:r>
              <w:rPr>
                <w:noProof/>
                <w:webHidden/>
              </w:rPr>
            </w:r>
            <w:r>
              <w:rPr>
                <w:noProof/>
                <w:webHidden/>
              </w:rPr>
              <w:fldChar w:fldCharType="separate"/>
            </w:r>
            <w:r>
              <w:rPr>
                <w:noProof/>
                <w:webHidden/>
              </w:rPr>
              <w:t>9</w:t>
            </w:r>
            <w:r>
              <w:rPr>
                <w:noProof/>
                <w:webHidden/>
              </w:rPr>
              <w:fldChar w:fldCharType="end"/>
            </w:r>
          </w:hyperlink>
        </w:p>
        <w:p w14:paraId="7B1B91EF" w14:textId="4A2A2146"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64" w:history="1">
            <w:r w:rsidRPr="001E3B0E">
              <w:rPr>
                <w:rStyle w:val="Hyperlink"/>
                <w:noProof/>
              </w:rPr>
              <w:t>International regulatory status</w:t>
            </w:r>
            <w:r>
              <w:rPr>
                <w:noProof/>
                <w:webHidden/>
              </w:rPr>
              <w:tab/>
            </w:r>
            <w:r>
              <w:rPr>
                <w:noProof/>
                <w:webHidden/>
              </w:rPr>
              <w:fldChar w:fldCharType="begin"/>
            </w:r>
            <w:r>
              <w:rPr>
                <w:noProof/>
                <w:webHidden/>
              </w:rPr>
              <w:instrText xml:space="preserve"> PAGEREF _Toc233190964 \h </w:instrText>
            </w:r>
            <w:r>
              <w:rPr>
                <w:noProof/>
                <w:webHidden/>
              </w:rPr>
            </w:r>
            <w:r>
              <w:rPr>
                <w:noProof/>
                <w:webHidden/>
              </w:rPr>
              <w:fldChar w:fldCharType="separate"/>
            </w:r>
            <w:r>
              <w:rPr>
                <w:noProof/>
                <w:webHidden/>
              </w:rPr>
              <w:t>9</w:t>
            </w:r>
            <w:r>
              <w:rPr>
                <w:noProof/>
                <w:webHidden/>
              </w:rPr>
              <w:fldChar w:fldCharType="end"/>
            </w:r>
          </w:hyperlink>
        </w:p>
        <w:p w14:paraId="6BBA8AD7" w14:textId="5D2EF546" w:rsidR="00F24AEF" w:rsidRDefault="00F24AE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190965" w:history="1">
            <w:r w:rsidRPr="001E3B0E">
              <w:rPr>
                <w:rStyle w:val="Hyperlink"/>
                <w:noProof/>
              </w:rPr>
              <w:t>Registration timeline</w:t>
            </w:r>
            <w:r>
              <w:rPr>
                <w:noProof/>
                <w:webHidden/>
              </w:rPr>
              <w:tab/>
            </w:r>
            <w:r>
              <w:rPr>
                <w:noProof/>
                <w:webHidden/>
              </w:rPr>
              <w:fldChar w:fldCharType="begin"/>
            </w:r>
            <w:r>
              <w:rPr>
                <w:noProof/>
                <w:webHidden/>
              </w:rPr>
              <w:instrText xml:space="preserve"> PAGEREF _Toc233190965 \h </w:instrText>
            </w:r>
            <w:r>
              <w:rPr>
                <w:noProof/>
                <w:webHidden/>
              </w:rPr>
            </w:r>
            <w:r>
              <w:rPr>
                <w:noProof/>
                <w:webHidden/>
              </w:rPr>
              <w:fldChar w:fldCharType="separate"/>
            </w:r>
            <w:r>
              <w:rPr>
                <w:noProof/>
                <w:webHidden/>
              </w:rPr>
              <w:t>10</w:t>
            </w:r>
            <w:r>
              <w:rPr>
                <w:noProof/>
                <w:webHidden/>
              </w:rPr>
              <w:fldChar w:fldCharType="end"/>
            </w:r>
          </w:hyperlink>
        </w:p>
        <w:p w14:paraId="6E6D452D" w14:textId="09AE1B92" w:rsidR="00F24AEF" w:rsidRDefault="00F24AE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190966" w:history="1">
            <w:r w:rsidRPr="001E3B0E">
              <w:rPr>
                <w:rStyle w:val="Hyperlink"/>
                <w:noProof/>
              </w:rPr>
              <w:t>Assessment overview</w:t>
            </w:r>
            <w:r>
              <w:rPr>
                <w:noProof/>
                <w:webHidden/>
              </w:rPr>
              <w:tab/>
            </w:r>
            <w:r>
              <w:rPr>
                <w:noProof/>
                <w:webHidden/>
              </w:rPr>
              <w:fldChar w:fldCharType="begin"/>
            </w:r>
            <w:r>
              <w:rPr>
                <w:noProof/>
                <w:webHidden/>
              </w:rPr>
              <w:instrText xml:space="preserve"> PAGEREF _Toc233190966 \h </w:instrText>
            </w:r>
            <w:r>
              <w:rPr>
                <w:noProof/>
                <w:webHidden/>
              </w:rPr>
            </w:r>
            <w:r>
              <w:rPr>
                <w:noProof/>
                <w:webHidden/>
              </w:rPr>
              <w:fldChar w:fldCharType="separate"/>
            </w:r>
            <w:r>
              <w:rPr>
                <w:noProof/>
                <w:webHidden/>
              </w:rPr>
              <w:t>10</w:t>
            </w:r>
            <w:r>
              <w:rPr>
                <w:noProof/>
                <w:webHidden/>
              </w:rPr>
              <w:fldChar w:fldCharType="end"/>
            </w:r>
          </w:hyperlink>
        </w:p>
        <w:p w14:paraId="7103BEEA" w14:textId="5F8A24CC" w:rsidR="00F24AEF" w:rsidRDefault="00F24AE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190967" w:history="1">
            <w:r w:rsidRPr="001E3B0E">
              <w:rPr>
                <w:rStyle w:val="Hyperlink"/>
                <w:noProof/>
              </w:rPr>
              <w:t>Quality evaluation summary</w:t>
            </w:r>
            <w:r>
              <w:rPr>
                <w:noProof/>
                <w:webHidden/>
              </w:rPr>
              <w:tab/>
            </w:r>
            <w:r>
              <w:rPr>
                <w:noProof/>
                <w:webHidden/>
              </w:rPr>
              <w:fldChar w:fldCharType="begin"/>
            </w:r>
            <w:r>
              <w:rPr>
                <w:noProof/>
                <w:webHidden/>
              </w:rPr>
              <w:instrText xml:space="preserve"> PAGEREF _Toc233190967 \h </w:instrText>
            </w:r>
            <w:r>
              <w:rPr>
                <w:noProof/>
                <w:webHidden/>
              </w:rPr>
            </w:r>
            <w:r>
              <w:rPr>
                <w:noProof/>
                <w:webHidden/>
              </w:rPr>
              <w:fldChar w:fldCharType="separate"/>
            </w:r>
            <w:r>
              <w:rPr>
                <w:noProof/>
                <w:webHidden/>
              </w:rPr>
              <w:t>10</w:t>
            </w:r>
            <w:r>
              <w:rPr>
                <w:noProof/>
                <w:webHidden/>
              </w:rPr>
              <w:fldChar w:fldCharType="end"/>
            </w:r>
          </w:hyperlink>
        </w:p>
        <w:p w14:paraId="37C002AE" w14:textId="4C332D4A"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68" w:history="1">
            <w:r w:rsidRPr="001E3B0E">
              <w:rPr>
                <w:rStyle w:val="Hyperlink"/>
                <w:noProof/>
              </w:rPr>
              <w:t>Drug substance</w:t>
            </w:r>
            <w:r>
              <w:rPr>
                <w:noProof/>
                <w:webHidden/>
              </w:rPr>
              <w:tab/>
            </w:r>
            <w:r>
              <w:rPr>
                <w:noProof/>
                <w:webHidden/>
              </w:rPr>
              <w:fldChar w:fldCharType="begin"/>
            </w:r>
            <w:r>
              <w:rPr>
                <w:noProof/>
                <w:webHidden/>
              </w:rPr>
              <w:instrText xml:space="preserve"> PAGEREF _Toc233190968 \h </w:instrText>
            </w:r>
            <w:r>
              <w:rPr>
                <w:noProof/>
                <w:webHidden/>
              </w:rPr>
            </w:r>
            <w:r>
              <w:rPr>
                <w:noProof/>
                <w:webHidden/>
              </w:rPr>
              <w:fldChar w:fldCharType="separate"/>
            </w:r>
            <w:r>
              <w:rPr>
                <w:noProof/>
                <w:webHidden/>
              </w:rPr>
              <w:t>10</w:t>
            </w:r>
            <w:r>
              <w:rPr>
                <w:noProof/>
                <w:webHidden/>
              </w:rPr>
              <w:fldChar w:fldCharType="end"/>
            </w:r>
          </w:hyperlink>
        </w:p>
        <w:p w14:paraId="5C33A7CC" w14:textId="2E60E136"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69" w:history="1">
            <w:r w:rsidRPr="001E3B0E">
              <w:rPr>
                <w:rStyle w:val="Hyperlink"/>
                <w:noProof/>
              </w:rPr>
              <w:t>Drug product</w:t>
            </w:r>
            <w:r>
              <w:rPr>
                <w:noProof/>
                <w:webHidden/>
              </w:rPr>
              <w:tab/>
            </w:r>
            <w:r>
              <w:rPr>
                <w:noProof/>
                <w:webHidden/>
              </w:rPr>
              <w:fldChar w:fldCharType="begin"/>
            </w:r>
            <w:r>
              <w:rPr>
                <w:noProof/>
                <w:webHidden/>
              </w:rPr>
              <w:instrText xml:space="preserve"> PAGEREF _Toc233190969 \h </w:instrText>
            </w:r>
            <w:r>
              <w:rPr>
                <w:noProof/>
                <w:webHidden/>
              </w:rPr>
            </w:r>
            <w:r>
              <w:rPr>
                <w:noProof/>
                <w:webHidden/>
              </w:rPr>
              <w:fldChar w:fldCharType="separate"/>
            </w:r>
            <w:r>
              <w:rPr>
                <w:noProof/>
                <w:webHidden/>
              </w:rPr>
              <w:t>11</w:t>
            </w:r>
            <w:r>
              <w:rPr>
                <w:noProof/>
                <w:webHidden/>
              </w:rPr>
              <w:fldChar w:fldCharType="end"/>
            </w:r>
          </w:hyperlink>
        </w:p>
        <w:p w14:paraId="44B92E1A" w14:textId="5921390B" w:rsidR="00F24AEF" w:rsidRDefault="00F24AE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190970" w:history="1">
            <w:r w:rsidRPr="001E3B0E">
              <w:rPr>
                <w:rStyle w:val="Hyperlink"/>
                <w:noProof/>
              </w:rPr>
              <w:t>Nonclinical evaluation summary</w:t>
            </w:r>
            <w:r>
              <w:rPr>
                <w:noProof/>
                <w:webHidden/>
              </w:rPr>
              <w:tab/>
            </w:r>
            <w:r>
              <w:rPr>
                <w:noProof/>
                <w:webHidden/>
              </w:rPr>
              <w:fldChar w:fldCharType="begin"/>
            </w:r>
            <w:r>
              <w:rPr>
                <w:noProof/>
                <w:webHidden/>
              </w:rPr>
              <w:instrText xml:space="preserve"> PAGEREF _Toc233190970 \h </w:instrText>
            </w:r>
            <w:r>
              <w:rPr>
                <w:noProof/>
                <w:webHidden/>
              </w:rPr>
            </w:r>
            <w:r>
              <w:rPr>
                <w:noProof/>
                <w:webHidden/>
              </w:rPr>
              <w:fldChar w:fldCharType="separate"/>
            </w:r>
            <w:r>
              <w:rPr>
                <w:noProof/>
                <w:webHidden/>
              </w:rPr>
              <w:t>12</w:t>
            </w:r>
            <w:r>
              <w:rPr>
                <w:noProof/>
                <w:webHidden/>
              </w:rPr>
              <w:fldChar w:fldCharType="end"/>
            </w:r>
          </w:hyperlink>
        </w:p>
        <w:p w14:paraId="0F2A71FE" w14:textId="1F140BD0" w:rsidR="00F24AEF" w:rsidRDefault="00F24AE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190971" w:history="1">
            <w:r w:rsidRPr="001E3B0E">
              <w:rPr>
                <w:rStyle w:val="Hyperlink"/>
                <w:noProof/>
              </w:rPr>
              <w:t>Clinical evaluation summary</w:t>
            </w:r>
            <w:r>
              <w:rPr>
                <w:noProof/>
                <w:webHidden/>
              </w:rPr>
              <w:tab/>
            </w:r>
            <w:r>
              <w:rPr>
                <w:noProof/>
                <w:webHidden/>
              </w:rPr>
              <w:fldChar w:fldCharType="begin"/>
            </w:r>
            <w:r>
              <w:rPr>
                <w:noProof/>
                <w:webHidden/>
              </w:rPr>
              <w:instrText xml:space="preserve"> PAGEREF _Toc233190971 \h </w:instrText>
            </w:r>
            <w:r>
              <w:rPr>
                <w:noProof/>
                <w:webHidden/>
              </w:rPr>
            </w:r>
            <w:r>
              <w:rPr>
                <w:noProof/>
                <w:webHidden/>
              </w:rPr>
              <w:fldChar w:fldCharType="separate"/>
            </w:r>
            <w:r>
              <w:rPr>
                <w:noProof/>
                <w:webHidden/>
              </w:rPr>
              <w:t>14</w:t>
            </w:r>
            <w:r>
              <w:rPr>
                <w:noProof/>
                <w:webHidden/>
              </w:rPr>
              <w:fldChar w:fldCharType="end"/>
            </w:r>
          </w:hyperlink>
        </w:p>
        <w:p w14:paraId="6A63C8E1" w14:textId="68A2CCE2"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72" w:history="1">
            <w:r w:rsidRPr="001E3B0E">
              <w:rPr>
                <w:rStyle w:val="Hyperlink"/>
                <w:noProof/>
              </w:rPr>
              <w:t>Pharmacology</w:t>
            </w:r>
            <w:r>
              <w:rPr>
                <w:noProof/>
                <w:webHidden/>
              </w:rPr>
              <w:tab/>
            </w:r>
            <w:r>
              <w:rPr>
                <w:noProof/>
                <w:webHidden/>
              </w:rPr>
              <w:fldChar w:fldCharType="begin"/>
            </w:r>
            <w:r>
              <w:rPr>
                <w:noProof/>
                <w:webHidden/>
              </w:rPr>
              <w:instrText xml:space="preserve"> PAGEREF _Toc233190972 \h </w:instrText>
            </w:r>
            <w:r>
              <w:rPr>
                <w:noProof/>
                <w:webHidden/>
              </w:rPr>
            </w:r>
            <w:r>
              <w:rPr>
                <w:noProof/>
                <w:webHidden/>
              </w:rPr>
              <w:fldChar w:fldCharType="separate"/>
            </w:r>
            <w:r>
              <w:rPr>
                <w:noProof/>
                <w:webHidden/>
              </w:rPr>
              <w:t>14</w:t>
            </w:r>
            <w:r>
              <w:rPr>
                <w:noProof/>
                <w:webHidden/>
              </w:rPr>
              <w:fldChar w:fldCharType="end"/>
            </w:r>
          </w:hyperlink>
        </w:p>
        <w:p w14:paraId="111E5501" w14:textId="7B17244D"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73" w:history="1">
            <w:r w:rsidRPr="001E3B0E">
              <w:rPr>
                <w:rStyle w:val="Hyperlink"/>
                <w:noProof/>
              </w:rPr>
              <w:t>Efficacy</w:t>
            </w:r>
            <w:r>
              <w:rPr>
                <w:noProof/>
                <w:webHidden/>
              </w:rPr>
              <w:tab/>
            </w:r>
            <w:r>
              <w:rPr>
                <w:noProof/>
                <w:webHidden/>
              </w:rPr>
              <w:fldChar w:fldCharType="begin"/>
            </w:r>
            <w:r>
              <w:rPr>
                <w:noProof/>
                <w:webHidden/>
              </w:rPr>
              <w:instrText xml:space="preserve"> PAGEREF _Toc233190973 \h </w:instrText>
            </w:r>
            <w:r>
              <w:rPr>
                <w:noProof/>
                <w:webHidden/>
              </w:rPr>
            </w:r>
            <w:r>
              <w:rPr>
                <w:noProof/>
                <w:webHidden/>
              </w:rPr>
              <w:fldChar w:fldCharType="separate"/>
            </w:r>
            <w:r>
              <w:rPr>
                <w:noProof/>
                <w:webHidden/>
              </w:rPr>
              <w:t>20</w:t>
            </w:r>
            <w:r>
              <w:rPr>
                <w:noProof/>
                <w:webHidden/>
              </w:rPr>
              <w:fldChar w:fldCharType="end"/>
            </w:r>
          </w:hyperlink>
        </w:p>
        <w:p w14:paraId="53AFC51A" w14:textId="2B7B95A7"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74" w:history="1">
            <w:r w:rsidRPr="001E3B0E">
              <w:rPr>
                <w:rStyle w:val="Hyperlink"/>
                <w:noProof/>
              </w:rPr>
              <w:t>Safety</w:t>
            </w:r>
            <w:r>
              <w:rPr>
                <w:noProof/>
                <w:webHidden/>
              </w:rPr>
              <w:tab/>
            </w:r>
            <w:r>
              <w:rPr>
                <w:noProof/>
                <w:webHidden/>
              </w:rPr>
              <w:fldChar w:fldCharType="begin"/>
            </w:r>
            <w:r>
              <w:rPr>
                <w:noProof/>
                <w:webHidden/>
              </w:rPr>
              <w:instrText xml:space="preserve"> PAGEREF _Toc233190974 \h </w:instrText>
            </w:r>
            <w:r>
              <w:rPr>
                <w:noProof/>
                <w:webHidden/>
              </w:rPr>
            </w:r>
            <w:r>
              <w:rPr>
                <w:noProof/>
                <w:webHidden/>
              </w:rPr>
              <w:fldChar w:fldCharType="separate"/>
            </w:r>
            <w:r>
              <w:rPr>
                <w:noProof/>
                <w:webHidden/>
              </w:rPr>
              <w:t>29</w:t>
            </w:r>
            <w:r>
              <w:rPr>
                <w:noProof/>
                <w:webHidden/>
              </w:rPr>
              <w:fldChar w:fldCharType="end"/>
            </w:r>
          </w:hyperlink>
        </w:p>
        <w:p w14:paraId="19296A10" w14:textId="1F9C72E6" w:rsidR="00F24AEF" w:rsidRDefault="00F24AE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190975" w:history="1">
            <w:r w:rsidRPr="001E3B0E">
              <w:rPr>
                <w:rStyle w:val="Hyperlink"/>
                <w:noProof/>
                <w:lang w:eastAsia="en-AU"/>
              </w:rPr>
              <w:t>Risk management plan</w:t>
            </w:r>
            <w:r>
              <w:rPr>
                <w:noProof/>
                <w:webHidden/>
              </w:rPr>
              <w:tab/>
            </w:r>
            <w:r>
              <w:rPr>
                <w:noProof/>
                <w:webHidden/>
              </w:rPr>
              <w:fldChar w:fldCharType="begin"/>
            </w:r>
            <w:r>
              <w:rPr>
                <w:noProof/>
                <w:webHidden/>
              </w:rPr>
              <w:instrText xml:space="preserve"> PAGEREF _Toc233190975 \h </w:instrText>
            </w:r>
            <w:r>
              <w:rPr>
                <w:noProof/>
                <w:webHidden/>
              </w:rPr>
            </w:r>
            <w:r>
              <w:rPr>
                <w:noProof/>
                <w:webHidden/>
              </w:rPr>
              <w:fldChar w:fldCharType="separate"/>
            </w:r>
            <w:r>
              <w:rPr>
                <w:noProof/>
                <w:webHidden/>
              </w:rPr>
              <w:t>33</w:t>
            </w:r>
            <w:r>
              <w:rPr>
                <w:noProof/>
                <w:webHidden/>
              </w:rPr>
              <w:fldChar w:fldCharType="end"/>
            </w:r>
          </w:hyperlink>
        </w:p>
        <w:p w14:paraId="64D6A5B4" w14:textId="5BCE82DC" w:rsidR="00F24AEF" w:rsidRDefault="00F24AE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3190976" w:history="1">
            <w:r w:rsidRPr="001E3B0E">
              <w:rPr>
                <w:rStyle w:val="Hyperlink"/>
                <w:noProof/>
              </w:rPr>
              <w:t>Risk-benefit analysis</w:t>
            </w:r>
            <w:r>
              <w:rPr>
                <w:noProof/>
                <w:webHidden/>
              </w:rPr>
              <w:tab/>
            </w:r>
            <w:r>
              <w:rPr>
                <w:noProof/>
                <w:webHidden/>
              </w:rPr>
              <w:fldChar w:fldCharType="begin"/>
            </w:r>
            <w:r>
              <w:rPr>
                <w:noProof/>
                <w:webHidden/>
              </w:rPr>
              <w:instrText xml:space="preserve"> PAGEREF _Toc233190976 \h </w:instrText>
            </w:r>
            <w:r>
              <w:rPr>
                <w:noProof/>
                <w:webHidden/>
              </w:rPr>
            </w:r>
            <w:r>
              <w:rPr>
                <w:noProof/>
                <w:webHidden/>
              </w:rPr>
              <w:fldChar w:fldCharType="separate"/>
            </w:r>
            <w:r>
              <w:rPr>
                <w:noProof/>
                <w:webHidden/>
              </w:rPr>
              <w:t>33</w:t>
            </w:r>
            <w:r>
              <w:rPr>
                <w:noProof/>
                <w:webHidden/>
              </w:rPr>
              <w:fldChar w:fldCharType="end"/>
            </w:r>
          </w:hyperlink>
        </w:p>
        <w:p w14:paraId="199FC595" w14:textId="5528F903"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77" w:history="1">
            <w:r w:rsidRPr="001E3B0E">
              <w:rPr>
                <w:rStyle w:val="Hyperlink"/>
                <w:noProof/>
              </w:rPr>
              <w:t>Efficacy</w:t>
            </w:r>
            <w:r>
              <w:rPr>
                <w:noProof/>
                <w:webHidden/>
              </w:rPr>
              <w:tab/>
            </w:r>
            <w:r>
              <w:rPr>
                <w:noProof/>
                <w:webHidden/>
              </w:rPr>
              <w:fldChar w:fldCharType="begin"/>
            </w:r>
            <w:r>
              <w:rPr>
                <w:noProof/>
                <w:webHidden/>
              </w:rPr>
              <w:instrText xml:space="preserve"> PAGEREF _Toc233190977 \h </w:instrText>
            </w:r>
            <w:r>
              <w:rPr>
                <w:noProof/>
                <w:webHidden/>
              </w:rPr>
            </w:r>
            <w:r>
              <w:rPr>
                <w:noProof/>
                <w:webHidden/>
              </w:rPr>
              <w:fldChar w:fldCharType="separate"/>
            </w:r>
            <w:r>
              <w:rPr>
                <w:noProof/>
                <w:webHidden/>
              </w:rPr>
              <w:t>33</w:t>
            </w:r>
            <w:r>
              <w:rPr>
                <w:noProof/>
                <w:webHidden/>
              </w:rPr>
              <w:fldChar w:fldCharType="end"/>
            </w:r>
          </w:hyperlink>
        </w:p>
        <w:p w14:paraId="216B9AC8" w14:textId="505B4A72"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78" w:history="1">
            <w:r w:rsidRPr="001E3B0E">
              <w:rPr>
                <w:rStyle w:val="Hyperlink"/>
                <w:noProof/>
              </w:rPr>
              <w:t>Safety</w:t>
            </w:r>
            <w:r>
              <w:rPr>
                <w:noProof/>
                <w:webHidden/>
              </w:rPr>
              <w:tab/>
            </w:r>
            <w:r>
              <w:rPr>
                <w:noProof/>
                <w:webHidden/>
              </w:rPr>
              <w:fldChar w:fldCharType="begin"/>
            </w:r>
            <w:r>
              <w:rPr>
                <w:noProof/>
                <w:webHidden/>
              </w:rPr>
              <w:instrText xml:space="preserve"> PAGEREF _Toc233190978 \h </w:instrText>
            </w:r>
            <w:r>
              <w:rPr>
                <w:noProof/>
                <w:webHidden/>
              </w:rPr>
            </w:r>
            <w:r>
              <w:rPr>
                <w:noProof/>
                <w:webHidden/>
              </w:rPr>
              <w:fldChar w:fldCharType="separate"/>
            </w:r>
            <w:r>
              <w:rPr>
                <w:noProof/>
                <w:webHidden/>
              </w:rPr>
              <w:t>35</w:t>
            </w:r>
            <w:r>
              <w:rPr>
                <w:noProof/>
                <w:webHidden/>
              </w:rPr>
              <w:fldChar w:fldCharType="end"/>
            </w:r>
          </w:hyperlink>
        </w:p>
        <w:p w14:paraId="381DA03B" w14:textId="1AF30E73" w:rsidR="00F24AEF" w:rsidRDefault="00F24AE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3190979" w:history="1">
            <w:r w:rsidRPr="001E3B0E">
              <w:rPr>
                <w:rStyle w:val="Hyperlink"/>
                <w:noProof/>
              </w:rPr>
              <w:t>Assessment outcome</w:t>
            </w:r>
            <w:r>
              <w:rPr>
                <w:noProof/>
                <w:webHidden/>
              </w:rPr>
              <w:tab/>
            </w:r>
            <w:r>
              <w:rPr>
                <w:noProof/>
                <w:webHidden/>
              </w:rPr>
              <w:fldChar w:fldCharType="begin"/>
            </w:r>
            <w:r>
              <w:rPr>
                <w:noProof/>
                <w:webHidden/>
              </w:rPr>
              <w:instrText xml:space="preserve"> PAGEREF _Toc233190979 \h </w:instrText>
            </w:r>
            <w:r>
              <w:rPr>
                <w:noProof/>
                <w:webHidden/>
              </w:rPr>
            </w:r>
            <w:r>
              <w:rPr>
                <w:noProof/>
                <w:webHidden/>
              </w:rPr>
              <w:fldChar w:fldCharType="separate"/>
            </w:r>
            <w:r>
              <w:rPr>
                <w:noProof/>
                <w:webHidden/>
              </w:rPr>
              <w:t>36</w:t>
            </w:r>
            <w:r>
              <w:rPr>
                <w:noProof/>
                <w:webHidden/>
              </w:rPr>
              <w:fldChar w:fldCharType="end"/>
            </w:r>
          </w:hyperlink>
        </w:p>
        <w:p w14:paraId="6398CC67" w14:textId="75739F90"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80" w:history="1">
            <w:r w:rsidRPr="001E3B0E">
              <w:rPr>
                <w:rStyle w:val="Hyperlink"/>
                <w:noProof/>
              </w:rPr>
              <w:t>Specific conditions of registration</w:t>
            </w:r>
            <w:r>
              <w:rPr>
                <w:noProof/>
                <w:webHidden/>
              </w:rPr>
              <w:tab/>
            </w:r>
            <w:r>
              <w:rPr>
                <w:noProof/>
                <w:webHidden/>
              </w:rPr>
              <w:fldChar w:fldCharType="begin"/>
            </w:r>
            <w:r>
              <w:rPr>
                <w:noProof/>
                <w:webHidden/>
              </w:rPr>
              <w:instrText xml:space="preserve"> PAGEREF _Toc233190980 \h </w:instrText>
            </w:r>
            <w:r>
              <w:rPr>
                <w:noProof/>
                <w:webHidden/>
              </w:rPr>
            </w:r>
            <w:r>
              <w:rPr>
                <w:noProof/>
                <w:webHidden/>
              </w:rPr>
              <w:fldChar w:fldCharType="separate"/>
            </w:r>
            <w:r>
              <w:rPr>
                <w:noProof/>
                <w:webHidden/>
              </w:rPr>
              <w:t>36</w:t>
            </w:r>
            <w:r>
              <w:rPr>
                <w:noProof/>
                <w:webHidden/>
              </w:rPr>
              <w:fldChar w:fldCharType="end"/>
            </w:r>
          </w:hyperlink>
        </w:p>
        <w:p w14:paraId="77E66481" w14:textId="4CBF411D" w:rsidR="00F24AEF" w:rsidRDefault="00F24AE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3190981" w:history="1">
            <w:r w:rsidRPr="001E3B0E">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_Toc233190981 \h </w:instrText>
            </w:r>
            <w:r>
              <w:rPr>
                <w:noProof/>
                <w:webHidden/>
              </w:rPr>
            </w:r>
            <w:r>
              <w:rPr>
                <w:noProof/>
                <w:webHidden/>
              </w:rPr>
              <w:fldChar w:fldCharType="separate"/>
            </w:r>
            <w:r>
              <w:rPr>
                <w:noProof/>
                <w:webHidden/>
              </w:rPr>
              <w:t>37</w:t>
            </w:r>
            <w:r>
              <w:rPr>
                <w:noProof/>
                <w:webHidden/>
              </w:rPr>
              <w:fldChar w:fldCharType="end"/>
            </w:r>
          </w:hyperlink>
        </w:p>
        <w:p w14:paraId="77659F2D" w14:textId="5CAAA7F1"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233190955"/>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FD275A" w:rsidRPr="00FD275A" w14:paraId="1D483096" w14:textId="77777777" w:rsidTr="009211D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7D7E830" w14:textId="77777777" w:rsidR="00FD275A" w:rsidRPr="00FD275A" w:rsidRDefault="00FD275A" w:rsidP="009211DA">
            <w:pPr>
              <w:rPr>
                <w:szCs w:val="22"/>
              </w:rPr>
            </w:pPr>
            <w:r w:rsidRPr="00FD275A">
              <w:rPr>
                <w:szCs w:val="22"/>
              </w:rPr>
              <w:t>Abbreviation</w:t>
            </w:r>
          </w:p>
        </w:tc>
        <w:tc>
          <w:tcPr>
            <w:tcW w:w="3800" w:type="pct"/>
          </w:tcPr>
          <w:p w14:paraId="50F33514" w14:textId="77777777" w:rsidR="00FD275A" w:rsidRPr="00FD275A" w:rsidRDefault="00FD275A" w:rsidP="009211DA">
            <w:pPr>
              <w:cnfStyle w:val="100000000000" w:firstRow="1" w:lastRow="0" w:firstColumn="0" w:lastColumn="0" w:oddVBand="0" w:evenVBand="0" w:oddHBand="0" w:evenHBand="0" w:firstRowFirstColumn="0" w:firstRowLastColumn="0" w:lastRowFirstColumn="0" w:lastRowLastColumn="0"/>
              <w:rPr>
                <w:szCs w:val="22"/>
              </w:rPr>
            </w:pPr>
            <w:r w:rsidRPr="00FD275A">
              <w:rPr>
                <w:szCs w:val="22"/>
              </w:rPr>
              <w:t>Meaning</w:t>
            </w:r>
          </w:p>
        </w:tc>
      </w:tr>
      <w:tr w:rsidR="00FD275A" w:rsidRPr="00FD275A" w14:paraId="62A9D308"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7CA8AE" w14:textId="77777777" w:rsidR="00FD275A" w:rsidRPr="00FD275A" w:rsidRDefault="00FD275A" w:rsidP="009211DA">
            <w:pPr>
              <w:rPr>
                <w:szCs w:val="22"/>
              </w:rPr>
            </w:pPr>
            <w:r w:rsidRPr="00FD275A">
              <w:rPr>
                <w:szCs w:val="22"/>
              </w:rPr>
              <w:t>AEs</w:t>
            </w:r>
          </w:p>
        </w:tc>
        <w:tc>
          <w:tcPr>
            <w:tcW w:w="3800" w:type="pct"/>
          </w:tcPr>
          <w:p w14:paraId="4A601246"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 xml:space="preserve">Adverse events </w:t>
            </w:r>
          </w:p>
        </w:tc>
      </w:tr>
      <w:tr w:rsidR="00785ADF" w:rsidRPr="00FD275A" w14:paraId="7E34301B"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559F86" w14:textId="7A3D5664" w:rsidR="00785ADF" w:rsidRPr="00FD275A" w:rsidRDefault="00785ADF" w:rsidP="00785ADF">
            <w:pPr>
              <w:rPr>
                <w:szCs w:val="22"/>
              </w:rPr>
            </w:pPr>
            <w:r w:rsidRPr="00EA5FE1">
              <w:t>AESI</w:t>
            </w:r>
          </w:p>
        </w:tc>
        <w:tc>
          <w:tcPr>
            <w:tcW w:w="3800" w:type="pct"/>
          </w:tcPr>
          <w:p w14:paraId="3FD58AA2" w14:textId="2A6CBB59" w:rsidR="00785ADF" w:rsidRPr="00FD275A" w:rsidRDefault="00785ADF" w:rsidP="00785ADF">
            <w:pPr>
              <w:cnfStyle w:val="000000000000" w:firstRow="0" w:lastRow="0" w:firstColumn="0" w:lastColumn="0" w:oddVBand="0" w:evenVBand="0" w:oddHBand="0" w:evenHBand="0" w:firstRowFirstColumn="0" w:firstRowLastColumn="0" w:lastRowFirstColumn="0" w:lastRowLastColumn="0"/>
              <w:rPr>
                <w:szCs w:val="22"/>
              </w:rPr>
            </w:pPr>
            <w:r w:rsidRPr="00EA5FE1">
              <w:t>A</w:t>
            </w:r>
            <w:r>
              <w:t>dverse events of special interest</w:t>
            </w:r>
          </w:p>
        </w:tc>
      </w:tr>
      <w:tr w:rsidR="00FD275A" w:rsidRPr="00FD275A" w14:paraId="70B8036B"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11BE50" w14:textId="77777777" w:rsidR="00FD275A" w:rsidRPr="00FD275A" w:rsidRDefault="00FD275A" w:rsidP="009211DA">
            <w:pPr>
              <w:rPr>
                <w:szCs w:val="22"/>
              </w:rPr>
            </w:pPr>
            <w:r w:rsidRPr="00FD275A">
              <w:rPr>
                <w:szCs w:val="22"/>
              </w:rPr>
              <w:t>ARTG</w:t>
            </w:r>
          </w:p>
        </w:tc>
        <w:tc>
          <w:tcPr>
            <w:tcW w:w="3800" w:type="pct"/>
          </w:tcPr>
          <w:p w14:paraId="4BBEC5D3"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Australian Register of Therapeutic Goods</w:t>
            </w:r>
          </w:p>
        </w:tc>
      </w:tr>
      <w:tr w:rsidR="00FD275A" w:rsidRPr="00FD275A" w14:paraId="00E75A83"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6822EB" w14:textId="77777777" w:rsidR="00FD275A" w:rsidRPr="00FD275A" w:rsidRDefault="00FD275A" w:rsidP="009211DA">
            <w:pPr>
              <w:rPr>
                <w:szCs w:val="22"/>
              </w:rPr>
            </w:pPr>
            <w:r w:rsidRPr="00FD275A">
              <w:rPr>
                <w:szCs w:val="22"/>
              </w:rPr>
              <w:t>AUC</w:t>
            </w:r>
          </w:p>
        </w:tc>
        <w:tc>
          <w:tcPr>
            <w:tcW w:w="3800" w:type="pct"/>
          </w:tcPr>
          <w:p w14:paraId="5C1085BC"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Area under the concentration-time curve</w:t>
            </w:r>
          </w:p>
        </w:tc>
      </w:tr>
      <w:tr w:rsidR="00FD275A" w:rsidRPr="00FD275A" w14:paraId="21086BE0"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880591" w14:textId="77777777" w:rsidR="00FD275A" w:rsidRPr="00FD275A" w:rsidRDefault="00FD275A" w:rsidP="009211DA">
            <w:pPr>
              <w:rPr>
                <w:szCs w:val="22"/>
              </w:rPr>
            </w:pPr>
            <w:r w:rsidRPr="00FD275A">
              <w:rPr>
                <w:szCs w:val="22"/>
              </w:rPr>
              <w:t>BTK</w:t>
            </w:r>
          </w:p>
        </w:tc>
        <w:tc>
          <w:tcPr>
            <w:tcW w:w="3800" w:type="pct"/>
          </w:tcPr>
          <w:p w14:paraId="6B4A6B6F"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Bruton's tyrosine kinase</w:t>
            </w:r>
          </w:p>
        </w:tc>
      </w:tr>
      <w:tr w:rsidR="00FD275A" w:rsidRPr="00FD275A" w14:paraId="5A34846B"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1F2F3D" w14:textId="77777777" w:rsidR="00FD275A" w:rsidRPr="00FD275A" w:rsidRDefault="00FD275A" w:rsidP="009211DA">
            <w:pPr>
              <w:rPr>
                <w:szCs w:val="22"/>
              </w:rPr>
            </w:pPr>
            <w:r w:rsidRPr="00FD275A">
              <w:rPr>
                <w:szCs w:val="22"/>
              </w:rPr>
              <w:t>CMI</w:t>
            </w:r>
          </w:p>
        </w:tc>
        <w:tc>
          <w:tcPr>
            <w:tcW w:w="3800" w:type="pct"/>
          </w:tcPr>
          <w:p w14:paraId="56642035"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Consumer Medicines Information</w:t>
            </w:r>
          </w:p>
        </w:tc>
      </w:tr>
      <w:tr w:rsidR="00FD275A" w:rsidRPr="00FD275A" w14:paraId="4C67F79A"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C8DDAE" w14:textId="77777777" w:rsidR="00FD275A" w:rsidRPr="00FD275A" w:rsidRDefault="00FD275A" w:rsidP="009211DA">
            <w:pPr>
              <w:rPr>
                <w:szCs w:val="22"/>
              </w:rPr>
            </w:pPr>
            <w:r w:rsidRPr="00FD275A">
              <w:rPr>
                <w:szCs w:val="22"/>
              </w:rPr>
              <w:t>CSU</w:t>
            </w:r>
          </w:p>
        </w:tc>
        <w:tc>
          <w:tcPr>
            <w:tcW w:w="3800" w:type="pct"/>
          </w:tcPr>
          <w:p w14:paraId="53ED29C3"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Chronic spontaneous urticaria</w:t>
            </w:r>
          </w:p>
        </w:tc>
      </w:tr>
      <w:tr w:rsidR="00FD275A" w:rsidRPr="00FD275A" w14:paraId="56D2B1CB"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92C003" w14:textId="77777777" w:rsidR="00FD275A" w:rsidRPr="00FD275A" w:rsidRDefault="00FD275A" w:rsidP="009211DA">
            <w:pPr>
              <w:rPr>
                <w:szCs w:val="22"/>
              </w:rPr>
            </w:pPr>
            <w:r w:rsidRPr="00FD275A">
              <w:rPr>
                <w:szCs w:val="22"/>
                <w:lang w:val="en-US"/>
              </w:rPr>
              <w:t>C</w:t>
            </w:r>
            <w:r w:rsidRPr="00FD275A">
              <w:rPr>
                <w:szCs w:val="22"/>
                <w:vertAlign w:val="subscript"/>
                <w:lang w:val="en-US"/>
              </w:rPr>
              <w:t>max</w:t>
            </w:r>
          </w:p>
        </w:tc>
        <w:tc>
          <w:tcPr>
            <w:tcW w:w="3800" w:type="pct"/>
          </w:tcPr>
          <w:p w14:paraId="57DD1099"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lang w:val="en-US"/>
              </w:rPr>
              <w:t>Maximum concentration</w:t>
            </w:r>
          </w:p>
        </w:tc>
      </w:tr>
      <w:tr w:rsidR="00FD275A" w:rsidRPr="00FD275A" w14:paraId="7588D828"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FBAE62" w14:textId="77777777" w:rsidR="00FD275A" w:rsidRPr="00FD275A" w:rsidRDefault="00FD275A" w:rsidP="009211DA">
            <w:pPr>
              <w:rPr>
                <w:szCs w:val="22"/>
              </w:rPr>
            </w:pPr>
            <w:r w:rsidRPr="00FD275A">
              <w:rPr>
                <w:szCs w:val="22"/>
              </w:rPr>
              <w:t>LS</w:t>
            </w:r>
          </w:p>
        </w:tc>
        <w:tc>
          <w:tcPr>
            <w:tcW w:w="3800" w:type="pct"/>
          </w:tcPr>
          <w:p w14:paraId="315DC62F"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Least squares</w:t>
            </w:r>
          </w:p>
        </w:tc>
      </w:tr>
      <w:tr w:rsidR="00FD275A" w:rsidRPr="00FD275A" w14:paraId="3C5C185D"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D963A1" w14:textId="77777777" w:rsidR="00FD275A" w:rsidRPr="00FD275A" w:rsidRDefault="00FD275A" w:rsidP="009211DA">
            <w:pPr>
              <w:rPr>
                <w:szCs w:val="22"/>
              </w:rPr>
            </w:pPr>
            <w:r w:rsidRPr="00FD275A">
              <w:rPr>
                <w:szCs w:val="22"/>
              </w:rPr>
              <w:t>PI</w:t>
            </w:r>
          </w:p>
        </w:tc>
        <w:tc>
          <w:tcPr>
            <w:tcW w:w="3800" w:type="pct"/>
          </w:tcPr>
          <w:p w14:paraId="37CFDCF3"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Product Information</w:t>
            </w:r>
          </w:p>
        </w:tc>
      </w:tr>
      <w:tr w:rsidR="00FD275A" w:rsidRPr="00FD275A" w14:paraId="04CC4BEA"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1F8991" w14:textId="77777777" w:rsidR="00FD275A" w:rsidRPr="00FD275A" w:rsidRDefault="00FD275A" w:rsidP="009211DA">
            <w:pPr>
              <w:rPr>
                <w:szCs w:val="22"/>
              </w:rPr>
            </w:pPr>
            <w:r w:rsidRPr="00FD275A">
              <w:rPr>
                <w:szCs w:val="22"/>
              </w:rPr>
              <w:t>PK</w:t>
            </w:r>
          </w:p>
        </w:tc>
        <w:tc>
          <w:tcPr>
            <w:tcW w:w="3800" w:type="pct"/>
          </w:tcPr>
          <w:p w14:paraId="38ED5B17"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Pharmacokinetic(s)</w:t>
            </w:r>
          </w:p>
        </w:tc>
      </w:tr>
      <w:tr w:rsidR="00FD275A" w:rsidRPr="00FD275A" w14:paraId="76D02A36"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88F938" w14:textId="77777777" w:rsidR="00FD275A" w:rsidRPr="00FD275A" w:rsidRDefault="00FD275A" w:rsidP="009211DA">
            <w:pPr>
              <w:rPr>
                <w:szCs w:val="22"/>
              </w:rPr>
            </w:pPr>
            <w:r w:rsidRPr="00FD275A">
              <w:rPr>
                <w:szCs w:val="22"/>
              </w:rPr>
              <w:t>PD</w:t>
            </w:r>
          </w:p>
        </w:tc>
        <w:tc>
          <w:tcPr>
            <w:tcW w:w="3800" w:type="pct"/>
          </w:tcPr>
          <w:p w14:paraId="1DCDAF70"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Pharmacodynamic(s)</w:t>
            </w:r>
          </w:p>
        </w:tc>
      </w:tr>
      <w:tr w:rsidR="00FD275A" w:rsidRPr="00FD275A" w14:paraId="5254507D"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F0413F" w14:textId="77777777" w:rsidR="00FD275A" w:rsidRPr="00FD275A" w:rsidRDefault="00FD275A" w:rsidP="009211DA">
            <w:pPr>
              <w:rPr>
                <w:szCs w:val="22"/>
              </w:rPr>
            </w:pPr>
            <w:r w:rsidRPr="00FD275A">
              <w:rPr>
                <w:szCs w:val="22"/>
              </w:rPr>
              <w:t>PSUR</w:t>
            </w:r>
          </w:p>
        </w:tc>
        <w:tc>
          <w:tcPr>
            <w:tcW w:w="3800" w:type="pct"/>
          </w:tcPr>
          <w:p w14:paraId="5E03C974"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Periodic safety update report</w:t>
            </w:r>
          </w:p>
        </w:tc>
      </w:tr>
      <w:tr w:rsidR="00FD275A" w:rsidRPr="00FD275A" w14:paraId="422C727A"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A0B417" w14:textId="77777777" w:rsidR="00FD275A" w:rsidRPr="00FD275A" w:rsidRDefault="00FD275A" w:rsidP="009211DA">
            <w:pPr>
              <w:rPr>
                <w:szCs w:val="22"/>
              </w:rPr>
            </w:pPr>
            <w:r w:rsidRPr="00FD275A">
              <w:rPr>
                <w:szCs w:val="22"/>
              </w:rPr>
              <w:t>RMP</w:t>
            </w:r>
          </w:p>
        </w:tc>
        <w:tc>
          <w:tcPr>
            <w:tcW w:w="3800" w:type="pct"/>
          </w:tcPr>
          <w:p w14:paraId="3B298051"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Risk management plan</w:t>
            </w:r>
          </w:p>
        </w:tc>
      </w:tr>
      <w:tr w:rsidR="00FD275A" w:rsidRPr="00FD275A" w14:paraId="7707B0BA"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307E00" w14:textId="77777777" w:rsidR="00FD275A" w:rsidRPr="00FD275A" w:rsidRDefault="00FD275A" w:rsidP="009211DA">
            <w:pPr>
              <w:rPr>
                <w:szCs w:val="22"/>
              </w:rPr>
            </w:pPr>
            <w:r w:rsidRPr="00FD275A">
              <w:rPr>
                <w:szCs w:val="22"/>
              </w:rPr>
              <w:t>TGA</w:t>
            </w:r>
          </w:p>
        </w:tc>
        <w:tc>
          <w:tcPr>
            <w:tcW w:w="3800" w:type="pct"/>
          </w:tcPr>
          <w:p w14:paraId="655E8B02"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Therapeutic Goods Administration</w:t>
            </w:r>
          </w:p>
        </w:tc>
      </w:tr>
      <w:tr w:rsidR="00FD275A" w:rsidRPr="00FD275A" w14:paraId="509D4D97"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13CA13" w14:textId="77777777" w:rsidR="00FD275A" w:rsidRPr="00FD275A" w:rsidRDefault="00FD275A" w:rsidP="009211DA">
            <w:pPr>
              <w:rPr>
                <w:szCs w:val="22"/>
              </w:rPr>
            </w:pPr>
            <w:r w:rsidRPr="00FD275A">
              <w:rPr>
                <w:szCs w:val="22"/>
              </w:rPr>
              <w:t>T</w:t>
            </w:r>
            <w:r w:rsidRPr="00FD275A">
              <w:rPr>
                <w:szCs w:val="22"/>
                <w:vertAlign w:val="subscript"/>
              </w:rPr>
              <w:t>max</w:t>
            </w:r>
          </w:p>
        </w:tc>
        <w:tc>
          <w:tcPr>
            <w:tcW w:w="3800" w:type="pct"/>
          </w:tcPr>
          <w:p w14:paraId="7B3C3A80"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Time to maximum concentration</w:t>
            </w:r>
          </w:p>
        </w:tc>
      </w:tr>
      <w:tr w:rsidR="00FD275A" w:rsidRPr="00FD275A" w14:paraId="2DB46BE2" w14:textId="77777777" w:rsidTr="009211D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B674E5" w14:textId="77777777" w:rsidR="00FD275A" w:rsidRPr="00FD275A" w:rsidRDefault="00FD275A" w:rsidP="009211DA">
            <w:pPr>
              <w:rPr>
                <w:szCs w:val="22"/>
              </w:rPr>
            </w:pPr>
            <w:r w:rsidRPr="00FD275A">
              <w:rPr>
                <w:szCs w:val="22"/>
              </w:rPr>
              <w:t>UAS7</w:t>
            </w:r>
          </w:p>
        </w:tc>
        <w:tc>
          <w:tcPr>
            <w:tcW w:w="3800" w:type="pct"/>
          </w:tcPr>
          <w:p w14:paraId="1BAF4345" w14:textId="77777777" w:rsidR="00FD275A" w:rsidRPr="00FD275A" w:rsidRDefault="00FD275A" w:rsidP="009211DA">
            <w:pPr>
              <w:cnfStyle w:val="000000000000" w:firstRow="0" w:lastRow="0" w:firstColumn="0" w:lastColumn="0" w:oddVBand="0" w:evenVBand="0" w:oddHBand="0" w:evenHBand="0" w:firstRowFirstColumn="0" w:firstRowLastColumn="0" w:lastRowFirstColumn="0" w:lastRowLastColumn="0"/>
              <w:rPr>
                <w:szCs w:val="22"/>
              </w:rPr>
            </w:pPr>
            <w:r w:rsidRPr="00FD275A">
              <w:rPr>
                <w:szCs w:val="22"/>
              </w:rPr>
              <w:t>Urticaria Activity Score 7</w:t>
            </w:r>
          </w:p>
        </w:tc>
      </w:tr>
    </w:tbl>
    <w:p w14:paraId="6A1F314C" w14:textId="77777777" w:rsidR="00390A1D" w:rsidRDefault="00390A1D" w:rsidP="00324B33"/>
    <w:p w14:paraId="05B207B1" w14:textId="77777777" w:rsidR="00390A1D" w:rsidRDefault="00390A1D"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33190956"/>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3190957"/>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3118"/>
        <w:gridCol w:w="5952"/>
      </w:tblGrid>
      <w:tr w:rsidR="00324B33" w:rsidRPr="00BD5DBD" w14:paraId="77D11C95" w14:textId="77777777" w:rsidTr="00B3138B">
        <w:tc>
          <w:tcPr>
            <w:tcW w:w="1719" w:type="pct"/>
          </w:tcPr>
          <w:p w14:paraId="10E57D62" w14:textId="13728BD6" w:rsidR="00324B33" w:rsidRPr="00BD5DBD" w:rsidRDefault="00324B33" w:rsidP="007452E8">
            <w:pPr>
              <w:rPr>
                <w:i/>
                <w:szCs w:val="22"/>
              </w:rPr>
            </w:pPr>
            <w:r w:rsidRPr="00BD5DBD">
              <w:rPr>
                <w:i/>
                <w:szCs w:val="22"/>
              </w:rPr>
              <w:t>Type of submission:</w:t>
            </w:r>
          </w:p>
        </w:tc>
        <w:tc>
          <w:tcPr>
            <w:tcW w:w="3281" w:type="pct"/>
          </w:tcPr>
          <w:p w14:paraId="4F07C303" w14:textId="14D58CD8" w:rsidR="00324B33" w:rsidRPr="00BD5DBD" w:rsidRDefault="00324B33" w:rsidP="007452E8">
            <w:pPr>
              <w:rPr>
                <w:szCs w:val="22"/>
              </w:rPr>
            </w:pPr>
            <w:r w:rsidRPr="00BD5DBD">
              <w:rPr>
                <w:szCs w:val="22"/>
              </w:rPr>
              <w:t>New chemical entity</w:t>
            </w:r>
          </w:p>
        </w:tc>
      </w:tr>
      <w:tr w:rsidR="00324B33" w:rsidRPr="00BD5DBD" w14:paraId="13482B61" w14:textId="77777777" w:rsidTr="00B3138B">
        <w:tc>
          <w:tcPr>
            <w:tcW w:w="1719" w:type="pct"/>
          </w:tcPr>
          <w:p w14:paraId="2C427FCF" w14:textId="65BFD728" w:rsidR="00324B33" w:rsidRPr="00BD5DBD" w:rsidRDefault="00324B33" w:rsidP="007452E8">
            <w:pPr>
              <w:rPr>
                <w:i/>
                <w:szCs w:val="22"/>
              </w:rPr>
            </w:pPr>
            <w:r w:rsidRPr="00BD5DBD">
              <w:rPr>
                <w:i/>
                <w:szCs w:val="22"/>
              </w:rPr>
              <w:t>Product name:</w:t>
            </w:r>
          </w:p>
        </w:tc>
        <w:tc>
          <w:tcPr>
            <w:tcW w:w="3281" w:type="pct"/>
          </w:tcPr>
          <w:p w14:paraId="0E2DEF76" w14:textId="6DAB2411" w:rsidR="00324B33" w:rsidRPr="00BD5DBD" w:rsidRDefault="00BA1C03" w:rsidP="007452E8">
            <w:pPr>
              <w:rPr>
                <w:szCs w:val="22"/>
              </w:rPr>
            </w:pPr>
            <w:r>
              <w:rPr>
                <w:szCs w:val="22"/>
              </w:rPr>
              <w:t>Rhapsido</w:t>
            </w:r>
          </w:p>
        </w:tc>
      </w:tr>
      <w:tr w:rsidR="00324B33" w:rsidRPr="00BD5DBD" w14:paraId="01255B5B" w14:textId="77777777" w:rsidTr="00B3138B">
        <w:tc>
          <w:tcPr>
            <w:tcW w:w="1719" w:type="pct"/>
          </w:tcPr>
          <w:p w14:paraId="52B4F3D7" w14:textId="3F7DAA91" w:rsidR="00324B33" w:rsidRPr="00BD5DBD" w:rsidRDefault="00324B33" w:rsidP="007452E8">
            <w:pPr>
              <w:rPr>
                <w:i/>
                <w:szCs w:val="22"/>
              </w:rPr>
            </w:pPr>
            <w:r w:rsidRPr="00BD5DBD">
              <w:rPr>
                <w:i/>
                <w:szCs w:val="22"/>
              </w:rPr>
              <w:t>Active ingredient:</w:t>
            </w:r>
          </w:p>
        </w:tc>
        <w:tc>
          <w:tcPr>
            <w:tcW w:w="3281" w:type="pct"/>
          </w:tcPr>
          <w:p w14:paraId="02FB6383" w14:textId="1D922EFF" w:rsidR="00324B33" w:rsidRPr="00BD5DBD" w:rsidRDefault="00347BC8" w:rsidP="007452E8">
            <w:pPr>
              <w:rPr>
                <w:szCs w:val="22"/>
              </w:rPr>
            </w:pPr>
            <w:r w:rsidRPr="00347BC8">
              <w:rPr>
                <w:szCs w:val="22"/>
              </w:rPr>
              <w:t>remibrutinib</w:t>
            </w:r>
          </w:p>
        </w:tc>
      </w:tr>
      <w:tr w:rsidR="00324B33" w:rsidRPr="00BD5DBD" w14:paraId="219A281B" w14:textId="77777777" w:rsidTr="00B3138B">
        <w:tc>
          <w:tcPr>
            <w:tcW w:w="1719" w:type="pct"/>
          </w:tcPr>
          <w:p w14:paraId="112E5F78" w14:textId="77777777" w:rsidR="00324B33" w:rsidRPr="00BD5DBD" w:rsidRDefault="00324B33" w:rsidP="007452E8">
            <w:pPr>
              <w:rPr>
                <w:i/>
                <w:szCs w:val="22"/>
              </w:rPr>
            </w:pPr>
            <w:r w:rsidRPr="00BD5DBD">
              <w:rPr>
                <w:i/>
                <w:szCs w:val="22"/>
              </w:rPr>
              <w:t>Decision:</w:t>
            </w:r>
          </w:p>
        </w:tc>
        <w:tc>
          <w:tcPr>
            <w:tcW w:w="3281" w:type="pct"/>
          </w:tcPr>
          <w:p w14:paraId="3B114BEA" w14:textId="0C219C5F" w:rsidR="00324B33" w:rsidRPr="00BD5DBD" w:rsidRDefault="00324B33" w:rsidP="007452E8">
            <w:pPr>
              <w:rPr>
                <w:szCs w:val="22"/>
              </w:rPr>
            </w:pPr>
            <w:r w:rsidRPr="00BD5DBD">
              <w:rPr>
                <w:szCs w:val="22"/>
              </w:rPr>
              <w:t>Approved</w:t>
            </w:r>
          </w:p>
        </w:tc>
      </w:tr>
      <w:tr w:rsidR="00AE1947" w:rsidRPr="00BD5DBD" w14:paraId="32B72632" w14:textId="77777777" w:rsidTr="00B3138B">
        <w:tc>
          <w:tcPr>
            <w:tcW w:w="1719" w:type="pct"/>
          </w:tcPr>
          <w:p w14:paraId="332A5CD5" w14:textId="65682B5F" w:rsidR="00AE1947" w:rsidRPr="00BD5DBD" w:rsidRDefault="00AE1947" w:rsidP="007F1E37">
            <w:r w:rsidRPr="00BD5DBD">
              <w:rPr>
                <w:i/>
                <w:szCs w:val="22"/>
              </w:rPr>
              <w:t>Date of decision:</w:t>
            </w:r>
          </w:p>
        </w:tc>
        <w:tc>
          <w:tcPr>
            <w:tcW w:w="3281" w:type="pct"/>
          </w:tcPr>
          <w:p w14:paraId="7B381CD6" w14:textId="3D2594D5" w:rsidR="00AE1947" w:rsidRPr="00BD5DBD" w:rsidRDefault="00690BD0" w:rsidP="009211DA">
            <w:pPr>
              <w:rPr>
                <w:szCs w:val="22"/>
              </w:rPr>
            </w:pPr>
            <w:r w:rsidRPr="00690BD0">
              <w:rPr>
                <w:szCs w:val="22"/>
              </w:rPr>
              <w:t>7 May 2026</w:t>
            </w:r>
          </w:p>
        </w:tc>
      </w:tr>
      <w:tr w:rsidR="004A20BC" w:rsidRPr="00BD5DBD" w14:paraId="1BD35D08" w14:textId="77777777" w:rsidTr="00B3138B">
        <w:tc>
          <w:tcPr>
            <w:tcW w:w="1719"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3281" w:type="pct"/>
          </w:tcPr>
          <w:p w14:paraId="2C96449F" w14:textId="5BAB52C3" w:rsidR="004A20BC" w:rsidRPr="00BD5DBD" w:rsidRDefault="00BA1C03" w:rsidP="009211DA">
            <w:pPr>
              <w:rPr>
                <w:szCs w:val="22"/>
              </w:rPr>
            </w:pPr>
            <w:r>
              <w:rPr>
                <w:szCs w:val="22"/>
              </w:rPr>
              <w:t>Rhapsido</w:t>
            </w:r>
            <w:r w:rsidR="00750504" w:rsidRPr="00750504">
              <w:rPr>
                <w:szCs w:val="22"/>
              </w:rPr>
              <w:t xml:space="preserve"> is indicated for the treatment of chronic spontaneous urticaria (CSU) in adult patients who remain symptomatic despite H1 antihistamine treatment.</w:t>
            </w:r>
          </w:p>
        </w:tc>
      </w:tr>
      <w:tr w:rsidR="00324B33" w:rsidRPr="00BD5DBD" w14:paraId="60A25F5A" w14:textId="77777777" w:rsidTr="00B3138B">
        <w:tc>
          <w:tcPr>
            <w:tcW w:w="1719" w:type="pct"/>
          </w:tcPr>
          <w:p w14:paraId="5C5E4CBA" w14:textId="77777777" w:rsidR="00324B33" w:rsidRPr="00BD5DBD" w:rsidRDefault="00324B33" w:rsidP="007452E8">
            <w:pPr>
              <w:rPr>
                <w:i/>
                <w:szCs w:val="22"/>
              </w:rPr>
            </w:pPr>
            <w:r w:rsidRPr="00BD5DBD">
              <w:rPr>
                <w:i/>
                <w:szCs w:val="22"/>
              </w:rPr>
              <w:t>Date of entry onto ARTG:</w:t>
            </w:r>
          </w:p>
        </w:tc>
        <w:tc>
          <w:tcPr>
            <w:tcW w:w="3281" w:type="pct"/>
          </w:tcPr>
          <w:p w14:paraId="28B270E9" w14:textId="1A5ABEB5" w:rsidR="00324B33" w:rsidRPr="00BD5DBD" w:rsidRDefault="002241F3" w:rsidP="007452E8">
            <w:pPr>
              <w:rPr>
                <w:szCs w:val="22"/>
              </w:rPr>
            </w:pPr>
            <w:r w:rsidRPr="002241F3">
              <w:rPr>
                <w:szCs w:val="22"/>
              </w:rPr>
              <w:t>11 May 2026</w:t>
            </w:r>
          </w:p>
        </w:tc>
      </w:tr>
      <w:tr w:rsidR="00324B33" w:rsidRPr="00BD5DBD" w14:paraId="547E08D7" w14:textId="77777777" w:rsidTr="00B3138B">
        <w:tc>
          <w:tcPr>
            <w:tcW w:w="1719" w:type="pct"/>
          </w:tcPr>
          <w:p w14:paraId="5030EF30" w14:textId="5B9E9D1A" w:rsidR="00324B33" w:rsidRPr="00BD5DBD" w:rsidRDefault="00324B33" w:rsidP="007452E8">
            <w:pPr>
              <w:rPr>
                <w:i/>
                <w:szCs w:val="22"/>
              </w:rPr>
            </w:pPr>
            <w:r w:rsidRPr="00BD5DBD">
              <w:rPr>
                <w:i/>
                <w:szCs w:val="22"/>
              </w:rPr>
              <w:t>ARTG number:</w:t>
            </w:r>
          </w:p>
        </w:tc>
        <w:tc>
          <w:tcPr>
            <w:tcW w:w="3281" w:type="pct"/>
          </w:tcPr>
          <w:p w14:paraId="0054E912" w14:textId="62A451F0" w:rsidR="00324B33" w:rsidRPr="00BD5DBD" w:rsidRDefault="00007725" w:rsidP="007452E8">
            <w:pPr>
              <w:rPr>
                <w:szCs w:val="22"/>
              </w:rPr>
            </w:pPr>
            <w:hyperlink r:id="rId17" w:history="1">
              <w:r w:rsidRPr="00480800">
                <w:rPr>
                  <w:rStyle w:val="Hyperlink"/>
                  <w:szCs w:val="22"/>
                </w:rPr>
                <w:t>485465</w:t>
              </w:r>
            </w:hyperlink>
          </w:p>
        </w:tc>
      </w:tr>
      <w:tr w:rsidR="00324B33" w:rsidRPr="00BD5DBD" w14:paraId="7618393F" w14:textId="77777777" w:rsidTr="00B3138B">
        <w:tc>
          <w:tcPr>
            <w:tcW w:w="1719"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281" w:type="pct"/>
          </w:tcPr>
          <w:p w14:paraId="6FF3C6A2" w14:textId="72ECE27C" w:rsidR="00324B33" w:rsidRPr="00BD5DBD" w:rsidRDefault="00324B33" w:rsidP="007452E8">
            <w:pPr>
              <w:rPr>
                <w:szCs w:val="22"/>
              </w:rPr>
            </w:pPr>
            <w:r w:rsidRPr="00BD5DBD">
              <w:rPr>
                <w:szCs w:val="22"/>
              </w:rPr>
              <w:t>Yes</w:t>
            </w:r>
          </w:p>
        </w:tc>
      </w:tr>
      <w:tr w:rsidR="00324B33" w:rsidRPr="00BD5DBD" w14:paraId="179E09FE" w14:textId="77777777" w:rsidTr="00B3138B">
        <w:tc>
          <w:tcPr>
            <w:tcW w:w="1719" w:type="pct"/>
          </w:tcPr>
          <w:p w14:paraId="1A592498" w14:textId="77777777" w:rsidR="00324B33" w:rsidRPr="00BD5DBD" w:rsidRDefault="00324B33" w:rsidP="007452E8">
            <w:pPr>
              <w:rPr>
                <w:i/>
                <w:szCs w:val="22"/>
              </w:rPr>
            </w:pPr>
            <w:r w:rsidRPr="00BD5DBD">
              <w:rPr>
                <w:i/>
                <w:szCs w:val="22"/>
              </w:rPr>
              <w:t>Sponsor’s name and address:</w:t>
            </w:r>
          </w:p>
        </w:tc>
        <w:tc>
          <w:tcPr>
            <w:tcW w:w="3281" w:type="pct"/>
          </w:tcPr>
          <w:p w14:paraId="68DD94B0" w14:textId="2470AE89" w:rsidR="00324B33" w:rsidRPr="00BD5DBD" w:rsidRDefault="00C27CB8" w:rsidP="00C27CB8">
            <w:pPr>
              <w:rPr>
                <w:szCs w:val="22"/>
              </w:rPr>
            </w:pPr>
            <w:r w:rsidRPr="00C27CB8">
              <w:rPr>
                <w:szCs w:val="22"/>
              </w:rPr>
              <w:t>Novartis Pharmaceuticals Australia Pty Limited</w:t>
            </w:r>
            <w:r>
              <w:rPr>
                <w:szCs w:val="22"/>
              </w:rPr>
              <w:t xml:space="preserve">, </w:t>
            </w:r>
            <w:r w:rsidRPr="00C27CB8">
              <w:rPr>
                <w:szCs w:val="22"/>
              </w:rPr>
              <w:t>54 Waterloo Road</w:t>
            </w:r>
            <w:r>
              <w:rPr>
                <w:szCs w:val="22"/>
              </w:rPr>
              <w:t>,</w:t>
            </w:r>
            <w:r w:rsidRPr="00C27CB8">
              <w:rPr>
                <w:szCs w:val="22"/>
              </w:rPr>
              <w:t xml:space="preserve"> Macquarie Park</w:t>
            </w:r>
            <w:r>
              <w:rPr>
                <w:szCs w:val="22"/>
              </w:rPr>
              <w:t>,</w:t>
            </w:r>
            <w:r w:rsidRPr="00C27CB8">
              <w:rPr>
                <w:szCs w:val="22"/>
              </w:rPr>
              <w:t xml:space="preserve"> NSW 2113</w:t>
            </w:r>
          </w:p>
        </w:tc>
      </w:tr>
      <w:tr w:rsidR="00324B33" w:rsidRPr="00BD5DBD" w14:paraId="5322B989" w14:textId="77777777" w:rsidTr="00B3138B">
        <w:tc>
          <w:tcPr>
            <w:tcW w:w="1719" w:type="pct"/>
          </w:tcPr>
          <w:p w14:paraId="24F217E3" w14:textId="4AF09732" w:rsidR="00324B33" w:rsidRPr="00BD5DBD" w:rsidRDefault="00324B33" w:rsidP="007452E8">
            <w:pPr>
              <w:rPr>
                <w:i/>
                <w:szCs w:val="22"/>
              </w:rPr>
            </w:pPr>
            <w:r w:rsidRPr="00BD5DBD">
              <w:rPr>
                <w:i/>
                <w:szCs w:val="22"/>
              </w:rPr>
              <w:t>Dose form:</w:t>
            </w:r>
          </w:p>
        </w:tc>
        <w:tc>
          <w:tcPr>
            <w:tcW w:w="3281" w:type="pct"/>
          </w:tcPr>
          <w:p w14:paraId="768B254C" w14:textId="3FB6AEAD" w:rsidR="00324B33" w:rsidRPr="00BD5DBD" w:rsidRDefault="00A448AF" w:rsidP="007452E8">
            <w:pPr>
              <w:rPr>
                <w:szCs w:val="22"/>
              </w:rPr>
            </w:pPr>
            <w:r>
              <w:rPr>
                <w:szCs w:val="22"/>
              </w:rPr>
              <w:t>F</w:t>
            </w:r>
            <w:r w:rsidRPr="00A448AF">
              <w:rPr>
                <w:szCs w:val="22"/>
              </w:rPr>
              <w:t>ilm coated tablet</w:t>
            </w:r>
          </w:p>
        </w:tc>
      </w:tr>
      <w:tr w:rsidR="00324B33" w:rsidRPr="00BD5DBD" w14:paraId="115243E6" w14:textId="77777777" w:rsidTr="00B3138B">
        <w:tc>
          <w:tcPr>
            <w:tcW w:w="1719" w:type="pct"/>
          </w:tcPr>
          <w:p w14:paraId="7634B062" w14:textId="0AE54404" w:rsidR="00324B33" w:rsidRPr="00BD5DBD" w:rsidRDefault="00324B33" w:rsidP="007452E8">
            <w:pPr>
              <w:rPr>
                <w:i/>
                <w:szCs w:val="22"/>
              </w:rPr>
            </w:pPr>
            <w:r w:rsidRPr="00BD5DBD">
              <w:rPr>
                <w:i/>
                <w:szCs w:val="22"/>
              </w:rPr>
              <w:t>Strength:</w:t>
            </w:r>
          </w:p>
        </w:tc>
        <w:tc>
          <w:tcPr>
            <w:tcW w:w="3281" w:type="pct"/>
          </w:tcPr>
          <w:p w14:paraId="5E5F83DB" w14:textId="13B52B3D" w:rsidR="00324B33" w:rsidRPr="00BD5DBD" w:rsidRDefault="008A361F" w:rsidP="007452E8">
            <w:pPr>
              <w:rPr>
                <w:szCs w:val="22"/>
              </w:rPr>
            </w:pPr>
            <w:r w:rsidRPr="008A361F">
              <w:rPr>
                <w:szCs w:val="22"/>
              </w:rPr>
              <w:t>Each film coated tablet contains 25 mg of remibrutinib</w:t>
            </w:r>
          </w:p>
        </w:tc>
      </w:tr>
      <w:tr w:rsidR="00324B33" w:rsidRPr="00BD5DBD" w14:paraId="34B07BA6" w14:textId="77777777" w:rsidTr="00B3138B">
        <w:tc>
          <w:tcPr>
            <w:tcW w:w="1719" w:type="pct"/>
          </w:tcPr>
          <w:p w14:paraId="1C039224" w14:textId="10BE25D3" w:rsidR="00324B33" w:rsidRPr="00BD5DBD" w:rsidRDefault="00324B33" w:rsidP="007452E8">
            <w:pPr>
              <w:rPr>
                <w:i/>
                <w:szCs w:val="22"/>
              </w:rPr>
            </w:pPr>
            <w:r w:rsidRPr="00BD5DBD">
              <w:rPr>
                <w:i/>
                <w:szCs w:val="22"/>
              </w:rPr>
              <w:t>Container</w:t>
            </w:r>
            <w:r w:rsidR="009139F2">
              <w:rPr>
                <w:i/>
                <w:szCs w:val="22"/>
              </w:rPr>
              <w:t xml:space="preserve"> and pack sizes</w:t>
            </w:r>
            <w:r w:rsidRPr="00BD5DBD">
              <w:rPr>
                <w:i/>
                <w:szCs w:val="22"/>
              </w:rPr>
              <w:t>:</w:t>
            </w:r>
          </w:p>
        </w:tc>
        <w:tc>
          <w:tcPr>
            <w:tcW w:w="3281" w:type="pct"/>
          </w:tcPr>
          <w:p w14:paraId="500A42C6" w14:textId="3429C69C" w:rsidR="00324B33" w:rsidRPr="00BD5DBD" w:rsidRDefault="001B3A6E" w:rsidP="007452E8">
            <w:pPr>
              <w:rPr>
                <w:szCs w:val="22"/>
              </w:rPr>
            </w:pPr>
            <w:r w:rsidRPr="001B3A6E">
              <w:rPr>
                <w:szCs w:val="22"/>
              </w:rPr>
              <w:t>PA/Al/PVC/Al blisters in either packs of 30 tablets or 60 tablets in a cardboard carton, or multipacks containing 180 tablets (3 packs of 60).</w:t>
            </w:r>
          </w:p>
        </w:tc>
      </w:tr>
      <w:tr w:rsidR="00324B33" w:rsidRPr="00BD5DBD" w14:paraId="5AFDEED3" w14:textId="77777777" w:rsidTr="00B3138B">
        <w:tc>
          <w:tcPr>
            <w:tcW w:w="1719" w:type="pct"/>
          </w:tcPr>
          <w:p w14:paraId="03884BD1" w14:textId="635F1C90" w:rsidR="00324B33" w:rsidRPr="00BD5DBD" w:rsidRDefault="00324B33" w:rsidP="007452E8">
            <w:pPr>
              <w:rPr>
                <w:i/>
                <w:szCs w:val="22"/>
              </w:rPr>
            </w:pPr>
            <w:r w:rsidRPr="00BD5DBD">
              <w:rPr>
                <w:i/>
                <w:szCs w:val="22"/>
              </w:rPr>
              <w:t>Route of administration:</w:t>
            </w:r>
          </w:p>
        </w:tc>
        <w:tc>
          <w:tcPr>
            <w:tcW w:w="3281" w:type="pct"/>
          </w:tcPr>
          <w:p w14:paraId="1ED1357E" w14:textId="07E36E6D" w:rsidR="00324B33" w:rsidRPr="00BD5DBD" w:rsidRDefault="009139F2" w:rsidP="007452E8">
            <w:pPr>
              <w:rPr>
                <w:szCs w:val="22"/>
              </w:rPr>
            </w:pPr>
            <w:r>
              <w:rPr>
                <w:szCs w:val="22"/>
              </w:rPr>
              <w:t>Oral</w:t>
            </w:r>
          </w:p>
        </w:tc>
      </w:tr>
      <w:tr w:rsidR="00324B33" w:rsidRPr="00BD5DBD" w14:paraId="70D7E9FA" w14:textId="77777777" w:rsidTr="00B3138B">
        <w:tc>
          <w:tcPr>
            <w:tcW w:w="1719" w:type="pct"/>
          </w:tcPr>
          <w:p w14:paraId="5ABFFC80" w14:textId="77777777" w:rsidR="00324B33" w:rsidRPr="00BD5DBD" w:rsidRDefault="00324B33" w:rsidP="007452E8">
            <w:pPr>
              <w:rPr>
                <w:i/>
                <w:szCs w:val="22"/>
              </w:rPr>
            </w:pPr>
            <w:r w:rsidRPr="00BD5DBD">
              <w:rPr>
                <w:i/>
                <w:szCs w:val="22"/>
              </w:rPr>
              <w:t>Dosage:</w:t>
            </w:r>
          </w:p>
        </w:tc>
        <w:tc>
          <w:tcPr>
            <w:tcW w:w="3281" w:type="pct"/>
          </w:tcPr>
          <w:p w14:paraId="4BD4ECF7" w14:textId="00F6DB6F" w:rsidR="00666911" w:rsidRDefault="001613F7" w:rsidP="007452E8">
            <w:pPr>
              <w:rPr>
                <w:szCs w:val="22"/>
              </w:rPr>
            </w:pPr>
            <w:r w:rsidRPr="001613F7">
              <w:rPr>
                <w:szCs w:val="22"/>
              </w:rPr>
              <w:t>25 mg taken orally twice daily</w:t>
            </w:r>
          </w:p>
          <w:p w14:paraId="3D0B2D5C" w14:textId="10FE7DDD" w:rsidR="00324B33" w:rsidRPr="00BD5DBD" w:rsidRDefault="00324B33" w:rsidP="007452E8">
            <w:pPr>
              <w:rPr>
                <w:szCs w:val="22"/>
              </w:rPr>
            </w:pPr>
            <w:r w:rsidRPr="00BD5DBD">
              <w:rPr>
                <w:szCs w:val="22"/>
              </w:rPr>
              <w:t xml:space="preserve">For further information regarding dosage, refer to the </w:t>
            </w:r>
            <w:hyperlink r:id="rId19" w:history="1">
              <w:r w:rsidRPr="000A1A6D">
                <w:rPr>
                  <w:rStyle w:val="Hyperlink"/>
                  <w:szCs w:val="22"/>
                </w:rPr>
                <w:t>Product Information</w:t>
              </w:r>
            </w:hyperlink>
            <w:r w:rsidRPr="00BD5DBD">
              <w:rPr>
                <w:szCs w:val="22"/>
              </w:rPr>
              <w:t>.</w:t>
            </w:r>
          </w:p>
        </w:tc>
      </w:tr>
      <w:tr w:rsidR="0017005C" w:rsidRPr="00BD5DBD" w14:paraId="7B7BB6AE" w14:textId="77777777" w:rsidTr="00B3138B">
        <w:tc>
          <w:tcPr>
            <w:tcW w:w="1719" w:type="pct"/>
          </w:tcPr>
          <w:p w14:paraId="3A76AFF7" w14:textId="273D6DBF" w:rsidR="00BD43BD" w:rsidRPr="00BD43BD" w:rsidRDefault="0070330F" w:rsidP="00B3138B">
            <w:r w:rsidRPr="00BD5DBD">
              <w:rPr>
                <w:i/>
                <w:szCs w:val="22"/>
              </w:rPr>
              <w:t>Pregnancy category:</w:t>
            </w:r>
          </w:p>
        </w:tc>
        <w:tc>
          <w:tcPr>
            <w:tcW w:w="3281" w:type="pct"/>
          </w:tcPr>
          <w:p w14:paraId="35E401AF" w14:textId="77777777" w:rsidR="007E4FF8" w:rsidRPr="007E4FF8" w:rsidRDefault="007E4FF8" w:rsidP="007E4FF8">
            <w:pPr>
              <w:rPr>
                <w:b/>
                <w:bCs/>
              </w:rPr>
            </w:pPr>
            <w:r w:rsidRPr="007E4FF8">
              <w:rPr>
                <w:b/>
                <w:bCs/>
              </w:rPr>
              <w:t>Category D</w:t>
            </w:r>
          </w:p>
          <w:p w14:paraId="07217151" w14:textId="511F882A" w:rsidR="007E4FF8" w:rsidRPr="007E4FF8" w:rsidRDefault="007E4FF8" w:rsidP="007E4FF8">
            <w:r w:rsidRPr="007E4FF8">
              <w:t xml:space="preserve">Drugs which have caused, are suspected to have caused or may be expected to cause, an increased incidence of human fetal malformations or irreversible damage. These drugs may also have adverse pharmacological effects. </w:t>
            </w:r>
          </w:p>
          <w:p w14:paraId="76497789" w14:textId="3D9ED5FF" w:rsidR="00BD43BD" w:rsidRPr="00BD43BD" w:rsidRDefault="0070330F" w:rsidP="00B3138B">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0"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3190958"/>
      <w:r>
        <w:lastRenderedPageBreak/>
        <w:t>Product background</w:t>
      </w:r>
      <w:bookmarkEnd w:id="11"/>
      <w:bookmarkEnd w:id="12"/>
      <w:bookmarkEnd w:id="13"/>
      <w:bookmarkEnd w:id="14"/>
    </w:p>
    <w:p w14:paraId="59BF31D1" w14:textId="452981D2" w:rsidR="001500A8" w:rsidRDefault="00324B33" w:rsidP="00065839">
      <w:r w:rsidRPr="00065839">
        <w:t xml:space="preserve">This AusPAR describes the submission by </w:t>
      </w:r>
      <w:r w:rsidR="00BD43BD" w:rsidRPr="00BD43BD">
        <w:t xml:space="preserve">Novartis Pharmaceuticals Australia Pty Ltd </w:t>
      </w:r>
      <w:r w:rsidRPr="00065839">
        <w:t xml:space="preserve">(the sponsor) to register </w:t>
      </w:r>
      <w:r w:rsidR="00BA1C03">
        <w:t>Rhapsido</w:t>
      </w:r>
      <w:r w:rsidR="00BD43BD" w:rsidRPr="00BD43BD">
        <w:t xml:space="preserve"> </w:t>
      </w:r>
      <w:r w:rsidR="00BD43BD">
        <w:t>(</w:t>
      </w:r>
      <w:r w:rsidR="00BD43BD" w:rsidRPr="00BD43BD">
        <w:t>remibrutinib</w:t>
      </w:r>
      <w:r w:rsidRPr="00065839">
        <w:t>) for the following proposed indication:</w:t>
      </w:r>
      <w:r w:rsidR="00D63760" w:rsidRPr="00065839">
        <w:rPr>
          <w:vertAlign w:val="superscript"/>
        </w:rPr>
        <w:footnoteReference w:id="1"/>
      </w:r>
    </w:p>
    <w:p w14:paraId="7E39E180" w14:textId="3C9B7426" w:rsidR="00F84B90" w:rsidRDefault="00BA1C03" w:rsidP="00F84B90">
      <w:pPr>
        <w:pStyle w:val="Indication"/>
      </w:pPr>
      <w:r>
        <w:t>Rhapsido</w:t>
      </w:r>
      <w:r w:rsidR="00F84B90" w:rsidRPr="00F84B90">
        <w:t xml:space="preserve"> </w:t>
      </w:r>
      <w:r w:rsidR="00F84B90">
        <w:t>is indicated for the treatment of chronic spontaneous urticaria (CSU) in adult patients who remain symptomatic despite H1 antihistamine treatment</w:t>
      </w:r>
      <w:r w:rsidR="00E42AAF">
        <w:t>.</w:t>
      </w:r>
      <w:r w:rsidR="00F84B90">
        <w:t xml:space="preserve"> </w:t>
      </w:r>
    </w:p>
    <w:p w14:paraId="1E63A2AE" w14:textId="5FCD6C6F" w:rsidR="00CB6813" w:rsidRDefault="00005DFC" w:rsidP="00CB6813">
      <w:pPr>
        <w:pStyle w:val="Heading4"/>
      </w:pPr>
      <w:bookmarkStart w:id="15" w:name="_Toc314842485"/>
      <w:bookmarkStart w:id="16" w:name="_Toc247691504"/>
      <w:bookmarkStart w:id="17" w:name="_Toc233190959"/>
      <w:r>
        <w:t>D</w:t>
      </w:r>
      <w:r w:rsidR="00CB6813" w:rsidRPr="00C12D65">
        <w:t>isease</w:t>
      </w:r>
      <w:r w:rsidR="006428C5">
        <w:t xml:space="preserve"> or condition</w:t>
      </w:r>
      <w:bookmarkEnd w:id="17"/>
    </w:p>
    <w:p w14:paraId="090CFE4E" w14:textId="3AFB7F4C" w:rsidR="00CD5A76" w:rsidRDefault="00CD5A76" w:rsidP="00CD5A76">
      <w:r>
        <w:t>Urticaria is defined as a condition characterised by the development of wheals (hives), angioedema or both</w:t>
      </w:r>
      <w:bookmarkStart w:id="18" w:name="_Ref230080116"/>
      <w:r w:rsidR="00F07292">
        <w:rPr>
          <w:rStyle w:val="FootnoteReference"/>
        </w:rPr>
        <w:footnoteReference w:id="2"/>
      </w:r>
      <w:bookmarkEnd w:id="18"/>
      <w:r>
        <w:t>.</w:t>
      </w:r>
    </w:p>
    <w:p w14:paraId="5284A637" w14:textId="770BDCB5" w:rsidR="00CD5A76" w:rsidRDefault="00CD5A76" w:rsidP="00CD5A76">
      <w:r>
        <w:t>Acute urticaria is defined as the occurrence of wheals, angioedema, or both for 6 weeks or less. Chronic urticaria is defined as the occurrence of wheals, angioedema, or both for more than 6 weeks. Two categories of chronic urticaria have been identified:</w:t>
      </w:r>
      <w:r w:rsidR="008854F1">
        <w:fldChar w:fldCharType="begin"/>
      </w:r>
      <w:r w:rsidR="008854F1">
        <w:instrText xml:space="preserve"> NOTEREF _Ref230080116 \f \h </w:instrText>
      </w:r>
      <w:r w:rsidR="008854F1">
        <w:fldChar w:fldCharType="separate"/>
      </w:r>
      <w:r w:rsidR="008854F1" w:rsidRPr="008854F1">
        <w:rPr>
          <w:rStyle w:val="FootnoteReference"/>
        </w:rPr>
        <w:t>2</w:t>
      </w:r>
      <w:r w:rsidR="008854F1">
        <w:fldChar w:fldCharType="end"/>
      </w:r>
    </w:p>
    <w:p w14:paraId="45E96871" w14:textId="355C8314" w:rsidR="00CD5A76" w:rsidRDefault="00CD5A76" w:rsidP="000C34AD">
      <w:pPr>
        <w:pStyle w:val="ListBullet"/>
      </w:pPr>
      <w:r>
        <w:t>Chronic inducible urticaria is characterised by the development of hives and/or wheals following exposure to specific identifiable triggers (e.g. cold, heat, pressure, vibration etc.);</w:t>
      </w:r>
    </w:p>
    <w:p w14:paraId="26589670" w14:textId="37ADA124" w:rsidR="00CD5A76" w:rsidRDefault="00CD5A76" w:rsidP="000C34AD">
      <w:pPr>
        <w:pStyle w:val="ListBullet"/>
      </w:pPr>
      <w:r>
        <w:t>Chronic spontaneous urticaria (CSU) is characterised by the development of hives and/or wheals where no definite eliciting factor can be identified.</w:t>
      </w:r>
    </w:p>
    <w:p w14:paraId="2F9002EE" w14:textId="24238A81" w:rsidR="00CD5A76" w:rsidRDefault="00CD5A76" w:rsidP="00CD5A76">
      <w:r>
        <w:t>CSU is characterised by wheals with pale, central swelling and surrounding erythema. Lesions may range in size from a few millimetres to several centimetres in diameter and may occur over any part of the body. Pruritus is variable in severity. Wheals are typically transient, resolving within 24 hours but arising spontaneously on most days of the week for more than six weeks</w:t>
      </w:r>
      <w:r w:rsidR="00B845EC">
        <w:t>.</w:t>
      </w:r>
      <w:bookmarkStart w:id="19" w:name="_Ref230080507"/>
      <w:r w:rsidR="00C34BAD" w:rsidRPr="00A809C3">
        <w:rPr>
          <w:rStyle w:val="FootnoteReference"/>
        </w:rPr>
        <w:footnoteReference w:id="3"/>
      </w:r>
      <w:bookmarkEnd w:id="19"/>
      <w:r w:rsidR="00C34BAD" w:rsidRPr="00A809C3">
        <w:rPr>
          <w:vertAlign w:val="superscript"/>
        </w:rPr>
        <w:t>,</w:t>
      </w:r>
      <w:bookmarkStart w:id="20" w:name="_Ref230080535"/>
      <w:r w:rsidR="00D30496" w:rsidRPr="00A809C3">
        <w:rPr>
          <w:rStyle w:val="FootnoteReference"/>
        </w:rPr>
        <w:footnoteReference w:id="4"/>
      </w:r>
      <w:bookmarkEnd w:id="20"/>
      <w:r w:rsidR="00D30496" w:rsidRPr="00A809C3">
        <w:rPr>
          <w:vertAlign w:val="superscript"/>
        </w:rPr>
        <w:t>,</w:t>
      </w:r>
      <w:bookmarkStart w:id="21" w:name="_Ref230096844"/>
      <w:r w:rsidR="00A809C3" w:rsidRPr="00A809C3">
        <w:rPr>
          <w:rStyle w:val="FootnoteReference"/>
        </w:rPr>
        <w:footnoteReference w:id="5"/>
      </w:r>
      <w:bookmarkEnd w:id="21"/>
    </w:p>
    <w:p w14:paraId="42CD3FCC" w14:textId="62B11C9A" w:rsidR="00CD5A76" w:rsidRDefault="00CD5A76" w:rsidP="00CD5A76">
      <w:r>
        <w:t>Angioedema is characterised by a sudden, pronounced swelling of the deeper dermis or mucus membranes. It typically affects the face, extremities, or torso and causes discomfort rather than pruritus. Resolution of symptoms is slower than for hives (up to 72 hours).</w:t>
      </w:r>
      <w:r w:rsidR="003E0EB6" w:rsidRPr="000A0F75">
        <w:rPr>
          <w:vertAlign w:val="superscript"/>
        </w:rPr>
        <w:fldChar w:fldCharType="begin"/>
      </w:r>
      <w:r w:rsidR="003E0EB6" w:rsidRPr="000A0F75">
        <w:rPr>
          <w:vertAlign w:val="superscript"/>
        </w:rPr>
        <w:instrText xml:space="preserve"> NOTEREF _Ref230080507 \f \h </w:instrText>
      </w:r>
      <w:r w:rsidR="000A0F75">
        <w:rPr>
          <w:vertAlign w:val="superscript"/>
        </w:rPr>
        <w:instrText xml:space="preserve"> \* MERGEFORMAT </w:instrText>
      </w:r>
      <w:r w:rsidR="003E0EB6" w:rsidRPr="000A0F75">
        <w:rPr>
          <w:vertAlign w:val="superscript"/>
        </w:rPr>
      </w:r>
      <w:r w:rsidR="003E0EB6" w:rsidRPr="000A0F75">
        <w:rPr>
          <w:vertAlign w:val="superscript"/>
        </w:rPr>
        <w:fldChar w:fldCharType="separate"/>
      </w:r>
      <w:r w:rsidR="003E0EB6" w:rsidRPr="000A0F75">
        <w:rPr>
          <w:rStyle w:val="FootnoteReference"/>
        </w:rPr>
        <w:t>3</w:t>
      </w:r>
      <w:r w:rsidR="003E0EB6" w:rsidRPr="000A0F75">
        <w:rPr>
          <w:vertAlign w:val="superscript"/>
        </w:rPr>
        <w:fldChar w:fldCharType="end"/>
      </w:r>
      <w:r w:rsidR="000A0F75" w:rsidRPr="000A0F75">
        <w:rPr>
          <w:vertAlign w:val="superscript"/>
        </w:rPr>
        <w:t>,</w:t>
      </w:r>
      <w:r w:rsidR="000A0F75" w:rsidRPr="000A0F75">
        <w:rPr>
          <w:vertAlign w:val="superscript"/>
        </w:rPr>
        <w:fldChar w:fldCharType="begin"/>
      </w:r>
      <w:r w:rsidR="000A0F75" w:rsidRPr="000A0F75">
        <w:rPr>
          <w:vertAlign w:val="superscript"/>
        </w:rPr>
        <w:instrText xml:space="preserve"> NOTEREF _Ref230080535 \f \h </w:instrText>
      </w:r>
      <w:r w:rsidR="000A0F75">
        <w:rPr>
          <w:vertAlign w:val="superscript"/>
        </w:rPr>
        <w:instrText xml:space="preserve"> \* MERGEFORMAT </w:instrText>
      </w:r>
      <w:r w:rsidR="000A0F75" w:rsidRPr="000A0F75">
        <w:rPr>
          <w:vertAlign w:val="superscript"/>
        </w:rPr>
      </w:r>
      <w:r w:rsidR="000A0F75" w:rsidRPr="000A0F75">
        <w:rPr>
          <w:vertAlign w:val="superscript"/>
        </w:rPr>
        <w:fldChar w:fldCharType="separate"/>
      </w:r>
      <w:r w:rsidR="000A0F75" w:rsidRPr="000A0F75">
        <w:rPr>
          <w:rStyle w:val="FootnoteReference"/>
        </w:rPr>
        <w:t>4</w:t>
      </w:r>
      <w:r w:rsidR="000A0F75" w:rsidRPr="000A0F75">
        <w:rPr>
          <w:vertAlign w:val="superscript"/>
        </w:rPr>
        <w:fldChar w:fldCharType="end"/>
      </w:r>
    </w:p>
    <w:p w14:paraId="57155F0F" w14:textId="5F09C978" w:rsidR="00CD5A76" w:rsidRDefault="00CD5A76" w:rsidP="00CD5A76">
      <w:r>
        <w:t>Most patients with CSU develop wheals only (57%), with 37% having both wheals and angioedema, and 6% having angioedema only.</w:t>
      </w:r>
      <w:r w:rsidR="00115E4B">
        <w:rPr>
          <w:rStyle w:val="FootnoteReference"/>
        </w:rPr>
        <w:footnoteReference w:id="6"/>
      </w:r>
    </w:p>
    <w:p w14:paraId="37EFCB3F" w14:textId="4A014304" w:rsidR="00CD5A76" w:rsidRDefault="00CD5A76" w:rsidP="00CD5A76">
      <w:r>
        <w:t>CSU is a common condition in adults, with a lifetime prevalence rate of approximately 1.8% of the general population. It occurs more commonly in females.</w:t>
      </w:r>
      <w:r w:rsidR="00E05F97">
        <w:fldChar w:fldCharType="begin"/>
      </w:r>
      <w:r w:rsidR="00E05F97">
        <w:instrText xml:space="preserve"> NOTEREF _Ref230080535 \f \h </w:instrText>
      </w:r>
      <w:r w:rsidR="00E05F97">
        <w:fldChar w:fldCharType="separate"/>
      </w:r>
      <w:r w:rsidR="00E05F97" w:rsidRPr="00E05F97">
        <w:rPr>
          <w:rStyle w:val="FootnoteReference"/>
        </w:rPr>
        <w:t>4</w:t>
      </w:r>
      <w:r w:rsidR="00E05F97">
        <w:fldChar w:fldCharType="end"/>
      </w:r>
      <w:r>
        <w:t xml:space="preserve"> CSU may occur at any age, but peak incidence occurs between 20 and 40 years.</w:t>
      </w:r>
      <w:r w:rsidR="00856811">
        <w:fldChar w:fldCharType="begin"/>
      </w:r>
      <w:r w:rsidR="00856811">
        <w:instrText xml:space="preserve"> NOTEREF _Ref230080535 \f \h </w:instrText>
      </w:r>
      <w:r w:rsidR="00856811">
        <w:fldChar w:fldCharType="separate"/>
      </w:r>
      <w:r w:rsidR="00856811" w:rsidRPr="00856811">
        <w:rPr>
          <w:rStyle w:val="FootnoteReference"/>
        </w:rPr>
        <w:t>4</w:t>
      </w:r>
      <w:r w:rsidR="00856811">
        <w:fldChar w:fldCharType="end"/>
      </w:r>
    </w:p>
    <w:p w14:paraId="39289A44" w14:textId="6BED4ECA" w:rsidR="00BA008D" w:rsidRPr="00BA008D" w:rsidRDefault="00BA008D" w:rsidP="00BA008D">
      <w:pPr>
        <w:rPr>
          <w:lang w:val="en-US"/>
        </w:rPr>
      </w:pPr>
      <w:r w:rsidRPr="00BA008D">
        <w:rPr>
          <w:lang w:val="en-US"/>
        </w:rPr>
        <w:t>The severity of CSU may fluctuate, and spontaneous remission may occur at any time.</w:t>
      </w:r>
      <w:r w:rsidR="00534AC2">
        <w:rPr>
          <w:lang w:val="en-US"/>
        </w:rPr>
        <w:fldChar w:fldCharType="begin"/>
      </w:r>
      <w:r w:rsidR="00534AC2">
        <w:rPr>
          <w:lang w:val="en-US"/>
        </w:rPr>
        <w:instrText xml:space="preserve"> NOTEREF _Ref230080116 \f \h </w:instrText>
      </w:r>
      <w:r w:rsidR="00534AC2">
        <w:rPr>
          <w:lang w:val="en-US"/>
        </w:rPr>
      </w:r>
      <w:r w:rsidR="00534AC2">
        <w:rPr>
          <w:lang w:val="en-US"/>
        </w:rPr>
        <w:fldChar w:fldCharType="separate"/>
      </w:r>
      <w:r w:rsidR="00534AC2" w:rsidRPr="00534AC2">
        <w:rPr>
          <w:rStyle w:val="FootnoteReference"/>
        </w:rPr>
        <w:t>2</w:t>
      </w:r>
      <w:r w:rsidR="00534AC2">
        <w:rPr>
          <w:lang w:val="en-US"/>
        </w:rPr>
        <w:fldChar w:fldCharType="end"/>
      </w:r>
      <w:r w:rsidRPr="00BA008D">
        <w:rPr>
          <w:lang w:val="en-US"/>
        </w:rPr>
        <w:t xml:space="preserve"> Approximately 50% of people with CSU go into remission after 6 months to 5 years. Approximately 20% still have active </w:t>
      </w:r>
      <w:proofErr w:type="gramStart"/>
      <w:r w:rsidRPr="00BA008D">
        <w:rPr>
          <w:lang w:val="en-US"/>
        </w:rPr>
        <w:t>disease</w:t>
      </w:r>
      <w:proofErr w:type="gramEnd"/>
      <w:r w:rsidRPr="00BA008D">
        <w:rPr>
          <w:lang w:val="en-US"/>
        </w:rPr>
        <w:t xml:space="preserve"> after 10 years, and 10% after 20 years.</w:t>
      </w:r>
      <w:bookmarkStart w:id="22" w:name="_Ref230096662"/>
      <w:r w:rsidR="00E05BBF">
        <w:rPr>
          <w:rStyle w:val="FootnoteReference"/>
          <w:lang w:val="en-US"/>
        </w:rPr>
        <w:footnoteReference w:id="7"/>
      </w:r>
      <w:bookmarkEnd w:id="22"/>
      <w:r w:rsidRPr="00BA008D">
        <w:rPr>
          <w:lang w:val="en-US"/>
        </w:rPr>
        <w:t xml:space="preserve"> CSU may recur </w:t>
      </w:r>
      <w:proofErr w:type="gramStart"/>
      <w:r w:rsidRPr="00BA008D">
        <w:rPr>
          <w:lang w:val="en-US"/>
        </w:rPr>
        <w:t>after  months</w:t>
      </w:r>
      <w:proofErr w:type="gramEnd"/>
      <w:r w:rsidRPr="00BA008D">
        <w:rPr>
          <w:lang w:val="en-US"/>
        </w:rPr>
        <w:t xml:space="preserve"> or years of full remission.</w:t>
      </w:r>
      <w:r w:rsidR="00636AE1">
        <w:rPr>
          <w:lang w:val="en-US"/>
        </w:rPr>
        <w:fldChar w:fldCharType="begin"/>
      </w:r>
      <w:r w:rsidR="00636AE1">
        <w:rPr>
          <w:lang w:val="en-US"/>
        </w:rPr>
        <w:instrText xml:space="preserve"> NOTEREF _Ref230080116 \f \h </w:instrText>
      </w:r>
      <w:r w:rsidR="00636AE1">
        <w:rPr>
          <w:lang w:val="en-US"/>
        </w:rPr>
      </w:r>
      <w:r w:rsidR="00636AE1">
        <w:rPr>
          <w:lang w:val="en-US"/>
        </w:rPr>
        <w:fldChar w:fldCharType="separate"/>
      </w:r>
      <w:r w:rsidR="00636AE1" w:rsidRPr="00636AE1">
        <w:rPr>
          <w:rStyle w:val="FootnoteReference"/>
        </w:rPr>
        <w:t>2</w:t>
      </w:r>
      <w:r w:rsidR="00636AE1">
        <w:rPr>
          <w:lang w:val="en-US"/>
        </w:rPr>
        <w:fldChar w:fldCharType="end"/>
      </w:r>
    </w:p>
    <w:p w14:paraId="65B305E8" w14:textId="0F2430F6" w:rsidR="00BA008D" w:rsidRPr="00BA008D" w:rsidRDefault="00BA008D" w:rsidP="00BA008D">
      <w:pPr>
        <w:rPr>
          <w:lang w:val="en-US"/>
        </w:rPr>
      </w:pPr>
      <w:r w:rsidRPr="00BA008D">
        <w:rPr>
          <w:lang w:val="en-US"/>
        </w:rPr>
        <w:lastRenderedPageBreak/>
        <w:t>CSU may be associated with significant detrimental effects on quality of life</w:t>
      </w:r>
      <w:r w:rsidR="00636AE1">
        <w:rPr>
          <w:lang w:val="en-US"/>
        </w:rPr>
        <w:t xml:space="preserve"> </w:t>
      </w:r>
      <w:r w:rsidRPr="00BA008D">
        <w:rPr>
          <w:lang w:val="en-US"/>
        </w:rPr>
        <w:t xml:space="preserve">due to severe itching, unpredictable occurrence and flare of symptoms, anxiety, fatigue, sleep disturbances, cosmetic problems, and adverse effects of </w:t>
      </w:r>
      <w:r w:rsidR="00FD5452">
        <w:rPr>
          <w:lang w:val="en-US"/>
        </w:rPr>
        <w:t xml:space="preserve">off-label use of </w:t>
      </w:r>
      <w:r w:rsidRPr="00BA008D">
        <w:rPr>
          <w:lang w:val="en-US"/>
        </w:rPr>
        <w:t>medication.</w:t>
      </w:r>
      <w:bookmarkStart w:id="23" w:name="_Ref230096903"/>
      <w:r w:rsidR="00692CB3">
        <w:rPr>
          <w:rStyle w:val="FootnoteReference"/>
          <w:lang w:val="en-US"/>
        </w:rPr>
        <w:footnoteReference w:id="8"/>
      </w:r>
      <w:bookmarkEnd w:id="23"/>
    </w:p>
    <w:p w14:paraId="1FF68201" w14:textId="77777777" w:rsidR="00BA008D" w:rsidRPr="00BA008D" w:rsidRDefault="00BA008D" w:rsidP="00DE4A1E">
      <w:pPr>
        <w:pStyle w:val="Heading4"/>
        <w:rPr>
          <w:lang w:val="en-US"/>
        </w:rPr>
      </w:pPr>
      <w:bookmarkStart w:id="24" w:name="_Toc233190960"/>
      <w:r w:rsidRPr="00BA008D">
        <w:rPr>
          <w:lang w:val="en-US"/>
        </w:rPr>
        <w:t>Current treatment options</w:t>
      </w:r>
      <w:bookmarkEnd w:id="24"/>
    </w:p>
    <w:p w14:paraId="4EE62958" w14:textId="7643A2B5" w:rsidR="00BA008D" w:rsidRPr="00BA008D" w:rsidRDefault="00BA008D" w:rsidP="00BA008D">
      <w:pPr>
        <w:rPr>
          <w:lang w:val="en-US"/>
        </w:rPr>
      </w:pPr>
      <w:r w:rsidRPr="00BA008D">
        <w:rPr>
          <w:lang w:val="en-US"/>
        </w:rPr>
        <w:t>An international consensus clinical practice guideline</w:t>
      </w:r>
      <w:r w:rsidR="00AD3DFA">
        <w:rPr>
          <w:lang w:val="en-US"/>
        </w:rPr>
        <w:t xml:space="preserve"> </w:t>
      </w:r>
      <w:r w:rsidRPr="00BA008D">
        <w:rPr>
          <w:lang w:val="en-US"/>
        </w:rPr>
        <w:t>has been developed on the treatment of urticaria, including CSU.</w:t>
      </w:r>
      <w:r w:rsidR="000A0203">
        <w:rPr>
          <w:lang w:val="en-US"/>
        </w:rPr>
        <w:fldChar w:fldCharType="begin"/>
      </w:r>
      <w:r w:rsidR="000A0203">
        <w:rPr>
          <w:lang w:val="en-US"/>
        </w:rPr>
        <w:instrText xml:space="preserve"> NOTEREF _Ref230080116 \f \h </w:instrText>
      </w:r>
      <w:r w:rsidR="000A0203">
        <w:rPr>
          <w:lang w:val="en-US"/>
        </w:rPr>
      </w:r>
      <w:r w:rsidR="000A0203">
        <w:rPr>
          <w:lang w:val="en-US"/>
        </w:rPr>
        <w:fldChar w:fldCharType="separate"/>
      </w:r>
      <w:r w:rsidR="000A0203" w:rsidRPr="000A0203">
        <w:rPr>
          <w:rStyle w:val="FootnoteReference"/>
        </w:rPr>
        <w:t>2</w:t>
      </w:r>
      <w:r w:rsidR="000A0203">
        <w:rPr>
          <w:lang w:val="en-US"/>
        </w:rPr>
        <w:fldChar w:fldCharType="end"/>
      </w:r>
      <w:r w:rsidRPr="00BA008D">
        <w:rPr>
          <w:lang w:val="en-US"/>
        </w:rPr>
        <w:t xml:space="preserve"> This guideline was developed by the following organisations:</w:t>
      </w:r>
    </w:p>
    <w:p w14:paraId="6ECCEBA9" w14:textId="77777777" w:rsidR="00BA008D" w:rsidRPr="00BA008D" w:rsidRDefault="00BA008D" w:rsidP="00320A9F">
      <w:pPr>
        <w:pStyle w:val="ListBullet"/>
        <w:rPr>
          <w:lang w:val="en-US"/>
        </w:rPr>
      </w:pPr>
      <w:r w:rsidRPr="00BA008D">
        <w:rPr>
          <w:lang w:val="en-US"/>
        </w:rPr>
        <w:t>The European Academy of Allergology and Clinical Immunology (EAACI);</w:t>
      </w:r>
    </w:p>
    <w:p w14:paraId="4679924D" w14:textId="61F1946A" w:rsidR="00BA008D" w:rsidRPr="00BA008D" w:rsidRDefault="00320A9F" w:rsidP="00320A9F">
      <w:pPr>
        <w:pStyle w:val="ListBullet"/>
        <w:rPr>
          <w:lang w:val="en-US"/>
        </w:rPr>
      </w:pPr>
      <w:r>
        <w:rPr>
          <w:lang w:val="en-US"/>
        </w:rPr>
        <w:t>T</w:t>
      </w:r>
      <w:r w:rsidR="00BA008D" w:rsidRPr="00BA008D">
        <w:rPr>
          <w:lang w:val="en-US"/>
        </w:rPr>
        <w:t>he Global Asthma and Allergy European Network (GA2LEN);</w:t>
      </w:r>
    </w:p>
    <w:p w14:paraId="40EE80FE" w14:textId="77777777" w:rsidR="00BA008D" w:rsidRPr="00BA008D" w:rsidRDefault="00BA008D" w:rsidP="00320A9F">
      <w:pPr>
        <w:pStyle w:val="ListBullet"/>
        <w:rPr>
          <w:lang w:val="en-US"/>
        </w:rPr>
      </w:pPr>
      <w:r w:rsidRPr="00BA008D">
        <w:rPr>
          <w:lang w:val="en-US"/>
        </w:rPr>
        <w:t xml:space="preserve">The European Dermatology Forum (EDF; </w:t>
      </w:r>
      <w:proofErr w:type="spellStart"/>
      <w:r w:rsidRPr="00BA008D">
        <w:rPr>
          <w:lang w:val="en-US"/>
        </w:rPr>
        <w:t>EuroGuiDerm</w:t>
      </w:r>
      <w:proofErr w:type="spellEnd"/>
      <w:r w:rsidRPr="00BA008D">
        <w:rPr>
          <w:lang w:val="en-US"/>
        </w:rPr>
        <w:t>);</w:t>
      </w:r>
    </w:p>
    <w:p w14:paraId="18D77521" w14:textId="77777777" w:rsidR="00BA008D" w:rsidRPr="00BA008D" w:rsidRDefault="00BA008D" w:rsidP="00320A9F">
      <w:pPr>
        <w:pStyle w:val="ListBullet"/>
        <w:rPr>
          <w:lang w:val="en-US"/>
        </w:rPr>
      </w:pPr>
      <w:r w:rsidRPr="00BA008D">
        <w:rPr>
          <w:lang w:val="en-US"/>
        </w:rPr>
        <w:t>The Asia Pacific Association of Allergy Asthma and Clinical Immunology (APAAACI).</w:t>
      </w:r>
    </w:p>
    <w:p w14:paraId="1CB53933" w14:textId="77777777" w:rsidR="00BA008D" w:rsidRPr="00BA008D" w:rsidRDefault="00BA008D" w:rsidP="00BA008D">
      <w:pPr>
        <w:rPr>
          <w:lang w:val="en-US"/>
        </w:rPr>
      </w:pPr>
      <w:r w:rsidRPr="00BA008D">
        <w:rPr>
          <w:lang w:val="en-US"/>
        </w:rPr>
        <w:t>The guideline has been endorsed by 50 national and/or international medical or scientific societies from 31 countries.</w:t>
      </w:r>
    </w:p>
    <w:p w14:paraId="6F601491" w14:textId="28EF4246" w:rsidR="00BA008D" w:rsidRPr="00BA008D" w:rsidRDefault="00BA008D" w:rsidP="00BA008D">
      <w:pPr>
        <w:rPr>
          <w:lang w:val="en-US"/>
        </w:rPr>
      </w:pPr>
      <w:r w:rsidRPr="00BA008D">
        <w:rPr>
          <w:lang w:val="en-US"/>
        </w:rPr>
        <w:t>An Australian guideline has been developed by the Australasian Society of Clinical Immunology and Allergy (ASCIA).</w:t>
      </w:r>
      <w:r w:rsidR="003924AF">
        <w:rPr>
          <w:lang w:val="en-US"/>
        </w:rPr>
        <w:fldChar w:fldCharType="begin"/>
      </w:r>
      <w:r w:rsidR="003924AF">
        <w:rPr>
          <w:lang w:val="en-US"/>
        </w:rPr>
        <w:instrText xml:space="preserve"> NOTEREF _Ref230080535 \f \h </w:instrText>
      </w:r>
      <w:r w:rsidR="003924AF">
        <w:rPr>
          <w:lang w:val="en-US"/>
        </w:rPr>
      </w:r>
      <w:r w:rsidR="003924AF">
        <w:rPr>
          <w:lang w:val="en-US"/>
        </w:rPr>
        <w:fldChar w:fldCharType="separate"/>
      </w:r>
      <w:r w:rsidR="003924AF" w:rsidRPr="003924AF">
        <w:rPr>
          <w:rStyle w:val="FootnoteReference"/>
        </w:rPr>
        <w:t>4</w:t>
      </w:r>
      <w:r w:rsidR="003924AF">
        <w:rPr>
          <w:lang w:val="en-US"/>
        </w:rPr>
        <w:fldChar w:fldCharType="end"/>
      </w:r>
      <w:r w:rsidRPr="00BA008D">
        <w:rPr>
          <w:lang w:val="en-US"/>
        </w:rPr>
        <w:t xml:space="preserve"> Multiple other consensus guidelines have been developed.</w:t>
      </w:r>
      <w:r w:rsidR="00DD1F82" w:rsidRPr="00FF37C4">
        <w:rPr>
          <w:vertAlign w:val="superscript"/>
          <w:lang w:val="en-US"/>
        </w:rPr>
        <w:fldChar w:fldCharType="begin"/>
      </w:r>
      <w:r w:rsidR="00DD1F82" w:rsidRPr="00FF37C4">
        <w:rPr>
          <w:vertAlign w:val="superscript"/>
          <w:lang w:val="en-US"/>
        </w:rPr>
        <w:instrText xml:space="preserve"> NOTEREF _Ref230096844 \f \h </w:instrText>
      </w:r>
      <w:r w:rsidR="00FF37C4" w:rsidRPr="00FF37C4">
        <w:rPr>
          <w:vertAlign w:val="superscript"/>
          <w:lang w:val="en-US"/>
        </w:rPr>
        <w:instrText xml:space="preserve"> \* MERGEFORMAT </w:instrText>
      </w:r>
      <w:r w:rsidR="00DD1F82" w:rsidRPr="00FF37C4">
        <w:rPr>
          <w:vertAlign w:val="superscript"/>
          <w:lang w:val="en-US"/>
        </w:rPr>
      </w:r>
      <w:r w:rsidR="00DD1F82" w:rsidRPr="00FF37C4">
        <w:rPr>
          <w:vertAlign w:val="superscript"/>
          <w:lang w:val="en-US"/>
        </w:rPr>
        <w:fldChar w:fldCharType="separate"/>
      </w:r>
      <w:r w:rsidR="00DD1F82" w:rsidRPr="00FF37C4">
        <w:rPr>
          <w:rStyle w:val="FootnoteReference"/>
        </w:rPr>
        <w:t>5</w:t>
      </w:r>
      <w:r w:rsidR="00DD1F82" w:rsidRPr="00FF37C4">
        <w:rPr>
          <w:vertAlign w:val="superscript"/>
          <w:lang w:val="en-US"/>
        </w:rPr>
        <w:fldChar w:fldCharType="end"/>
      </w:r>
      <w:r w:rsidR="00DA3401" w:rsidRPr="00FF37C4">
        <w:rPr>
          <w:vertAlign w:val="superscript"/>
          <w:lang w:val="en-US"/>
        </w:rPr>
        <w:t>,</w:t>
      </w:r>
      <w:r w:rsidR="00DA3401" w:rsidRPr="00FF37C4">
        <w:rPr>
          <w:vertAlign w:val="superscript"/>
          <w:lang w:val="en-US"/>
        </w:rPr>
        <w:fldChar w:fldCharType="begin"/>
      </w:r>
      <w:r w:rsidR="00DA3401" w:rsidRPr="00FF37C4">
        <w:rPr>
          <w:vertAlign w:val="superscript"/>
          <w:lang w:val="en-US"/>
        </w:rPr>
        <w:instrText xml:space="preserve"> NOTEREF _Ref230096662 \f \h </w:instrText>
      </w:r>
      <w:r w:rsidR="00FF37C4" w:rsidRPr="00FF37C4">
        <w:rPr>
          <w:vertAlign w:val="superscript"/>
          <w:lang w:val="en-US"/>
        </w:rPr>
        <w:instrText xml:space="preserve"> \* MERGEFORMAT </w:instrText>
      </w:r>
      <w:r w:rsidR="00DA3401" w:rsidRPr="00FF37C4">
        <w:rPr>
          <w:vertAlign w:val="superscript"/>
          <w:lang w:val="en-US"/>
        </w:rPr>
      </w:r>
      <w:r w:rsidR="00DA3401" w:rsidRPr="00FF37C4">
        <w:rPr>
          <w:vertAlign w:val="superscript"/>
          <w:lang w:val="en-US"/>
        </w:rPr>
        <w:fldChar w:fldCharType="separate"/>
      </w:r>
      <w:r w:rsidR="00DA3401" w:rsidRPr="00FF37C4">
        <w:rPr>
          <w:rStyle w:val="FootnoteReference"/>
        </w:rPr>
        <w:t>7</w:t>
      </w:r>
      <w:r w:rsidR="00DA3401" w:rsidRPr="00FF37C4">
        <w:rPr>
          <w:vertAlign w:val="superscript"/>
          <w:lang w:val="en-US"/>
        </w:rPr>
        <w:fldChar w:fldCharType="end"/>
      </w:r>
      <w:r w:rsidR="00DA3401" w:rsidRPr="00FF37C4">
        <w:rPr>
          <w:vertAlign w:val="superscript"/>
          <w:lang w:val="en-US"/>
        </w:rPr>
        <w:t>,</w:t>
      </w:r>
      <w:r w:rsidR="00DA3401" w:rsidRPr="00FF37C4">
        <w:rPr>
          <w:vertAlign w:val="superscript"/>
          <w:lang w:val="en-US"/>
        </w:rPr>
        <w:fldChar w:fldCharType="begin"/>
      </w:r>
      <w:r w:rsidR="00DA3401" w:rsidRPr="00FF37C4">
        <w:rPr>
          <w:vertAlign w:val="superscript"/>
          <w:lang w:val="en-US"/>
        </w:rPr>
        <w:instrText xml:space="preserve"> NOTEREF _Ref230096903 \f \h </w:instrText>
      </w:r>
      <w:r w:rsidR="00FF37C4" w:rsidRPr="00FF37C4">
        <w:rPr>
          <w:vertAlign w:val="superscript"/>
          <w:lang w:val="en-US"/>
        </w:rPr>
        <w:instrText xml:space="preserve"> \* MERGEFORMAT </w:instrText>
      </w:r>
      <w:r w:rsidR="00DA3401" w:rsidRPr="00FF37C4">
        <w:rPr>
          <w:vertAlign w:val="superscript"/>
          <w:lang w:val="en-US"/>
        </w:rPr>
      </w:r>
      <w:r w:rsidR="00DA3401" w:rsidRPr="00FF37C4">
        <w:rPr>
          <w:vertAlign w:val="superscript"/>
          <w:lang w:val="en-US"/>
        </w:rPr>
        <w:fldChar w:fldCharType="separate"/>
      </w:r>
      <w:r w:rsidR="00DA3401" w:rsidRPr="00FF37C4">
        <w:rPr>
          <w:rStyle w:val="FootnoteReference"/>
        </w:rPr>
        <w:t>8</w:t>
      </w:r>
      <w:r w:rsidR="00DA3401" w:rsidRPr="00FF37C4">
        <w:rPr>
          <w:vertAlign w:val="superscript"/>
          <w:lang w:val="en-US"/>
        </w:rPr>
        <w:fldChar w:fldCharType="end"/>
      </w:r>
      <w:r w:rsidR="009E656F" w:rsidRPr="00FF37C4">
        <w:rPr>
          <w:vertAlign w:val="superscript"/>
          <w:lang w:val="en-US"/>
        </w:rPr>
        <w:t>,</w:t>
      </w:r>
      <w:r w:rsidR="00FF37C4" w:rsidRPr="00FF37C4">
        <w:rPr>
          <w:rStyle w:val="FootnoteReference"/>
          <w:lang w:val="en-US"/>
        </w:rPr>
        <w:footnoteReference w:id="9"/>
      </w:r>
      <w:r w:rsidR="00FF37C4" w:rsidRPr="00FF37C4">
        <w:rPr>
          <w:rStyle w:val="FootnoteReference"/>
          <w:lang w:val="en-US"/>
        </w:rPr>
        <w:t>,</w:t>
      </w:r>
      <w:bookmarkStart w:id="25" w:name="_Ref230179854"/>
      <w:r w:rsidR="005C2921" w:rsidRPr="00FF37C4">
        <w:rPr>
          <w:rStyle w:val="FootnoteReference"/>
          <w:lang w:val="en-US"/>
        </w:rPr>
        <w:footnoteReference w:id="10"/>
      </w:r>
      <w:bookmarkEnd w:id="25"/>
      <w:r w:rsidR="00FF37C4" w:rsidRPr="00FF37C4">
        <w:rPr>
          <w:vertAlign w:val="superscript"/>
          <w:lang w:val="en-US"/>
        </w:rPr>
        <w:t>,</w:t>
      </w:r>
      <w:r w:rsidR="00FF37C4" w:rsidRPr="00FF37C4">
        <w:rPr>
          <w:rStyle w:val="FootnoteReference"/>
          <w:lang w:val="en-US"/>
        </w:rPr>
        <w:footnoteReference w:id="11"/>
      </w:r>
    </w:p>
    <w:p w14:paraId="540203F9" w14:textId="4CD1625D" w:rsidR="00BA008D" w:rsidRPr="00BA008D" w:rsidRDefault="00BA008D" w:rsidP="00BA008D">
      <w:pPr>
        <w:rPr>
          <w:lang w:val="en-US"/>
        </w:rPr>
      </w:pPr>
      <w:r w:rsidRPr="00BA008D">
        <w:rPr>
          <w:lang w:val="en-US"/>
        </w:rPr>
        <w:t xml:space="preserve">According to the </w:t>
      </w:r>
      <w:r w:rsidR="008146AE">
        <w:rPr>
          <w:lang w:val="en-US"/>
        </w:rPr>
        <w:t>updated</w:t>
      </w:r>
      <w:r w:rsidRPr="00BA008D">
        <w:rPr>
          <w:lang w:val="en-US"/>
        </w:rPr>
        <w:t xml:space="preserve"> international guideline</w:t>
      </w:r>
      <w:r w:rsidR="00F21308">
        <w:rPr>
          <w:rStyle w:val="FootnoteReference"/>
          <w:lang w:val="en-US"/>
        </w:rPr>
        <w:footnoteReference w:id="12"/>
      </w:r>
      <w:r w:rsidRPr="00BA008D">
        <w:rPr>
          <w:lang w:val="en-US"/>
        </w:rPr>
        <w:t xml:space="preserve"> the treatment of CSU should be along the following lines:</w:t>
      </w:r>
    </w:p>
    <w:p w14:paraId="6C5F46B0" w14:textId="77777777" w:rsidR="00BA008D" w:rsidRPr="00BA008D" w:rsidRDefault="00BA008D" w:rsidP="00BC248F">
      <w:pPr>
        <w:pStyle w:val="Numberbullet0"/>
        <w:rPr>
          <w:lang w:val="en-US"/>
        </w:rPr>
      </w:pPr>
      <w:r w:rsidRPr="00BA008D">
        <w:rPr>
          <w:lang w:val="en-US"/>
        </w:rPr>
        <w:t xml:space="preserve">First-line treatment should be a second generation (non-sedating) H1-antihistamine at a standard (approved) dose. The guideline specifically recommends </w:t>
      </w:r>
      <w:r w:rsidRPr="00BA008D">
        <w:rPr>
          <w:i/>
          <w:lang w:val="en-US"/>
        </w:rPr>
        <w:t xml:space="preserve">against </w:t>
      </w:r>
      <w:r w:rsidRPr="00BA008D">
        <w:rPr>
          <w:lang w:val="en-US"/>
        </w:rPr>
        <w:t>the use of first-generation antihistamines.</w:t>
      </w:r>
    </w:p>
    <w:p w14:paraId="1E27C8F9" w14:textId="77777777" w:rsidR="00BA008D" w:rsidRPr="00BA008D" w:rsidRDefault="00BA008D" w:rsidP="00BC248F">
      <w:pPr>
        <w:pStyle w:val="Numberbullet0"/>
        <w:rPr>
          <w:lang w:val="en-US"/>
        </w:rPr>
      </w:pPr>
      <w:r w:rsidRPr="00BA008D">
        <w:rPr>
          <w:lang w:val="en-US"/>
        </w:rPr>
        <w:t>In subjects who do not respond, the dose of the second generation H1-antihistamine should be increased up to four-fold of the approved dose.</w:t>
      </w:r>
    </w:p>
    <w:p w14:paraId="7755B5D2" w14:textId="764744A3" w:rsidR="00BA008D" w:rsidRPr="00BA008D" w:rsidRDefault="00BA008D" w:rsidP="00BC248F">
      <w:pPr>
        <w:pStyle w:val="Numberbullet0"/>
        <w:rPr>
          <w:lang w:val="en-US"/>
        </w:rPr>
      </w:pPr>
      <w:r w:rsidRPr="00BA008D">
        <w:rPr>
          <w:lang w:val="en-US"/>
        </w:rPr>
        <w:t xml:space="preserve">In unresponsive patients, the next agent prescribed should be </w:t>
      </w:r>
      <w:r w:rsidR="00BC420C">
        <w:rPr>
          <w:lang w:val="en-US"/>
        </w:rPr>
        <w:t>either</w:t>
      </w:r>
      <w:r w:rsidRPr="00BA008D">
        <w:rPr>
          <w:lang w:val="en-US"/>
        </w:rPr>
        <w:t xml:space="preserve"> </w:t>
      </w:r>
      <w:r w:rsidRPr="00BC248F">
        <w:rPr>
          <w:lang w:val="en-US"/>
        </w:rPr>
        <w:t>omalizumab</w:t>
      </w:r>
      <w:r w:rsidRPr="00BA008D">
        <w:rPr>
          <w:lang w:val="en-US"/>
        </w:rPr>
        <w:t xml:space="preserve">, </w:t>
      </w:r>
      <w:r w:rsidR="00693588">
        <w:rPr>
          <w:lang w:val="en-US"/>
        </w:rPr>
        <w:t>d</w:t>
      </w:r>
      <w:r w:rsidR="00BC420C">
        <w:rPr>
          <w:lang w:val="en-US"/>
        </w:rPr>
        <w:t>upilumab or</w:t>
      </w:r>
      <w:r w:rsidR="00214BED">
        <w:rPr>
          <w:lang w:val="en-US"/>
        </w:rPr>
        <w:t xml:space="preserve"> remibrutinib</w:t>
      </w:r>
      <w:r w:rsidR="001E56C1">
        <w:rPr>
          <w:lang w:val="en-US"/>
        </w:rPr>
        <w:t>.</w:t>
      </w:r>
      <w:r w:rsidR="00AB69BC">
        <w:rPr>
          <w:lang w:val="en-US"/>
        </w:rPr>
        <w:t xml:space="preserve"> </w:t>
      </w:r>
      <w:r w:rsidR="00BC420C">
        <w:rPr>
          <w:lang w:val="en-US"/>
        </w:rPr>
        <w:t xml:space="preserve"> </w:t>
      </w:r>
      <w:r w:rsidRPr="00BA008D">
        <w:rPr>
          <w:lang w:val="en-US"/>
        </w:rPr>
        <w:t>Omalizumab is used as add-on therapy to the second generation H1-antihistamine</w:t>
      </w:r>
      <w:r w:rsidR="00743B7C">
        <w:rPr>
          <w:lang w:val="en-US"/>
        </w:rPr>
        <w:t xml:space="preserve"> and should be </w:t>
      </w:r>
      <w:r w:rsidR="00743B7C" w:rsidRPr="00BA008D">
        <w:rPr>
          <w:lang w:val="en-US"/>
        </w:rPr>
        <w:t>increased (up to 600 mg) and/or the dosage interval decreased (down to every 2 weeks)</w:t>
      </w:r>
      <w:r w:rsidR="00743B7C">
        <w:rPr>
          <w:lang w:val="en-US"/>
        </w:rPr>
        <w:t xml:space="preserve"> in unresponsive patients.</w:t>
      </w:r>
    </w:p>
    <w:p w14:paraId="2E2D306D" w14:textId="775FA858" w:rsidR="00BA008D" w:rsidRDefault="00BA008D" w:rsidP="00BC248F">
      <w:pPr>
        <w:pStyle w:val="Numberbullet0"/>
        <w:rPr>
          <w:lang w:val="en-US"/>
        </w:rPr>
      </w:pPr>
      <w:r w:rsidRPr="00BA008D">
        <w:rPr>
          <w:lang w:val="en-US"/>
        </w:rPr>
        <w:t>In unresponsive patients the dose of omalizumab should be increased (up to 600 mg) and/or the dosage interval decreased (down to every 2 weeks).</w:t>
      </w:r>
    </w:p>
    <w:p w14:paraId="38BA2726" w14:textId="62493FD8" w:rsidR="008068F4" w:rsidRPr="008068F4" w:rsidRDefault="008068F4" w:rsidP="00BC248F">
      <w:pPr>
        <w:pStyle w:val="Numberbullet0"/>
      </w:pPr>
      <w:r w:rsidRPr="008068F4">
        <w:t xml:space="preserve">In subjects who do not respond to </w:t>
      </w:r>
      <w:r w:rsidR="00743B7C">
        <w:t>the second line</w:t>
      </w:r>
      <w:r w:rsidR="003C1D5F">
        <w:t xml:space="preserve"> agents (omalizumab, dupilumab or remibrutinib)</w:t>
      </w:r>
      <w:r w:rsidRPr="008068F4">
        <w:t xml:space="preserve">, the next agent prescribed should be </w:t>
      </w:r>
      <w:r w:rsidRPr="00BC248F">
        <w:t>ciclosporin</w:t>
      </w:r>
      <w:r w:rsidRPr="008068F4">
        <w:t xml:space="preserve"> (in combination with a second generation H1-antihistamine) at a dose of 3.5 – 5.0 mg/kg per day. Due to a high incidence of adverse effects, the guideline states that ciclosporin is recommended only for patients with severe disease refractory to any dose of antihistamine and omalizumab in combination.</w:t>
      </w:r>
    </w:p>
    <w:p w14:paraId="587CABDA" w14:textId="77777777" w:rsidR="008068F4" w:rsidRPr="008068F4" w:rsidRDefault="008068F4" w:rsidP="00BC248F">
      <w:pPr>
        <w:pStyle w:val="Numberbullet0"/>
      </w:pPr>
      <w:r w:rsidRPr="008068F4">
        <w:lastRenderedPageBreak/>
        <w:t xml:space="preserve">The guideline mentions </w:t>
      </w:r>
      <w:proofErr w:type="gramStart"/>
      <w:r w:rsidRPr="008068F4">
        <w:t>a number of</w:t>
      </w:r>
      <w:proofErr w:type="gramEnd"/>
      <w:r w:rsidRPr="008068F4">
        <w:t xml:space="preserve"> other agents which have been used in the treatment of CSU, but which could not be recommended as standard therapy due to lack of clinical evidence. These include:</w:t>
      </w:r>
    </w:p>
    <w:p w14:paraId="41D9BC3D" w14:textId="77777777" w:rsidR="008068F4" w:rsidRPr="008068F4" w:rsidRDefault="008068F4" w:rsidP="00232673">
      <w:pPr>
        <w:pStyle w:val="ListBullet2"/>
      </w:pPr>
      <w:r w:rsidRPr="008068F4">
        <w:t>Leukotriene antagonists (e.g., montelukast);</w:t>
      </w:r>
    </w:p>
    <w:p w14:paraId="5917352B" w14:textId="77777777" w:rsidR="008068F4" w:rsidRPr="008068F4" w:rsidRDefault="008068F4" w:rsidP="00232673">
      <w:pPr>
        <w:pStyle w:val="ListBullet2"/>
      </w:pPr>
      <w:r w:rsidRPr="008068F4">
        <w:t>H2-antihistamines (e.g. ranitidine);</w:t>
      </w:r>
    </w:p>
    <w:p w14:paraId="6A5F979F" w14:textId="77777777" w:rsidR="008068F4" w:rsidRPr="008068F4" w:rsidRDefault="008068F4" w:rsidP="00232673">
      <w:pPr>
        <w:pStyle w:val="ListBullet2"/>
      </w:pPr>
      <w:r w:rsidRPr="008068F4">
        <w:t>Doxepin;</w:t>
      </w:r>
    </w:p>
    <w:p w14:paraId="7048A944" w14:textId="77777777" w:rsidR="008068F4" w:rsidRPr="008068F4" w:rsidRDefault="008068F4" w:rsidP="00232673">
      <w:pPr>
        <w:pStyle w:val="ListBullet2"/>
      </w:pPr>
      <w:r w:rsidRPr="008068F4">
        <w:t>Other immunosuppressive agents (e.g., methotrexate, mycophenolate mofetil);</w:t>
      </w:r>
    </w:p>
    <w:p w14:paraId="2E92953C" w14:textId="77777777" w:rsidR="008068F4" w:rsidRPr="008068F4" w:rsidRDefault="008068F4" w:rsidP="00232673">
      <w:pPr>
        <w:pStyle w:val="ListBullet2"/>
      </w:pPr>
      <w:r w:rsidRPr="008068F4">
        <w:t xml:space="preserve">Sulphones (e.g., dapsone, </w:t>
      </w:r>
      <w:proofErr w:type="spellStart"/>
      <w:r w:rsidRPr="008068F4">
        <w:t>sulphasalazine</w:t>
      </w:r>
      <w:proofErr w:type="spellEnd"/>
      <w:r w:rsidRPr="008068F4">
        <w:t>)</w:t>
      </w:r>
    </w:p>
    <w:p w14:paraId="4873D844" w14:textId="34C4FCED" w:rsidR="008068F4" w:rsidRDefault="008068F4" w:rsidP="008068F4">
      <w:pPr>
        <w:jc w:val="both"/>
      </w:pPr>
      <w:r w:rsidRPr="008068F4">
        <w:t>The guideline also states that a short-term course (up to 10 days) of systemic corticosteroids (doses between 20 and 50mg/day of prednisone equivalent) may be appropriate for the treatment of acute exacerbations of CSU.</w:t>
      </w:r>
    </w:p>
    <w:p w14:paraId="0938ECC6" w14:textId="62AA0D63" w:rsidR="00BC248F" w:rsidRDefault="00BC248F" w:rsidP="00BC248F">
      <w:pPr>
        <w:jc w:val="both"/>
      </w:pPr>
      <w:r>
        <w:t>The Australian ASCIA guideline (dated 2020) generally follows a similar treatment paradigm.</w:t>
      </w:r>
      <w:r w:rsidR="00997DDE">
        <w:fldChar w:fldCharType="begin"/>
      </w:r>
      <w:r w:rsidR="00997DDE">
        <w:instrText xml:space="preserve"> NOTEREF _Ref230080535 \f \h </w:instrText>
      </w:r>
      <w:r w:rsidR="00997DDE">
        <w:fldChar w:fldCharType="separate"/>
      </w:r>
      <w:r w:rsidR="00997DDE" w:rsidRPr="00997DDE">
        <w:rPr>
          <w:rStyle w:val="FootnoteReference"/>
        </w:rPr>
        <w:t>4</w:t>
      </w:r>
      <w:r w:rsidR="00997DDE">
        <w:fldChar w:fldCharType="end"/>
      </w:r>
      <w:r>
        <w:t xml:space="preserve"> Differences of note are:</w:t>
      </w:r>
    </w:p>
    <w:p w14:paraId="67E01C61" w14:textId="0B1ECF1C" w:rsidR="00BC248F" w:rsidRDefault="00BC248F" w:rsidP="00BC248F">
      <w:pPr>
        <w:pStyle w:val="ListBullet"/>
      </w:pPr>
      <w:r>
        <w:t>A short-term trial of montelukast may be attempted prior to treatment with omalizumab;</w:t>
      </w:r>
    </w:p>
    <w:p w14:paraId="14EE7234" w14:textId="5BEBB9C1" w:rsidR="00BC248F" w:rsidRPr="008068F4" w:rsidRDefault="00BC248F" w:rsidP="00BC248F">
      <w:pPr>
        <w:pStyle w:val="ListBullet"/>
      </w:pPr>
      <w:r>
        <w:t>Up-dosing of omalizumab is not specifically recommended.</w:t>
      </w:r>
    </w:p>
    <w:p w14:paraId="37C47E09" w14:textId="14D3762D" w:rsidR="00CB6813" w:rsidRDefault="00CB6813" w:rsidP="00CB6813">
      <w:pPr>
        <w:pStyle w:val="Heading4"/>
      </w:pPr>
      <w:bookmarkStart w:id="26" w:name="_Toc233190961"/>
      <w:r>
        <w:t>C</w:t>
      </w:r>
      <w:r w:rsidRPr="00DE1344">
        <w:t>linical rational</w:t>
      </w:r>
      <w:r w:rsidR="0025785B">
        <w:t>e</w:t>
      </w:r>
      <w:bookmarkEnd w:id="26"/>
    </w:p>
    <w:p w14:paraId="115560BA" w14:textId="5F9B2B31" w:rsidR="00856B5B" w:rsidRPr="00856B5B" w:rsidRDefault="00B224D1" w:rsidP="00856B5B">
      <w:r w:rsidRPr="00B224D1">
        <w:t>Remibrutinib is an oral, highly selective inhibitor of Bruton's tyrosine kinase (BTK).</w:t>
      </w:r>
      <w:r>
        <w:t xml:space="preserve"> </w:t>
      </w:r>
      <w:r w:rsidR="00856B5B">
        <w:t xml:space="preserve">BTK is </w:t>
      </w:r>
      <w:r>
        <w:t>e</w:t>
      </w:r>
      <w:r w:rsidR="00856B5B">
        <w:t>xpressed</w:t>
      </w:r>
      <w:r>
        <w:t xml:space="preserve"> </w:t>
      </w:r>
      <w:r w:rsidR="00856B5B">
        <w:t>in selected cells of the adaptive and innate immune system, including mast cells, basophils,</w:t>
      </w:r>
      <w:r>
        <w:t xml:space="preserve"> </w:t>
      </w:r>
      <w:r w:rsidR="00856B5B">
        <w:t>macrophages, B cells and thrombocytes. Notably, BTK is not expressed in T cells and mature</w:t>
      </w:r>
      <w:r>
        <w:t xml:space="preserve"> </w:t>
      </w:r>
      <w:r w:rsidR="00856B5B">
        <w:t xml:space="preserve">plasma cells, nonhematopoietic stem cells or in other somatic cells </w:t>
      </w:r>
      <w:r w:rsidR="00BF6ED1">
        <w:rPr>
          <w:rStyle w:val="FootnoteReference"/>
        </w:rPr>
        <w:footnoteReference w:id="13"/>
      </w:r>
      <w:r w:rsidR="004216D0" w:rsidRPr="004216D0">
        <w:rPr>
          <w:vertAlign w:val="superscript"/>
        </w:rPr>
        <w:t>,</w:t>
      </w:r>
      <w:r w:rsidR="004216D0">
        <w:rPr>
          <w:rStyle w:val="FootnoteReference"/>
        </w:rPr>
        <w:footnoteReference w:id="14"/>
      </w:r>
      <w:r w:rsidR="004216D0">
        <w:t>.</w:t>
      </w:r>
      <w:r w:rsidR="00856B5B">
        <w:t xml:space="preserve"> BTK plays</w:t>
      </w:r>
      <w:r>
        <w:t xml:space="preserve"> </w:t>
      </w:r>
      <w:r w:rsidR="00856B5B">
        <w:t>an important role for signaling through the FcεR1 for IgE and activating FcγR for IgG, as</w:t>
      </w:r>
      <w:r>
        <w:t xml:space="preserve"> </w:t>
      </w:r>
      <w:r w:rsidR="00856B5B">
        <w:t>well as the B cell antigen receptor.</w:t>
      </w:r>
      <w:r w:rsidR="00BB295A">
        <w:rPr>
          <w:rStyle w:val="FootnoteReference"/>
        </w:rPr>
        <w:footnoteReference w:id="15"/>
      </w:r>
      <w:r w:rsidR="00FD6DCD" w:rsidRPr="00FD6DCD">
        <w:rPr>
          <w:vertAlign w:val="superscript"/>
        </w:rPr>
        <w:t>,</w:t>
      </w:r>
      <w:r w:rsidR="00FD6DCD">
        <w:rPr>
          <w:rStyle w:val="FootnoteReference"/>
        </w:rPr>
        <w:footnoteReference w:id="16"/>
      </w:r>
      <w:r w:rsidR="00856B5B">
        <w:t xml:space="preserve"> It has been</w:t>
      </w:r>
      <w:r>
        <w:t xml:space="preserve"> </w:t>
      </w:r>
      <w:r w:rsidR="00856B5B">
        <w:t>demonstrated that BTK inhibition leads to blockade of mast cell and basophil</w:t>
      </w:r>
      <w:r>
        <w:t xml:space="preserve"> </w:t>
      </w:r>
      <w:r w:rsidR="00856B5B">
        <w:t>activation/degranulation in vitro and to reduced wheal sizes in skin prick tests with patients</w:t>
      </w:r>
      <w:r w:rsidR="006B1EA0">
        <w:t xml:space="preserve"> </w:t>
      </w:r>
      <w:r w:rsidR="00856B5B">
        <w:t>suffering from IgE-mediated diseases.</w:t>
      </w:r>
      <w:r w:rsidR="00113FCF" w:rsidRPr="005A778C">
        <w:rPr>
          <w:rStyle w:val="FootnoteReference"/>
        </w:rPr>
        <w:footnoteReference w:id="17"/>
      </w:r>
      <w:r w:rsidR="00113FCF" w:rsidRPr="005A778C">
        <w:rPr>
          <w:vertAlign w:val="superscript"/>
        </w:rPr>
        <w:t>,</w:t>
      </w:r>
      <w:r w:rsidR="00113FCF" w:rsidRPr="005A778C">
        <w:rPr>
          <w:rStyle w:val="FootnoteReference"/>
        </w:rPr>
        <w:footnoteReference w:id="18"/>
      </w:r>
      <w:r w:rsidR="00113FCF" w:rsidRPr="005A778C">
        <w:rPr>
          <w:vertAlign w:val="superscript"/>
        </w:rPr>
        <w:t>,</w:t>
      </w:r>
      <w:r w:rsidR="00382F08" w:rsidRPr="005A778C">
        <w:rPr>
          <w:rStyle w:val="FootnoteReference"/>
        </w:rPr>
        <w:footnoteReference w:id="19"/>
      </w:r>
      <w:r w:rsidR="00382F08" w:rsidRPr="005A778C">
        <w:rPr>
          <w:vertAlign w:val="superscript"/>
        </w:rPr>
        <w:t>,</w:t>
      </w:r>
      <w:r w:rsidR="005A778C" w:rsidRPr="005A778C">
        <w:rPr>
          <w:rStyle w:val="FootnoteReference"/>
        </w:rPr>
        <w:footnoteReference w:id="20"/>
      </w:r>
      <w:r w:rsidR="005A778C" w:rsidRPr="005A778C">
        <w:rPr>
          <w:vertAlign w:val="superscript"/>
        </w:rPr>
        <w:t>,</w:t>
      </w:r>
      <w:r w:rsidR="005A778C" w:rsidRPr="005A778C">
        <w:rPr>
          <w:rStyle w:val="FootnoteReference"/>
        </w:rPr>
        <w:footnoteReference w:id="21"/>
      </w:r>
      <w:r w:rsidR="00856B5B">
        <w:t xml:space="preserve"> Based on this mechanism of </w:t>
      </w:r>
      <w:r w:rsidR="00856B5B">
        <w:lastRenderedPageBreak/>
        <w:t>action, and as</w:t>
      </w:r>
      <w:r w:rsidR="006B1EA0">
        <w:t xml:space="preserve"> </w:t>
      </w:r>
      <w:r w:rsidR="00856B5B">
        <w:t xml:space="preserve">supported by results from Phase II </w:t>
      </w:r>
      <w:r w:rsidR="006250AC">
        <w:t xml:space="preserve">and Phase III </w:t>
      </w:r>
      <w:r w:rsidR="00856B5B">
        <w:t>studies, BTK inhibition is a therapeutic target for</w:t>
      </w:r>
      <w:r w:rsidR="006B1EA0">
        <w:t xml:space="preserve"> </w:t>
      </w:r>
      <w:r w:rsidR="00856B5B">
        <w:t>the treatment of CSU.</w:t>
      </w:r>
      <w:r w:rsidR="00D66847">
        <w:rPr>
          <w:rStyle w:val="FootnoteReference"/>
        </w:rPr>
        <w:footnoteReference w:id="22"/>
      </w:r>
      <w:r w:rsidR="005F1617">
        <w:t>,</w:t>
      </w:r>
      <w:r w:rsidR="005F1617">
        <w:rPr>
          <w:rStyle w:val="FootnoteReference"/>
        </w:rPr>
        <w:footnoteReference w:id="23"/>
      </w:r>
    </w:p>
    <w:p w14:paraId="39BEE523" w14:textId="02D452E0" w:rsidR="004D72F2" w:rsidRDefault="004D72F2" w:rsidP="004D72F2">
      <w:r>
        <w:t xml:space="preserve">The sponsor </w:t>
      </w:r>
      <w:r w:rsidR="001E65D2">
        <w:t xml:space="preserve">also </w:t>
      </w:r>
      <w:r w:rsidR="005F1617">
        <w:t>conte</w:t>
      </w:r>
      <w:r w:rsidR="00EF71D5">
        <w:t>nded</w:t>
      </w:r>
      <w:r>
        <w:t xml:space="preserve"> that there is a high unmet medical need for alternative second-line oral treatments for patients who remain symptomatic despite H1-antihistamine treatmen</w:t>
      </w:r>
      <w:r w:rsidR="00CE15C7">
        <w:t>t:</w:t>
      </w:r>
    </w:p>
    <w:p w14:paraId="6B693DDD" w14:textId="4045037A" w:rsidR="004D72F2" w:rsidRDefault="004D72F2" w:rsidP="004D72F2">
      <w:pPr>
        <w:pStyle w:val="ListBullet"/>
      </w:pPr>
      <w:r>
        <w:t>more than 50% of patients fail to achieve complete therapeutic benefit with antihistamines and omalizumab;</w:t>
      </w:r>
    </w:p>
    <w:p w14:paraId="3F77326F" w14:textId="39F475A8" w:rsidR="004D72F2" w:rsidRDefault="004D72F2" w:rsidP="004D72F2">
      <w:pPr>
        <w:pStyle w:val="ListBullet"/>
      </w:pPr>
      <w:r>
        <w:t>response to omalizumab varies, with some patients having a delayed onset of response and requiring higher than approved doses, and many patients on omalizumab 300 mg fail to achieve complete response;</w:t>
      </w:r>
    </w:p>
    <w:p w14:paraId="3E812DBC" w14:textId="5F8FF195" w:rsidR="004D72F2" w:rsidRPr="004D72F2" w:rsidRDefault="004D72F2" w:rsidP="004D72F2">
      <w:pPr>
        <w:pStyle w:val="ListBullet"/>
      </w:pPr>
      <w:r>
        <w:t>while omalizumab is administered via subcutaneous injection, remibrutinib is an oral treatment. While there is no data on adherence for CSU in other indications, better patient adherence has been shown with oral therapies compared to injectables.</w:t>
      </w:r>
    </w:p>
    <w:p w14:paraId="0D615854" w14:textId="77777777" w:rsidR="00324B33" w:rsidRPr="003F31A2" w:rsidRDefault="00324B33" w:rsidP="00324B33">
      <w:pPr>
        <w:pStyle w:val="Heading3"/>
      </w:pPr>
      <w:bookmarkStart w:id="27" w:name="_Toc103679291"/>
      <w:bookmarkStart w:id="28" w:name="_Toc233190962"/>
      <w:r>
        <w:t>Regulatory status</w:t>
      </w:r>
      <w:bookmarkEnd w:id="15"/>
      <w:bookmarkEnd w:id="16"/>
      <w:bookmarkEnd w:id="27"/>
      <w:bookmarkEnd w:id="28"/>
    </w:p>
    <w:p w14:paraId="72C889D6" w14:textId="7E200950" w:rsidR="0017005C" w:rsidRPr="00BD5DBD" w:rsidRDefault="0017005C" w:rsidP="00741AB9">
      <w:pPr>
        <w:pStyle w:val="Heading4"/>
      </w:pPr>
      <w:bookmarkStart w:id="29" w:name="_Toc233190963"/>
      <w:r w:rsidRPr="00BD5DBD">
        <w:t>Australian regulatory</w:t>
      </w:r>
      <w:r>
        <w:t xml:space="preserve"> sta</w:t>
      </w:r>
      <w:r w:rsidR="0025785B">
        <w:t>t</w:t>
      </w:r>
      <w:r>
        <w:t>us</w:t>
      </w:r>
      <w:bookmarkEnd w:id="29"/>
    </w:p>
    <w:p w14:paraId="6A8633FA" w14:textId="4A045D71" w:rsidR="00324B33" w:rsidRDefault="00324B33" w:rsidP="00324B33">
      <w:pPr>
        <w:rPr>
          <w:szCs w:val="22"/>
        </w:rPr>
      </w:pPr>
      <w:r w:rsidRPr="00BD5DBD">
        <w:rPr>
          <w:szCs w:val="22"/>
        </w:rPr>
        <w:t>This product is considered a new chemical</w:t>
      </w:r>
      <w:r w:rsidR="008C754C" w:rsidRPr="00BD5DBD">
        <w:rPr>
          <w:szCs w:val="22"/>
        </w:rPr>
        <w:t xml:space="preserve"> entity</w:t>
      </w:r>
      <w:r w:rsidR="00543D33">
        <w:rPr>
          <w:szCs w:val="22"/>
        </w:rPr>
        <w:t xml:space="preserve"> </w:t>
      </w:r>
      <w:r w:rsidRPr="00BD5DBD">
        <w:rPr>
          <w:szCs w:val="22"/>
        </w:rPr>
        <w:t>for Australian regulatory purposes.</w:t>
      </w:r>
    </w:p>
    <w:p w14:paraId="546C1031" w14:textId="4EF98FA1" w:rsidR="0017005C" w:rsidRDefault="00131B1B" w:rsidP="0017005C">
      <w:pPr>
        <w:pStyle w:val="Heading4"/>
      </w:pPr>
      <w:bookmarkStart w:id="30" w:name="_Toc233190964"/>
      <w:r>
        <w:t xml:space="preserve">International </w:t>
      </w:r>
      <w:r w:rsidR="0017005C" w:rsidRPr="00BD5DBD">
        <w:t>regulatory</w:t>
      </w:r>
      <w:r w:rsidR="0017005C">
        <w:t xml:space="preserve"> status</w:t>
      </w:r>
      <w:bookmarkEnd w:id="30"/>
    </w:p>
    <w:p w14:paraId="7FDF4A0B" w14:textId="54BBD2A3"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A05C24">
        <w:rPr>
          <w:szCs w:val="22"/>
        </w:rPr>
        <w:t xml:space="preserve">Table1 </w:t>
      </w:r>
      <w:r w:rsidRPr="00BD5DBD">
        <w:rPr>
          <w:szCs w:val="22"/>
        </w:rPr>
        <w:t>summarises these</w:t>
      </w:r>
      <w:r w:rsidR="00FD4C9E">
        <w:rPr>
          <w:szCs w:val="22"/>
        </w:rPr>
        <w:t xml:space="preserve"> submissions. </w:t>
      </w:r>
      <w:r w:rsidRPr="00BD5DBD">
        <w:rPr>
          <w:szCs w:val="22"/>
        </w:rPr>
        <w:t xml:space="preserve"> </w:t>
      </w:r>
    </w:p>
    <w:p w14:paraId="19B9E0AC" w14:textId="32EB7A72" w:rsidR="00324B33" w:rsidRDefault="00324B33" w:rsidP="00324B33">
      <w:pPr>
        <w:pStyle w:val="TableTitle"/>
      </w:pPr>
      <w:bookmarkStart w:id="31" w:name="_Ref99705479"/>
      <w:r>
        <w:t xml:space="preserve">Table </w:t>
      </w:r>
      <w:r>
        <w:fldChar w:fldCharType="begin"/>
      </w:r>
      <w:r>
        <w:instrText>SEQ Table \* ARABIC</w:instrText>
      </w:r>
      <w:r>
        <w:fldChar w:fldCharType="separate"/>
      </w:r>
      <w:r w:rsidR="008B1CB5">
        <w:rPr>
          <w:noProof/>
        </w:rPr>
        <w:t>1</w:t>
      </w:r>
      <w:r>
        <w:fldChar w:fldCharType="end"/>
      </w:r>
      <w:bookmarkEnd w:id="31"/>
      <w:r w:rsidR="003302FF">
        <w:rPr>
          <w:noProof/>
        </w:rPr>
        <w:t>.</w:t>
      </w:r>
      <w:r>
        <w:t xml:space="preserve"> International regulatory status</w:t>
      </w:r>
      <w:r w:rsidR="00BF502D">
        <w:t xml:space="preserve"> a</w:t>
      </w:r>
      <w:r w:rsidR="00BF502D" w:rsidRPr="00BF502D">
        <w:t>t the time the TGA considered this submission</w:t>
      </w:r>
    </w:p>
    <w:tbl>
      <w:tblPr>
        <w:tblStyle w:val="TableTGAblue2023"/>
        <w:tblW w:w="5000" w:type="pct"/>
        <w:tblLook w:val="04A0" w:firstRow="1" w:lastRow="0" w:firstColumn="1" w:lastColumn="0" w:noHBand="0" w:noVBand="1"/>
        <w:tblCaption w:val="Table 1. International regulatory status at the time the TGA considered this submission"/>
        <w:tblDescription w:val="Table 1. International regulatory status at the time the TGA considered this submission"/>
      </w:tblPr>
      <w:tblGrid>
        <w:gridCol w:w="1959"/>
        <w:gridCol w:w="1804"/>
        <w:gridCol w:w="2084"/>
        <w:gridCol w:w="3213"/>
      </w:tblGrid>
      <w:tr w:rsidR="00324B33" w:rsidRPr="00D01DDB" w14:paraId="405E5D78" w14:textId="16839333" w:rsidTr="3C99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Pr>
          <w:p w14:paraId="185B099B" w14:textId="5467F480" w:rsidR="00324B33" w:rsidRPr="00D01DDB" w:rsidRDefault="00FD4C9E" w:rsidP="00324B33">
            <w:pPr>
              <w:rPr>
                <w:szCs w:val="22"/>
              </w:rPr>
            </w:pPr>
            <w:r>
              <w:rPr>
                <w:szCs w:val="22"/>
              </w:rPr>
              <w:t>Country/</w:t>
            </w:r>
            <w:r w:rsidR="00324B33" w:rsidRPr="00D01DDB">
              <w:rPr>
                <w:szCs w:val="22"/>
              </w:rPr>
              <w:t>Region</w:t>
            </w:r>
          </w:p>
        </w:tc>
        <w:tc>
          <w:tcPr>
            <w:tcW w:w="996"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50"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73" w:type="pct"/>
          </w:tcPr>
          <w:p w14:paraId="50B2D435" w14:textId="4DED4FEF" w:rsidR="00324B33" w:rsidRPr="00D01DDB" w:rsidRDefault="006F7750" w:rsidP="00324B33">
            <w:pPr>
              <w:cnfStyle w:val="100000000000" w:firstRow="1" w:lastRow="0" w:firstColumn="0" w:lastColumn="0" w:oddVBand="0" w:evenVBand="0" w:oddHBand="0" w:evenHBand="0" w:firstRowFirstColumn="0" w:firstRowLastColumn="0" w:lastRowFirstColumn="0" w:lastRowLastColumn="0"/>
              <w:rPr>
                <w:szCs w:val="22"/>
              </w:rPr>
            </w:pPr>
            <w:r>
              <w:rPr>
                <w:szCs w:val="22"/>
              </w:rPr>
              <w:t>Proposed</w:t>
            </w:r>
            <w:r w:rsidR="00324B33" w:rsidRPr="00D01DDB">
              <w:rPr>
                <w:szCs w:val="22"/>
              </w:rPr>
              <w:t xml:space="preserve"> indication</w:t>
            </w:r>
          </w:p>
        </w:tc>
      </w:tr>
      <w:tr w:rsidR="00324B33" w:rsidRPr="00D01DDB" w14:paraId="38D24E86" w14:textId="77777777" w:rsidTr="3C99137A">
        <w:tc>
          <w:tcPr>
            <w:cnfStyle w:val="001000000000" w:firstRow="0" w:lastRow="0" w:firstColumn="1" w:lastColumn="0" w:oddVBand="0" w:evenVBand="0" w:oddHBand="0" w:evenHBand="0" w:firstRowFirstColumn="0" w:firstRowLastColumn="0" w:lastRowFirstColumn="0" w:lastRowLastColumn="0"/>
            <w:tcW w:w="1081" w:type="pct"/>
          </w:tcPr>
          <w:p w14:paraId="4C540DE5" w14:textId="3A12BD6E" w:rsidR="00324B33" w:rsidRPr="00D01DDB" w:rsidRDefault="006F7750" w:rsidP="00FB1CA4">
            <w:pPr>
              <w:ind w:left="0"/>
              <w:rPr>
                <w:szCs w:val="22"/>
              </w:rPr>
            </w:pPr>
            <w:r w:rsidRPr="006F7750">
              <w:rPr>
                <w:szCs w:val="22"/>
              </w:rPr>
              <w:t>United States of</w:t>
            </w:r>
            <w:r w:rsidR="00FB1CA4">
              <w:rPr>
                <w:szCs w:val="22"/>
              </w:rPr>
              <w:t xml:space="preserve"> </w:t>
            </w:r>
            <w:r w:rsidRPr="006F7750">
              <w:rPr>
                <w:szCs w:val="22"/>
              </w:rPr>
              <w:t>America</w:t>
            </w:r>
          </w:p>
        </w:tc>
        <w:tc>
          <w:tcPr>
            <w:tcW w:w="996" w:type="pct"/>
          </w:tcPr>
          <w:p w14:paraId="4FA5DDA9" w14:textId="79BC21BF" w:rsidR="00324B33" w:rsidRPr="00D01DDB" w:rsidRDefault="006F7750" w:rsidP="00324B33">
            <w:pPr>
              <w:cnfStyle w:val="000000000000" w:firstRow="0" w:lastRow="0" w:firstColumn="0" w:lastColumn="0" w:oddVBand="0" w:evenVBand="0" w:oddHBand="0" w:evenHBand="0" w:firstRowFirstColumn="0" w:firstRowLastColumn="0" w:lastRowFirstColumn="0" w:lastRowLastColumn="0"/>
              <w:rPr>
                <w:szCs w:val="22"/>
              </w:rPr>
            </w:pPr>
            <w:r w:rsidRPr="006F7750">
              <w:rPr>
                <w:szCs w:val="22"/>
              </w:rPr>
              <w:t>31 Jan</w:t>
            </w:r>
            <w:r>
              <w:rPr>
                <w:szCs w:val="22"/>
              </w:rPr>
              <w:t>uary</w:t>
            </w:r>
            <w:r w:rsidRPr="006F7750">
              <w:rPr>
                <w:szCs w:val="22"/>
              </w:rPr>
              <w:t xml:space="preserve"> 2025</w:t>
            </w:r>
          </w:p>
        </w:tc>
        <w:tc>
          <w:tcPr>
            <w:tcW w:w="1150" w:type="pct"/>
          </w:tcPr>
          <w:p w14:paraId="29358393" w14:textId="59B1ECB0" w:rsidR="00324B33" w:rsidRPr="00D01DDB" w:rsidRDefault="4D054EB2" w:rsidP="3C99137A">
            <w:pPr>
              <w:cnfStyle w:val="000000000000" w:firstRow="0" w:lastRow="0" w:firstColumn="0" w:lastColumn="0" w:oddVBand="0" w:evenVBand="0" w:oddHBand="0" w:evenHBand="0" w:firstRowFirstColumn="0" w:firstRowLastColumn="0" w:lastRowFirstColumn="0" w:lastRowLastColumn="0"/>
            </w:pPr>
            <w:r>
              <w:t>Under evaluation</w:t>
            </w:r>
          </w:p>
        </w:tc>
        <w:tc>
          <w:tcPr>
            <w:tcW w:w="1773" w:type="pct"/>
          </w:tcPr>
          <w:p w14:paraId="05055674" w14:textId="4144A3D0" w:rsidR="00324B33" w:rsidRPr="00D01DDB" w:rsidRDefault="00FB1CA4" w:rsidP="00FB1CA4">
            <w:pPr>
              <w:cnfStyle w:val="000000000000" w:firstRow="0" w:lastRow="0" w:firstColumn="0" w:lastColumn="0" w:oddVBand="0" w:evenVBand="0" w:oddHBand="0" w:evenHBand="0" w:firstRowFirstColumn="0" w:firstRowLastColumn="0" w:lastRowFirstColumn="0" w:lastRowLastColumn="0"/>
              <w:rPr>
                <w:szCs w:val="22"/>
              </w:rPr>
            </w:pPr>
            <w:r>
              <w:rPr>
                <w:szCs w:val="22"/>
              </w:rPr>
              <w:t>F</w:t>
            </w:r>
            <w:r w:rsidRPr="00FB1CA4">
              <w:rPr>
                <w:szCs w:val="22"/>
              </w:rPr>
              <w:t>or the treatment of chronic</w:t>
            </w:r>
            <w:r>
              <w:rPr>
                <w:szCs w:val="22"/>
              </w:rPr>
              <w:t xml:space="preserve"> </w:t>
            </w:r>
            <w:r w:rsidRPr="00FB1CA4">
              <w:rPr>
                <w:szCs w:val="22"/>
              </w:rPr>
              <w:t>spontaneous urticaria (CSU)</w:t>
            </w:r>
            <w:r>
              <w:rPr>
                <w:szCs w:val="22"/>
              </w:rPr>
              <w:t xml:space="preserve"> </w:t>
            </w:r>
            <w:r w:rsidRPr="00FB1CA4">
              <w:rPr>
                <w:szCs w:val="22"/>
              </w:rPr>
              <w:t>in adult patients who remain</w:t>
            </w:r>
            <w:r>
              <w:rPr>
                <w:szCs w:val="22"/>
              </w:rPr>
              <w:t xml:space="preserve"> </w:t>
            </w:r>
            <w:r w:rsidRPr="00FB1CA4">
              <w:rPr>
                <w:szCs w:val="22"/>
              </w:rPr>
              <w:t>symptomatic despite H1</w:t>
            </w:r>
            <w:r>
              <w:rPr>
                <w:szCs w:val="22"/>
              </w:rPr>
              <w:t xml:space="preserve"> </w:t>
            </w:r>
            <w:r w:rsidRPr="00FB1CA4">
              <w:rPr>
                <w:szCs w:val="22"/>
              </w:rPr>
              <w:t>antihistamine treatment</w:t>
            </w:r>
          </w:p>
        </w:tc>
      </w:tr>
      <w:tr w:rsidR="00324B33" w:rsidRPr="00D01DDB" w14:paraId="18B6E2AA" w14:textId="7783D66F" w:rsidTr="3C99137A">
        <w:tc>
          <w:tcPr>
            <w:cnfStyle w:val="001000000000" w:firstRow="0" w:lastRow="0" w:firstColumn="1" w:lastColumn="0" w:oddVBand="0" w:evenVBand="0" w:oddHBand="0" w:evenHBand="0" w:firstRowFirstColumn="0" w:firstRowLastColumn="0" w:lastRowFirstColumn="0" w:lastRowLastColumn="0"/>
            <w:tcW w:w="1081" w:type="pct"/>
          </w:tcPr>
          <w:p w14:paraId="7F348960" w14:textId="1A699DA8" w:rsidR="00324B33" w:rsidRPr="00D01DDB" w:rsidRDefault="00FB1CA4" w:rsidP="00FB1CA4">
            <w:pPr>
              <w:ind w:left="0"/>
              <w:rPr>
                <w:szCs w:val="22"/>
              </w:rPr>
            </w:pPr>
            <w:r w:rsidRPr="00FB1CA4">
              <w:rPr>
                <w:szCs w:val="22"/>
              </w:rPr>
              <w:t>European Union</w:t>
            </w:r>
          </w:p>
        </w:tc>
        <w:tc>
          <w:tcPr>
            <w:tcW w:w="996" w:type="pct"/>
          </w:tcPr>
          <w:p w14:paraId="1D871E57" w14:textId="751D0A72" w:rsidR="00324B33" w:rsidRPr="00D01DDB" w:rsidRDefault="00B64642" w:rsidP="00324B33">
            <w:pPr>
              <w:cnfStyle w:val="000000000000" w:firstRow="0" w:lastRow="0" w:firstColumn="0" w:lastColumn="0" w:oddVBand="0" w:evenVBand="0" w:oddHBand="0" w:evenHBand="0" w:firstRowFirstColumn="0" w:firstRowLastColumn="0" w:lastRowFirstColumn="0" w:lastRowLastColumn="0"/>
              <w:rPr>
                <w:szCs w:val="22"/>
              </w:rPr>
            </w:pPr>
            <w:r w:rsidRPr="00B64642">
              <w:rPr>
                <w:szCs w:val="22"/>
              </w:rPr>
              <w:t>26 Feb</w:t>
            </w:r>
            <w:r>
              <w:rPr>
                <w:szCs w:val="22"/>
              </w:rPr>
              <w:t>ruary</w:t>
            </w:r>
            <w:r w:rsidRPr="00B64642">
              <w:rPr>
                <w:szCs w:val="22"/>
              </w:rPr>
              <w:t xml:space="preserve"> 2025</w:t>
            </w:r>
          </w:p>
        </w:tc>
        <w:tc>
          <w:tcPr>
            <w:tcW w:w="1150" w:type="pct"/>
          </w:tcPr>
          <w:p w14:paraId="63A3A9D3" w14:textId="2FA15569"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73" w:type="pct"/>
          </w:tcPr>
          <w:p w14:paraId="17C650B8" w14:textId="062A89FE" w:rsidR="00324B33" w:rsidRPr="00D01DDB" w:rsidRDefault="00B64642" w:rsidP="00324B33">
            <w:pPr>
              <w:cnfStyle w:val="000000000000" w:firstRow="0" w:lastRow="0" w:firstColumn="0" w:lastColumn="0" w:oddVBand="0" w:evenVBand="0" w:oddHBand="0" w:evenHBand="0" w:firstRowFirstColumn="0" w:firstRowLastColumn="0" w:lastRowFirstColumn="0" w:lastRowLastColumn="0"/>
              <w:rPr>
                <w:szCs w:val="22"/>
              </w:rPr>
            </w:pPr>
            <w:r w:rsidRPr="00B64642">
              <w:rPr>
                <w:szCs w:val="22"/>
              </w:rPr>
              <w:t>For the treatment of chronic spontaneous urticaria (CSU) in adult patients who remain symptomatic despite H1 antihistamine treatment</w:t>
            </w:r>
          </w:p>
        </w:tc>
      </w:tr>
      <w:tr w:rsidR="006F7750" w:rsidRPr="00D01DDB" w14:paraId="1BB48887" w14:textId="77777777" w:rsidTr="3C99137A">
        <w:tc>
          <w:tcPr>
            <w:cnfStyle w:val="001000000000" w:firstRow="0" w:lastRow="0" w:firstColumn="1" w:lastColumn="0" w:oddVBand="0" w:evenVBand="0" w:oddHBand="0" w:evenHBand="0" w:firstRowFirstColumn="0" w:firstRowLastColumn="0" w:lastRowFirstColumn="0" w:lastRowLastColumn="0"/>
            <w:tcW w:w="1081" w:type="pct"/>
          </w:tcPr>
          <w:p w14:paraId="36944068" w14:textId="00A109C1" w:rsidR="006F7750" w:rsidRPr="00D01DDB" w:rsidRDefault="00B64642" w:rsidP="00B64642">
            <w:pPr>
              <w:ind w:left="0"/>
              <w:rPr>
                <w:szCs w:val="22"/>
              </w:rPr>
            </w:pPr>
            <w:r w:rsidRPr="00B64642">
              <w:rPr>
                <w:szCs w:val="22"/>
              </w:rPr>
              <w:t>Switzerland</w:t>
            </w:r>
          </w:p>
        </w:tc>
        <w:tc>
          <w:tcPr>
            <w:tcW w:w="996" w:type="pct"/>
          </w:tcPr>
          <w:p w14:paraId="70779A7D" w14:textId="047A04FC" w:rsidR="006F7750" w:rsidRPr="00D01DDB" w:rsidRDefault="001C3648" w:rsidP="001C3648">
            <w:pPr>
              <w:cnfStyle w:val="000000000000" w:firstRow="0" w:lastRow="0" w:firstColumn="0" w:lastColumn="0" w:oddVBand="0" w:evenVBand="0" w:oddHBand="0" w:evenHBand="0" w:firstRowFirstColumn="0" w:firstRowLastColumn="0" w:lastRowFirstColumn="0" w:lastRowLastColumn="0"/>
              <w:rPr>
                <w:szCs w:val="22"/>
              </w:rPr>
            </w:pPr>
            <w:r w:rsidRPr="001C3648">
              <w:rPr>
                <w:szCs w:val="22"/>
              </w:rPr>
              <w:t>19 May 2025</w:t>
            </w:r>
            <w:r>
              <w:rPr>
                <w:szCs w:val="22"/>
              </w:rPr>
              <w:t xml:space="preserve"> </w:t>
            </w:r>
            <w:r w:rsidRPr="001C3648">
              <w:rPr>
                <w:szCs w:val="22"/>
              </w:rPr>
              <w:t>(planned)</w:t>
            </w:r>
          </w:p>
        </w:tc>
        <w:tc>
          <w:tcPr>
            <w:tcW w:w="1150" w:type="pct"/>
          </w:tcPr>
          <w:p w14:paraId="376E9CE8" w14:textId="54C6650E" w:rsidR="006F7750" w:rsidRPr="00D01DDB" w:rsidRDefault="00A05C2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w:t>
            </w:r>
          </w:p>
        </w:tc>
        <w:tc>
          <w:tcPr>
            <w:tcW w:w="1773" w:type="pct"/>
          </w:tcPr>
          <w:p w14:paraId="29862E8C" w14:textId="5A1FA01A" w:rsidR="006F7750" w:rsidRPr="00D01DDB" w:rsidRDefault="00A05C24" w:rsidP="001C3648">
            <w:pPr>
              <w:ind w:left="0"/>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r w:rsidR="00A05C24" w:rsidRPr="00D01DDB" w14:paraId="39A7C4D0" w14:textId="77777777" w:rsidTr="3C99137A">
        <w:tc>
          <w:tcPr>
            <w:cnfStyle w:val="001000000000" w:firstRow="0" w:lastRow="0" w:firstColumn="1" w:lastColumn="0" w:oddVBand="0" w:evenVBand="0" w:oddHBand="0" w:evenHBand="0" w:firstRowFirstColumn="0" w:firstRowLastColumn="0" w:lastRowFirstColumn="0" w:lastRowLastColumn="0"/>
            <w:tcW w:w="1081" w:type="pct"/>
          </w:tcPr>
          <w:p w14:paraId="5B8F8205" w14:textId="38185D44" w:rsidR="00A05C24" w:rsidRPr="00D01DDB" w:rsidRDefault="00A05C24" w:rsidP="00A05C24">
            <w:pPr>
              <w:ind w:left="0"/>
              <w:rPr>
                <w:szCs w:val="22"/>
              </w:rPr>
            </w:pPr>
            <w:r w:rsidRPr="001C3648">
              <w:rPr>
                <w:szCs w:val="22"/>
              </w:rPr>
              <w:t>Canada</w:t>
            </w:r>
          </w:p>
        </w:tc>
        <w:tc>
          <w:tcPr>
            <w:tcW w:w="996" w:type="pct"/>
          </w:tcPr>
          <w:p w14:paraId="2B7BE20B" w14:textId="651DA411"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sidRPr="006842B1">
              <w:rPr>
                <w:szCs w:val="22"/>
              </w:rPr>
              <w:t>4 December 2026</w:t>
            </w:r>
            <w:r>
              <w:rPr>
                <w:szCs w:val="22"/>
              </w:rPr>
              <w:t xml:space="preserve"> </w:t>
            </w:r>
            <w:r w:rsidRPr="006842B1">
              <w:rPr>
                <w:szCs w:val="22"/>
              </w:rPr>
              <w:t>(planned)</w:t>
            </w:r>
          </w:p>
        </w:tc>
        <w:tc>
          <w:tcPr>
            <w:tcW w:w="1150" w:type="pct"/>
          </w:tcPr>
          <w:p w14:paraId="4A9B8CDF" w14:textId="6B7E2288"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Pr>
                <w:szCs w:val="22"/>
              </w:rPr>
              <w:t>-</w:t>
            </w:r>
          </w:p>
        </w:tc>
        <w:tc>
          <w:tcPr>
            <w:tcW w:w="1773" w:type="pct"/>
          </w:tcPr>
          <w:p w14:paraId="4C782EC9" w14:textId="0A4DF35E" w:rsidR="00A05C24" w:rsidRPr="00D01DDB" w:rsidRDefault="00A05C24" w:rsidP="00A05C24">
            <w:pPr>
              <w:ind w:left="0"/>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r w:rsidR="00A05C24" w:rsidRPr="00D01DDB" w14:paraId="5121CE0B" w14:textId="77777777" w:rsidTr="3C99137A">
        <w:tc>
          <w:tcPr>
            <w:cnfStyle w:val="001000000000" w:firstRow="0" w:lastRow="0" w:firstColumn="1" w:lastColumn="0" w:oddVBand="0" w:evenVBand="0" w:oddHBand="0" w:evenHBand="0" w:firstRowFirstColumn="0" w:firstRowLastColumn="0" w:lastRowFirstColumn="0" w:lastRowLastColumn="0"/>
            <w:tcW w:w="1081" w:type="pct"/>
          </w:tcPr>
          <w:p w14:paraId="743639B3" w14:textId="291C34BF" w:rsidR="00A05C24" w:rsidRPr="00D01DDB" w:rsidRDefault="00A05C24" w:rsidP="00A05C24">
            <w:pPr>
              <w:rPr>
                <w:szCs w:val="22"/>
              </w:rPr>
            </w:pPr>
            <w:r w:rsidRPr="006842B1">
              <w:rPr>
                <w:szCs w:val="22"/>
              </w:rPr>
              <w:lastRenderedPageBreak/>
              <w:t>United Kingdom</w:t>
            </w:r>
          </w:p>
        </w:tc>
        <w:tc>
          <w:tcPr>
            <w:tcW w:w="996" w:type="pct"/>
          </w:tcPr>
          <w:p w14:paraId="5F507592" w14:textId="6B2F4F29"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sidRPr="006842B1">
              <w:rPr>
                <w:szCs w:val="22"/>
              </w:rPr>
              <w:t>March 2026</w:t>
            </w:r>
            <w:r>
              <w:rPr>
                <w:szCs w:val="22"/>
              </w:rPr>
              <w:t xml:space="preserve"> </w:t>
            </w:r>
            <w:r w:rsidRPr="006842B1">
              <w:rPr>
                <w:szCs w:val="22"/>
              </w:rPr>
              <w:t>(planned)</w:t>
            </w:r>
          </w:p>
        </w:tc>
        <w:tc>
          <w:tcPr>
            <w:tcW w:w="1150" w:type="pct"/>
          </w:tcPr>
          <w:p w14:paraId="2CBB5175" w14:textId="60FF9CE3"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Pr>
                <w:szCs w:val="22"/>
              </w:rPr>
              <w:t>-</w:t>
            </w:r>
          </w:p>
        </w:tc>
        <w:tc>
          <w:tcPr>
            <w:tcW w:w="1773" w:type="pct"/>
          </w:tcPr>
          <w:p w14:paraId="2930D32A" w14:textId="1D5FBC68"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r w:rsidR="00A05C24" w:rsidRPr="00D01DDB" w14:paraId="37EECF75" w14:textId="77777777" w:rsidTr="3C99137A">
        <w:tc>
          <w:tcPr>
            <w:cnfStyle w:val="001000000000" w:firstRow="0" w:lastRow="0" w:firstColumn="1" w:lastColumn="0" w:oddVBand="0" w:evenVBand="0" w:oddHBand="0" w:evenHBand="0" w:firstRowFirstColumn="0" w:firstRowLastColumn="0" w:lastRowFirstColumn="0" w:lastRowLastColumn="0"/>
            <w:tcW w:w="1081" w:type="pct"/>
          </w:tcPr>
          <w:p w14:paraId="18EA6965" w14:textId="47877DE9" w:rsidR="00A05C24" w:rsidRPr="00D01DDB" w:rsidRDefault="00A05C24" w:rsidP="00A05C24">
            <w:pPr>
              <w:rPr>
                <w:szCs w:val="22"/>
              </w:rPr>
            </w:pPr>
            <w:r w:rsidRPr="006842B1">
              <w:rPr>
                <w:szCs w:val="22"/>
              </w:rPr>
              <w:t>Singapore</w:t>
            </w:r>
          </w:p>
        </w:tc>
        <w:tc>
          <w:tcPr>
            <w:tcW w:w="996" w:type="pct"/>
          </w:tcPr>
          <w:p w14:paraId="73DA02A8" w14:textId="2EA3C2A1"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sidRPr="00A05C24">
              <w:rPr>
                <w:szCs w:val="22"/>
              </w:rPr>
              <w:t>Q2 2025</w:t>
            </w:r>
          </w:p>
        </w:tc>
        <w:tc>
          <w:tcPr>
            <w:tcW w:w="1150" w:type="pct"/>
          </w:tcPr>
          <w:p w14:paraId="0DA4E55D" w14:textId="49329671"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Pr>
                <w:szCs w:val="22"/>
              </w:rPr>
              <w:t>-</w:t>
            </w:r>
          </w:p>
        </w:tc>
        <w:tc>
          <w:tcPr>
            <w:tcW w:w="1773" w:type="pct"/>
          </w:tcPr>
          <w:p w14:paraId="09FFDDDB" w14:textId="7CCB9FF8"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r w:rsidR="00A05C24" w:rsidRPr="00D01DDB" w14:paraId="264674A7" w14:textId="77777777" w:rsidTr="3C99137A">
        <w:tc>
          <w:tcPr>
            <w:cnfStyle w:val="001000000000" w:firstRow="0" w:lastRow="0" w:firstColumn="1" w:lastColumn="0" w:oddVBand="0" w:evenVBand="0" w:oddHBand="0" w:evenHBand="0" w:firstRowFirstColumn="0" w:firstRowLastColumn="0" w:lastRowFirstColumn="0" w:lastRowLastColumn="0"/>
            <w:tcW w:w="1081" w:type="pct"/>
          </w:tcPr>
          <w:p w14:paraId="160B095F" w14:textId="1EC8B8D2" w:rsidR="00A05C24" w:rsidRPr="00D01DDB" w:rsidRDefault="00A05C24" w:rsidP="00A05C24">
            <w:pPr>
              <w:rPr>
                <w:szCs w:val="22"/>
              </w:rPr>
            </w:pPr>
            <w:r w:rsidRPr="00A05C24">
              <w:rPr>
                <w:szCs w:val="22"/>
              </w:rPr>
              <w:t>New Zealand</w:t>
            </w:r>
          </w:p>
        </w:tc>
        <w:tc>
          <w:tcPr>
            <w:tcW w:w="996" w:type="pct"/>
          </w:tcPr>
          <w:p w14:paraId="407337FC" w14:textId="3CA2EAB4"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sidRPr="00A05C24">
              <w:rPr>
                <w:szCs w:val="22"/>
              </w:rPr>
              <w:t>Q2 2026</w:t>
            </w:r>
          </w:p>
        </w:tc>
        <w:tc>
          <w:tcPr>
            <w:tcW w:w="1150" w:type="pct"/>
          </w:tcPr>
          <w:p w14:paraId="1F379A69" w14:textId="34C24F0F"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Pr>
                <w:szCs w:val="22"/>
              </w:rPr>
              <w:t>-</w:t>
            </w:r>
          </w:p>
        </w:tc>
        <w:tc>
          <w:tcPr>
            <w:tcW w:w="1773" w:type="pct"/>
          </w:tcPr>
          <w:p w14:paraId="332B7C25" w14:textId="2AC4E428" w:rsidR="00A05C24" w:rsidRPr="00D01DDB" w:rsidRDefault="00A05C24" w:rsidP="00A05C24">
            <w:pPr>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bl>
    <w:p w14:paraId="6D92589C" w14:textId="09786CEF" w:rsidR="00324B33" w:rsidRDefault="00324B33" w:rsidP="00324B33">
      <w:pPr>
        <w:pStyle w:val="Heading2"/>
      </w:pPr>
      <w:bookmarkStart w:id="32" w:name="_Toc504480011"/>
      <w:bookmarkStart w:id="33" w:name="_Toc103679293"/>
      <w:bookmarkStart w:id="34" w:name="_Toc233190965"/>
      <w:r>
        <w:t>Registration timeline</w:t>
      </w:r>
      <w:bookmarkEnd w:id="32"/>
      <w:bookmarkEnd w:id="33"/>
      <w:bookmarkEnd w:id="34"/>
    </w:p>
    <w:p w14:paraId="225E3D87" w14:textId="2DD6A040" w:rsidR="00324B33" w:rsidRPr="00BD5DBD" w:rsidRDefault="00236F91" w:rsidP="00324B33">
      <w:pPr>
        <w:rPr>
          <w:szCs w:val="22"/>
        </w:rPr>
      </w:pPr>
      <w:r>
        <w:rPr>
          <w:szCs w:val="22"/>
        </w:rPr>
        <w:t>Table 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5263E729" w14:textId="15398104" w:rsidR="005B02A2" w:rsidRPr="003C1192" w:rsidRDefault="00324B33" w:rsidP="004E1EFA">
      <w:pPr>
        <w:pStyle w:val="TableTitle"/>
        <w:rPr>
          <w:iCs/>
        </w:rPr>
      </w:pPr>
      <w:r w:rsidRPr="002C1232">
        <w:t>Table</w:t>
      </w:r>
      <w:r w:rsidR="004E1EFA">
        <w:t xml:space="preserve"> 2</w:t>
      </w:r>
      <w:r w:rsidR="003302FF">
        <w:t>.</w:t>
      </w:r>
      <w:r w:rsidRPr="002C1232">
        <w:t xml:space="preserve"> Timeline for </w:t>
      </w:r>
      <w:r w:rsidR="00BA1C03">
        <w:t>Rhapsido</w:t>
      </w:r>
      <w:r w:rsidR="004E1EFA">
        <w:t xml:space="preserve"> (</w:t>
      </w:r>
      <w:r w:rsidR="004E1EFA" w:rsidRPr="004E1EFA">
        <w:t>remibrutinib</w:t>
      </w:r>
      <w:r w:rsidR="004E1EFA">
        <w:t>)</w:t>
      </w:r>
      <w:r w:rsidR="006E6059">
        <w:t>, s</w:t>
      </w:r>
      <w:r w:rsidRPr="002C1232">
        <w:t xml:space="preserve">ubmission </w:t>
      </w:r>
      <w:r w:rsidR="004E1EFA" w:rsidRPr="004E1EFA">
        <w:t>PM-2025-01101-1-1</w:t>
      </w:r>
    </w:p>
    <w:tbl>
      <w:tblPr>
        <w:tblStyle w:val="TableTGAblue2023"/>
        <w:tblW w:w="8642" w:type="dxa"/>
        <w:tblLook w:val="04A0" w:firstRow="1" w:lastRow="0" w:firstColumn="1" w:lastColumn="0" w:noHBand="0" w:noVBand="1"/>
        <w:tblCaption w:val="Table 2. Timeline for Rhapsido (remibrutinib), submission PM-2025-01101-1-1"/>
        <w:tblDescription w:val="Table 2. Timeline for Rhapsido (remibrutinib), submission PM-2025-01101-1-1"/>
      </w:tblPr>
      <w:tblGrid>
        <w:gridCol w:w="6516"/>
        <w:gridCol w:w="2126"/>
      </w:tblGrid>
      <w:tr w:rsidR="00324B33" w:rsidRPr="00D01DDB" w14:paraId="6C59BE9C" w14:textId="77777777" w:rsidTr="00B31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D01DDB" w:rsidRDefault="00324B33" w:rsidP="00324B33">
            <w:pPr>
              <w:rPr>
                <w:szCs w:val="22"/>
              </w:rPr>
            </w:pPr>
            <w:r w:rsidRPr="00D01DDB">
              <w:rPr>
                <w:szCs w:val="22"/>
              </w:rPr>
              <w:t>Description</w:t>
            </w:r>
          </w:p>
        </w:tc>
        <w:tc>
          <w:tcPr>
            <w:tcW w:w="2126"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B3138B">
        <w:tc>
          <w:tcPr>
            <w:cnfStyle w:val="001000000000" w:firstRow="0" w:lastRow="0" w:firstColumn="1" w:lastColumn="0" w:oddVBand="0" w:evenVBand="0" w:oddHBand="0" w:evenHBand="0" w:firstRowFirstColumn="0" w:firstRowLastColumn="0" w:lastRowFirstColumn="0" w:lastRowLastColumn="0"/>
            <w:tcW w:w="6516" w:type="dxa"/>
          </w:tcPr>
          <w:p w14:paraId="759D2A12" w14:textId="4D46D246" w:rsidR="00324B33" w:rsidRPr="00E679D1" w:rsidRDefault="00324B33" w:rsidP="00E679D1">
            <w:r w:rsidRPr="00E679D1">
              <w:t>Submission dossier accepted evaluation commenced</w:t>
            </w:r>
          </w:p>
        </w:tc>
        <w:tc>
          <w:tcPr>
            <w:tcW w:w="2126" w:type="dxa"/>
          </w:tcPr>
          <w:p w14:paraId="2963D9D8" w14:textId="131ED838" w:rsidR="00324B33" w:rsidRPr="00D01DDB" w:rsidRDefault="00173DA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June 2025</w:t>
            </w:r>
          </w:p>
        </w:tc>
      </w:tr>
      <w:tr w:rsidR="00803926" w:rsidRPr="00D01DDB" w14:paraId="16D13F79" w14:textId="77777777" w:rsidTr="00B3138B">
        <w:tc>
          <w:tcPr>
            <w:cnfStyle w:val="001000000000" w:firstRow="0" w:lastRow="0" w:firstColumn="1" w:lastColumn="0" w:oddVBand="0" w:evenVBand="0" w:oddHBand="0" w:evenHBand="0" w:firstRowFirstColumn="0" w:firstRowLastColumn="0" w:lastRowFirstColumn="0" w:lastRowLastColumn="0"/>
            <w:tcW w:w="6516" w:type="dxa"/>
          </w:tcPr>
          <w:p w14:paraId="6858B45A" w14:textId="0BB67609" w:rsidR="00803926" w:rsidRPr="00E679D1" w:rsidDel="00C62B1C" w:rsidRDefault="00803926" w:rsidP="00E679D1">
            <w:r>
              <w:t>Evaluation completed</w:t>
            </w:r>
          </w:p>
        </w:tc>
        <w:tc>
          <w:tcPr>
            <w:tcW w:w="2126" w:type="dxa"/>
          </w:tcPr>
          <w:p w14:paraId="2E0BD403" w14:textId="76383938" w:rsidR="00803926" w:rsidRPr="00D01DDB" w:rsidRDefault="00077C5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March 2026</w:t>
            </w:r>
          </w:p>
        </w:tc>
      </w:tr>
      <w:tr w:rsidR="00324B33" w:rsidRPr="00D01DDB" w14:paraId="6E5D32FE" w14:textId="77777777" w:rsidTr="00B3138B">
        <w:tc>
          <w:tcPr>
            <w:cnfStyle w:val="001000000000" w:firstRow="0" w:lastRow="0" w:firstColumn="1" w:lastColumn="0" w:oddVBand="0" w:evenVBand="0" w:oddHBand="0" w:evenHBand="0" w:firstRowFirstColumn="0" w:firstRowLastColumn="0" w:lastRowFirstColumn="0" w:lastRowLastColumn="0"/>
            <w:tcW w:w="6516" w:type="dxa"/>
          </w:tcPr>
          <w:p w14:paraId="4E95C44C" w14:textId="7A91C710" w:rsidR="00324B33" w:rsidRPr="00E679D1" w:rsidRDefault="00324B33" w:rsidP="00E679D1">
            <w:r w:rsidRPr="00E679D1">
              <w:t>Registration decision (Outcome)</w:t>
            </w:r>
          </w:p>
        </w:tc>
        <w:tc>
          <w:tcPr>
            <w:tcW w:w="2126" w:type="dxa"/>
          </w:tcPr>
          <w:p w14:paraId="62987ABD" w14:textId="4F4DDBF5" w:rsidR="00324B33" w:rsidRPr="00D01DDB" w:rsidRDefault="00D36FC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May 2026</w:t>
            </w:r>
          </w:p>
        </w:tc>
      </w:tr>
      <w:tr w:rsidR="00324B33" w:rsidRPr="00D01DDB" w14:paraId="6DDCDDA4" w14:textId="77777777" w:rsidTr="00B3138B">
        <w:tc>
          <w:tcPr>
            <w:cnfStyle w:val="001000000000" w:firstRow="0" w:lastRow="0" w:firstColumn="1" w:lastColumn="0" w:oddVBand="0" w:evenVBand="0" w:oddHBand="0" w:evenHBand="0" w:firstRowFirstColumn="0" w:firstRowLastColumn="0" w:lastRowFirstColumn="0" w:lastRowLastColumn="0"/>
            <w:tcW w:w="6516" w:type="dxa"/>
          </w:tcPr>
          <w:p w14:paraId="192FD19D" w14:textId="186F3E94" w:rsidR="00324B33" w:rsidRPr="00E679D1" w:rsidRDefault="0013132F" w:rsidP="007311B9">
            <w:pPr>
              <w:ind w:left="0"/>
            </w:pPr>
            <w:r w:rsidRPr="00E679D1">
              <w:t xml:space="preserve"> </w:t>
            </w:r>
            <w:r w:rsidR="00C96D3F">
              <w:t xml:space="preserve"> </w:t>
            </w:r>
            <w:r w:rsidR="00C00844">
              <w:t>R</w:t>
            </w:r>
            <w:r w:rsidRPr="00E679D1">
              <w:t xml:space="preserve">egistration </w:t>
            </w:r>
            <w:r w:rsidR="005C4B46" w:rsidRPr="00E679D1">
              <w:t xml:space="preserve">in </w:t>
            </w:r>
            <w:r w:rsidRPr="00E679D1">
              <w:t>the ARTG completed</w:t>
            </w:r>
          </w:p>
        </w:tc>
        <w:tc>
          <w:tcPr>
            <w:tcW w:w="2126" w:type="dxa"/>
          </w:tcPr>
          <w:p w14:paraId="5A8923FD" w14:textId="32F2BC8C" w:rsidR="00324B33" w:rsidRPr="00D01DDB" w:rsidRDefault="00D36FC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May 2026</w:t>
            </w:r>
          </w:p>
        </w:tc>
      </w:tr>
      <w:tr w:rsidR="00324B33" w:rsidRPr="00D01DDB" w14:paraId="56D922E2" w14:textId="77777777" w:rsidTr="00B3138B">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324B33" w:rsidRPr="00E679D1" w:rsidRDefault="00324B33" w:rsidP="00E679D1">
            <w:r w:rsidRPr="00E679D1">
              <w:t>Number of working days from submission dossier acceptance to registration decision*</w:t>
            </w:r>
          </w:p>
        </w:tc>
        <w:tc>
          <w:tcPr>
            <w:tcW w:w="2126" w:type="dxa"/>
          </w:tcPr>
          <w:p w14:paraId="5BAF9FA1" w14:textId="7939FEDA" w:rsidR="00324B33" w:rsidRPr="00D01DDB" w:rsidRDefault="0032237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35" w:name="_Toc196046504"/>
      <w:bookmarkStart w:id="36" w:name="_Toc247691527"/>
      <w:bookmarkStart w:id="37" w:name="_Toc314842510"/>
      <w:bookmarkStart w:id="38" w:name="_Toc103679294"/>
      <w:bookmarkStart w:id="39" w:name="_Toc233190966"/>
      <w:r>
        <w:t xml:space="preserve">Assessment </w:t>
      </w:r>
      <w:r w:rsidR="00C22214" w:rsidRPr="00006FAB">
        <w:t>overview</w:t>
      </w:r>
      <w:bookmarkEnd w:id="39"/>
      <w:r w:rsidR="00C22214" w:rsidRPr="00006FAB">
        <w:t xml:space="preserve"> </w:t>
      </w:r>
      <w:bookmarkEnd w:id="35"/>
      <w:bookmarkEnd w:id="36"/>
      <w:bookmarkEnd w:id="37"/>
      <w:bookmarkEnd w:id="38"/>
    </w:p>
    <w:p w14:paraId="37F5A1C0" w14:textId="5D3D5FE0" w:rsidR="00C22214" w:rsidRDefault="00095C6A" w:rsidP="00C22214">
      <w:pPr>
        <w:pStyle w:val="Heading3"/>
      </w:pPr>
      <w:bookmarkStart w:id="40" w:name="_Toc247691528"/>
      <w:bookmarkStart w:id="41" w:name="_Toc314842511"/>
      <w:bookmarkStart w:id="42" w:name="_Toc103679295"/>
      <w:bookmarkStart w:id="43" w:name="_Toc233190967"/>
      <w:r>
        <w:t>Q</w:t>
      </w:r>
      <w:r w:rsidR="00C22214">
        <w:t>uality</w:t>
      </w:r>
      <w:bookmarkEnd w:id="40"/>
      <w:bookmarkEnd w:id="41"/>
      <w:bookmarkEnd w:id="42"/>
      <w:r w:rsidR="007E6443">
        <w:t xml:space="preserve"> evaluation</w:t>
      </w:r>
      <w:r>
        <w:t xml:space="preserve"> summary</w:t>
      </w:r>
      <w:bookmarkEnd w:id="43"/>
    </w:p>
    <w:p w14:paraId="2ACFC2E4" w14:textId="77777777" w:rsidR="00142862" w:rsidRDefault="00142862" w:rsidP="00142862">
      <w:pPr>
        <w:pStyle w:val="Heading4"/>
      </w:pPr>
      <w:bookmarkStart w:id="44" w:name="_Toc233190968"/>
      <w:r w:rsidRPr="0098341F">
        <w:t>Drug substance</w:t>
      </w:r>
      <w:bookmarkEnd w:id="44"/>
    </w:p>
    <w:p w14:paraId="76C4FB07" w14:textId="3D1C3701" w:rsidR="009B1BD0" w:rsidRPr="009B1BD0" w:rsidRDefault="009B1BD0" w:rsidP="00720F54">
      <w:pPr>
        <w:pStyle w:val="TableTitle"/>
      </w:pPr>
      <w:r>
        <w:t xml:space="preserve">Table 3. </w:t>
      </w:r>
      <w:r w:rsidRPr="009B1BD0">
        <w:t>Remibrutinib</w:t>
      </w:r>
      <w:r>
        <w:t xml:space="preserve"> drug substance</w:t>
      </w:r>
    </w:p>
    <w:tbl>
      <w:tblPr>
        <w:tblW w:w="8513" w:type="dxa"/>
        <w:tblInd w:w="-8"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Caption w:val="Table 3. Remibrutinib drug substance"/>
        <w:tblDescription w:val="Table 3. Remibrutinib drug substance"/>
      </w:tblPr>
      <w:tblGrid>
        <w:gridCol w:w="1988"/>
        <w:gridCol w:w="6525"/>
      </w:tblGrid>
      <w:tr w:rsidR="009B1BD0" w14:paraId="26309CE5" w14:textId="77777777" w:rsidTr="00B3138B">
        <w:trPr>
          <w:trHeight w:val="492"/>
        </w:trPr>
        <w:tc>
          <w:tcPr>
            <w:tcW w:w="1988" w:type="dxa"/>
            <w:shd w:val="clear" w:color="auto" w:fill="DEEAF6"/>
          </w:tcPr>
          <w:p w14:paraId="1A8327F9" w14:textId="77777777" w:rsidR="009B1BD0" w:rsidRPr="002B1609" w:rsidRDefault="009B1BD0" w:rsidP="00B3138B">
            <w:pPr>
              <w:spacing w:before="120" w:line="240" w:lineRule="auto"/>
              <w:ind w:left="284"/>
            </w:pPr>
            <w:r w:rsidRPr="002B1609">
              <w:t>Name</w:t>
            </w:r>
          </w:p>
        </w:tc>
        <w:tc>
          <w:tcPr>
            <w:tcW w:w="6525" w:type="dxa"/>
          </w:tcPr>
          <w:p w14:paraId="34A12C63" w14:textId="77777777" w:rsidR="009B1BD0" w:rsidRPr="009B1BD0" w:rsidRDefault="009B1BD0" w:rsidP="00B3138B">
            <w:pPr>
              <w:spacing w:before="120" w:line="240" w:lineRule="auto"/>
              <w:ind w:left="284"/>
              <w:rPr>
                <w:bCs/>
              </w:rPr>
            </w:pPr>
            <w:r w:rsidRPr="009B1BD0">
              <w:rPr>
                <w:bCs/>
                <w:spacing w:val="-2"/>
              </w:rPr>
              <w:t>Remibrutinib</w:t>
            </w:r>
          </w:p>
        </w:tc>
      </w:tr>
      <w:tr w:rsidR="009B1BD0" w14:paraId="6CE90972" w14:textId="77777777" w:rsidTr="00B3138B">
        <w:trPr>
          <w:trHeight w:val="2489"/>
        </w:trPr>
        <w:tc>
          <w:tcPr>
            <w:tcW w:w="1988" w:type="dxa"/>
            <w:shd w:val="clear" w:color="auto" w:fill="DEEAF6"/>
          </w:tcPr>
          <w:p w14:paraId="31FFC93F" w14:textId="77777777" w:rsidR="009B1BD0" w:rsidRPr="002B1609" w:rsidRDefault="009B1BD0" w:rsidP="00B3138B">
            <w:pPr>
              <w:spacing w:before="120" w:line="240" w:lineRule="auto"/>
              <w:ind w:left="284"/>
              <w:rPr>
                <w:bCs/>
              </w:rPr>
            </w:pPr>
            <w:r w:rsidRPr="002B1609">
              <w:rPr>
                <w:bCs/>
                <w:spacing w:val="-2"/>
              </w:rPr>
              <w:t>Structure</w:t>
            </w:r>
          </w:p>
        </w:tc>
        <w:tc>
          <w:tcPr>
            <w:tcW w:w="6525" w:type="dxa"/>
          </w:tcPr>
          <w:p w14:paraId="4DD12E46" w14:textId="77777777" w:rsidR="009B1BD0" w:rsidRDefault="009B1BD0" w:rsidP="00B3138B">
            <w:pPr>
              <w:spacing w:before="120" w:line="240" w:lineRule="auto"/>
              <w:ind w:left="284"/>
              <w:rPr>
                <w:sz w:val="20"/>
              </w:rPr>
            </w:pPr>
            <w:r>
              <w:rPr>
                <w:noProof/>
                <w:sz w:val="20"/>
              </w:rPr>
              <w:drawing>
                <wp:inline distT="0" distB="0" distL="0" distR="0" wp14:anchorId="7FFB6AB4" wp14:editId="6B39651D">
                  <wp:extent cx="1294310" cy="1354454"/>
                  <wp:effectExtent l="0" t="0" r="0" b="0"/>
                  <wp:docPr id="20" name="Image 20" descr="A diagram of a chemical structur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diagram of a chemical structure  AI-generated content may be incorrect."/>
                          <pic:cNvPicPr/>
                        </pic:nvPicPr>
                        <pic:blipFill>
                          <a:blip r:embed="rId23" cstate="print"/>
                          <a:stretch>
                            <a:fillRect/>
                          </a:stretch>
                        </pic:blipFill>
                        <pic:spPr>
                          <a:xfrm>
                            <a:off x="0" y="0"/>
                            <a:ext cx="1294310" cy="1354454"/>
                          </a:xfrm>
                          <a:prstGeom prst="rect">
                            <a:avLst/>
                          </a:prstGeom>
                        </pic:spPr>
                      </pic:pic>
                    </a:graphicData>
                  </a:graphic>
                </wp:inline>
              </w:drawing>
            </w:r>
          </w:p>
        </w:tc>
      </w:tr>
      <w:tr w:rsidR="009B1BD0" w:rsidRPr="00056058" w14:paraId="77AEE5DB" w14:textId="77777777" w:rsidTr="00B3138B">
        <w:trPr>
          <w:trHeight w:val="1260"/>
        </w:trPr>
        <w:tc>
          <w:tcPr>
            <w:tcW w:w="1988" w:type="dxa"/>
            <w:shd w:val="clear" w:color="auto" w:fill="DEEAF6"/>
          </w:tcPr>
          <w:p w14:paraId="431C4856" w14:textId="77777777" w:rsidR="009B1BD0" w:rsidRPr="002B1609" w:rsidRDefault="009B1BD0" w:rsidP="00B3138B">
            <w:pPr>
              <w:spacing w:before="120" w:line="240" w:lineRule="auto"/>
              <w:ind w:left="284"/>
              <w:rPr>
                <w:bCs/>
              </w:rPr>
            </w:pPr>
            <w:r w:rsidRPr="002B1609">
              <w:rPr>
                <w:bCs/>
              </w:rPr>
              <w:lastRenderedPageBreak/>
              <w:t>Chemical</w:t>
            </w:r>
            <w:r w:rsidRPr="002B1609">
              <w:rPr>
                <w:bCs/>
                <w:spacing w:val="-1"/>
              </w:rPr>
              <w:t xml:space="preserve"> </w:t>
            </w:r>
            <w:r w:rsidRPr="002B1609">
              <w:rPr>
                <w:bCs/>
              </w:rPr>
              <w:t>name</w:t>
            </w:r>
          </w:p>
        </w:tc>
        <w:tc>
          <w:tcPr>
            <w:tcW w:w="6525" w:type="dxa"/>
          </w:tcPr>
          <w:p w14:paraId="2F0FD0B4" w14:textId="77777777" w:rsidR="009B1BD0" w:rsidRDefault="009B1BD0" w:rsidP="00B3138B">
            <w:pPr>
              <w:spacing w:before="120" w:line="240" w:lineRule="auto"/>
              <w:ind w:left="284"/>
            </w:pPr>
            <w:r>
              <w:rPr>
                <w:spacing w:val="-2"/>
                <w:u w:val="single"/>
              </w:rPr>
              <w:t>IUPAC</w:t>
            </w:r>
          </w:p>
          <w:p w14:paraId="0CC64B7B" w14:textId="77777777" w:rsidR="009B1BD0" w:rsidRDefault="009B1BD0" w:rsidP="00B3138B">
            <w:pPr>
              <w:spacing w:before="120" w:line="240" w:lineRule="auto"/>
              <w:ind w:left="284"/>
            </w:pPr>
            <w:r>
              <w:rPr>
                <w:i/>
                <w:spacing w:val="-2"/>
              </w:rPr>
              <w:t>N</w:t>
            </w:r>
            <w:r>
              <w:rPr>
                <w:spacing w:val="-2"/>
              </w:rPr>
              <w:t>-(3</w:t>
            </w:r>
            <w:proofErr w:type="gramStart"/>
            <w:r>
              <w:rPr>
                <w:spacing w:val="-2"/>
              </w:rPr>
              <w:t>-{</w:t>
            </w:r>
            <w:proofErr w:type="gramEnd"/>
            <w:r>
              <w:rPr>
                <w:spacing w:val="-2"/>
              </w:rPr>
              <w:t>6-Amino-5</w:t>
            </w:r>
            <w:proofErr w:type="gramStart"/>
            <w:r>
              <w:rPr>
                <w:spacing w:val="-2"/>
              </w:rPr>
              <w:t>-[</w:t>
            </w:r>
            <w:proofErr w:type="gramEnd"/>
            <w:r>
              <w:rPr>
                <w:spacing w:val="-2"/>
              </w:rPr>
              <w:t>2-(</w:t>
            </w:r>
            <w:r>
              <w:rPr>
                <w:i/>
                <w:spacing w:val="-2"/>
              </w:rPr>
              <w:t>N</w:t>
            </w:r>
            <w:r>
              <w:rPr>
                <w:spacing w:val="-2"/>
              </w:rPr>
              <w:t>-methylprop-</w:t>
            </w:r>
            <w:r>
              <w:rPr>
                <w:spacing w:val="-5"/>
              </w:rPr>
              <w:t>2-</w:t>
            </w:r>
          </w:p>
          <w:p w14:paraId="2E4A691A" w14:textId="77777777" w:rsidR="009B1BD0" w:rsidRDefault="009B1BD0" w:rsidP="00B3138B">
            <w:pPr>
              <w:spacing w:before="120" w:line="240" w:lineRule="auto"/>
              <w:ind w:left="284"/>
            </w:pPr>
            <w:proofErr w:type="gramStart"/>
            <w:r>
              <w:rPr>
                <w:spacing w:val="-2"/>
              </w:rPr>
              <w:t>enamido)ethoxy</w:t>
            </w:r>
            <w:proofErr w:type="gramEnd"/>
            <w:r>
              <w:rPr>
                <w:spacing w:val="-2"/>
              </w:rPr>
              <w:t>]pyrimidin-4-yl}-5-fluoro-2-methylphenyl)-4-cyclopropyl-2-fluorobenzamide</w:t>
            </w:r>
          </w:p>
        </w:tc>
      </w:tr>
      <w:tr w:rsidR="009B1BD0" w14:paraId="28612D28" w14:textId="77777777" w:rsidTr="00B3138B">
        <w:trPr>
          <w:trHeight w:val="495"/>
        </w:trPr>
        <w:tc>
          <w:tcPr>
            <w:tcW w:w="1988" w:type="dxa"/>
            <w:shd w:val="clear" w:color="auto" w:fill="DEEAF6"/>
          </w:tcPr>
          <w:p w14:paraId="0BB4F37B" w14:textId="77777777" w:rsidR="009B1BD0" w:rsidRPr="002B1609" w:rsidRDefault="009B1BD0" w:rsidP="00B3138B">
            <w:pPr>
              <w:spacing w:before="120" w:line="240" w:lineRule="auto"/>
              <w:ind w:left="284"/>
              <w:rPr>
                <w:bCs/>
              </w:rPr>
            </w:pPr>
            <w:r w:rsidRPr="002B1609">
              <w:rPr>
                <w:bCs/>
              </w:rPr>
              <w:t>CAS</w:t>
            </w:r>
            <w:r w:rsidRPr="002B1609">
              <w:rPr>
                <w:bCs/>
                <w:spacing w:val="-2"/>
              </w:rPr>
              <w:t xml:space="preserve"> Number</w:t>
            </w:r>
          </w:p>
        </w:tc>
        <w:tc>
          <w:tcPr>
            <w:tcW w:w="6525" w:type="dxa"/>
          </w:tcPr>
          <w:p w14:paraId="37ED5EF8" w14:textId="77777777" w:rsidR="009B1BD0" w:rsidRDefault="009B1BD0" w:rsidP="00B3138B">
            <w:pPr>
              <w:spacing w:before="120" w:line="240" w:lineRule="auto"/>
              <w:ind w:left="284"/>
            </w:pPr>
            <w:r>
              <w:rPr>
                <w:spacing w:val="-2"/>
              </w:rPr>
              <w:t>1787294-07-</w:t>
            </w:r>
            <w:r>
              <w:rPr>
                <w:spacing w:val="-12"/>
              </w:rPr>
              <w:t>8</w:t>
            </w:r>
          </w:p>
        </w:tc>
      </w:tr>
      <w:tr w:rsidR="009B1BD0" w14:paraId="5AA43DFC" w14:textId="77777777" w:rsidTr="00B3138B">
        <w:trPr>
          <w:trHeight w:val="495"/>
        </w:trPr>
        <w:tc>
          <w:tcPr>
            <w:tcW w:w="1988" w:type="dxa"/>
            <w:shd w:val="clear" w:color="auto" w:fill="DEEAF6"/>
          </w:tcPr>
          <w:p w14:paraId="330E21F0" w14:textId="77777777" w:rsidR="009B1BD0" w:rsidRPr="002B1609" w:rsidRDefault="009B1BD0" w:rsidP="00B3138B">
            <w:pPr>
              <w:spacing w:before="120" w:line="240" w:lineRule="auto"/>
              <w:ind w:left="284"/>
              <w:rPr>
                <w:bCs/>
              </w:rPr>
            </w:pPr>
            <w:r w:rsidRPr="002B1609">
              <w:rPr>
                <w:bCs/>
              </w:rPr>
              <w:t>Molecular</w:t>
            </w:r>
            <w:r w:rsidRPr="002B1609">
              <w:rPr>
                <w:bCs/>
                <w:spacing w:val="-5"/>
              </w:rPr>
              <w:t xml:space="preserve"> </w:t>
            </w:r>
            <w:r w:rsidRPr="002B1609">
              <w:rPr>
                <w:bCs/>
                <w:spacing w:val="-2"/>
              </w:rPr>
              <w:t>formula</w:t>
            </w:r>
          </w:p>
        </w:tc>
        <w:tc>
          <w:tcPr>
            <w:tcW w:w="6525" w:type="dxa"/>
          </w:tcPr>
          <w:p w14:paraId="4038B5D3" w14:textId="77777777" w:rsidR="009B1BD0" w:rsidRDefault="009B1BD0" w:rsidP="00B3138B">
            <w:pPr>
              <w:spacing w:before="120" w:line="240" w:lineRule="auto"/>
              <w:ind w:left="284"/>
              <w:rPr>
                <w:sz w:val="13"/>
              </w:rPr>
            </w:pPr>
            <w:r>
              <w:rPr>
                <w:spacing w:val="-2"/>
                <w:w w:val="105"/>
                <w:position w:val="1"/>
              </w:rPr>
              <w:t>C</w:t>
            </w:r>
            <w:r>
              <w:rPr>
                <w:spacing w:val="-2"/>
                <w:w w:val="105"/>
                <w:sz w:val="13"/>
              </w:rPr>
              <w:t>27</w:t>
            </w:r>
            <w:r>
              <w:rPr>
                <w:spacing w:val="-2"/>
                <w:w w:val="105"/>
                <w:position w:val="1"/>
              </w:rPr>
              <w:t>H</w:t>
            </w:r>
            <w:r>
              <w:rPr>
                <w:spacing w:val="-2"/>
                <w:w w:val="105"/>
                <w:sz w:val="13"/>
              </w:rPr>
              <w:t>27</w:t>
            </w:r>
            <w:r>
              <w:rPr>
                <w:spacing w:val="-2"/>
                <w:w w:val="105"/>
                <w:position w:val="1"/>
              </w:rPr>
              <w:t>F</w:t>
            </w:r>
            <w:r>
              <w:rPr>
                <w:spacing w:val="-2"/>
                <w:w w:val="105"/>
                <w:sz w:val="13"/>
              </w:rPr>
              <w:t>2</w:t>
            </w:r>
            <w:r>
              <w:rPr>
                <w:spacing w:val="-2"/>
                <w:w w:val="105"/>
                <w:position w:val="1"/>
              </w:rPr>
              <w:t>N</w:t>
            </w:r>
            <w:r>
              <w:rPr>
                <w:spacing w:val="-2"/>
                <w:w w:val="105"/>
                <w:sz w:val="13"/>
              </w:rPr>
              <w:t>5</w:t>
            </w:r>
            <w:r>
              <w:rPr>
                <w:spacing w:val="-2"/>
                <w:w w:val="105"/>
                <w:position w:val="1"/>
              </w:rPr>
              <w:t>O</w:t>
            </w:r>
            <w:r>
              <w:rPr>
                <w:spacing w:val="-2"/>
                <w:w w:val="105"/>
                <w:sz w:val="13"/>
              </w:rPr>
              <w:t>3</w:t>
            </w:r>
          </w:p>
        </w:tc>
      </w:tr>
      <w:tr w:rsidR="009B1BD0" w14:paraId="79099739" w14:textId="77777777" w:rsidTr="00B3138B">
        <w:trPr>
          <w:trHeight w:val="495"/>
        </w:trPr>
        <w:tc>
          <w:tcPr>
            <w:tcW w:w="1988" w:type="dxa"/>
            <w:shd w:val="clear" w:color="auto" w:fill="DEEAF6"/>
          </w:tcPr>
          <w:p w14:paraId="69EAE0AF" w14:textId="77777777" w:rsidR="009B1BD0" w:rsidRPr="002B1609" w:rsidRDefault="009B1BD0" w:rsidP="00B3138B">
            <w:pPr>
              <w:spacing w:before="120" w:line="240" w:lineRule="auto"/>
              <w:ind w:left="284"/>
              <w:rPr>
                <w:bCs/>
              </w:rPr>
            </w:pPr>
            <w:r w:rsidRPr="002B1609">
              <w:rPr>
                <w:bCs/>
              </w:rPr>
              <w:t>Molecular</w:t>
            </w:r>
            <w:r w:rsidRPr="002B1609">
              <w:rPr>
                <w:bCs/>
                <w:spacing w:val="-5"/>
              </w:rPr>
              <w:t xml:space="preserve"> </w:t>
            </w:r>
            <w:r w:rsidRPr="002B1609">
              <w:rPr>
                <w:bCs/>
                <w:spacing w:val="-2"/>
              </w:rPr>
              <w:t>weight</w:t>
            </w:r>
          </w:p>
        </w:tc>
        <w:tc>
          <w:tcPr>
            <w:tcW w:w="6525" w:type="dxa"/>
          </w:tcPr>
          <w:p w14:paraId="72BA883E" w14:textId="77777777" w:rsidR="009B1BD0" w:rsidRDefault="009B1BD0" w:rsidP="00B3138B">
            <w:pPr>
              <w:spacing w:before="120" w:line="240" w:lineRule="auto"/>
              <w:ind w:left="284"/>
            </w:pPr>
            <w:r>
              <w:t>507.54</w:t>
            </w:r>
            <w:r>
              <w:rPr>
                <w:spacing w:val="-3"/>
              </w:rPr>
              <w:t xml:space="preserve"> </w:t>
            </w:r>
            <w:r>
              <w:t>g/mol</w:t>
            </w:r>
          </w:p>
        </w:tc>
      </w:tr>
    </w:tbl>
    <w:p w14:paraId="446E7A15" w14:textId="77777777" w:rsidR="00B3138B" w:rsidRDefault="00B3138B" w:rsidP="00B3138B"/>
    <w:p w14:paraId="7D3177E1" w14:textId="05F5DEBC" w:rsidR="00142862" w:rsidRDefault="00142862" w:rsidP="00B3138B">
      <w:r w:rsidRPr="00C05A2F">
        <w:t>The drug substance</w:t>
      </w:r>
      <w:r w:rsidR="009D526D">
        <w:t>,</w:t>
      </w:r>
      <w:r w:rsidR="009D526D" w:rsidRPr="009D526D">
        <w:t xml:space="preserve"> </w:t>
      </w:r>
      <w:r w:rsidR="009D526D">
        <w:t>r</w:t>
      </w:r>
      <w:r w:rsidR="009D526D" w:rsidRPr="009D526D">
        <w:t>emibrutinib</w:t>
      </w:r>
      <w:r w:rsidR="009D526D">
        <w:t>,</w:t>
      </w:r>
      <w:r w:rsidRPr="00C05A2F">
        <w:t xml:space="preserve"> is produced from </w:t>
      </w:r>
      <w:r>
        <w:t>five</w:t>
      </w:r>
      <w:r w:rsidRPr="00C05A2F">
        <w:t xml:space="preserve"> starting materials in </w:t>
      </w:r>
      <w:r>
        <w:t xml:space="preserve">ten </w:t>
      </w:r>
      <w:r w:rsidRPr="00C05A2F">
        <w:t>synthetic steps</w:t>
      </w:r>
      <w:r>
        <w:t xml:space="preserve">. </w:t>
      </w:r>
    </w:p>
    <w:p w14:paraId="2CA603D7" w14:textId="77777777" w:rsidR="009D526D" w:rsidRDefault="009D526D" w:rsidP="00B3138B">
      <w:r>
        <w:t>R</w:t>
      </w:r>
      <w:r w:rsidRPr="009D526D">
        <w:t xml:space="preserve">emibrutinib </w:t>
      </w:r>
      <w:r w:rsidR="00142862">
        <w:t xml:space="preserve">is a white to pale yellow powder. </w:t>
      </w:r>
    </w:p>
    <w:p w14:paraId="68353413" w14:textId="5C1BAC18" w:rsidR="009D526D" w:rsidRDefault="00142862" w:rsidP="00B3138B">
      <w:r>
        <w:t xml:space="preserve">Remibrutinib is achiral. </w:t>
      </w:r>
      <w:r w:rsidR="009D526D">
        <w:t xml:space="preserve"> </w:t>
      </w:r>
    </w:p>
    <w:p w14:paraId="1A50D1AE" w14:textId="0ECCF73A" w:rsidR="00142862" w:rsidRPr="00DC7FCA" w:rsidRDefault="00142862" w:rsidP="00B3138B">
      <w:r>
        <w:t>Remibrutinib is practically insoluble in aqueous media across the physiologically relevant pH range. The drug substance</w:t>
      </w:r>
      <w:r w:rsidRPr="00ED543B">
        <w:t xml:space="preserve"> is classified</w:t>
      </w:r>
      <w:r w:rsidRPr="00B50FA5">
        <w:t xml:space="preserve"> as a BCS Class II compound, characterised by low solubility and high permeability.</w:t>
      </w:r>
      <w:r>
        <w:t xml:space="preserve"> </w:t>
      </w:r>
    </w:p>
    <w:p w14:paraId="2988B99C" w14:textId="77777777" w:rsidR="00142862" w:rsidRDefault="00142862" w:rsidP="00B3138B">
      <w:r w:rsidRPr="00CE54C7">
        <w:t>The proposed specification adequately controls the identity, potency, purity and chemical and physical properties of the drug substance relevant to the dose form.</w:t>
      </w:r>
    </w:p>
    <w:p w14:paraId="7D4559E4" w14:textId="7A97071E" w:rsidR="00142862" w:rsidRDefault="00142862" w:rsidP="00B3138B">
      <w:r>
        <w:t>The synthetic impurity limits are controlled to either ICH Q3A</w:t>
      </w:r>
      <w:r w:rsidR="004F69F7">
        <w:rPr>
          <w:rStyle w:val="FootnoteReference"/>
        </w:rPr>
        <w:footnoteReference w:id="24"/>
      </w:r>
      <w:r>
        <w:t xml:space="preserve"> or where higher were adequately qualified via toxicological assessment.</w:t>
      </w:r>
    </w:p>
    <w:p w14:paraId="68967B92" w14:textId="77777777" w:rsidR="00142862" w:rsidRDefault="00142862" w:rsidP="00B3138B">
      <w:r>
        <w:t>The drug substance subsequently undergoes wet milling as part of manufacture of the drug product, and thus particle size distribution is not considered a critical parameter of the drug substance.</w:t>
      </w:r>
    </w:p>
    <w:p w14:paraId="700F7C4F" w14:textId="77777777" w:rsidR="00142862" w:rsidRDefault="00142862" w:rsidP="00B3138B">
      <w:r w:rsidRPr="0098341F">
        <w:t>Risk evaluations on the potential presence of nitrosamines and elemental impurities were performed. No significant risk was identified</w:t>
      </w:r>
      <w:r>
        <w:t xml:space="preserve">; however, a nitrosamine impurity is controlled in the drug product specification. </w:t>
      </w:r>
    </w:p>
    <w:p w14:paraId="1D20CE99" w14:textId="77777777" w:rsidR="00142862" w:rsidRDefault="00142862" w:rsidP="00142862">
      <w:pPr>
        <w:pStyle w:val="Standard"/>
      </w:pPr>
      <w:r>
        <w:t>The analytical methods used to analyse the product were adequately described and validated.</w:t>
      </w:r>
    </w:p>
    <w:p w14:paraId="0EA28CA4" w14:textId="5E96D51E" w:rsidR="00142862" w:rsidRPr="00104E01" w:rsidRDefault="00720F54" w:rsidP="00142862">
      <w:pPr>
        <w:rPr>
          <w:szCs w:val="22"/>
        </w:rPr>
      </w:pPr>
      <w:r>
        <w:rPr>
          <w:szCs w:val="22"/>
        </w:rPr>
        <w:t>The r</w:t>
      </w:r>
      <w:r w:rsidR="00142862">
        <w:rPr>
          <w:szCs w:val="22"/>
        </w:rPr>
        <w:t xml:space="preserve">etest period is 24 months </w:t>
      </w:r>
      <w:r w:rsidR="00142862" w:rsidRPr="00104E01">
        <w:rPr>
          <w:szCs w:val="22"/>
        </w:rPr>
        <w:t xml:space="preserve">when stored at </w:t>
      </w:r>
      <w:r w:rsidR="00B56C9A">
        <w:rPr>
          <w:szCs w:val="22"/>
        </w:rPr>
        <w:t>-</w:t>
      </w:r>
      <w:r w:rsidR="00142862" w:rsidRPr="00104E01">
        <w:rPr>
          <w:szCs w:val="22"/>
        </w:rPr>
        <w:t>20°C</w:t>
      </w:r>
      <w:r w:rsidR="00142862" w:rsidRPr="00104E01" w:rsidDel="00B56C9A">
        <w:rPr>
          <w:szCs w:val="22"/>
        </w:rPr>
        <w:t xml:space="preserve">/ambient </w:t>
      </w:r>
      <w:r w:rsidR="005269A9" w:rsidDel="00B56C9A">
        <w:rPr>
          <w:szCs w:val="22"/>
        </w:rPr>
        <w:t>relative humidity</w:t>
      </w:r>
      <w:r w:rsidR="00142862" w:rsidRPr="00104E01">
        <w:rPr>
          <w:szCs w:val="22"/>
        </w:rPr>
        <w:t>.</w:t>
      </w:r>
    </w:p>
    <w:p w14:paraId="0CFA26E1" w14:textId="77777777" w:rsidR="00142862" w:rsidRDefault="00142862" w:rsidP="00142862">
      <w:pPr>
        <w:pStyle w:val="Heading4"/>
      </w:pPr>
      <w:bookmarkStart w:id="45" w:name="_Toc233190969"/>
      <w:r w:rsidRPr="0098341F">
        <w:t>Drug product</w:t>
      </w:r>
      <w:bookmarkEnd w:id="45"/>
      <w:r w:rsidRPr="0098341F">
        <w:t xml:space="preserve"> </w:t>
      </w:r>
    </w:p>
    <w:p w14:paraId="73B23B29" w14:textId="77777777" w:rsidR="00142862" w:rsidRPr="001C2154" w:rsidRDefault="00142862" w:rsidP="00142862">
      <w:pPr>
        <w:pStyle w:val="Standard"/>
        <w:rPr>
          <w:highlight w:val="yellow"/>
        </w:rPr>
      </w:pPr>
      <w:r>
        <w:t xml:space="preserve">The remibrutinib 25 mg tablet is a light yellow, round, curved, unscored film-coated 7mm tablet, debossed with ‘LV’ on one side and the Novartis logo </w:t>
      </w:r>
      <w:r>
        <w:rPr>
          <w:noProof/>
        </w:rPr>
        <w:drawing>
          <wp:inline distT="0" distB="0" distL="0" distR="0" wp14:anchorId="13207DE5" wp14:editId="6031E1F4">
            <wp:extent cx="161925" cy="166280"/>
            <wp:effectExtent l="0" t="0" r="0" b="5715"/>
            <wp:docPr id="49413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3983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617" cy="169044"/>
                    </a:xfrm>
                    <a:prstGeom prst="rect">
                      <a:avLst/>
                    </a:prstGeom>
                  </pic:spPr>
                </pic:pic>
              </a:graphicData>
            </a:graphic>
          </wp:inline>
        </w:drawing>
      </w:r>
      <w:r>
        <w:t xml:space="preserve"> on the other side. </w:t>
      </w:r>
    </w:p>
    <w:p w14:paraId="1794814B" w14:textId="77777777" w:rsidR="00142862" w:rsidRPr="001C2154" w:rsidRDefault="00142862" w:rsidP="00142862">
      <w:pPr>
        <w:pStyle w:val="Standard"/>
        <w:rPr>
          <w:highlight w:val="yellow"/>
        </w:rPr>
      </w:pPr>
      <w:r w:rsidRPr="0037108E">
        <w:t>The product is supplied in PA</w:t>
      </w:r>
      <w:r>
        <w:t xml:space="preserve">/Al/PVC/Al blister packs of 30 or 60 tablets and multipacks of </w:t>
      </w:r>
      <w:r>
        <w:br/>
        <w:t>180 tablets (3 packs of 60 tablets).</w:t>
      </w:r>
      <w:r>
        <w:rPr>
          <w:highlight w:val="yellow"/>
        </w:rPr>
        <w:t xml:space="preserve"> </w:t>
      </w:r>
    </w:p>
    <w:p w14:paraId="3730D537" w14:textId="77777777" w:rsidR="00142862" w:rsidRPr="00453393" w:rsidRDefault="00142862" w:rsidP="00142862">
      <w:pPr>
        <w:pStyle w:val="Standard"/>
      </w:pPr>
      <w:r w:rsidRPr="00453393">
        <w:t>The drug product formulation contains no novel excipients, and no</w:t>
      </w:r>
      <w:r>
        <w:t xml:space="preserve"> </w:t>
      </w:r>
      <w:r w:rsidRPr="00453393">
        <w:t xml:space="preserve">excipients are of animal origin. </w:t>
      </w:r>
    </w:p>
    <w:p w14:paraId="677076F2" w14:textId="77777777" w:rsidR="00142862" w:rsidRDefault="00142862" w:rsidP="00142862">
      <w:pPr>
        <w:pStyle w:val="Standard"/>
      </w:pPr>
      <w:r w:rsidRPr="00A22445">
        <w:lastRenderedPageBreak/>
        <w:t>The drug product is manufactured by wet media milling, spray granulation, compression and aqueous film coating process. Acceptable in-process controls have been applied.</w:t>
      </w:r>
    </w:p>
    <w:p w14:paraId="60900531" w14:textId="7BFFAF29" w:rsidR="00142862" w:rsidRDefault="00142862" w:rsidP="00142862">
      <w:pPr>
        <w:rPr>
          <w:szCs w:val="22"/>
        </w:rPr>
      </w:pPr>
      <w:r w:rsidRPr="00BC3D06">
        <w:rPr>
          <w:szCs w:val="22"/>
        </w:rPr>
        <w:t>The drug product specifications adequately control the quality of the drug product at release and throughout the shelf-life. The impurities are controlled to either ICH Q3B</w:t>
      </w:r>
      <w:r w:rsidR="00F4098C">
        <w:rPr>
          <w:rStyle w:val="FootnoteReference"/>
          <w:szCs w:val="22"/>
        </w:rPr>
        <w:footnoteReference w:id="25"/>
      </w:r>
      <w:r w:rsidRPr="00BC3D06">
        <w:rPr>
          <w:szCs w:val="22"/>
        </w:rPr>
        <w:t xml:space="preserve"> or where higher were adequately qualified</w:t>
      </w:r>
      <w:r>
        <w:rPr>
          <w:szCs w:val="22"/>
        </w:rPr>
        <w:t xml:space="preserve">. An issue regarding the total impurity limit remains outstanding, however is expected to be resolved soon. </w:t>
      </w:r>
    </w:p>
    <w:p w14:paraId="10241C7E" w14:textId="58A16BDC" w:rsidR="00142862" w:rsidRDefault="00142862" w:rsidP="00142862">
      <w:pPr>
        <w:rPr>
          <w:szCs w:val="22"/>
        </w:rPr>
      </w:pPr>
      <w:r w:rsidRPr="00796DBD">
        <w:rPr>
          <w:szCs w:val="22"/>
        </w:rPr>
        <w:t>A risk assessment on the potential contamination of the product with nitrosamine impurities</w:t>
      </w:r>
      <w:r>
        <w:rPr>
          <w:szCs w:val="22"/>
        </w:rPr>
        <w:t xml:space="preserve"> identified a nitrosamine of the drug substance, JHZ933. This nitrosamine impurity is controlled in the drug product specification at a limit of 2.0 ppm (equivalent to the </w:t>
      </w:r>
      <w:r w:rsidR="00AC5576">
        <w:rPr>
          <w:szCs w:val="22"/>
        </w:rPr>
        <w:t>acceptable intake</w:t>
      </w:r>
      <w:r>
        <w:rPr>
          <w:szCs w:val="22"/>
        </w:rPr>
        <w:t xml:space="preserve"> of 100 ng/day based on a </w:t>
      </w:r>
      <w:r w:rsidR="00FA6901">
        <w:rPr>
          <w:szCs w:val="22"/>
        </w:rPr>
        <w:t>maximum daily dose</w:t>
      </w:r>
      <w:r>
        <w:rPr>
          <w:szCs w:val="22"/>
        </w:rPr>
        <w:t xml:space="preserve"> of 50 mg). </w:t>
      </w:r>
    </w:p>
    <w:p w14:paraId="5465D2A2" w14:textId="77777777" w:rsidR="00142862" w:rsidRPr="00994FC9" w:rsidRDefault="00142862" w:rsidP="00142862">
      <w:pPr>
        <w:pStyle w:val="Standard"/>
      </w:pPr>
      <w:r>
        <w:t>The dissolution limits were adequately justified based on the dissolution profiles of the pivotal clinical study batches.</w:t>
      </w:r>
    </w:p>
    <w:p w14:paraId="614E67EB" w14:textId="77777777" w:rsidR="00142862" w:rsidRPr="005B70E1" w:rsidRDefault="00142862" w:rsidP="00142862">
      <w:pPr>
        <w:rPr>
          <w:szCs w:val="22"/>
        </w:rPr>
      </w:pPr>
      <w:r w:rsidRPr="005B70E1">
        <w:rPr>
          <w:szCs w:val="22"/>
        </w:rPr>
        <w:t>The analytical methods used to analyse the product were adequately described and validated.</w:t>
      </w:r>
    </w:p>
    <w:p w14:paraId="17F57EC3" w14:textId="77777777" w:rsidR="00142862" w:rsidRPr="00AC5576" w:rsidRDefault="00142862" w:rsidP="00142862">
      <w:pPr>
        <w:pStyle w:val="Standard"/>
      </w:pPr>
      <w:r w:rsidRPr="00AB6FAC">
        <w:t>Stability data did not show any degradation trends on long term storage.</w:t>
      </w:r>
      <w:r>
        <w:t xml:space="preserve"> </w:t>
      </w:r>
      <w:r w:rsidRPr="00AB6FAC">
        <w:t xml:space="preserve"> The stability data </w:t>
      </w:r>
      <w:r w:rsidRPr="00AC5576">
        <w:t xml:space="preserve">submitted supports a shelf-life of 24 months when stored below 30 °C. </w:t>
      </w:r>
    </w:p>
    <w:p w14:paraId="41EB018E" w14:textId="77777777" w:rsidR="00142862" w:rsidRDefault="00142862" w:rsidP="00142862">
      <w:pPr>
        <w:rPr>
          <w:szCs w:val="22"/>
        </w:rPr>
      </w:pPr>
      <w:r w:rsidRPr="00CC4DD0">
        <w:rPr>
          <w:szCs w:val="22"/>
        </w:rPr>
        <w:t>The drug product formulation used in the Phase 3 clinical studies is the same as the product formulation proposed for registration.  No bridging studies were required.</w:t>
      </w:r>
    </w:p>
    <w:p w14:paraId="1D702374" w14:textId="157E16E5" w:rsidR="00D05F4F" w:rsidRDefault="00D05F4F" w:rsidP="00142862">
      <w:pPr>
        <w:rPr>
          <w:szCs w:val="22"/>
        </w:rPr>
      </w:pPr>
      <w:r>
        <w:rPr>
          <w:szCs w:val="22"/>
        </w:rPr>
        <w:t xml:space="preserve">Approval from a quality perspective is recommended. </w:t>
      </w:r>
    </w:p>
    <w:p w14:paraId="2BE90AAE" w14:textId="35796FD3" w:rsidR="00C22214" w:rsidRDefault="00C22214" w:rsidP="00C22214">
      <w:pPr>
        <w:pStyle w:val="Heading3"/>
      </w:pPr>
      <w:bookmarkStart w:id="46" w:name="_Toc314842512"/>
      <w:bookmarkStart w:id="47" w:name="_Toc103679296"/>
      <w:bookmarkStart w:id="48" w:name="_Toc233190970"/>
      <w:r>
        <w:t>Nonclinical</w:t>
      </w:r>
      <w:bookmarkEnd w:id="46"/>
      <w:bookmarkEnd w:id="47"/>
      <w:r w:rsidR="007E6443">
        <w:t xml:space="preserve"> evaluation</w:t>
      </w:r>
      <w:r w:rsidR="00095C6A">
        <w:t xml:space="preserve"> summary</w:t>
      </w:r>
      <w:bookmarkEnd w:id="48"/>
    </w:p>
    <w:p w14:paraId="7FF875DA" w14:textId="336DC570" w:rsidR="009D72CD" w:rsidRDefault="009D72CD" w:rsidP="009D72CD">
      <w:r>
        <w:t>The submitted nonclinical dossier was in accordance with the relevant ICH guideline for the nonclinical assessment of ICH M3(R2).</w:t>
      </w:r>
      <w:r w:rsidR="004C25BE">
        <w:rPr>
          <w:rStyle w:val="FootnoteReference"/>
        </w:rPr>
        <w:footnoteReference w:id="26"/>
      </w:r>
      <w:r>
        <w:t xml:space="preserve"> The overall quality of the nonclinical dossier was high. All pivotal safety-related studies were GLP compliant.</w:t>
      </w:r>
    </w:p>
    <w:p w14:paraId="79CE1EAF" w14:textId="369D29EF" w:rsidR="009D72CD" w:rsidRDefault="009D72CD" w:rsidP="009D72CD">
      <w:r>
        <w:t xml:space="preserve">In vitro, remibrutinib bound BTK with nanomolar affinity and is more selective for BTK compared to BTK-related enzymes. In cellular systems, remibrutinib inhibited B cell receptor (BCR) signalling in human and rodent B cells, and displayed antiproliferative effects against mouse splenocytes and human PBMCs. Histamine release in human primary mast cells and basophils was inhibited </w:t>
      </w:r>
      <w:r w:rsidR="2D7332B0">
        <w:t xml:space="preserve">by </w:t>
      </w:r>
      <w:r>
        <w:t xml:space="preserve">remibrutinib. In vivo, remibrutinib reduced mast cell-mediated skin hypersensitivity </w:t>
      </w:r>
      <w:r w:rsidR="00845453">
        <w:t xml:space="preserve">in two </w:t>
      </w:r>
      <w:r w:rsidR="007E6036">
        <w:t>different mouse models</w:t>
      </w:r>
      <w:r>
        <w:t>.</w:t>
      </w:r>
    </w:p>
    <w:p w14:paraId="737C0E64" w14:textId="76F02C04" w:rsidR="009D72CD" w:rsidRDefault="009D72CD" w:rsidP="009D72CD">
      <w:r>
        <w:t xml:space="preserve">Remibrutinib inhibited collagen-induced platelet aggregation in vitro in human blood samples, suggesting a potential impact on haemostasis at clinically relevant exposures. Suppression of IgM and IgG levels in rodents indicate a possible increased infection risk, although no reactivation of dormant </w:t>
      </w:r>
      <w:r w:rsidRPr="00982AEB">
        <w:rPr>
          <w:i/>
          <w:iCs/>
        </w:rPr>
        <w:t>M. tuberculosis</w:t>
      </w:r>
      <w:r>
        <w:t xml:space="preserve"> was observed in a human 3D granuloma model in vitro.</w:t>
      </w:r>
    </w:p>
    <w:p w14:paraId="7941050A" w14:textId="78123FD9" w:rsidR="009D72CD" w:rsidRDefault="009D72CD" w:rsidP="009D72CD">
      <w:r>
        <w:t>In secondary pharmacology screens, inhibition of other kinases and receptors was observed, but not at clinically relevant concentrations. No adverse effects on CNS, cardiovascular or respiratory function are predicted in patients.</w:t>
      </w:r>
    </w:p>
    <w:p w14:paraId="0692ED49" w14:textId="3FB989C7" w:rsidR="009D72CD" w:rsidRDefault="009D72CD" w:rsidP="009D72CD">
      <w:r>
        <w:t xml:space="preserve">Oral absorption of remibrutinib was rapid in laboratory animal species, and </w:t>
      </w:r>
      <w:proofErr w:type="gramStart"/>
      <w:r>
        <w:t>similar to</w:t>
      </w:r>
      <w:proofErr w:type="gramEnd"/>
      <w:r>
        <w:t xml:space="preserve"> humans. Oral bioavailability in mice, rats and dogs was low (cf. moderate in humans). Plasma half-life was short in rodents (~1–4 h), very long in dogs (~20 h) and long to very long in humans (~10–17 h). Plasma protein binding was moderate to high, and broadly similar across species. Rapid and </w:t>
      </w:r>
      <w:r>
        <w:lastRenderedPageBreak/>
        <w:t xml:space="preserve">wide tissue distribution of </w:t>
      </w:r>
      <w:r w:rsidRPr="00982AEB">
        <w:rPr>
          <w:vertAlign w:val="superscript"/>
        </w:rPr>
        <w:t>3</w:t>
      </w:r>
      <w:r>
        <w:t xml:space="preserve">H- or </w:t>
      </w:r>
      <w:r w:rsidRPr="00982AEB">
        <w:rPr>
          <w:vertAlign w:val="superscript"/>
        </w:rPr>
        <w:t>14</w:t>
      </w:r>
      <w:r>
        <w:t>C-remibrutinib-derived radioactivity was demonstrated in</w:t>
      </w:r>
      <w:r w:rsidR="76F067B5">
        <w:t xml:space="preserve"> </w:t>
      </w:r>
      <w:r>
        <w:t>rats, with only limited penetration of the blood-brain barrier apparent. Remibrutinib binds to melanin.</w:t>
      </w:r>
    </w:p>
    <w:p w14:paraId="4DA5BD85" w14:textId="70548225" w:rsidR="009D72CD" w:rsidRDefault="009D72CD" w:rsidP="009D72CD">
      <w:r>
        <w:t>Metabolism of remibrutinib N-demethylation and/or oxidation, O-dealkylation, N-oxidation and C-hydroxylation. CYP3A4/5 was identified as the main enzyme involved in the metabolism of remibrutinib. Formation of drug-protein adducts was demonstrated in vitro in human liver microsomes and hepatocytes. A potential for hepatic reactivity during clinical use cannot be excluded. Excretion of remibrutinib and/or its metabolites was predominantly via the faeces in rats, rabbits, dogs and humans. Biliary excretion was demonstrated in rats.</w:t>
      </w:r>
    </w:p>
    <w:p w14:paraId="6A647367" w14:textId="43235BEE" w:rsidR="009D72CD" w:rsidRDefault="009D72CD" w:rsidP="009D72CD">
      <w:r>
        <w:t>In vitro data indicate the potential for CYP3A4 inducers/inhibitors to alter remibrutinib exposure in patients and for remibrutinib to cause interactions through inhibition of intestinal CYP3A4/5, P-glycoprotein and BCRP.</w:t>
      </w:r>
    </w:p>
    <w:p w14:paraId="2AAC1953" w14:textId="66A6329B" w:rsidR="009D72CD" w:rsidRDefault="009D72CD" w:rsidP="009D72CD">
      <w:r>
        <w:t>Remibrutinib showed a low order of acute toxicity by the oral route in mice, rats and dogs.</w:t>
      </w:r>
    </w:p>
    <w:p w14:paraId="76CA7A76" w14:textId="141B8087" w:rsidR="005208DB" w:rsidRDefault="009D72CD" w:rsidP="009D72CD">
      <w:r>
        <w:t xml:space="preserve">Repeat-dose toxicity studies by the oral route were conducted in mice (4 weeks), rats (up to 6 months) and dogs (up to 9 months). The major targets for remibrutinib were haemostatic system and platelets (increases in bleeding time, inhibition of collagen-induced platelet aggregation and delayed clot lysis), and lymphoid organs (lymphoid depletion in lymph nodes and/or </w:t>
      </w:r>
      <w:r w:rsidR="00982AEB">
        <w:t>gut-associated lymphoid tissue</w:t>
      </w:r>
      <w:r w:rsidR="005208DB">
        <w:t xml:space="preserve"> </w:t>
      </w:r>
      <w:r>
        <w:t>frequently accompanying decreases in circulating B cells with increased T cells), which are</w:t>
      </w:r>
      <w:r w:rsidR="005208DB">
        <w:t xml:space="preserve"> </w:t>
      </w:r>
      <w:r>
        <w:t xml:space="preserve">considered consistent with BTK inhibition by remibrutinib. </w:t>
      </w:r>
    </w:p>
    <w:p w14:paraId="1AD34B79" w14:textId="4A2F8472" w:rsidR="009D72CD" w:rsidRDefault="009D72CD" w:rsidP="009D72CD">
      <w:r>
        <w:t>Other effects were observed in the</w:t>
      </w:r>
      <w:r w:rsidR="005208DB">
        <w:t xml:space="preserve"> </w:t>
      </w:r>
      <w:r>
        <w:t>liver (reversible increases in the relative weight with decreased AST levels and occasional</w:t>
      </w:r>
      <w:r w:rsidR="005208DB">
        <w:t xml:space="preserve"> </w:t>
      </w:r>
      <w:r>
        <w:t>hepatocellular hypertrophy</w:t>
      </w:r>
      <w:r w:rsidR="6DD084A2">
        <w:t xml:space="preserve"> in rats</w:t>
      </w:r>
      <w:r>
        <w:t>), pancreas (irreversible pancreatic islet fibrosis in rats) and thyroid gland (reversible increases in follicular cell hypertrophy</w:t>
      </w:r>
      <w:r w:rsidR="5826A909">
        <w:t xml:space="preserve"> in rats</w:t>
      </w:r>
      <w:r>
        <w:t>). The effects on the platelet-related haemostasis and lymphoid system are considered clinically relevant. Due to the decreased haemostatic function, patients may have increased risk of bleeding events. The potential</w:t>
      </w:r>
      <w:r w:rsidR="005208DB">
        <w:t xml:space="preserve"> </w:t>
      </w:r>
      <w:r>
        <w:t>alteration in circulating lymphocyte subpopulations during treatment may be associated with an increased risk of infection or poor response to vaccines in patients.</w:t>
      </w:r>
    </w:p>
    <w:p w14:paraId="37031A6E" w14:textId="06AA1197" w:rsidR="009D72CD" w:rsidRDefault="009D72CD" w:rsidP="009D72CD">
      <w:r>
        <w:t>Remibrutinib is not considered to be genotoxic and was not carcinogenic in transgenic mice or rats.</w:t>
      </w:r>
    </w:p>
    <w:p w14:paraId="648969FD" w14:textId="7E1E65D3" w:rsidR="009D72CD" w:rsidRDefault="009D72CD" w:rsidP="009D72CD">
      <w:r>
        <w:t>Fertility was unaffected in male and female rats treated with remibrutinib. Remibrutinib crossed the placenta in rats and could be detected in fetal tissue. In rabbits, fetal malformations</w:t>
      </w:r>
      <w:r w:rsidR="005208DB">
        <w:t xml:space="preserve"> </w:t>
      </w:r>
      <w:r>
        <w:t>(open/opaque eye, small mandible and hyperflexion in forelimbs) were seen at very high</w:t>
      </w:r>
      <w:r w:rsidR="005208DB">
        <w:t xml:space="preserve"> </w:t>
      </w:r>
      <w:r>
        <w:t>exposures (121 times the clinical AUC). Severe maternal toxicity was also noted at higher exposures. No teratogenicity was noted in rats</w:t>
      </w:r>
      <w:r w:rsidR="00982AEB">
        <w:t>.</w:t>
      </w:r>
      <w:r>
        <w:t xml:space="preserve"> Transfer of remibrutinib into milk was not</w:t>
      </w:r>
      <w:r w:rsidR="005208DB">
        <w:t xml:space="preserve"> </w:t>
      </w:r>
      <w:r>
        <w:t>assessed. Severe maternotoxicity, increased stillborn pups, decreased litter size, increased pup mortality between birth and lactation day 1 were seen at very high exposures in pre- and post-natal development studies in rats.</w:t>
      </w:r>
    </w:p>
    <w:p w14:paraId="06B3F3D8" w14:textId="15E47F73" w:rsidR="009D72CD" w:rsidRDefault="009D72CD" w:rsidP="009D72CD">
      <w:r>
        <w:t>Remibrutinib was not phototoxic and was not a skin irritant or skin sensitiser in in vitro studies.</w:t>
      </w:r>
    </w:p>
    <w:p w14:paraId="13E14372" w14:textId="441C29CF" w:rsidR="009D72CD" w:rsidRDefault="009D72CD" w:rsidP="009D72CD">
      <w:r>
        <w:t>The proposed limits for two impurities in the drug substance and one impurity in the drug product have been adequately qualified by submitted toxicity data.</w:t>
      </w:r>
    </w:p>
    <w:p w14:paraId="050BB87A" w14:textId="28493974" w:rsidR="009D72CD" w:rsidRPr="009D72CD" w:rsidRDefault="009D72CD" w:rsidP="009D72CD">
      <w:r>
        <w:t xml:space="preserve">There are no nonclinical objections to registration of </w:t>
      </w:r>
      <w:r w:rsidR="00BA1C03">
        <w:t>Rhapsido</w:t>
      </w:r>
      <w:r>
        <w:t xml:space="preserve"> for the proposed indication.</w:t>
      </w:r>
    </w:p>
    <w:p w14:paraId="35B580A5" w14:textId="40B226DC" w:rsidR="00C22214" w:rsidRDefault="00C22214" w:rsidP="008804CF">
      <w:pPr>
        <w:pStyle w:val="Heading3"/>
      </w:pPr>
      <w:bookmarkStart w:id="49" w:name="_Toc247691530"/>
      <w:bookmarkStart w:id="50" w:name="_Toc314842513"/>
      <w:bookmarkStart w:id="51" w:name="_Toc103679297"/>
      <w:bookmarkStart w:id="52" w:name="_Toc233190971"/>
      <w:r>
        <w:lastRenderedPageBreak/>
        <w:t>Clinical</w:t>
      </w:r>
      <w:bookmarkEnd w:id="49"/>
      <w:bookmarkEnd w:id="50"/>
      <w:bookmarkEnd w:id="51"/>
      <w:r w:rsidR="00095C6A">
        <w:t xml:space="preserve"> evaluation summary</w:t>
      </w:r>
      <w:bookmarkEnd w:id="52"/>
    </w:p>
    <w:p w14:paraId="1AEEEA82" w14:textId="24D38B53" w:rsidR="00E107D9" w:rsidRPr="00E107D9" w:rsidRDefault="00E107D9" w:rsidP="00E107D9">
      <w:pPr>
        <w:pStyle w:val="Heading4"/>
      </w:pPr>
      <w:bookmarkStart w:id="53" w:name="_Toc233190972"/>
      <w:r>
        <w:t>Pharmacology</w:t>
      </w:r>
      <w:bookmarkEnd w:id="53"/>
    </w:p>
    <w:p w14:paraId="513EF545" w14:textId="45E358AC" w:rsidR="00E107D9" w:rsidRDefault="00BA4A01" w:rsidP="00E107D9">
      <w:pPr>
        <w:pStyle w:val="Heading5"/>
      </w:pPr>
      <w:r>
        <w:t xml:space="preserve">Pharmacokinetics </w:t>
      </w:r>
    </w:p>
    <w:p w14:paraId="66A3BAD2" w14:textId="2A491888" w:rsidR="00BA4A01" w:rsidRDefault="00BA4A01" w:rsidP="00E107D9">
      <w:pPr>
        <w:pStyle w:val="Heading6"/>
      </w:pPr>
      <w:r>
        <w:t>Absorption</w:t>
      </w:r>
    </w:p>
    <w:p w14:paraId="324300AD" w14:textId="77777777" w:rsidR="00BA4A01" w:rsidRDefault="00BA4A01" w:rsidP="00BA4A01">
      <w:r>
        <w:t>An in vitro study in the gastrointestinal Caco-2 cell line (DMPK R1500096) was reported to show that the predicted absorption of remibrutinib was high (&gt;90%). An efflux transporter effect was demonstrated at low remibrutinib concentrations. However, this appeared to be saturated at higher concentrations. The efflux transporter effect was abolished when an inhibitor of P-glycoprotein (P-</w:t>
      </w:r>
      <w:proofErr w:type="spellStart"/>
      <w:r>
        <w:t>gp</w:t>
      </w:r>
      <w:proofErr w:type="spellEnd"/>
      <w:r>
        <w:t>) was added, suggesting that remibrutinib is a substrate for P-</w:t>
      </w:r>
      <w:proofErr w:type="spellStart"/>
      <w:r>
        <w:t>gp</w:t>
      </w:r>
      <w:proofErr w:type="spellEnd"/>
      <w:r>
        <w:t>.</w:t>
      </w:r>
    </w:p>
    <w:p w14:paraId="4F7DC663" w14:textId="77777777" w:rsidR="00BA4A01" w:rsidRDefault="00BA4A01" w:rsidP="00BA4A01">
      <w:r>
        <w:t>In the clinical PK studies absorption was rapid with median T</w:t>
      </w:r>
      <w:r w:rsidRPr="00982AEB">
        <w:rPr>
          <w:vertAlign w:val="subscript"/>
        </w:rPr>
        <w:t>max</w:t>
      </w:r>
      <w:r>
        <w:t xml:space="preserve"> values typically being approximately 1.0 hour. In the ADME study, following oral administration, unchanged remibrutinib in faeces accounted for only 1.21% of the administered dose, suggesting that remibrutinib is almost completely absorbed.</w:t>
      </w:r>
    </w:p>
    <w:p w14:paraId="2730A021" w14:textId="77777777" w:rsidR="00BA4A01" w:rsidRDefault="00BA4A01" w:rsidP="00BA4A01">
      <w:r>
        <w:t>There were no clinical data examining sites and mechanism of absorption.</w:t>
      </w:r>
    </w:p>
    <w:p w14:paraId="0F7BD581" w14:textId="77777777" w:rsidR="00BA4A01" w:rsidRDefault="00BA4A01" w:rsidP="00E107D9">
      <w:pPr>
        <w:pStyle w:val="Heading6"/>
      </w:pPr>
      <w:r>
        <w:t>Bioavailability</w:t>
      </w:r>
    </w:p>
    <w:p w14:paraId="3470F6E9" w14:textId="682DB47E" w:rsidR="00BA4A01" w:rsidRDefault="00BA4A01" w:rsidP="001111EA">
      <w:pPr>
        <w:pStyle w:val="ListBullet"/>
        <w:numPr>
          <w:ilvl w:val="0"/>
          <w:numId w:val="0"/>
        </w:numPr>
      </w:pPr>
      <w:r>
        <w:t>Absolute bioavailability</w:t>
      </w:r>
      <w:r w:rsidR="00E107D9">
        <w:t xml:space="preserve">: </w:t>
      </w:r>
      <w:r>
        <w:t>In study CLOU064X2103</w:t>
      </w:r>
      <w:r w:rsidR="00982AEB">
        <w:t>,</w:t>
      </w:r>
      <w:r>
        <w:t xml:space="preserve"> mean absolute bioavailability was estimated to be 33.8% (± 11.5%).</w:t>
      </w:r>
    </w:p>
    <w:p w14:paraId="2DA76ED1" w14:textId="0600CBA6" w:rsidR="00BA4A01" w:rsidRDefault="00BA4A01" w:rsidP="001111EA">
      <w:pPr>
        <w:pStyle w:val="ListBullet"/>
        <w:numPr>
          <w:ilvl w:val="0"/>
          <w:numId w:val="0"/>
        </w:numPr>
      </w:pPr>
      <w:r>
        <w:t>Bioequivalence of clinical trial and market formulations</w:t>
      </w:r>
      <w:r w:rsidR="00E107D9">
        <w:t xml:space="preserve">: </w:t>
      </w:r>
      <w:r>
        <w:t>Most of the clinical pharmacology studies used a hard gelatin capsule (HGC) formulation for oral administration. The pivotal efficacy and safety studies used a film-coated tablet (FCT) formulation which is identical to the one proposed for marketing. Study CLOU064X2105 compared the two formulations. The FCT formulation was associated with an approximate 20% reduction in AUC and an approximate 28% reduction in C</w:t>
      </w:r>
      <w:r w:rsidRPr="00B74AC8">
        <w:rPr>
          <w:vertAlign w:val="subscript"/>
        </w:rPr>
        <w:t>max</w:t>
      </w:r>
      <w:r>
        <w:t>.</w:t>
      </w:r>
    </w:p>
    <w:p w14:paraId="0D8881CB" w14:textId="1D881B6A" w:rsidR="00BA4A01" w:rsidRDefault="00BA4A01" w:rsidP="001111EA">
      <w:pPr>
        <w:pStyle w:val="ListBullet"/>
        <w:numPr>
          <w:ilvl w:val="0"/>
          <w:numId w:val="0"/>
        </w:numPr>
      </w:pPr>
      <w:r>
        <w:t>Influence of food</w:t>
      </w:r>
      <w:r w:rsidR="00E107D9">
        <w:t xml:space="preserve">: </w:t>
      </w:r>
      <w:r>
        <w:t>In study CLOU064A02104, when a 25 mg dose of the FCT formulation was co-administered with a high-fat meal, AUC was increased by 33%. C</w:t>
      </w:r>
      <w:r w:rsidRPr="005D3172">
        <w:rPr>
          <w:vertAlign w:val="subscript"/>
        </w:rPr>
        <w:t>max</w:t>
      </w:r>
      <w:r>
        <w:t xml:space="preserve"> was slightly decreased (by approximately 5%). Median T</w:t>
      </w:r>
      <w:r w:rsidRPr="00B74AC8">
        <w:rPr>
          <w:vertAlign w:val="subscript"/>
        </w:rPr>
        <w:t>max</w:t>
      </w:r>
      <w:r>
        <w:t xml:space="preserve"> was increased from 1.0 to 2.0 hours.</w:t>
      </w:r>
    </w:p>
    <w:p w14:paraId="4F872CE3" w14:textId="1449CD80" w:rsidR="00BA4A01" w:rsidRDefault="00BA4A01" w:rsidP="001111EA">
      <w:pPr>
        <w:pStyle w:val="ListBullet"/>
        <w:numPr>
          <w:ilvl w:val="0"/>
          <w:numId w:val="0"/>
        </w:numPr>
      </w:pPr>
      <w:r>
        <w:t>In an earlier study using the HGC formulation (CLOU064X2101 – Part 3), co-administration with food resulted in an increase in AUC of approximately 30%, a decrease in C</w:t>
      </w:r>
      <w:r w:rsidRPr="00B74AC8">
        <w:rPr>
          <w:vertAlign w:val="subscript"/>
        </w:rPr>
        <w:t>max</w:t>
      </w:r>
      <w:r>
        <w:t xml:space="preserve"> of approximately</w:t>
      </w:r>
      <w:r w:rsidR="00101697">
        <w:t xml:space="preserve"> </w:t>
      </w:r>
      <w:r>
        <w:t>20% and a delay in T</w:t>
      </w:r>
      <w:r w:rsidRPr="005D3172">
        <w:rPr>
          <w:vertAlign w:val="subscript"/>
        </w:rPr>
        <w:t>max</w:t>
      </w:r>
      <w:r>
        <w:t xml:space="preserve"> of approximately 2 hours. Of note, the sponsor is proposing that the drug can be administered with or without food.</w:t>
      </w:r>
    </w:p>
    <w:p w14:paraId="02B8FC9B" w14:textId="17CA68D3" w:rsidR="00BA4A01" w:rsidRDefault="00BA4A01" w:rsidP="001111EA">
      <w:pPr>
        <w:pStyle w:val="ListBullet"/>
        <w:numPr>
          <w:ilvl w:val="0"/>
          <w:numId w:val="0"/>
        </w:numPr>
      </w:pPr>
      <w:r>
        <w:t>Dose proportionality</w:t>
      </w:r>
      <w:r w:rsidR="00101697">
        <w:t xml:space="preserve">: </w:t>
      </w:r>
      <w:r>
        <w:t>Four studies examined ascending doses of remibrutinib - CLOU064X2101 – Part 1, CLOU064X2101 – Part 2, CLOU064X2101 – Part 4 and CLOU064X1101. AUC and C</w:t>
      </w:r>
      <w:r w:rsidRPr="006B610C">
        <w:rPr>
          <w:vertAlign w:val="subscript"/>
        </w:rPr>
        <w:t>max</w:t>
      </w:r>
      <w:r>
        <w:t xml:space="preserve"> increased with increasing dose but typically in a less than dose-proportional manner.</w:t>
      </w:r>
    </w:p>
    <w:p w14:paraId="0DBF6854" w14:textId="2798C4E4" w:rsidR="00BA4A01" w:rsidRDefault="00BA4A01" w:rsidP="001111EA">
      <w:pPr>
        <w:pStyle w:val="ListBullet"/>
        <w:numPr>
          <w:ilvl w:val="0"/>
          <w:numId w:val="0"/>
        </w:numPr>
      </w:pPr>
      <w:r>
        <w:t>The nonlinear PK of remibrutinib was attributed to both target-mediated drug disposition at low doses (up to ~50 mg total daily dose) and solubility-limited absorption at high doses (above 200 mg total daily dose).</w:t>
      </w:r>
    </w:p>
    <w:p w14:paraId="031223D5" w14:textId="77777777" w:rsidR="00BA4A01" w:rsidRDefault="00BA4A01" w:rsidP="001111EA">
      <w:pPr>
        <w:pStyle w:val="ListBullet"/>
        <w:numPr>
          <w:ilvl w:val="0"/>
          <w:numId w:val="0"/>
        </w:numPr>
      </w:pPr>
      <w:r>
        <w:t>In the population PK analysis, the PK at steady state appeared to be dose proportional for doses between 10 and 200 mg per day.</w:t>
      </w:r>
    </w:p>
    <w:p w14:paraId="69F5472B" w14:textId="77777777" w:rsidR="00BA4A01" w:rsidRDefault="00BA4A01" w:rsidP="001111EA">
      <w:pPr>
        <w:pStyle w:val="ListBullet"/>
        <w:numPr>
          <w:ilvl w:val="0"/>
          <w:numId w:val="0"/>
        </w:numPr>
      </w:pPr>
      <w:r>
        <w:t>The proposed dosage regimen is a fixed dose of 25 mg BD, without any dose reductions/ increase.</w:t>
      </w:r>
    </w:p>
    <w:p w14:paraId="3356B29B" w14:textId="2E916E78" w:rsidR="00BA4A01" w:rsidRDefault="00BA4A01" w:rsidP="001111EA">
      <w:pPr>
        <w:pStyle w:val="ListBullet"/>
        <w:numPr>
          <w:ilvl w:val="0"/>
          <w:numId w:val="0"/>
        </w:numPr>
      </w:pPr>
      <w:r>
        <w:lastRenderedPageBreak/>
        <w:t>Bioavailability during multiple dosing</w:t>
      </w:r>
      <w:r w:rsidR="00101697">
        <w:t xml:space="preserve">: </w:t>
      </w:r>
      <w:r>
        <w:t>In multiple dose studies there was mild accumulation with repeated dosing (accumulation ratios</w:t>
      </w:r>
      <w:r w:rsidR="00101697">
        <w:t xml:space="preserve"> </w:t>
      </w:r>
      <w:r>
        <w:t>&lt; 2.0 for AUC). In study CLOU064X2101 (Part 2) there was a more notable increase in AUC with repeated dosing at low doses (10 and 25 mg OD). This was attributed to time-dependent changes in clearance due to covalent binding of remibrutinib to its target BTK. Such binding is saturated at higher doses and accumulation becomes less apparent.</w:t>
      </w:r>
    </w:p>
    <w:p w14:paraId="200EB1A3" w14:textId="77777777" w:rsidR="00BA4A01" w:rsidRDefault="00BA4A01" w:rsidP="00101697">
      <w:pPr>
        <w:pStyle w:val="Heading5"/>
      </w:pPr>
      <w:r>
        <w:t>Distribution</w:t>
      </w:r>
    </w:p>
    <w:p w14:paraId="6EC17F12" w14:textId="77777777" w:rsidR="00BA4A01" w:rsidRDefault="00BA4A01" w:rsidP="00101697">
      <w:pPr>
        <w:pStyle w:val="Heading6"/>
      </w:pPr>
      <w:r>
        <w:t>Volume of distribution</w:t>
      </w:r>
    </w:p>
    <w:p w14:paraId="1034D2F9" w14:textId="77777777" w:rsidR="00BA4A01" w:rsidRDefault="00BA4A01" w:rsidP="00BA4A01">
      <w:r>
        <w:t>In the PK studies of oral administration values for apparent volume of distribution (V/F) were high (&gt; 300 L). In study X2101 (Part 2) the mean apparent volume of distribution at steady state after daily doses of 25 mg was 407 L.</w:t>
      </w:r>
    </w:p>
    <w:p w14:paraId="558E50A1" w14:textId="77777777" w:rsidR="00BA4A01" w:rsidRDefault="00BA4A01" w:rsidP="00BA4A01">
      <w:r>
        <w:t>After IV administration of 100 mcg of a stable isotope of remibrutinib mean central volume of distribution (Vc) was 72.4L</w:t>
      </w:r>
    </w:p>
    <w:p w14:paraId="4FB816D7" w14:textId="77777777" w:rsidR="00BA4A01" w:rsidRDefault="00BA4A01" w:rsidP="00BA4A01">
      <w:r>
        <w:t>In the population PK analysis, the final model estimated an apparent central volume of distribution (V1/F) of 58 L, and an apparent peripheral volume of distribution (V2/F) of 1180 L.</w:t>
      </w:r>
    </w:p>
    <w:p w14:paraId="64511497" w14:textId="77777777" w:rsidR="00BA4A01" w:rsidRDefault="00BA4A01" w:rsidP="00BA4A01">
      <w:r>
        <w:t>These data suggest that remibrutinib is extensively distributed into tissues.</w:t>
      </w:r>
    </w:p>
    <w:p w14:paraId="158FC092" w14:textId="77777777" w:rsidR="00BA4A01" w:rsidRDefault="00BA4A01" w:rsidP="00101697">
      <w:pPr>
        <w:pStyle w:val="Heading6"/>
      </w:pPr>
      <w:r>
        <w:t>Plasma protein binding</w:t>
      </w:r>
    </w:p>
    <w:p w14:paraId="46DB611A" w14:textId="77777777" w:rsidR="00BA4A01" w:rsidRDefault="00BA4A01" w:rsidP="00BA4A01">
      <w:r>
        <w:t xml:space="preserve">An in vitro study (DMPK R2300145) was reported to show that the protein binding of remibrutinib in plasma is high (94.9%). Binding was independent of plasma remibrutinib concentration over the range 5 – 5000 ng/mL. Most binding was to albumin, followed by alpha-1 acid glycoprotein and </w:t>
      </w:r>
      <w:proofErr w:type="gramStart"/>
      <w:r>
        <w:t>high density</w:t>
      </w:r>
      <w:proofErr w:type="gramEnd"/>
      <w:r>
        <w:t xml:space="preserve"> lipoprotein.</w:t>
      </w:r>
    </w:p>
    <w:p w14:paraId="692907E5" w14:textId="0BBBAA0A" w:rsidR="00BA4A01" w:rsidRDefault="00BA4A01" w:rsidP="00BA4A01">
      <w:r>
        <w:t>In study A2101, mean plasma protein binding was &gt; 95% and was unaffected by degree of hepatic impairment.</w:t>
      </w:r>
    </w:p>
    <w:p w14:paraId="6620DA25" w14:textId="77777777" w:rsidR="00BA4A01" w:rsidRDefault="00BA4A01" w:rsidP="00101697">
      <w:pPr>
        <w:pStyle w:val="Heading6"/>
      </w:pPr>
      <w:r>
        <w:t>Erythrocyte distribution</w:t>
      </w:r>
    </w:p>
    <w:p w14:paraId="155DA43F" w14:textId="77777777" w:rsidR="00BA4A01" w:rsidRDefault="00BA4A01" w:rsidP="00BA4A01">
      <w:r>
        <w:t>In study X2104, the total radioactivity exposure (AUC</w:t>
      </w:r>
      <w:r w:rsidRPr="00504C29">
        <w:rPr>
          <w:vertAlign w:val="subscript"/>
        </w:rPr>
        <w:t>inf</w:t>
      </w:r>
      <w:r>
        <w:t>) in whole blood was 85% of the AUC</w:t>
      </w:r>
      <w:r w:rsidRPr="00504C29">
        <w:rPr>
          <w:vertAlign w:val="subscript"/>
        </w:rPr>
        <w:t>inf</w:t>
      </w:r>
      <w:r>
        <w:t xml:space="preserve"> for the total radioactivity found in plasma. These data suggest that there is no significant partitioning of drug-related material into red blood cells.</w:t>
      </w:r>
    </w:p>
    <w:p w14:paraId="4472C074" w14:textId="77777777" w:rsidR="00BA4A01" w:rsidRDefault="00BA4A01" w:rsidP="00101697">
      <w:pPr>
        <w:pStyle w:val="Heading5"/>
      </w:pPr>
      <w:r>
        <w:t>Metabolism</w:t>
      </w:r>
    </w:p>
    <w:p w14:paraId="014E0B7E" w14:textId="77777777" w:rsidR="00BA4A01" w:rsidRDefault="00BA4A01" w:rsidP="00101697">
      <w:pPr>
        <w:pStyle w:val="Heading6"/>
      </w:pPr>
      <w:r>
        <w:t>Sites of metabolism and mechanisms / enzyme systems involved</w:t>
      </w:r>
    </w:p>
    <w:p w14:paraId="014C5352" w14:textId="19C2FE6F" w:rsidR="00BA4A01" w:rsidRDefault="00BA4A01" w:rsidP="00BA4A01">
      <w:r>
        <w:t xml:space="preserve">The involvement of cytochrome P450 and other metabolic enzymes in the metabolism of remibrutinib was investigated in an in vitro study (DMPK R1500124) using pooled human liver microsomes, S9 fractions, liver cytosol and human hepatocytes. It was reported that CYP3A4 was the major CYP enzyme responsible for the oxidative metabolism of remibrutinib in the liver with a possible minor contribution from CYP2C19 and extrahepatic CYP1A1. </w:t>
      </w:r>
    </w:p>
    <w:p w14:paraId="682524F9" w14:textId="77777777" w:rsidR="00BA4A01" w:rsidRDefault="00BA4A01" w:rsidP="00BA4A01">
      <w:r>
        <w:t>In another in vitro study (DMPK R1600559) it was reported that CYP3A4 was the main hepatic enzyme catalysing the primary oxidative metabolism of remibrutinib in human liver microsomes with potentially partial low contributions from other enzymes such as CYP2C19, CYP3A5 and CYP2B6.</w:t>
      </w:r>
    </w:p>
    <w:p w14:paraId="74086525" w14:textId="77777777" w:rsidR="00BA4A01" w:rsidRDefault="00BA4A01" w:rsidP="00101697">
      <w:pPr>
        <w:pStyle w:val="Heading6"/>
      </w:pPr>
      <w:r>
        <w:t>Non-renal clearance</w:t>
      </w:r>
    </w:p>
    <w:p w14:paraId="011D33BB" w14:textId="77777777" w:rsidR="00BA4A01" w:rsidRDefault="00BA4A01" w:rsidP="00BA4A01">
      <w:r>
        <w:t>Renal clearance of remibrutinib is low (see below), and the drug is predominantly cleared through metabolism.</w:t>
      </w:r>
    </w:p>
    <w:p w14:paraId="58564700" w14:textId="77777777" w:rsidR="00BA4A01" w:rsidRDefault="00BA4A01" w:rsidP="00101697">
      <w:pPr>
        <w:pStyle w:val="Heading6"/>
      </w:pPr>
      <w:r>
        <w:lastRenderedPageBreak/>
        <w:t>Total clearance</w:t>
      </w:r>
    </w:p>
    <w:p w14:paraId="00EEC271" w14:textId="77777777" w:rsidR="00BA4A01" w:rsidRDefault="00BA4A01" w:rsidP="00BA4A01">
      <w:r>
        <w:t>In the PK studies remibrutinib was rapidly cleared from the blood. In the population PK analysis, the final model estimated an apparent clearance (CL/F) of 160 L per hour.</w:t>
      </w:r>
    </w:p>
    <w:p w14:paraId="62A61628" w14:textId="77777777" w:rsidR="00BA4A01" w:rsidRDefault="00BA4A01" w:rsidP="00DE46BE">
      <w:pPr>
        <w:pStyle w:val="Heading6"/>
      </w:pPr>
      <w:r>
        <w:t>Metabolites identified in humans: active and other</w:t>
      </w:r>
    </w:p>
    <w:p w14:paraId="18ACE3B6" w14:textId="77777777" w:rsidR="00BA4A01" w:rsidRDefault="00BA4A01" w:rsidP="00BA4A01">
      <w:r>
        <w:t xml:space="preserve">In study X2104, the metabolism of remibrutinib was shown to be complex, with </w:t>
      </w:r>
      <w:proofErr w:type="gramStart"/>
      <w:r>
        <w:t>a large number of</w:t>
      </w:r>
      <w:proofErr w:type="gramEnd"/>
      <w:r>
        <w:t xml:space="preserve"> metabolites formed by multiple metabolic steps.</w:t>
      </w:r>
    </w:p>
    <w:p w14:paraId="3BA880A1" w14:textId="77777777" w:rsidR="00BA4A01" w:rsidRDefault="00BA4A01" w:rsidP="00BA4A01">
      <w:r>
        <w:t>After oral administration of radiolabelled remibrutinib:</w:t>
      </w:r>
    </w:p>
    <w:p w14:paraId="4A5B6D37" w14:textId="5D304B57" w:rsidR="00BA4A01" w:rsidRDefault="00BA4A01" w:rsidP="00101697">
      <w:pPr>
        <w:pStyle w:val="ListBullet"/>
      </w:pPr>
      <w:r>
        <w:t>Remibrutinib was the most abundant species in blood comprising 16.7% of 14C-AUC0-24h;</w:t>
      </w:r>
    </w:p>
    <w:p w14:paraId="3079B0D2" w14:textId="142EFDCB" w:rsidR="00BA4A01" w:rsidRDefault="00BA4A01" w:rsidP="00101697">
      <w:pPr>
        <w:pStyle w:val="ListBullet"/>
      </w:pPr>
      <w:r>
        <w:t>A total of 18 metabolites were identified in blood. The most common were M68 (11.2%), M24 (6.33%) and M2 (4.95%);</w:t>
      </w:r>
    </w:p>
    <w:p w14:paraId="478139F6" w14:textId="2D240316" w:rsidR="00BA4A01" w:rsidRDefault="00BA4A01" w:rsidP="00101697">
      <w:pPr>
        <w:pStyle w:val="ListBullet"/>
      </w:pPr>
      <w:r>
        <w:t>A total of 31 metabolites were identified in urine. The most common were M24 (3.49% of the total over 0-48 hrs) and M68 (2.99%). Unchanged remibrutinib accounted for 0.65%.</w:t>
      </w:r>
    </w:p>
    <w:p w14:paraId="43996BC2" w14:textId="19870EBE" w:rsidR="00BA4A01" w:rsidRDefault="00BA4A01" w:rsidP="00101697">
      <w:pPr>
        <w:pStyle w:val="ListBullet"/>
      </w:pPr>
      <w:r>
        <w:t>A total of 21 metabolites were identified in faeces. The most common was M24 (7.22% of the total over 0-144 hrs). Unchanged remibrutinib accounted for 1.21%.</w:t>
      </w:r>
    </w:p>
    <w:p w14:paraId="6FC7BFB3" w14:textId="77777777" w:rsidR="00BA4A01" w:rsidRDefault="00BA4A01" w:rsidP="00101697">
      <w:pPr>
        <w:pStyle w:val="Heading6"/>
      </w:pPr>
      <w:r>
        <w:t>Pharmacokinetics of metabolites</w:t>
      </w:r>
    </w:p>
    <w:p w14:paraId="5D122824" w14:textId="77777777" w:rsidR="00BA4A01" w:rsidRDefault="00BA4A01" w:rsidP="00BA4A01">
      <w:r>
        <w:t>As systemic exposure to individual metabolites was low, the PK of metabolites was not investigated.</w:t>
      </w:r>
    </w:p>
    <w:p w14:paraId="7C7CCC9F" w14:textId="77777777" w:rsidR="00BA4A01" w:rsidRDefault="00BA4A01" w:rsidP="00101697">
      <w:pPr>
        <w:pStyle w:val="Heading5"/>
      </w:pPr>
      <w:r>
        <w:t>Excretion</w:t>
      </w:r>
    </w:p>
    <w:p w14:paraId="5AC2E686" w14:textId="77777777" w:rsidR="00BA4A01" w:rsidRDefault="00BA4A01" w:rsidP="00101697">
      <w:pPr>
        <w:pStyle w:val="Heading6"/>
      </w:pPr>
      <w:r>
        <w:t>Routes and mechanisms of excretion</w:t>
      </w:r>
    </w:p>
    <w:p w14:paraId="021278C7" w14:textId="77777777" w:rsidR="00BA4A01" w:rsidRDefault="00BA4A01" w:rsidP="00BA4A01">
      <w:r>
        <w:t>In study X2104, radiolabelled remibrutinib was administered IV to two subjects. Most of the radioactivity was recovered in faeces (67.1% and 71.7%) and excretion in urine was lower (29.7% and 25.5%).</w:t>
      </w:r>
    </w:p>
    <w:p w14:paraId="19B01275" w14:textId="77777777" w:rsidR="00BA4A01" w:rsidRDefault="00BA4A01" w:rsidP="00101697">
      <w:pPr>
        <w:pStyle w:val="Heading6"/>
      </w:pPr>
      <w:r>
        <w:t>Renal clearance</w:t>
      </w:r>
    </w:p>
    <w:p w14:paraId="12C0D3C6" w14:textId="77777777" w:rsidR="00BA4A01" w:rsidRDefault="00BA4A01" w:rsidP="00BA4A01">
      <w:r>
        <w:t>In study X2104, radiolabelled remibrutinib was administered IV to two subjects. Only a small proportion of the radioactivity was recovered in the urine as unchanged remibrutinib (2.2% and 5.0%), indicating that renal clearance of remibrutinib is low.</w:t>
      </w:r>
    </w:p>
    <w:p w14:paraId="0A88FF11" w14:textId="77777777" w:rsidR="00BA4A01" w:rsidRDefault="00BA4A01" w:rsidP="00BA4A01">
      <w:r>
        <w:t>In studies of oral administration in which urine PK was examined (X2101-Parts 2 and 4, X1101) only a small fraction of the administered dose was excreted as unchanged remibrutinib in the urine. Mean renal clearance was low compared to mean total apparent clearance (CL/F).</w:t>
      </w:r>
    </w:p>
    <w:p w14:paraId="44ADE221" w14:textId="77777777" w:rsidR="00BA4A01" w:rsidRDefault="00BA4A01" w:rsidP="00101697">
      <w:pPr>
        <w:pStyle w:val="Heading5"/>
      </w:pPr>
      <w:r>
        <w:t>Pharmacokinetics in the target population</w:t>
      </w:r>
    </w:p>
    <w:p w14:paraId="5DC8D33E" w14:textId="617F1333" w:rsidR="00BA4A01" w:rsidRDefault="00BA4A01" w:rsidP="00BA4A01">
      <w:r>
        <w:t xml:space="preserve">In the PopPK analyses with data from participants with </w:t>
      </w:r>
      <w:r w:rsidR="00D3145E" w:rsidRPr="00D3145E">
        <w:t xml:space="preserve">non-relapsing </w:t>
      </w:r>
      <w:r w:rsidR="00D3145E">
        <w:t>s</w:t>
      </w:r>
      <w:r w:rsidR="00D3145E" w:rsidRPr="00D3145E">
        <w:t xml:space="preserve">econdary </w:t>
      </w:r>
      <w:r w:rsidR="00D3145E">
        <w:t>p</w:t>
      </w:r>
      <w:r w:rsidR="00D3145E" w:rsidRPr="00D3145E">
        <w:t xml:space="preserve">rogressive </w:t>
      </w:r>
      <w:r w:rsidR="00D3145E">
        <w:t>m</w:t>
      </w:r>
      <w:r w:rsidR="00D3145E" w:rsidRPr="00D3145E">
        <w:t xml:space="preserve">ultiple </w:t>
      </w:r>
      <w:r w:rsidR="00D3145E">
        <w:t>s</w:t>
      </w:r>
      <w:r w:rsidR="00D3145E" w:rsidRPr="00D3145E">
        <w:t>clerosis</w:t>
      </w:r>
      <w:r>
        <w:t xml:space="preserve"> (</w:t>
      </w:r>
      <w:proofErr w:type="spellStart"/>
      <w:r w:rsidR="00D3145E">
        <w:t>nrSPMS</w:t>
      </w:r>
      <w:proofErr w:type="spellEnd"/>
      <w:r w:rsidR="00D3145E">
        <w:t xml:space="preserve">; </w:t>
      </w:r>
      <w:r>
        <w:t xml:space="preserve">EFC16645 study) or </w:t>
      </w:r>
      <w:r w:rsidR="00D3145E">
        <w:t>r</w:t>
      </w:r>
      <w:r w:rsidR="00D3145E" w:rsidRPr="00D3145E">
        <w:t xml:space="preserve">elapsing </w:t>
      </w:r>
      <w:r w:rsidR="00D3145E">
        <w:t>m</w:t>
      </w:r>
      <w:r w:rsidR="00D3145E" w:rsidRPr="00D3145E">
        <w:t xml:space="preserve">ultiple </w:t>
      </w:r>
      <w:r w:rsidR="00D3145E">
        <w:t>s</w:t>
      </w:r>
      <w:r w:rsidR="00D3145E" w:rsidRPr="00D3145E">
        <w:t xml:space="preserve">clerosis </w:t>
      </w:r>
      <w:r>
        <w:t>(</w:t>
      </w:r>
      <w:r w:rsidR="00D3145E">
        <w:t xml:space="preserve">RMS; </w:t>
      </w:r>
      <w:r>
        <w:t xml:space="preserve">EFC16033), age, sex, and body weight were not identified as significant covariates affecting the PK of </w:t>
      </w:r>
      <w:r w:rsidR="006D2475">
        <w:t>r</w:t>
      </w:r>
      <w:r>
        <w:t xml:space="preserve">emibrutinib and </w:t>
      </w:r>
      <w:r w:rsidR="006D2475">
        <w:t xml:space="preserve">the </w:t>
      </w:r>
      <w:r>
        <w:t>M2 metabolite (POH1142 and POH0855).</w:t>
      </w:r>
    </w:p>
    <w:p w14:paraId="7C5CE7C2" w14:textId="78ED5020" w:rsidR="00BA4A01" w:rsidRDefault="00BA4A01" w:rsidP="00BA4A01">
      <w:r>
        <w:t xml:space="preserve">The PK variabilities in participants with </w:t>
      </w:r>
      <w:proofErr w:type="spellStart"/>
      <w:r>
        <w:t>nrSPMS</w:t>
      </w:r>
      <w:proofErr w:type="spellEnd"/>
      <w:r>
        <w:t xml:space="preserve"> and RMS in EFC16645 and EFC16033 studies were very high (CV%: 60% to 65% for Remibrutinib and 56% to 58% for M2), but consistent with the variabilities observed in healthy participants in Phase 1 studies.</w:t>
      </w:r>
      <w:r w:rsidR="002B3A9B">
        <w:t xml:space="preserve"> </w:t>
      </w:r>
    </w:p>
    <w:p w14:paraId="6857A625" w14:textId="625B0550" w:rsidR="002B3A9B" w:rsidRDefault="002B3A9B" w:rsidP="00BA4A01">
      <w:r w:rsidRPr="002B3A9B">
        <w:t xml:space="preserve">The population PK analysis suggested that remibrutinib PK in CSU subjects was </w:t>
      </w:r>
      <w:proofErr w:type="gramStart"/>
      <w:r w:rsidRPr="002B3A9B">
        <w:t>similar to</w:t>
      </w:r>
      <w:proofErr w:type="gramEnd"/>
      <w:r w:rsidRPr="002B3A9B">
        <w:t xml:space="preserve"> that observed in healthy </w:t>
      </w:r>
      <w:proofErr w:type="gramStart"/>
      <w:r w:rsidRPr="002B3A9B">
        <w:t>subjects.[</w:t>
      </w:r>
      <w:proofErr w:type="gramEnd"/>
    </w:p>
    <w:p w14:paraId="0E6E035E" w14:textId="77777777" w:rsidR="00BA4A01" w:rsidRDefault="00BA4A01" w:rsidP="00101697">
      <w:pPr>
        <w:pStyle w:val="Heading5"/>
      </w:pPr>
      <w:r>
        <w:lastRenderedPageBreak/>
        <w:t>Pharmacokinetics in subjects with impaired hepatic function</w:t>
      </w:r>
    </w:p>
    <w:p w14:paraId="2D83E3D9" w14:textId="77777777" w:rsidR="00BA4A01" w:rsidRDefault="00BA4A01" w:rsidP="00BA4A01">
      <w:r>
        <w:t>In study A02101 systemic exposure to remibrutinib was increased in subjects with hepatic impairment. In subjects with severe impairment, C</w:t>
      </w:r>
      <w:r w:rsidRPr="006B610C">
        <w:rPr>
          <w:vertAlign w:val="subscript"/>
        </w:rPr>
        <w:t xml:space="preserve">max </w:t>
      </w:r>
      <w:r>
        <w:t>was increased 1.99-fold, and AUC was increased 3.12 – 3.49-fold.</w:t>
      </w:r>
    </w:p>
    <w:p w14:paraId="37C8C63D" w14:textId="77777777" w:rsidR="00BA4A01" w:rsidRDefault="00BA4A01" w:rsidP="00101697">
      <w:pPr>
        <w:pStyle w:val="Heading5"/>
      </w:pPr>
      <w:r>
        <w:t>Pharmacokinetics in subjects with impaired renal function</w:t>
      </w:r>
    </w:p>
    <w:p w14:paraId="2C69D3CD" w14:textId="77777777" w:rsidR="00BA4A01" w:rsidRDefault="00BA4A01" w:rsidP="00BA4A01">
      <w:r>
        <w:t>Renal clearance of remibrutinib is low and therefore renal impairment would not be expected to significantly alter the PK of the drug. No specific clinical studies were performed in subjects with renal impairment.</w:t>
      </w:r>
    </w:p>
    <w:p w14:paraId="72EF1771" w14:textId="77777777" w:rsidR="00BA4A01" w:rsidRDefault="00BA4A01" w:rsidP="00BA4A01">
      <w:r>
        <w:t>In the population PK analysis, degree of renal impairment was investigated as a potential covariate for remibrutinib clearance. No significant effect was detected. The population in the analysis only included one subject with severe renal impairment.</w:t>
      </w:r>
    </w:p>
    <w:p w14:paraId="59633E30" w14:textId="77777777" w:rsidR="00BA4A01" w:rsidRDefault="00BA4A01" w:rsidP="00BA4A01">
      <w:r>
        <w:t>In the PBPK model, renal impairment was predicted to produce a modest increase in systemic exposure to remibrutinib. In subjects with severe impairment, C</w:t>
      </w:r>
      <w:r w:rsidRPr="006B610C">
        <w:rPr>
          <w:vertAlign w:val="subscript"/>
        </w:rPr>
        <w:t>max</w:t>
      </w:r>
      <w:r>
        <w:t xml:space="preserve"> would be increased by 35% and AUC by 48%. The increased exposure was attributed to a lower abundance of CYP3A4 in renal impairment populations (compared to the healthy control population).</w:t>
      </w:r>
    </w:p>
    <w:p w14:paraId="4F55A641" w14:textId="77777777" w:rsidR="00BA4A01" w:rsidRDefault="00BA4A01" w:rsidP="00101697">
      <w:pPr>
        <w:pStyle w:val="Heading5"/>
      </w:pPr>
      <w:r>
        <w:t>Pharmacokinetics related to genetic factors</w:t>
      </w:r>
    </w:p>
    <w:p w14:paraId="23D7FE41" w14:textId="77777777" w:rsidR="00BA4A01" w:rsidRDefault="00BA4A01" w:rsidP="00BA4A01">
      <w:r>
        <w:t xml:space="preserve">In the population PK analysis, mainland Chinese, Japanese, and other Asian subjects had significantly decreased clearance and increased systemic exposure compared to </w:t>
      </w:r>
      <w:proofErr w:type="gramStart"/>
      <w:r>
        <w:t>Non-Asian</w:t>
      </w:r>
      <w:proofErr w:type="gramEnd"/>
      <w:r>
        <w:t xml:space="preserve"> subjects. Increases in AUC of up to approximately 30% were predicted. Given the high inter-individual variability of remibrutinib PK, these effects were considered by the sponsor to be not clinically significant.</w:t>
      </w:r>
    </w:p>
    <w:p w14:paraId="3041DA02" w14:textId="77777777" w:rsidR="00BA4A01" w:rsidRDefault="00BA4A01" w:rsidP="00101697">
      <w:pPr>
        <w:pStyle w:val="Heading5"/>
      </w:pPr>
      <w:r>
        <w:t>Population pharmacokinetics</w:t>
      </w:r>
    </w:p>
    <w:p w14:paraId="06EF09FC" w14:textId="77777777" w:rsidR="00BA4A01" w:rsidRDefault="00BA4A01" w:rsidP="00BA4A01">
      <w:r>
        <w:t>The PK of remibrutinib were adequately described by a two-compartment model with first-order absorption and a lag time and linear elimination. Bodyweight (both lean bodyweight and adipose tissue) and Asian race were found to be statistically significant covariates and were included in the model. However, simulations conducted with the model suggested that these covariate effects were unlikely to be clinically significant.</w:t>
      </w:r>
    </w:p>
    <w:p w14:paraId="1B5EC58B" w14:textId="77777777" w:rsidR="00BA4A01" w:rsidRDefault="00BA4A01" w:rsidP="00101697">
      <w:pPr>
        <w:pStyle w:val="Heading5"/>
      </w:pPr>
      <w:r>
        <w:t>Effect of other medicines on remibrutinib PK</w:t>
      </w:r>
    </w:p>
    <w:p w14:paraId="5F6F23B3" w14:textId="33076B8E" w:rsidR="00BA4A01" w:rsidRDefault="00BA4A01" w:rsidP="00BA4A01">
      <w:r>
        <w:t>CYP3A4 inhibitors</w:t>
      </w:r>
      <w:r w:rsidR="00101697">
        <w:t xml:space="preserve">: </w:t>
      </w:r>
      <w:r>
        <w:t>In study X2103, coadministration of remibrutinib together with ritonavir (a strong inhibitor of CYP3A4) resulted in an approximately 4-fold increase in remibrutinib AUC.</w:t>
      </w:r>
    </w:p>
    <w:p w14:paraId="45B96178" w14:textId="77777777" w:rsidR="00BA4A01" w:rsidRDefault="00BA4A01" w:rsidP="00BA4A01">
      <w:proofErr w:type="gramStart"/>
      <w:r>
        <w:t>Also</w:t>
      </w:r>
      <w:proofErr w:type="gramEnd"/>
      <w:r>
        <w:t xml:space="preserve"> in study X2103, coadministration of remibrutinib together with grapefruit juice (a moderate to strong inhibitor of CYP3A4 in the gut wall) resulted in a 1.29-fold increase in remibrutinib AUC.</w:t>
      </w:r>
    </w:p>
    <w:p w14:paraId="02F39FAE" w14:textId="37E93CA7" w:rsidR="00BA4A01" w:rsidRDefault="00BA4A01" w:rsidP="00BA4A01">
      <w:r>
        <w:t>CYP3A4 inducers</w:t>
      </w:r>
      <w:r w:rsidR="00101697">
        <w:t xml:space="preserve">: </w:t>
      </w:r>
      <w:r>
        <w:t>In study A02103, coadministration of remibrutinib together with carbamazepine (a strong inducer of CYP3A4) resulted in a 77% decrease in remibrutinib AUC.</w:t>
      </w:r>
    </w:p>
    <w:p w14:paraId="0A851D02" w14:textId="4B2D5DE6" w:rsidR="00BA4A01" w:rsidRDefault="00BA4A01" w:rsidP="00BA4A01">
      <w:r>
        <w:t>P-glycoprotein (P-</w:t>
      </w:r>
      <w:proofErr w:type="spellStart"/>
      <w:r>
        <w:t>gp</w:t>
      </w:r>
      <w:proofErr w:type="spellEnd"/>
      <w:r>
        <w:t>) inhibitors</w:t>
      </w:r>
      <w:r w:rsidR="00101697">
        <w:t xml:space="preserve">: </w:t>
      </w:r>
      <w:r>
        <w:t>In vitro studies were reported as demonstrating that remibrutinib is a substrate for (P-</w:t>
      </w:r>
      <w:proofErr w:type="spellStart"/>
      <w:r>
        <w:t>gp</w:t>
      </w:r>
      <w:proofErr w:type="spellEnd"/>
      <w:r>
        <w:t>) in the gastrointestinal tract. The sponsor considered that inhibition of P-</w:t>
      </w:r>
      <w:proofErr w:type="spellStart"/>
      <w:r>
        <w:t>gp</w:t>
      </w:r>
      <w:proofErr w:type="spellEnd"/>
      <w:r>
        <w:t xml:space="preserve"> would be unlikely to affect remibrutinib PK for the following reasons:</w:t>
      </w:r>
    </w:p>
    <w:p w14:paraId="2FB6956B" w14:textId="6865A8B0" w:rsidR="00BA4A01" w:rsidRDefault="00BA4A01" w:rsidP="00101697">
      <w:pPr>
        <w:pStyle w:val="ListBullet"/>
      </w:pPr>
      <w:r>
        <w:t>At the expected concentrations of remibrutinib in the intestinal lumen, P-</w:t>
      </w:r>
      <w:proofErr w:type="spellStart"/>
      <w:r>
        <w:t>gp</w:t>
      </w:r>
      <w:proofErr w:type="spellEnd"/>
      <w:r>
        <w:t xml:space="preserve"> transport is expected to be saturated.</w:t>
      </w:r>
    </w:p>
    <w:p w14:paraId="0A8EEC7C" w14:textId="2D0603ED" w:rsidR="00BA4A01" w:rsidRDefault="00BA4A01" w:rsidP="00101697">
      <w:pPr>
        <w:pStyle w:val="ListBullet"/>
      </w:pPr>
      <w:r>
        <w:t>Remibrutinib is a highly permeable drug and P-</w:t>
      </w:r>
      <w:proofErr w:type="spellStart"/>
      <w:r>
        <w:t>gp</w:t>
      </w:r>
      <w:proofErr w:type="spellEnd"/>
      <w:r>
        <w:t xml:space="preserve"> transport would not be expected to modify the extent of absorption.</w:t>
      </w:r>
    </w:p>
    <w:p w14:paraId="7F619AAA" w14:textId="0332DCBB" w:rsidR="00BA4A01" w:rsidRDefault="00BA4A01" w:rsidP="00101697">
      <w:pPr>
        <w:pStyle w:val="ListBullet"/>
      </w:pPr>
      <w:r>
        <w:lastRenderedPageBreak/>
        <w:t>The fast absorption rate observed across all doses suggests a low risk of interactions due to P-</w:t>
      </w:r>
      <w:proofErr w:type="spellStart"/>
      <w:r>
        <w:t>gp</w:t>
      </w:r>
      <w:proofErr w:type="spellEnd"/>
      <w:r>
        <w:t xml:space="preserve"> inhibition.</w:t>
      </w:r>
    </w:p>
    <w:p w14:paraId="5E775F4C" w14:textId="0BC1BBE6" w:rsidR="00BA4A01" w:rsidRDefault="00BA4A01" w:rsidP="00101697">
      <w:pPr>
        <w:pStyle w:val="Heading5"/>
      </w:pPr>
      <w:r>
        <w:t>Pharmacodynamics</w:t>
      </w:r>
    </w:p>
    <w:p w14:paraId="248FC40C" w14:textId="77777777" w:rsidR="00BA4A01" w:rsidRDefault="00BA4A01" w:rsidP="00101697">
      <w:pPr>
        <w:pStyle w:val="Heading6"/>
      </w:pPr>
      <w:r>
        <w:t>Primary pharmacodynamic effects</w:t>
      </w:r>
    </w:p>
    <w:p w14:paraId="3A60C73E" w14:textId="77777777" w:rsidR="00BA4A01" w:rsidRDefault="00BA4A01" w:rsidP="00101697">
      <w:pPr>
        <w:pStyle w:val="Heading7"/>
      </w:pPr>
      <w:r>
        <w:t>BTK occupancy</w:t>
      </w:r>
    </w:p>
    <w:p w14:paraId="2DC868EC" w14:textId="766AD4E3" w:rsidR="00BA4A01" w:rsidRDefault="00BA4A01" w:rsidP="00BA4A01">
      <w:r>
        <w:t>BTK is a cytoplasmic signalling protein expressed in a variety of immune cells, including mast cells, basophils, B lymphocytes, natural killer cells, macrophages, neutrophils, dendritic cells, monocytes, and osteoclasts</w:t>
      </w:r>
      <w:r w:rsidR="006333E8">
        <w:fldChar w:fldCharType="begin"/>
      </w:r>
      <w:r w:rsidR="006333E8">
        <w:instrText xml:space="preserve"> NOTEREF _Ref230179854 \f \h </w:instrText>
      </w:r>
      <w:r w:rsidR="006333E8">
        <w:fldChar w:fldCharType="separate"/>
      </w:r>
      <w:r w:rsidR="006333E8" w:rsidRPr="006333E8">
        <w:rPr>
          <w:rStyle w:val="FootnoteReference"/>
        </w:rPr>
        <w:t>10</w:t>
      </w:r>
      <w:r w:rsidR="006333E8">
        <w:fldChar w:fldCharType="end"/>
      </w:r>
      <w:r>
        <w:t>. The extent to which BTK was occupied following remibrutinib treatment was measured in several of the clinical pharmacology studies. A cell lysate was prepared from whole blood and total BTK and free BTK (not bound to remibrutinib) were measured using validated ELISA methods. These measurements were used to calculate BTK occupancy.</w:t>
      </w:r>
    </w:p>
    <w:p w14:paraId="7C6DDF93" w14:textId="4FB1BD96" w:rsidR="00BA4A01" w:rsidRDefault="00BA4A01" w:rsidP="00101697">
      <w:pPr>
        <w:pStyle w:val="ListBullet"/>
      </w:pPr>
      <w:r>
        <w:t>With single doses of 30 mg and higher, complete BTK occupancy (&gt;95%) was seen and was sustained beyond 4 hours. After 48 hours, BTK occupancy decreased (study X2101 – Parts 1 and 5, study X1101 – Part B);</w:t>
      </w:r>
    </w:p>
    <w:p w14:paraId="1E27134C" w14:textId="02BFC017" w:rsidR="00BA4A01" w:rsidRDefault="00BA4A01" w:rsidP="00101697">
      <w:pPr>
        <w:pStyle w:val="ListBullet"/>
      </w:pPr>
      <w:r>
        <w:t>After multiple dosing for 12 days, BTK occupancy was &gt; 95% at most timepoints at doses ≥ 10 mg per day. Occupancy began to decrease at 48 hours after the last dose (study X2101 – Parts 2 and 4);</w:t>
      </w:r>
    </w:p>
    <w:p w14:paraId="5C1C1F0D" w14:textId="77777777" w:rsidR="00BA4A01" w:rsidRDefault="00BA4A01" w:rsidP="00101697">
      <w:pPr>
        <w:pStyle w:val="Heading7"/>
      </w:pPr>
      <w:r>
        <w:t>Free BTK</w:t>
      </w:r>
    </w:p>
    <w:p w14:paraId="3DE02AC3" w14:textId="0603E6A4" w:rsidR="00BA4A01" w:rsidRDefault="00BA4A01" w:rsidP="00BA4A01">
      <w:r>
        <w:t>In study X2101 – Part 6, subjects were treated with remibrutinib 100 mg BD for 29 days. Free BTK levels dropped to zero at the first measurement after 30 minutes and remained undetectable throughout the treatment period and up to 24 hours after the last dose.</w:t>
      </w:r>
    </w:p>
    <w:p w14:paraId="20863B40" w14:textId="2C23F1D7" w:rsidR="00BA4A01" w:rsidRDefault="00BA4A01" w:rsidP="00BA4A01">
      <w:r>
        <w:t>In study X1101 – Part B, subjects were treated with remibrutinib 400 mg BD or placebo for 5 days. At predose on day 1, the mean concentration of free BTK in the remibrutinib group was</w:t>
      </w:r>
      <w:r w:rsidR="00101697">
        <w:t xml:space="preserve"> </w:t>
      </w:r>
      <w:r>
        <w:t>101.22 ng/mL This fell to 0.73 ng/mL by 0.5 hours on day 1 and remained at this level until 24 hours after the last (day 5) dose. Free BTK concentrations were unchanged in the placebo group.</w:t>
      </w:r>
    </w:p>
    <w:p w14:paraId="589BC304" w14:textId="77777777" w:rsidR="00BA4A01" w:rsidRDefault="00BA4A01" w:rsidP="00101697">
      <w:pPr>
        <w:pStyle w:val="Heading7"/>
      </w:pPr>
      <w:r>
        <w:t>Basophil activation</w:t>
      </w:r>
    </w:p>
    <w:p w14:paraId="6A955634" w14:textId="77777777" w:rsidR="00BA4A01" w:rsidRDefault="00BA4A01" w:rsidP="00BA4A01">
      <w:r>
        <w:t>BTK has a role in the activation of basophils, and the extent of inhibition of such activation after remibrutinib treatment was measured in several of the clinical pharmacology studies. Whole blood was stimulated with anti-IgE and stained with fluorescence-labelled antibodies directed against CD63 and CD203c (markers of basophil activation). The percentages of CD63-positive and CD203c-positive cells were analysed by Fluorescence Activated Cell Sorting (FACS).</w:t>
      </w:r>
    </w:p>
    <w:p w14:paraId="7E18FC5A" w14:textId="08E46AD1" w:rsidR="00BA4A01" w:rsidRDefault="00BA4A01" w:rsidP="00101697">
      <w:pPr>
        <w:pStyle w:val="ListBullet"/>
      </w:pPr>
      <w:r>
        <w:t>After single doses of 50 mg and above, percent inhibition of CD63 +</w:t>
      </w:r>
      <w:proofErr w:type="spellStart"/>
      <w:r>
        <w:t>ve</w:t>
      </w:r>
      <w:proofErr w:type="spellEnd"/>
      <w:r>
        <w:t xml:space="preserve"> basophils was &gt; 98% at 8hrs post dose (study X2101 – Parts 1 and 5). At doses of 100mg and higher, an inhibition level of &gt; 88% or more was observed up to 48 hours post-treatment (study X2101 – Part 1).</w:t>
      </w:r>
    </w:p>
    <w:p w14:paraId="1F960561" w14:textId="352C7AB4" w:rsidR="00BA4A01" w:rsidRDefault="00BA4A01" w:rsidP="00101697">
      <w:pPr>
        <w:pStyle w:val="ListBullet"/>
      </w:pPr>
      <w:r>
        <w:t>With multiple dosing for 12 days (at doses ≥ 50 mg daily) percent inhibition of CD63 +</w:t>
      </w:r>
      <w:proofErr w:type="spellStart"/>
      <w:r>
        <w:t>ve</w:t>
      </w:r>
      <w:proofErr w:type="spellEnd"/>
      <w:r>
        <w:t xml:space="preserve"> basophils was &gt; 95% by day 2 predose (i.e. 24 hours after the first dose). Inhibition began to decline at 48 hours after the last dose and returned to baseline approximately 11 days after the last dose (study X2101 – Parts 2 and 4)</w:t>
      </w:r>
    </w:p>
    <w:p w14:paraId="5959174E" w14:textId="7E97F1B2" w:rsidR="00BA4A01" w:rsidRDefault="00BA4A01" w:rsidP="00101697">
      <w:pPr>
        <w:pStyle w:val="ListBullet"/>
      </w:pPr>
      <w:r>
        <w:t>In study X2101 – Part 6, subjects were treated with remibrutinib 100 mg or placebo BD for 29 days. In the remibrutinib arm percent inhibition of CD63 +</w:t>
      </w:r>
      <w:proofErr w:type="spellStart"/>
      <w:r>
        <w:t>ve</w:t>
      </w:r>
      <w:proofErr w:type="spellEnd"/>
      <w:r>
        <w:t xml:space="preserve"> basophils was &gt; 97% from the first measurement (day 1, 8 hours) until 24 hours after the last dose (day 30). No inhibition was observed in the placebo arm.</w:t>
      </w:r>
    </w:p>
    <w:p w14:paraId="49DFE699" w14:textId="714C1994" w:rsidR="00BA4A01" w:rsidRDefault="00BA4A01" w:rsidP="00BA4A01">
      <w:r>
        <w:t>In these studies, inhibition of CD203c-positive basophils was also observed although the effects were less pronounced than those observed for CD63</w:t>
      </w:r>
      <w:r w:rsidR="00101697">
        <w:t>+</w:t>
      </w:r>
      <w:r>
        <w:t xml:space="preserve"> basophils.</w:t>
      </w:r>
    </w:p>
    <w:p w14:paraId="2D9E5E90" w14:textId="77777777" w:rsidR="00BA4A01" w:rsidRDefault="00BA4A01" w:rsidP="00101697">
      <w:pPr>
        <w:pStyle w:val="Heading7"/>
      </w:pPr>
      <w:r>
        <w:lastRenderedPageBreak/>
        <w:t>B-lymphocyte activation</w:t>
      </w:r>
    </w:p>
    <w:p w14:paraId="7158D154" w14:textId="257691D9" w:rsidR="00BA4A01" w:rsidRDefault="00BA4A01" w:rsidP="00BA4A01">
      <w:r>
        <w:t xml:space="preserve">BTK also has a role in the activation of B-lymphocytes, and the extent of inhibition of such activation after remibrutinib treatment was measured in study X1101. </w:t>
      </w:r>
    </w:p>
    <w:p w14:paraId="77637F72" w14:textId="77777777" w:rsidR="00BA4A01" w:rsidRDefault="00BA4A01" w:rsidP="00BA4A01">
      <w:r>
        <w:t>Whole blood was stimulated with anti-IgM and recombinant human interleukin-4 (rhIL-4). Anti-IgM and rhIL-4 both stimulate B-cell activation and proliferation. A 4-colour flow cytometry assay using monoclonal antibodies was used to detect CD69 expression on B cells. CD69 is a cell surface protein which is a marker of lymphocyte activation.</w:t>
      </w:r>
    </w:p>
    <w:p w14:paraId="3F1D230A" w14:textId="7AA24CD7" w:rsidR="00BA4A01" w:rsidRDefault="00BA4A01" w:rsidP="00101697">
      <w:pPr>
        <w:pStyle w:val="ListBullet"/>
      </w:pPr>
      <w:r>
        <w:t>In Part A subjects were treated with single doses of remibrutinib ranging from 5 to 400 mg. Percent inhibition of CD69 +</w:t>
      </w:r>
      <w:proofErr w:type="spellStart"/>
      <w:r>
        <w:t>ve</w:t>
      </w:r>
      <w:proofErr w:type="spellEnd"/>
      <w:r>
        <w:t xml:space="preserve"> cells &gt; 50% was achieved at doses ≥ 30 mg. The maximum level of inhibition observed was 65.98% at 24 hours post dose in the 200 mg dose group.</w:t>
      </w:r>
    </w:p>
    <w:p w14:paraId="5BD5FC64" w14:textId="7DEFE895" w:rsidR="00BA4A01" w:rsidRDefault="00BA4A01" w:rsidP="00101697">
      <w:pPr>
        <w:pStyle w:val="ListBullet"/>
      </w:pPr>
      <w:r>
        <w:t>In Part B subjects were treated with remibrutinib 400 mg BD or placebo for 5 days. Percent inhibition of &gt; 50% was achieved by day 2 and was maintained until day 6. The maximum level of inhibition observed was 65.30% on day 2.</w:t>
      </w:r>
    </w:p>
    <w:p w14:paraId="3B40664A" w14:textId="77777777" w:rsidR="00BA4A01" w:rsidRDefault="00BA4A01" w:rsidP="00101697">
      <w:pPr>
        <w:pStyle w:val="Heading7"/>
      </w:pPr>
      <w:r>
        <w:t>Skin prick testing</w:t>
      </w:r>
    </w:p>
    <w:p w14:paraId="30A0F62E" w14:textId="77777777" w:rsidR="00BA4A01" w:rsidRDefault="00BA4A01" w:rsidP="00BA4A01">
      <w:r>
        <w:t>Study X2101 (Parts 2 and 4) enrolled healthy volunteers with a known allergic diathesis. This study examined the effect of remibrutinib (10 to 600 mg daily, for 12 days) on the size of skin wheals produced by skin prick testing with a known antigen. Treatment with remibrutinib resulted in a decrease in the wheal size produced by the known antigen. A dose-response effect was observed. Response appeared to plateau at a dose of 100 mg daily.</w:t>
      </w:r>
    </w:p>
    <w:p w14:paraId="2A111FA0" w14:textId="77777777" w:rsidR="00BA4A01" w:rsidRDefault="00BA4A01" w:rsidP="00101697">
      <w:pPr>
        <w:pStyle w:val="Heading5"/>
      </w:pPr>
      <w:r>
        <w:t>Secondary pharmacodynamic effects</w:t>
      </w:r>
    </w:p>
    <w:p w14:paraId="6DF6F997" w14:textId="77777777" w:rsidR="00BA4A01" w:rsidRDefault="00BA4A01" w:rsidP="00BA4A01">
      <w:r>
        <w:t>Study F12101 examined the effect of remibrutinib treatment on antibody responses to vaccines. Vaccination concomitant with remibrutinib treatment generally resulted in a decreased antibody response compared to vaccination received while on placebo. This effect was decreased if remibrutinib treatment was interrupted for one week prior to, and two weeks after, vaccination.</w:t>
      </w:r>
    </w:p>
    <w:p w14:paraId="36D20619" w14:textId="77777777" w:rsidR="00BA4A01" w:rsidRDefault="00BA4A01" w:rsidP="00BA4A01">
      <w:r>
        <w:t>This study was conducted with inactivated vaccines. The interaction between remibrutinib and live attenuated vaccines has not been studied.</w:t>
      </w:r>
    </w:p>
    <w:p w14:paraId="7AB196AE" w14:textId="77777777" w:rsidR="00BA4A01" w:rsidRDefault="00BA4A01" w:rsidP="00BA4A01">
      <w:r>
        <w:t>The onset of action of remibrutinib is rapid, with complete BTK occupancy and absent free BTK at 30 minutes after administration. These effects lasted until 24 hours after the last dose.</w:t>
      </w:r>
    </w:p>
    <w:p w14:paraId="09EE7A7D" w14:textId="4854E038" w:rsidR="00BA4A01" w:rsidRDefault="00BA4A01" w:rsidP="00101697">
      <w:pPr>
        <w:pStyle w:val="Heading5"/>
      </w:pPr>
      <w:r>
        <w:t>Dosage selection for the pivotal studies</w:t>
      </w:r>
    </w:p>
    <w:p w14:paraId="1CDDC8D5" w14:textId="77777777" w:rsidR="00BA4A01" w:rsidRDefault="00BA4A01" w:rsidP="00BA4A01">
      <w:r>
        <w:t>The dose of remibrutinib used in the pivotal studies was 25 mg BD.</w:t>
      </w:r>
    </w:p>
    <w:p w14:paraId="036E486F" w14:textId="77777777" w:rsidR="00BA4A01" w:rsidRDefault="00BA4A01" w:rsidP="00101697">
      <w:pPr>
        <w:pStyle w:val="Heading6"/>
      </w:pPr>
      <w:r>
        <w:t>Pharmacokinetics and pharmacodynamics: dose finding studies</w:t>
      </w:r>
    </w:p>
    <w:p w14:paraId="38DD6E84" w14:textId="0F1F5F12" w:rsidR="00BA4A01" w:rsidRDefault="00BA4A01" w:rsidP="00BA4A01">
      <w:r>
        <w:t>With single doses of 30 mg and higher, complete BTK occupancy (&gt;95%) was seen. After multiple dosing for 12 days, BTK occupancy was &gt; 95% at most timepoints at doses ≥ 10 mg per day.</w:t>
      </w:r>
    </w:p>
    <w:p w14:paraId="7E734A22" w14:textId="4A746A89" w:rsidR="00BA4A01" w:rsidRDefault="00BA4A01" w:rsidP="00BA4A01">
      <w:r>
        <w:t>Inhibition of basophil activation was maximal at doses ≥ 50 mg daily</w:t>
      </w:r>
      <w:r w:rsidR="006333E8">
        <w:t xml:space="preserve">. </w:t>
      </w:r>
      <w:r>
        <w:t xml:space="preserve">With skin prick testing, </w:t>
      </w:r>
      <w:proofErr w:type="gramStart"/>
      <w:r>
        <w:t>a</w:t>
      </w:r>
      <w:r w:rsidR="00101697">
        <w:t xml:space="preserve">  </w:t>
      </w:r>
      <w:r>
        <w:t>dose</w:t>
      </w:r>
      <w:proofErr w:type="gramEnd"/>
      <w:r>
        <w:t>-response effect was observed. Response appeared to plateau at a dose of 100 mg daily.</w:t>
      </w:r>
    </w:p>
    <w:p w14:paraId="27EFEF3E" w14:textId="562613AD" w:rsidR="00BA4A01" w:rsidRDefault="00BA4A01" w:rsidP="00BA4A01">
      <w:r>
        <w:t>Study A2201explored various doses from 10 to 200 mg daily in subjects with CSU. The 25 mg BD dose was found to produce the greatest placebo-corrected improvement from baseline in efficacy parameters.</w:t>
      </w:r>
    </w:p>
    <w:p w14:paraId="3AB9DEC9" w14:textId="77777777" w:rsidR="00BA4A01" w:rsidRDefault="00BA4A01" w:rsidP="00BA4A01">
      <w:r>
        <w:t>The dose chosen for the pivotal studies was appropriate.</w:t>
      </w:r>
    </w:p>
    <w:p w14:paraId="07A4A6E1" w14:textId="555B20F8" w:rsidR="00BA4A01" w:rsidRDefault="00BA4A01" w:rsidP="00BA4A01">
      <w:r>
        <w:t xml:space="preserve">A subsequent exposure-response analysis using efficacy data from the pivotal studies indicated that there was a steep relationship between systemic exposure to remibrutinib and efficacy </w:t>
      </w:r>
      <w:r>
        <w:lastRenderedPageBreak/>
        <w:t>outcomes. Maximum response was achieved at low exposures (e.g. those predicted for a 10 mg BD dose), and the response plateaued at higher exposures. The response predicted at the systemic exposure achieved with the 25 mg BD dose was on this plateau</w:t>
      </w:r>
      <w:r w:rsidR="00B50106">
        <w:t>.</w:t>
      </w:r>
    </w:p>
    <w:p w14:paraId="52A2C1C1" w14:textId="58970904" w:rsidR="00BA4A01" w:rsidRDefault="00BA4A01" w:rsidP="00B50106">
      <w:pPr>
        <w:pStyle w:val="Heading4"/>
      </w:pPr>
      <w:bookmarkStart w:id="54" w:name="_Toc233190973"/>
      <w:r>
        <w:t>Efficacy</w:t>
      </w:r>
      <w:bookmarkEnd w:id="54"/>
    </w:p>
    <w:p w14:paraId="48EFF5E9" w14:textId="68087045" w:rsidR="00BA4A01" w:rsidRDefault="00BA4A01" w:rsidP="00BA4A01">
      <w:r>
        <w:t xml:space="preserve">Efficacy data to support </w:t>
      </w:r>
      <w:r w:rsidR="00B50106">
        <w:t xml:space="preserve">the </w:t>
      </w:r>
      <w:r>
        <w:t>proposed indication is provided by two pivotal, identically designed, phase 3, randomised, double-blind, placebo-controlled trials (A2301 and A2302</w:t>
      </w:r>
      <w:r w:rsidR="0098316A">
        <w:t>, Figure 1</w:t>
      </w:r>
      <w:r>
        <w:t>). One phase 2, randomised, double-blind, placebo-controlled, dose-ranging study (A2201) provides supportive evidence.</w:t>
      </w:r>
    </w:p>
    <w:p w14:paraId="38B9BB98" w14:textId="4A96A089" w:rsidR="00BA4A01" w:rsidRDefault="00BA4A01" w:rsidP="009B03BF">
      <w:pPr>
        <w:pStyle w:val="Heading5"/>
      </w:pPr>
      <w:r>
        <w:t>Studies CLOU064A2301 (REMIX-1) and CLOU064A2302 (REMIX-2)</w:t>
      </w:r>
    </w:p>
    <w:p w14:paraId="6DB28DAA" w14:textId="3064D366" w:rsidR="00BA4A01" w:rsidRDefault="00BA4A01" w:rsidP="009B03BF">
      <w:pPr>
        <w:pStyle w:val="Heading6"/>
      </w:pPr>
      <w:r>
        <w:t>Study design</w:t>
      </w:r>
    </w:p>
    <w:p w14:paraId="75F19C41" w14:textId="77777777" w:rsidR="00BA4A01" w:rsidRDefault="00BA4A01" w:rsidP="00BA4A01">
      <w:r>
        <w:t>Each study was a phase 3, randomised (2:1), double-blind placebo-controlled trial with two parallel groups (remibrutinib vs. placebo).</w:t>
      </w:r>
    </w:p>
    <w:p w14:paraId="51046039" w14:textId="2391882C" w:rsidR="00BA4A01" w:rsidRDefault="00BA4A01" w:rsidP="00BA4A01">
      <w:r>
        <w:t xml:space="preserve">Each study consisted of four periods, with a total study duration </w:t>
      </w:r>
      <w:r w:rsidR="00BD6353">
        <w:t xml:space="preserve">of </w:t>
      </w:r>
      <w:r>
        <w:t>up to 60 weeks:</w:t>
      </w:r>
    </w:p>
    <w:p w14:paraId="2FEC593A" w14:textId="66EF3C6F" w:rsidR="00BA4A01" w:rsidRDefault="00BA4A01" w:rsidP="009B03BF">
      <w:pPr>
        <w:pStyle w:val="ListBullet"/>
      </w:pPr>
      <w:r>
        <w:t>A screening period of up to 4 weeks (days -28 to -1);</w:t>
      </w:r>
    </w:p>
    <w:p w14:paraId="1927DCD7" w14:textId="0C2D8F98" w:rsidR="00BA4A01" w:rsidRDefault="00BA4A01" w:rsidP="009B03BF">
      <w:pPr>
        <w:pStyle w:val="ListBullet"/>
      </w:pPr>
      <w:r>
        <w:t>A double-blind treatment period of 24 weeks.</w:t>
      </w:r>
    </w:p>
    <w:p w14:paraId="294FE49F" w14:textId="20033CDF" w:rsidR="00BA4A01" w:rsidRDefault="00BA4A01" w:rsidP="009B03BF">
      <w:pPr>
        <w:pStyle w:val="ListBullet"/>
      </w:pPr>
      <w:r>
        <w:t>An open-label treatment period of 28 weeks with open-label remibrutinib.</w:t>
      </w:r>
    </w:p>
    <w:p w14:paraId="79026A4B" w14:textId="220FD6B3" w:rsidR="00BA4A01" w:rsidRDefault="00BA4A01" w:rsidP="009B03BF">
      <w:pPr>
        <w:pStyle w:val="ListBullet"/>
      </w:pPr>
      <w:r>
        <w:t>A follow-up period of 4 weeks of treatment-free follow-up.</w:t>
      </w:r>
    </w:p>
    <w:p w14:paraId="7320F545" w14:textId="44F30669" w:rsidR="00BA4A01" w:rsidRDefault="00BA4A01" w:rsidP="00BA4A01">
      <w:r>
        <w:t>Study visits were scheduled during screening (between days -28 and -1), at baseline (day 1 of week 1), at weeks 2, 4, 8, 12, 16, 20, 24, 32 40 and 52 of treatment and at the end of the follow</w:t>
      </w:r>
      <w:r w:rsidR="009B03BF">
        <w:t xml:space="preserve"> </w:t>
      </w:r>
      <w:r>
        <w:t>period (week 56).</w:t>
      </w:r>
    </w:p>
    <w:p w14:paraId="1E914CF7" w14:textId="63890E04" w:rsidR="001C6115" w:rsidRDefault="001C6115" w:rsidP="001C6115">
      <w:pPr>
        <w:pStyle w:val="FigureTitle"/>
      </w:pPr>
      <w:r w:rsidRPr="001C6115">
        <w:t>Figure 1</w:t>
      </w:r>
      <w:r>
        <w:t>.</w:t>
      </w:r>
      <w:r w:rsidRPr="001C6115">
        <w:t xml:space="preserve"> Studies A2301 and A2302 – Study schema</w:t>
      </w:r>
    </w:p>
    <w:p w14:paraId="74C1653A" w14:textId="554EBB76" w:rsidR="00974350" w:rsidRDefault="00F713C5" w:rsidP="0052070A">
      <w:r w:rsidRPr="00F713C5">
        <w:rPr>
          <w:noProof/>
        </w:rPr>
        <w:drawing>
          <wp:inline distT="0" distB="0" distL="0" distR="0" wp14:anchorId="487A76BB" wp14:editId="3FB136B0">
            <wp:extent cx="4972050" cy="2324310"/>
            <wp:effectExtent l="0" t="0" r="0" b="0"/>
            <wp:docPr id="25835571" name="Picture 1" descr="Figure 1. Studies A2301 and A2302 –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5571" name="Picture 1" descr="Figure 1. Studies A2301 and A2302 – Study schema"/>
                    <pic:cNvPicPr/>
                  </pic:nvPicPr>
                  <pic:blipFill>
                    <a:blip r:embed="rId25"/>
                    <a:stretch>
                      <a:fillRect/>
                    </a:stretch>
                  </pic:blipFill>
                  <pic:spPr>
                    <a:xfrm>
                      <a:off x="0" y="0"/>
                      <a:ext cx="5006145" cy="2340248"/>
                    </a:xfrm>
                    <a:prstGeom prst="rect">
                      <a:avLst/>
                    </a:prstGeom>
                  </pic:spPr>
                </pic:pic>
              </a:graphicData>
            </a:graphic>
          </wp:inline>
        </w:drawing>
      </w:r>
    </w:p>
    <w:p w14:paraId="6D9007FE" w14:textId="52EFC22E" w:rsidR="00CB6582" w:rsidRDefault="00350C4B" w:rsidP="00F713C5">
      <w:pPr>
        <w:pStyle w:val="FigureDescription"/>
      </w:pPr>
      <w:r w:rsidRPr="00350C4B">
        <w:t xml:space="preserve">D 1: Day 1, Pbo: placebo, PA: Primary Analysis, PE: Primary Endpoint; </w:t>
      </w:r>
      <w:proofErr w:type="spellStart"/>
      <w:r w:rsidRPr="00350C4B">
        <w:t>Scr</w:t>
      </w:r>
      <w:proofErr w:type="spellEnd"/>
      <w:r w:rsidRPr="00350C4B">
        <w:t>: Screening, W: Week.</w:t>
      </w:r>
    </w:p>
    <w:p w14:paraId="0BD4DED5" w14:textId="65BD5D1C" w:rsidR="00431BC9" w:rsidRDefault="00431BC9" w:rsidP="00431BC9">
      <w:pPr>
        <w:pStyle w:val="Heading6"/>
      </w:pPr>
      <w:r>
        <w:t xml:space="preserve">Study </w:t>
      </w:r>
      <w:r w:rsidR="0052070A">
        <w:t>objectives and endp</w:t>
      </w:r>
      <w:r>
        <w:t>oints</w:t>
      </w:r>
    </w:p>
    <w:p w14:paraId="00754D1A" w14:textId="5F4345DE" w:rsidR="00431BC9" w:rsidRDefault="00431BC9" w:rsidP="00431BC9">
      <w:r>
        <w:t xml:space="preserve">Of note, the sponsor received different advice from the </w:t>
      </w:r>
      <w:r w:rsidR="00F8290A">
        <w:t>European Medicines Agency (</w:t>
      </w:r>
      <w:r>
        <w:t>EMA</w:t>
      </w:r>
      <w:r w:rsidR="00F8290A">
        <w:t>)</w:t>
      </w:r>
      <w:r>
        <w:t xml:space="preserve"> and the </w:t>
      </w:r>
      <w:r w:rsidR="00F8290A">
        <w:t xml:space="preserve">US Food and Drug Administration (FDA) </w:t>
      </w:r>
      <w:r>
        <w:t xml:space="preserve">regarding the appropriate primary endpoint(s). The EMA recommended use of the UAS7 as the primary endpoint, whereas the FDA recommended the use of the </w:t>
      </w:r>
      <w:r w:rsidR="00AE15FB" w:rsidRPr="00AE15FB">
        <w:t xml:space="preserve">Itch Severity Score over 7 days </w:t>
      </w:r>
      <w:r w:rsidR="000F606B">
        <w:t>(</w:t>
      </w:r>
      <w:r w:rsidR="000F606B" w:rsidRPr="000F606B">
        <w:t>ISS7</w:t>
      </w:r>
      <w:r w:rsidR="000F606B">
        <w:t>)</w:t>
      </w:r>
      <w:r>
        <w:t xml:space="preserve"> and </w:t>
      </w:r>
      <w:r w:rsidR="000F606B" w:rsidRPr="000F606B">
        <w:t xml:space="preserve">Hive Severity Score over 7 days </w:t>
      </w:r>
      <w:r w:rsidR="000F606B">
        <w:t>(</w:t>
      </w:r>
      <w:r>
        <w:t>HSS7</w:t>
      </w:r>
      <w:r w:rsidR="000F606B">
        <w:t>)</w:t>
      </w:r>
      <w:r>
        <w:t xml:space="preserve"> as co-primary endpoints. These three endpoints are explained below.</w:t>
      </w:r>
    </w:p>
    <w:p w14:paraId="54F1A010" w14:textId="79BB9E5B" w:rsidR="009B5AF6" w:rsidRDefault="00431BC9">
      <w:r>
        <w:lastRenderedPageBreak/>
        <w:t>As a result, the sponsor constructed two “scenarios” for analysis of the data. The first scenario followed the EMA approach while the second scenario followed the FDA approach. The study objectives and study endpoints differed between the two scenarios. As the TGA typically adopts the approach of the EMA (e.g. EMA clinical guidelines), this evaluation report will focus on the first scenario.</w:t>
      </w:r>
    </w:p>
    <w:p w14:paraId="741C4481" w14:textId="6659E0BA" w:rsidR="00431BC9" w:rsidRDefault="00431BC9" w:rsidP="00E65529">
      <w:pPr>
        <w:pStyle w:val="TableTitle"/>
      </w:pPr>
      <w:r>
        <w:t xml:space="preserve">Table </w:t>
      </w:r>
      <w:r w:rsidR="00E65529">
        <w:t>4</w:t>
      </w:r>
      <w:r>
        <w:t xml:space="preserve"> – Studies A2301 and A2302 – Study objectives</w:t>
      </w:r>
    </w:p>
    <w:p w14:paraId="606252EC" w14:textId="59D7BED7" w:rsidR="009B5AF6" w:rsidRDefault="005E6C7C" w:rsidP="00431BC9">
      <w:r w:rsidRPr="005E6C7C">
        <w:rPr>
          <w:noProof/>
        </w:rPr>
        <w:drawing>
          <wp:inline distT="0" distB="0" distL="0" distR="0" wp14:anchorId="44C11FE3" wp14:editId="76EA6889">
            <wp:extent cx="5723466" cy="6242050"/>
            <wp:effectExtent l="0" t="0" r="0" b="6350"/>
            <wp:docPr id="136556606" name="Picture 1" descr="Table 4 – Studies A2301 and A2302 – Study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6606" name="Picture 1" descr="Table 4 – Studies A2301 and A2302 – Study objectives"/>
                    <pic:cNvPicPr/>
                  </pic:nvPicPr>
                  <pic:blipFill rotWithShape="1">
                    <a:blip r:embed="rId26"/>
                    <a:srcRect r="625"/>
                    <a:stretch>
                      <a:fillRect/>
                    </a:stretch>
                  </pic:blipFill>
                  <pic:spPr bwMode="auto">
                    <a:xfrm>
                      <a:off x="0" y="0"/>
                      <a:ext cx="5723466" cy="6242050"/>
                    </a:xfrm>
                    <a:prstGeom prst="rect">
                      <a:avLst/>
                    </a:prstGeom>
                    <a:ln>
                      <a:noFill/>
                    </a:ln>
                    <a:extLst>
                      <a:ext uri="{53640926-AAD7-44D8-BBD7-CCE9431645EC}">
                        <a14:shadowObscured xmlns:a14="http://schemas.microsoft.com/office/drawing/2010/main"/>
                      </a:ext>
                    </a:extLst>
                  </pic:spPr>
                </pic:pic>
              </a:graphicData>
            </a:graphic>
          </wp:inline>
        </w:drawing>
      </w:r>
    </w:p>
    <w:p w14:paraId="628146A9" w14:textId="77777777" w:rsidR="005E1CCF" w:rsidRDefault="005E1CCF" w:rsidP="005E1CCF">
      <w:pPr>
        <w:pStyle w:val="Heading6"/>
      </w:pPr>
      <w:r>
        <w:t>Inclusion and exclusion criteria</w:t>
      </w:r>
    </w:p>
    <w:p w14:paraId="1480A0B5" w14:textId="77777777" w:rsidR="005E1CCF" w:rsidRDefault="005E1CCF" w:rsidP="005E1CCF">
      <w:r>
        <w:t>The key inclusion criteria were:</w:t>
      </w:r>
    </w:p>
    <w:p w14:paraId="25A1F508" w14:textId="05317745" w:rsidR="005E1CCF" w:rsidRDefault="005E1CCF" w:rsidP="005E1CCF">
      <w:pPr>
        <w:pStyle w:val="ListBullet"/>
      </w:pPr>
      <w:r>
        <w:t>Age ≥ 18 years.</w:t>
      </w:r>
    </w:p>
    <w:p w14:paraId="5141ED00" w14:textId="40F2888E" w:rsidR="005E1CCF" w:rsidRDefault="005E1CCF" w:rsidP="005E1CCF">
      <w:pPr>
        <w:pStyle w:val="ListBullet"/>
      </w:pPr>
      <w:r>
        <w:t>CSU duration for ≥ 6 months prior to screening.</w:t>
      </w:r>
    </w:p>
    <w:p w14:paraId="692E0292" w14:textId="0B60963B" w:rsidR="005E1CCF" w:rsidRDefault="005E1CCF" w:rsidP="005E1CCF">
      <w:pPr>
        <w:pStyle w:val="ListBullet"/>
      </w:pPr>
      <w:r>
        <w:t>CSU inadequately controlled by second generation H1-antihistamines at the time of randomisation.</w:t>
      </w:r>
    </w:p>
    <w:p w14:paraId="74A45F7D" w14:textId="77777777" w:rsidR="00653E28" w:rsidRDefault="005E1CCF" w:rsidP="005E1CCF">
      <w:pPr>
        <w:pStyle w:val="ListBullet"/>
      </w:pPr>
      <w:r>
        <w:lastRenderedPageBreak/>
        <w:t xml:space="preserve">Moderate to severe disease. </w:t>
      </w:r>
    </w:p>
    <w:p w14:paraId="2525989F" w14:textId="46BA5038" w:rsidR="005E1CCF" w:rsidRDefault="005E1CCF" w:rsidP="00653E28">
      <w:pPr>
        <w:pStyle w:val="ListBullet"/>
        <w:numPr>
          <w:ilvl w:val="0"/>
          <w:numId w:val="0"/>
        </w:numPr>
      </w:pPr>
      <w:r>
        <w:t>The key exclusion criteria were:</w:t>
      </w:r>
    </w:p>
    <w:p w14:paraId="2E5CCFB9" w14:textId="70E86426" w:rsidR="005E1CCF" w:rsidRDefault="005E1CCF" w:rsidP="005E1CCF">
      <w:pPr>
        <w:pStyle w:val="ListBullet"/>
      </w:pPr>
      <w:r>
        <w:t>Chronic Inducible Urticaria (CINDU)</w:t>
      </w:r>
      <w:r w:rsidR="00004031">
        <w:t xml:space="preserve"> if </w:t>
      </w:r>
      <w:r w:rsidR="00C6562D">
        <w:t>the predominant or sole trigger of CU</w:t>
      </w:r>
    </w:p>
    <w:p w14:paraId="3999BC62" w14:textId="771E1344" w:rsidR="005E1CCF" w:rsidRDefault="005E1CCF" w:rsidP="005E1CCF">
      <w:pPr>
        <w:pStyle w:val="ListBullet"/>
      </w:pPr>
      <w:r>
        <w:t>Other diseases with symptoms of urticaria or angioedema.</w:t>
      </w:r>
    </w:p>
    <w:p w14:paraId="3B570FAE" w14:textId="071FAD21" w:rsidR="005E1CCF" w:rsidRDefault="005E1CCF" w:rsidP="005E1CCF">
      <w:pPr>
        <w:pStyle w:val="ListBullet"/>
      </w:pPr>
      <w:r>
        <w:t>Any other skin disease associated with chronic itching that might influence in the investigator’s opinion the study evaluations and results.</w:t>
      </w:r>
    </w:p>
    <w:p w14:paraId="16014BE6" w14:textId="6D923DC4" w:rsidR="005E1CCF" w:rsidRDefault="005E1CCF" w:rsidP="005E1CCF">
      <w:pPr>
        <w:pStyle w:val="ListBullet"/>
      </w:pPr>
      <w:r>
        <w:t>Evidence of clinically significant cardiovascular, neurological, psychiatric, pulmonary, renal, hepatic, endocrine, metabolic, haematological disorders, gastrointestinal disease or immunodeficiency.</w:t>
      </w:r>
    </w:p>
    <w:p w14:paraId="4AC9672F" w14:textId="77777777" w:rsidR="005E1CCF" w:rsidRDefault="005E1CCF" w:rsidP="005E1CCF">
      <w:pPr>
        <w:pStyle w:val="Heading6"/>
      </w:pPr>
      <w:r>
        <w:t>Sample size</w:t>
      </w:r>
    </w:p>
    <w:p w14:paraId="2B884B7E" w14:textId="5719A4B0" w:rsidR="005E1CCF" w:rsidRDefault="005E1CCF" w:rsidP="005E1CCF">
      <w:r>
        <w:t>The International Conference on Harmonisation (ICH) guideline on the extent of population exposure required to assess clinical safety suggests that 300-600 patients should be treated for 6 months, and 100 patients for 12 months.</w:t>
      </w:r>
      <w:r w:rsidR="00B03FC1">
        <w:rPr>
          <w:rStyle w:val="FootnoteReference"/>
        </w:rPr>
        <w:footnoteReference w:id="27"/>
      </w:r>
      <w:r>
        <w:t xml:space="preserve"> The sample size was chosen </w:t>
      </w:r>
      <w:proofErr w:type="gramStart"/>
      <w:r>
        <w:t>in order to</w:t>
      </w:r>
      <w:proofErr w:type="gramEnd"/>
      <w:r>
        <w:t xml:space="preserve"> fulfill these requirements. For both studies, a sample size of 300 subjects in the active arm (and 150 in the placebo arm) was targeted. Hence, the total sample size was 450 randomised subjects in each study.</w:t>
      </w:r>
    </w:p>
    <w:p w14:paraId="26C4FD50" w14:textId="77777777" w:rsidR="005E1CCF" w:rsidRDefault="005E1CCF" w:rsidP="005E1CCF">
      <w:pPr>
        <w:pStyle w:val="Heading6"/>
      </w:pPr>
      <w:r>
        <w:t>Participant flow</w:t>
      </w:r>
    </w:p>
    <w:p w14:paraId="6E36A60C" w14:textId="77777777" w:rsidR="005E1CCF" w:rsidRDefault="005E1CCF" w:rsidP="005E1CCF">
      <w:r>
        <w:t>In study A2301, a total of 654 subjects were screened, and a total of 470 subjects were randomised. Of these, seven subjects were mis-randomised and therefore did not receive treatment. 309 subjects were randomised and treated in the remibrutinib arm, and 154 subjects were randomised and treated in the placebo arm.</w:t>
      </w:r>
    </w:p>
    <w:p w14:paraId="418D1F35" w14:textId="77777777" w:rsidR="005E1CCF" w:rsidRDefault="005E1CCF" w:rsidP="005E1CCF">
      <w:r>
        <w:t>In study A2302, a total of 612 subjects were screened, and a total of 455 subjects were randomised. Of these, five subjects were mis-randomised and therefore did not receive treatment. 297 subjects were randomised and treated in the remibrutinib arm, and 153 subjects were randomised and treated in the placebo arm.</w:t>
      </w:r>
    </w:p>
    <w:p w14:paraId="5DF3100A" w14:textId="77777777" w:rsidR="005E1CCF" w:rsidRDefault="005E1CCF" w:rsidP="005E1CCF">
      <w:pPr>
        <w:pStyle w:val="Heading6"/>
      </w:pPr>
      <w:r>
        <w:t>Major protocol violations/deviations</w:t>
      </w:r>
    </w:p>
    <w:p w14:paraId="6D42B9CA" w14:textId="77777777" w:rsidR="008237DE" w:rsidRDefault="005E1CCF" w:rsidP="005E1CCF">
      <w:r>
        <w:t xml:space="preserve">Protocol deviations were not classified as major or minor. </w:t>
      </w:r>
    </w:p>
    <w:p w14:paraId="50BB3D07" w14:textId="0EE7CA26" w:rsidR="005E1CCF" w:rsidRDefault="005E1CCF" w:rsidP="008237DE">
      <w:pPr>
        <w:pStyle w:val="Heading7"/>
      </w:pPr>
      <w:r>
        <w:t>Study A2301</w:t>
      </w:r>
    </w:p>
    <w:p w14:paraId="3A2116E0" w14:textId="77777777" w:rsidR="005E1CCF" w:rsidRDefault="005E1CCF" w:rsidP="005E1CCF">
      <w:r>
        <w:t>Overall deviations occurred with a similar frequency in both arms. Use of prohibited concomitant medication was more common in the remibrutinib arm (12.8% vs. 7.0%).</w:t>
      </w:r>
    </w:p>
    <w:p w14:paraId="22776758" w14:textId="77777777" w:rsidR="005E1CCF" w:rsidRDefault="005E1CCF" w:rsidP="008237DE">
      <w:pPr>
        <w:pStyle w:val="Heading7"/>
      </w:pPr>
      <w:r>
        <w:t>Study A2302</w:t>
      </w:r>
    </w:p>
    <w:p w14:paraId="59C457E2" w14:textId="77777777" w:rsidR="005E1CCF" w:rsidRDefault="005E1CCF" w:rsidP="005E1CCF">
      <w:r>
        <w:t>Overall, deviations were more common in the placebo arm (46.5% vs. 40.7%). Use of prohibited medication was also more common in the placebo arm (14.8% vs. 8.3%).</w:t>
      </w:r>
    </w:p>
    <w:p w14:paraId="5C6C6CCA" w14:textId="77777777" w:rsidR="005E1CCF" w:rsidRDefault="005E1CCF" w:rsidP="008237DE">
      <w:pPr>
        <w:pStyle w:val="Heading6"/>
      </w:pPr>
      <w:r>
        <w:t>Baseline data</w:t>
      </w:r>
    </w:p>
    <w:p w14:paraId="46966C9B" w14:textId="77777777" w:rsidR="005E1CCF" w:rsidRDefault="005E1CCF" w:rsidP="008237DE">
      <w:pPr>
        <w:pStyle w:val="Heading7"/>
      </w:pPr>
      <w:r>
        <w:t>Study A2301</w:t>
      </w:r>
    </w:p>
    <w:p w14:paraId="13D14D61" w14:textId="77777777" w:rsidR="005E1CCF" w:rsidRDefault="005E1CCF" w:rsidP="005E1CCF">
      <w:r>
        <w:t>Mean age of the study population was 45.0 years (range 18 – 79). 68.3% were female and 31.7% were male. The two treatment arms were well balanced with respect to these characteristics.</w:t>
      </w:r>
    </w:p>
    <w:p w14:paraId="5F923843" w14:textId="77777777" w:rsidR="005E1CCF" w:rsidRDefault="005E1CCF" w:rsidP="005E1CCF">
      <w:r>
        <w:t>31.3% of the population had had prior exposure to anti-IgE agents such as omalizumab.</w:t>
      </w:r>
    </w:p>
    <w:p w14:paraId="07853AC2" w14:textId="77F75529" w:rsidR="005E1CCF" w:rsidRDefault="005E1CCF" w:rsidP="005E1CCF">
      <w:r>
        <w:lastRenderedPageBreak/>
        <w:t xml:space="preserve">More subjects in the remibrutinib arm had a prior history of angioedema (55.3% vs. 44.6%). However, baseline </w:t>
      </w:r>
      <w:r w:rsidR="00840402" w:rsidRPr="00840402">
        <w:t>weekly Angioedema Activity Score</w:t>
      </w:r>
      <w:r w:rsidR="009774B6">
        <w:t>s</w:t>
      </w:r>
      <w:r w:rsidR="00840402" w:rsidRPr="00840402">
        <w:t xml:space="preserve"> </w:t>
      </w:r>
      <w:r w:rsidR="009774B6">
        <w:t>(</w:t>
      </w:r>
      <w:r>
        <w:t>A</w:t>
      </w:r>
      <w:r w:rsidR="00840402">
        <w:t>A</w:t>
      </w:r>
      <w:r>
        <w:t>S7</w:t>
      </w:r>
      <w:r w:rsidR="009774B6">
        <w:t xml:space="preserve">) </w:t>
      </w:r>
      <w:r>
        <w:t>were similar in the two arms. The two arms were reasonably well balance with respect to other disease characteristics at baseline.</w:t>
      </w:r>
    </w:p>
    <w:p w14:paraId="1D2BE4D8" w14:textId="77777777" w:rsidR="005E1CCF" w:rsidRDefault="005E1CCF" w:rsidP="005E1CCF">
      <w:r>
        <w:t>The two arms were also reasonably well balanced at baseline with respect to prior medications.</w:t>
      </w:r>
    </w:p>
    <w:p w14:paraId="37F6E712" w14:textId="77777777" w:rsidR="005E1CCF" w:rsidRDefault="005E1CCF" w:rsidP="00FE7004">
      <w:pPr>
        <w:pStyle w:val="Heading5"/>
      </w:pPr>
      <w:r>
        <w:t>Results for the primary efficacy outcome</w:t>
      </w:r>
    </w:p>
    <w:p w14:paraId="160B64A6" w14:textId="77777777" w:rsidR="005E1CCF" w:rsidRDefault="005E1CCF" w:rsidP="005E1CCF">
      <w:r>
        <w:t>The primary endpoint was the absolute change from baseline in UAS7 at Week 12.</w:t>
      </w:r>
    </w:p>
    <w:p w14:paraId="4E20F63E" w14:textId="77777777" w:rsidR="005E1CCF" w:rsidRDefault="005E1CCF" w:rsidP="00FE7004">
      <w:pPr>
        <w:pStyle w:val="Heading6"/>
      </w:pPr>
      <w:r>
        <w:t>Study A2301</w:t>
      </w:r>
    </w:p>
    <w:p w14:paraId="61937C5E" w14:textId="77777777" w:rsidR="005E1CCF" w:rsidRDefault="005E1CCF" w:rsidP="005E1CCF">
      <w:r>
        <w:t>In the remibrutinib arm the LS mean change in UAS7 from baseline to week 12 was -20.02 points, compared with -13.79 points in the placebo arm. The LS mean difference between treatments was -6.22 points (95%CI: -8.45 to -4.00). The difference was statistically significant (p &lt; 0.001).</w:t>
      </w:r>
    </w:p>
    <w:p w14:paraId="661F4823" w14:textId="186BF94D" w:rsidR="00C92E8F" w:rsidRDefault="00A25B20" w:rsidP="00A25B20">
      <w:pPr>
        <w:pStyle w:val="TableTitle"/>
      </w:pPr>
      <w:r w:rsidRPr="00A25B20">
        <w:t xml:space="preserve">Table </w:t>
      </w:r>
      <w:r>
        <w:t>5</w:t>
      </w:r>
      <w:r w:rsidR="00646A58">
        <w:t xml:space="preserve">. </w:t>
      </w:r>
      <w:r w:rsidRPr="00A25B20">
        <w:t>Study A2301 –Mean Change from baseline to week 12 in UAS7 (FAS)</w:t>
      </w:r>
    </w:p>
    <w:p w14:paraId="58B892C0" w14:textId="0AF89A0C" w:rsidR="00C92E8F" w:rsidRDefault="00C92E8F" w:rsidP="005E1CCF">
      <w:r w:rsidRPr="00C92E8F">
        <w:rPr>
          <w:noProof/>
        </w:rPr>
        <w:drawing>
          <wp:inline distT="0" distB="0" distL="0" distR="0" wp14:anchorId="7E3A8670" wp14:editId="7A787839">
            <wp:extent cx="5759450" cy="587375"/>
            <wp:effectExtent l="0" t="0" r="0" b="3175"/>
            <wp:docPr id="1226680776" name="Picture 1" descr="Table 5. Study A2301 –Mean Change from baseline to week 12 in UAS7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80776" name="Picture 1" descr="Table 5. Study A2301 –Mean Change from baseline to week 12 in UAS7 (FAS)"/>
                    <pic:cNvPicPr/>
                  </pic:nvPicPr>
                  <pic:blipFill>
                    <a:blip r:embed="rId27"/>
                    <a:stretch>
                      <a:fillRect/>
                    </a:stretch>
                  </pic:blipFill>
                  <pic:spPr>
                    <a:xfrm>
                      <a:off x="0" y="0"/>
                      <a:ext cx="5759450" cy="587375"/>
                    </a:xfrm>
                    <a:prstGeom prst="rect">
                      <a:avLst/>
                    </a:prstGeom>
                  </pic:spPr>
                </pic:pic>
              </a:graphicData>
            </a:graphic>
          </wp:inline>
        </w:drawing>
      </w:r>
    </w:p>
    <w:p w14:paraId="7B7B8825" w14:textId="77777777" w:rsidR="00A25B20" w:rsidRDefault="00A25B20" w:rsidP="00A25B20">
      <w:pPr>
        <w:pStyle w:val="TableDescription"/>
      </w:pPr>
      <w:r>
        <w:t>LS Mean: Least squares mean, SE: standard error, CI: confidence interval, p-value: one-sided p-value.</w:t>
      </w:r>
    </w:p>
    <w:p w14:paraId="4D22F105" w14:textId="77777777" w:rsidR="00A25B20" w:rsidRDefault="00A25B20" w:rsidP="00A25B20">
      <w:pPr>
        <w:pStyle w:val="TableDescription"/>
      </w:pPr>
      <w:r>
        <w:t>n: number of subjects included in the analysis for each treatment group.</w:t>
      </w:r>
    </w:p>
    <w:p w14:paraId="21A13041" w14:textId="5C3F2172" w:rsidR="00A25B20" w:rsidRDefault="00A25B20" w:rsidP="00A25B20">
      <w:pPr>
        <w:pStyle w:val="TableDescription"/>
      </w:pPr>
      <w:r>
        <w:t>Statistical model used a mixed effect model with repeated measures (MMRM) adjusting for treatment group, geographical region, prior exposure to anti-IgE biologics, visit week, baseline score and both interaction of treatment by visit week and interaction of baseline score by visit week.</w:t>
      </w:r>
    </w:p>
    <w:p w14:paraId="28723AC2" w14:textId="52878BFD" w:rsidR="00A25B20" w:rsidRDefault="00A25B20" w:rsidP="00A25B20">
      <w:pPr>
        <w:pStyle w:val="TableDescription"/>
      </w:pPr>
      <w:r>
        <w:t>Pre-specified intercurrent events are considered. Intake of strongly confounding prohibited medication: Composite strategy (the measurements after the event are excluded and imputed with the worst value). Discontinuation of study treatment due to any reason prior to Week 12: Treatment policy strategy; Intake of rescue medication as per protocol, switch of background medication, intake of other prohibited medication, or non-compliant prior to Week 12: Treatment policy strategy.</w:t>
      </w:r>
    </w:p>
    <w:p w14:paraId="77514AE8" w14:textId="77777777" w:rsidR="00FE7004" w:rsidRDefault="00FE7004" w:rsidP="0052070A">
      <w:r>
        <w:t>A sensitivity analysis was conducted. In this analysis in the case of intake of strongly confounding prohibited medication, the change from baseline in UAS7 scores up to Week 12 were imputed using zero (i.e., no clinical improvement from baseline), rather than using the worst possible value.</w:t>
      </w:r>
    </w:p>
    <w:p w14:paraId="04B3B0D4" w14:textId="77777777" w:rsidR="00FE7004" w:rsidRDefault="00FE7004" w:rsidP="00FE7004">
      <w:r>
        <w:t>Using this method, in the remibrutinib arm the LS mean change in UAS7 from baseline to week 12 was -20.07 points, compared with -13.79 points in the placebo arm. The LS mean difference between treatments was -6.29 points (95%CI: -8.49 to -4.08). The difference was statistically significant (p &lt; 0.001).</w:t>
      </w:r>
    </w:p>
    <w:p w14:paraId="7C9362F1" w14:textId="77777777" w:rsidR="00FE7004" w:rsidRDefault="00FE7004" w:rsidP="00FE7004">
      <w:pPr>
        <w:pStyle w:val="Heading7"/>
      </w:pPr>
      <w:r>
        <w:t>Subgroup analyses</w:t>
      </w:r>
    </w:p>
    <w:p w14:paraId="7347D0E1" w14:textId="6AA7D982" w:rsidR="00FE7004" w:rsidRDefault="00FE7004" w:rsidP="00FE7004">
      <w:r>
        <w:t>Subgroup analyses were presented for the subgroups defined by the randomisation strata. Remibrutinib was superior to placebo in all subgroups. Prior use of anti-IgE biologics did not affect efficacy</w:t>
      </w:r>
      <w:r w:rsidR="0098316A">
        <w:t xml:space="preserve"> (Figure 2)</w:t>
      </w:r>
      <w:r>
        <w:t>.</w:t>
      </w:r>
    </w:p>
    <w:p w14:paraId="4A29B341" w14:textId="136A8467" w:rsidR="00885C36" w:rsidRDefault="00885C36" w:rsidP="00885C36">
      <w:pPr>
        <w:pStyle w:val="FigureTitle"/>
      </w:pPr>
      <w:r w:rsidRPr="00885C36">
        <w:lastRenderedPageBreak/>
        <w:t>Figure 2 – Study A2301 – Subgroup analyses</w:t>
      </w:r>
    </w:p>
    <w:p w14:paraId="45F8BEB8" w14:textId="154CCCC1" w:rsidR="00A86BBB" w:rsidRDefault="00A86BBB" w:rsidP="00FE7004">
      <w:r w:rsidRPr="00A86BBB">
        <w:rPr>
          <w:noProof/>
        </w:rPr>
        <w:drawing>
          <wp:inline distT="0" distB="0" distL="0" distR="0" wp14:anchorId="3E57CA47" wp14:editId="7122EFE0">
            <wp:extent cx="5759450" cy="2378710"/>
            <wp:effectExtent l="0" t="0" r="0" b="2540"/>
            <wp:docPr id="279686662" name="Picture 1" descr="Figure 2 – Study A2301 –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86662" name="Picture 1" descr="Figure 2 – Study A2301 – Subgroup analyses"/>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759450" cy="2378710"/>
                    </a:xfrm>
                    <a:prstGeom prst="rect">
                      <a:avLst/>
                    </a:prstGeom>
                  </pic:spPr>
                </pic:pic>
              </a:graphicData>
            </a:graphic>
          </wp:inline>
        </w:drawing>
      </w:r>
    </w:p>
    <w:p w14:paraId="23ECB2FE" w14:textId="6C6EB84A" w:rsidR="00885C36" w:rsidRDefault="00885C36" w:rsidP="00D1308A">
      <w:pPr>
        <w:pStyle w:val="FigureDescription"/>
      </w:pPr>
      <w:r>
        <w:t>LS Mean: Least squares mean, CI: confidence interval.</w:t>
      </w:r>
    </w:p>
    <w:p w14:paraId="572BC27F" w14:textId="4F282585" w:rsidR="00752884" w:rsidRDefault="00885C36" w:rsidP="00D1308A">
      <w:pPr>
        <w:pStyle w:val="FigureDescription"/>
      </w:pPr>
      <w:r>
        <w:t>Statistical model used a mixed effect model with repeated measures (MMRM) adjusting for treatment group,</w:t>
      </w:r>
      <w:r w:rsidR="00D1308A">
        <w:t xml:space="preserve"> </w:t>
      </w:r>
      <w:r>
        <w:t>geographical region (excluded in the analysis of the geographical region subgroups), prior exposure to anti-IgE biologics (excluded in the analysis of the prior exposure to anti-IgE biologics subgroups), visit week, baseline score and both interaction of treatment by visit week and interaction of baseline score by visit week.</w:t>
      </w:r>
    </w:p>
    <w:p w14:paraId="10877DD2" w14:textId="77777777" w:rsidR="000351F3" w:rsidRDefault="000351F3" w:rsidP="000351F3">
      <w:pPr>
        <w:pStyle w:val="Heading6"/>
      </w:pPr>
      <w:r>
        <w:t>Study A2302</w:t>
      </w:r>
    </w:p>
    <w:p w14:paraId="38F2919E" w14:textId="77777777" w:rsidR="000351F3" w:rsidRDefault="000351F3" w:rsidP="000351F3">
      <w:r>
        <w:t>In the remibrutinib arm the LS mean change in UAS7 from baseline to week 12 was -19.41 points, compared with -11.73 points in the placebo arm. The LS mean difference between treatments was -7.68 points (95%CI: -9.91 to -5.46). The difference was statistically significant (p &lt; 0.001).</w:t>
      </w:r>
    </w:p>
    <w:p w14:paraId="3A50197B" w14:textId="77777777" w:rsidR="0052070A" w:rsidRDefault="000351F3" w:rsidP="0052070A">
      <w:pPr>
        <w:pStyle w:val="TableTitle"/>
        <w:rPr>
          <w:noProof/>
        </w:rPr>
      </w:pPr>
      <w:r>
        <w:t xml:space="preserve">Table </w:t>
      </w:r>
      <w:r w:rsidR="00646A58">
        <w:t xml:space="preserve">6. </w:t>
      </w:r>
      <w:r>
        <w:t>Study A2302 – Change from baseline to week 12 in UAS7</w:t>
      </w:r>
      <w:r w:rsidR="00E22CC7" w:rsidRPr="00E22CC7">
        <w:rPr>
          <w:noProof/>
        </w:rPr>
        <w:t xml:space="preserve"> </w:t>
      </w:r>
    </w:p>
    <w:p w14:paraId="3107E6F6" w14:textId="6E908BCD" w:rsidR="000351F3" w:rsidRDefault="00E22CC7" w:rsidP="0052070A">
      <w:pPr>
        <w:rPr>
          <w:noProof/>
        </w:rPr>
      </w:pPr>
      <w:r w:rsidRPr="00E22CC7">
        <w:rPr>
          <w:noProof/>
        </w:rPr>
        <w:drawing>
          <wp:inline distT="0" distB="0" distL="0" distR="0" wp14:anchorId="63A488E5" wp14:editId="291AA294">
            <wp:extent cx="5759450" cy="571500"/>
            <wp:effectExtent l="0" t="0" r="0" b="0"/>
            <wp:docPr id="719657931" name="Picture 1" descr="Table 6. Study A2302 – Change from baseline to week 12 in UAS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57931" name="Picture 1" descr="Table 6. Study A2302 – Change from baseline to week 12 in UAS7 "/>
                    <pic:cNvPicPr/>
                  </pic:nvPicPr>
                  <pic:blipFill>
                    <a:blip r:embed="rId30"/>
                    <a:stretch>
                      <a:fillRect/>
                    </a:stretch>
                  </pic:blipFill>
                  <pic:spPr>
                    <a:xfrm>
                      <a:off x="0" y="0"/>
                      <a:ext cx="5759450" cy="571500"/>
                    </a:xfrm>
                    <a:prstGeom prst="rect">
                      <a:avLst/>
                    </a:prstGeom>
                  </pic:spPr>
                </pic:pic>
              </a:graphicData>
            </a:graphic>
          </wp:inline>
        </w:drawing>
      </w:r>
    </w:p>
    <w:p w14:paraId="532D309A" w14:textId="77777777" w:rsidR="00067D32" w:rsidRDefault="00067D32" w:rsidP="00067D32">
      <w:pPr>
        <w:pStyle w:val="TableDescription"/>
      </w:pPr>
      <w:r>
        <w:t>LS Mean: Least squares mean, SE: standard error, CI: confidence interval, p-value: one-sided p-value.</w:t>
      </w:r>
    </w:p>
    <w:p w14:paraId="07AE63DB" w14:textId="77777777" w:rsidR="00067D32" w:rsidRDefault="00067D32" w:rsidP="00067D32">
      <w:pPr>
        <w:pStyle w:val="TableDescription"/>
      </w:pPr>
      <w:r>
        <w:t>n: number of subjects included in the analysis for each treatment group.</w:t>
      </w:r>
    </w:p>
    <w:p w14:paraId="633815D5" w14:textId="7781C99F" w:rsidR="00067D32" w:rsidRDefault="00067D32" w:rsidP="00067D32">
      <w:pPr>
        <w:pStyle w:val="TableDescription"/>
      </w:pPr>
      <w:r>
        <w:t>Statistical model used a mixed effect model with repeated measures (MMRM) adjusting for treatment group, geographical region, prior exposure to anti-IgE biologics, visit week, Baseline score and both interaction of treatment by visit week and interaction of baseline score by visit week.</w:t>
      </w:r>
    </w:p>
    <w:p w14:paraId="1EA74B5E" w14:textId="3A7A0E42" w:rsidR="00A32221" w:rsidRDefault="00067D32" w:rsidP="0052070A">
      <w:pPr>
        <w:pStyle w:val="TableDescription"/>
      </w:pPr>
      <w:r>
        <w:t>Pre-specified intercurrent events are considered. Intake of strongly confounding prohibited medication: Composite strategy (the measurements after the event are excluded and imputed with the worst value). Discontinuation of study treatment due to any reason prior to Week 12: Treatment policy strategy; Intake of rescue medication as per protocol, switch of background medication, intake of other prohibited medication, or non-compliant prior to Week 12: Treatment policy strategy.</w:t>
      </w:r>
      <w:r>
        <w:br/>
      </w:r>
      <w:r w:rsidR="00A32221">
        <w:t>Sensitivity analysis</w:t>
      </w:r>
    </w:p>
    <w:p w14:paraId="130308ED" w14:textId="77777777" w:rsidR="00A32221" w:rsidRDefault="00A32221" w:rsidP="00A32221">
      <w:r>
        <w:t>The same sensitivity analysis used in study A2301 was performed. Using this method, in the remibrutinib arm the LS mean change in UAS7 from baseline to week 12 was -19.49 points, compared with -11.85 points in the placebo arm. The LS mean difference between treatments was -7.64 points (95%CI: -9.83 to -5.44). The difference was statistically significant (p &lt; 0.001).</w:t>
      </w:r>
    </w:p>
    <w:p w14:paraId="767A3347" w14:textId="77777777" w:rsidR="00A32221" w:rsidRDefault="00A32221" w:rsidP="00A32221">
      <w:pPr>
        <w:pStyle w:val="Heading7"/>
      </w:pPr>
      <w:r>
        <w:t>Subgroup analysis</w:t>
      </w:r>
    </w:p>
    <w:p w14:paraId="5BE293E6" w14:textId="01A3DBF0" w:rsidR="00A32221" w:rsidRDefault="00A32221" w:rsidP="00A32221">
      <w:r>
        <w:t>Subgroup analyses were presented for the subgroups defined by the randomisation strata. These are illustrated in</w:t>
      </w:r>
      <w:r w:rsidR="00AC795C">
        <w:t xml:space="preserve"> Figure 3.</w:t>
      </w:r>
    </w:p>
    <w:p w14:paraId="4734A203" w14:textId="4AAFDC90" w:rsidR="00574B58" w:rsidRDefault="00574B58" w:rsidP="00574B58">
      <w:pPr>
        <w:pStyle w:val="FigureTitle"/>
      </w:pPr>
      <w:r>
        <w:lastRenderedPageBreak/>
        <w:t>Figure 3. Forest plot of the LS mean difference in change from baseline for UAS7, ISS7 and HSS7 at Week 12 (Estimand, MMRM) by randomization strata (previous exposure to anti-IgE biologics, geographical region) Full Analysis Set</w:t>
      </w:r>
    </w:p>
    <w:p w14:paraId="5BCDA749" w14:textId="7BA43711" w:rsidR="00AC795C" w:rsidRDefault="00AC795C" w:rsidP="00A32221">
      <w:r w:rsidRPr="00AC795C">
        <w:rPr>
          <w:noProof/>
        </w:rPr>
        <w:drawing>
          <wp:inline distT="0" distB="0" distL="0" distR="0" wp14:anchorId="65E17CAA" wp14:editId="15FB3A15">
            <wp:extent cx="5759450" cy="2403475"/>
            <wp:effectExtent l="0" t="0" r="0" b="0"/>
            <wp:docPr id="1994244110" name="Picture 1" descr="Figure 3. Forest plot of the LS mean difference in change from baseline for UAS7, ISS7 and HSS7 at Week 12 (Estimand, MMRM) by randomization strata (previous exposure to anti-IgE biologics, geographical reg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44110" name="Picture 1" descr="Figure 3. Forest plot of the LS mean difference in change from baseline for UAS7, ISS7 and HSS7 at Week 12 (Estimand, MMRM) by randomization strata (previous exposure to anti-IgE biologics, geographical region) Full Analysis Set"/>
                    <pic:cNvPicPr/>
                  </pic:nvPicPr>
                  <pic:blipFill>
                    <a:blip r:embed="rId31"/>
                    <a:stretch>
                      <a:fillRect/>
                    </a:stretch>
                  </pic:blipFill>
                  <pic:spPr>
                    <a:xfrm>
                      <a:off x="0" y="0"/>
                      <a:ext cx="5759450" cy="2403475"/>
                    </a:xfrm>
                    <a:prstGeom prst="rect">
                      <a:avLst/>
                    </a:prstGeom>
                  </pic:spPr>
                </pic:pic>
              </a:graphicData>
            </a:graphic>
          </wp:inline>
        </w:drawing>
      </w:r>
    </w:p>
    <w:p w14:paraId="6DEC4461" w14:textId="77777777" w:rsidR="001C41E0" w:rsidRDefault="001C41E0" w:rsidP="001C41E0">
      <w:pPr>
        <w:pStyle w:val="FigureDescription"/>
      </w:pPr>
      <w:r>
        <w:t>LS Mean: Least squares mean, CI: confidence interval.</w:t>
      </w:r>
    </w:p>
    <w:p w14:paraId="7BEA5C97" w14:textId="4D67A2BC" w:rsidR="001C41E0" w:rsidRDefault="001C41E0" w:rsidP="001C41E0">
      <w:pPr>
        <w:pStyle w:val="FigureDescription"/>
      </w:pPr>
      <w:r>
        <w:t>Statistical model used a mixed effect model with repeated measures (MMRM) adjusting for treatment group, geographical region (excluded in the analysis of the geographical region subgroups), prior exposure to anti-IgE biologics (excluded in the analysis of the prior exposure to anti-IgE biologics subgroups), visit week, baseline score and both interaction of treatment by visit week and interaction of baseline score by visit week.</w:t>
      </w:r>
    </w:p>
    <w:p w14:paraId="5083755B" w14:textId="77777777" w:rsidR="00CE7A13" w:rsidRDefault="00CE7A13" w:rsidP="001D1E39">
      <w:pPr>
        <w:pStyle w:val="Heading7"/>
      </w:pPr>
      <w:r>
        <w:t>Pooled analysis</w:t>
      </w:r>
    </w:p>
    <w:p w14:paraId="76FB7228" w14:textId="78A4B8A2" w:rsidR="00CE7A13" w:rsidRDefault="00CE7A13" w:rsidP="00CE7A13">
      <w:r>
        <w:t xml:space="preserve">In the remibrutinib arm (n=606) the LS mean change in UAS7 from baseline to week 12 was </w:t>
      </w:r>
      <w:r w:rsidR="00592D23">
        <w:br/>
      </w:r>
      <w:r>
        <w:t>-19.93 points, compared with -12.98 points in the placebo arm (n=306). The LS mean difference between treatments was -6.95 points (95%CI: -8.52 to -5.38).</w:t>
      </w:r>
    </w:p>
    <w:p w14:paraId="27575B8C" w14:textId="77777777" w:rsidR="00CE7A13" w:rsidRDefault="00CE7A13" w:rsidP="00592D23">
      <w:pPr>
        <w:pStyle w:val="Heading6"/>
      </w:pPr>
      <w:r>
        <w:t>Results for secondary efficacy outcomes</w:t>
      </w:r>
    </w:p>
    <w:p w14:paraId="5D5FDCCE" w14:textId="6987719C" w:rsidR="00CE7A13" w:rsidRDefault="00CE7A13" w:rsidP="00592D23">
      <w:pPr>
        <w:pStyle w:val="Heading7"/>
      </w:pPr>
      <w:r>
        <w:t xml:space="preserve">Achievement of UAS7 ≤ 6 at </w:t>
      </w:r>
      <w:r w:rsidR="0052070A">
        <w:t>w</w:t>
      </w:r>
      <w:r>
        <w:t>eek 12.</w:t>
      </w:r>
    </w:p>
    <w:p w14:paraId="740CB370" w14:textId="27E4E447" w:rsidR="00CE7A13" w:rsidRDefault="00CE7A13" w:rsidP="00CE7A13">
      <w:r>
        <w:t>Study A2301</w:t>
      </w:r>
      <w:r w:rsidR="00592D23">
        <w:t xml:space="preserve">: </w:t>
      </w:r>
      <w:r>
        <w:t>In the remibrutinib arm 49.8% of subjects achieved a UAS7 ≤ 6 at week 12 compared to 24.8% of subjects in the placebo arm. The estimated conditional odds ratio was 3.11 (95% CI: 2.00 to 4.84). The difference was statistically significant (p-value &lt; 0.001).</w:t>
      </w:r>
    </w:p>
    <w:p w14:paraId="6C432A66" w14:textId="29D99A9E" w:rsidR="00CE7A13" w:rsidRDefault="00CE7A13" w:rsidP="00CE7A13">
      <w:r>
        <w:t>Study A2302</w:t>
      </w:r>
      <w:r w:rsidR="00592D23">
        <w:t xml:space="preserve">: </w:t>
      </w:r>
      <w:r>
        <w:t>In the remibrutinib arm 46.8% of subjects achieved a UAS7 ≤ 6 at week 12 compared to 19.6% of subjects in the placebo arm. The estimated conditional odds ratio was 3.84 (95% CI: 2.39 to 6.18). The difference was statistically significant (p-value &lt; 0.001).</w:t>
      </w:r>
    </w:p>
    <w:p w14:paraId="13365D35" w14:textId="098B38F8" w:rsidR="00CE7A13" w:rsidRDefault="00CE7A13" w:rsidP="00CE7A13">
      <w:r>
        <w:t>Pooled analysis</w:t>
      </w:r>
      <w:r w:rsidR="00592D23">
        <w:t xml:space="preserve">: </w:t>
      </w:r>
      <w:r>
        <w:t>In the remibrutinib arm 48.5% of subjects achieved a UAS7 ≤ 6 at week 12 compared to 22.2% of subjects in the placebo arm. The estimated treatment difference was 26.53% (95% CI: 20.33 to 32.72).</w:t>
      </w:r>
    </w:p>
    <w:p w14:paraId="27A27A8B" w14:textId="28C96186" w:rsidR="00CE7A13" w:rsidRDefault="00CE7A13" w:rsidP="00592D23">
      <w:pPr>
        <w:pStyle w:val="Heading7"/>
      </w:pPr>
      <w:r>
        <w:t xml:space="preserve">Achievement of UAS7 = 0 at </w:t>
      </w:r>
      <w:r w:rsidR="0052070A">
        <w:t>w</w:t>
      </w:r>
      <w:r>
        <w:t>eek 12</w:t>
      </w:r>
    </w:p>
    <w:p w14:paraId="0DED7F01" w14:textId="03C085D2" w:rsidR="00CE7A13" w:rsidRDefault="00CE7A13" w:rsidP="00CE7A13">
      <w:r>
        <w:t>Study A2301</w:t>
      </w:r>
      <w:r w:rsidR="00592D23">
        <w:t xml:space="preserve">: </w:t>
      </w:r>
      <w:r>
        <w:t>In the remibrutinib arm 31.1% of subjects achieved a UAS7 = 0 at week 12 compared to 10.5% of subjects in the placebo arm. The estimated conditional odds ratio was 3.83 (95% CI: 2.16 to 6.82). The difference was statistically significant (p-value &lt; 0.001).</w:t>
      </w:r>
    </w:p>
    <w:p w14:paraId="6065FD76" w14:textId="1544B07A" w:rsidR="00CE7A13" w:rsidRDefault="00CE7A13" w:rsidP="00CE7A13">
      <w:r>
        <w:t>Study A2302</w:t>
      </w:r>
      <w:r w:rsidR="00592D23">
        <w:t xml:space="preserve">: </w:t>
      </w:r>
      <w:r>
        <w:t>In the remibrutinib arm 27.9% of subjects achieved a UAS7 = 0 at week 12 compared to 6.5% of subjects in the placebo arm. The estimated conditional odds ratio was 5.78 (95% CI: 2.83 to 11.78). The difference was statistically significant (p-value &lt; 0.001).</w:t>
      </w:r>
    </w:p>
    <w:p w14:paraId="40E0C9A9" w14:textId="69F81E8F" w:rsidR="00CE7A13" w:rsidRDefault="00CE7A13" w:rsidP="00CE7A13">
      <w:r>
        <w:t>Pooled analysis</w:t>
      </w:r>
      <w:r w:rsidR="00592D23">
        <w:t xml:space="preserve">: </w:t>
      </w:r>
      <w:r>
        <w:t>In the remibrutinib arm 29.7% of subjects achieved a UAS7 =0 at week 12 compared to 8.5% of subjects in the placebo arm. The estimated treatment difference was 21.02% (95% CI: 16.15 to 25.90).</w:t>
      </w:r>
    </w:p>
    <w:p w14:paraId="7F70AEDC" w14:textId="18E49E8B" w:rsidR="00CE7A13" w:rsidRDefault="00CE7A13" w:rsidP="00592D23">
      <w:pPr>
        <w:pStyle w:val="Heading7"/>
      </w:pPr>
      <w:r>
        <w:lastRenderedPageBreak/>
        <w:t xml:space="preserve">Absolute change from baseline in ISS7 score at </w:t>
      </w:r>
      <w:r w:rsidR="0052070A">
        <w:t>w</w:t>
      </w:r>
      <w:r>
        <w:t>eek 12.</w:t>
      </w:r>
    </w:p>
    <w:p w14:paraId="6D7051CF" w14:textId="30DCDF24" w:rsidR="00CE7A13" w:rsidRDefault="00CE7A13" w:rsidP="00CE7A13">
      <w:r>
        <w:t>Study A2301</w:t>
      </w:r>
      <w:r w:rsidR="00592D23">
        <w:t xml:space="preserve">: </w:t>
      </w:r>
      <w:r>
        <w:t>In the remibrutinib arm the LS mean change in ISS7 from baseline to week 12 was -9.52 points, compared with -6.89 points in the placebo arm. The LS mean difference between treatments was</w:t>
      </w:r>
      <w:r w:rsidR="00592D23">
        <w:t xml:space="preserve"> </w:t>
      </w:r>
      <w:r>
        <w:t>-2.63 points (95%CI: -3.70 to -1.56). The difference was statistically significant (p &lt; 0.001).</w:t>
      </w:r>
    </w:p>
    <w:p w14:paraId="7FA6EB42" w14:textId="213B7E75" w:rsidR="00CE7A13" w:rsidRDefault="00CE7A13" w:rsidP="00CE7A13">
      <w:r>
        <w:t>Study A2302</w:t>
      </w:r>
      <w:r w:rsidR="00592D23">
        <w:t xml:space="preserve">: </w:t>
      </w:r>
      <w:r>
        <w:t>In the remibrutinib arm the LS mean change in ISS7 from baseline to week 12 was -8.95 points, compared with -5.72 points in the placebo arm. The LS mean difference between treatments was</w:t>
      </w:r>
      <w:r w:rsidR="00592D23">
        <w:t xml:space="preserve"> </w:t>
      </w:r>
      <w:r>
        <w:t>-3.23 points (95%CI: -4.29 to -2.16). The difference was statistically significant (p &lt; 0.001).</w:t>
      </w:r>
    </w:p>
    <w:p w14:paraId="20D9C01D" w14:textId="6CC30C4A" w:rsidR="00CE7A13" w:rsidRDefault="00CE7A13" w:rsidP="00CE7A13">
      <w:r>
        <w:t>Pooled analysis</w:t>
      </w:r>
      <w:r w:rsidR="00592D23">
        <w:t xml:space="preserve">: </w:t>
      </w:r>
      <w:r>
        <w:t>In the remibrutinib arm the LS mean change in ISS7 from baseline to week 12 was -9.36 points, compared with -6.44 points in the placebo arm. The LS mean difference between treatments was</w:t>
      </w:r>
      <w:r w:rsidR="00592D23">
        <w:t xml:space="preserve"> </w:t>
      </w:r>
      <w:r>
        <w:t>-2.92 points (95%CI: -3.68 to -2.17).</w:t>
      </w:r>
    </w:p>
    <w:p w14:paraId="5CABE8A2" w14:textId="156B2164" w:rsidR="00CE7A13" w:rsidRDefault="00CE7A13" w:rsidP="00592D23">
      <w:pPr>
        <w:pStyle w:val="Heading7"/>
      </w:pPr>
      <w:r>
        <w:t xml:space="preserve">Absolute change from baseline in HSS7 score at </w:t>
      </w:r>
      <w:r w:rsidR="0052070A">
        <w:t>w</w:t>
      </w:r>
      <w:r>
        <w:t>eek 12.</w:t>
      </w:r>
    </w:p>
    <w:p w14:paraId="40A4F477" w14:textId="5EE16FE8" w:rsidR="00CE7A13" w:rsidRDefault="00CE7A13" w:rsidP="00CE7A13">
      <w:r>
        <w:t>Study A2301</w:t>
      </w:r>
      <w:r w:rsidR="00592D23">
        <w:t xml:space="preserve">: </w:t>
      </w:r>
      <w:r>
        <w:t>In the remibrutinib arm the LS mean change in HSS7 from baseline to week 12 was -10.47 points, compared with -6.86 points in the placebo arm. The LS mean difference between treatments was -3.61 points (95%CI: -4.85 to -2.36). The difference was statistically significant (p &lt; 0.001).</w:t>
      </w:r>
    </w:p>
    <w:p w14:paraId="427FFD31" w14:textId="77777777" w:rsidR="00592D23" w:rsidRDefault="00CE7A13" w:rsidP="00CE7A13">
      <w:r>
        <w:t>Study A2302</w:t>
      </w:r>
      <w:r w:rsidR="00592D23">
        <w:t xml:space="preserve">: </w:t>
      </w:r>
      <w:r>
        <w:t>In the remibrutinib arm the LS mean change in HSS7 from baseline to week 12 was -10.47 points, compared with -6.00 points in the placebo arm. The LS mean difference between treatments was</w:t>
      </w:r>
      <w:r w:rsidR="00592D23">
        <w:t xml:space="preserve"> </w:t>
      </w:r>
      <w:r>
        <w:t xml:space="preserve">-4.47 points (95%CI: -5.71 to -3.23). The difference was statistically significant (p &lt; 0.001). </w:t>
      </w:r>
    </w:p>
    <w:p w14:paraId="4EE28115" w14:textId="60EE601D" w:rsidR="00CE7A13" w:rsidRDefault="00CE7A13" w:rsidP="00CE7A13">
      <w:r>
        <w:t>Pooled analysis</w:t>
      </w:r>
      <w:r w:rsidR="00592D23">
        <w:t xml:space="preserve">: </w:t>
      </w:r>
      <w:r>
        <w:t>In the remibrutinib arm the LS mean change in HSS7 from baseline to week 12 was -10.59 points, compared with -6.55 points in the placebo arm. The LS mean difference between treatments was</w:t>
      </w:r>
      <w:r w:rsidR="00592D23">
        <w:t xml:space="preserve"> </w:t>
      </w:r>
      <w:r>
        <w:t>-4.04 points (95%CI: -4.92 to -3.16).</w:t>
      </w:r>
    </w:p>
    <w:p w14:paraId="627ED7D2" w14:textId="3F45BCED" w:rsidR="00CE7A13" w:rsidRDefault="00CE7A13" w:rsidP="00592D23">
      <w:pPr>
        <w:pStyle w:val="Heading7"/>
      </w:pPr>
      <w:r>
        <w:t xml:space="preserve">Achievement of UAS7 ≤ 6 at </w:t>
      </w:r>
      <w:r w:rsidR="0052070A">
        <w:t>w</w:t>
      </w:r>
      <w:r>
        <w:t>eek 2.</w:t>
      </w:r>
    </w:p>
    <w:p w14:paraId="74AE99DE" w14:textId="3334473C" w:rsidR="00CE7A13" w:rsidRDefault="00CE7A13" w:rsidP="00CE7A13">
      <w:r>
        <w:t>Study A2301</w:t>
      </w:r>
      <w:r w:rsidR="00592D23">
        <w:t xml:space="preserve">: </w:t>
      </w:r>
      <w:r>
        <w:t>In the remibrutinib arm 33.7% of subjects achieved a UAS7 ≤ 6 at week 2 compared to 3.3% of subjects in the placebo arm. The estimated conditional odds ratio was 15.67 (95% CI: 6.18 to 39.77). The difference was statistically significant (p-value &lt; 0.001).</w:t>
      </w:r>
    </w:p>
    <w:p w14:paraId="04A66BF1" w14:textId="266D899D" w:rsidR="00CE7A13" w:rsidRDefault="00CE7A13" w:rsidP="00CE7A13">
      <w:r>
        <w:t>Study A2302</w:t>
      </w:r>
      <w:r w:rsidR="00592D23">
        <w:t xml:space="preserve">: </w:t>
      </w:r>
      <w:r>
        <w:t>In the remibrutinib arm 30.0% of subjects achieved a UAS7 ≤ 6 at week 2 compared to 5.9% of subjects in the placebo arm. The estimated conditional odds ratio was 7.92 (95% CI: 3.72 to 16.85). The difference was statistically significant (p-value &lt; 0.001).</w:t>
      </w:r>
    </w:p>
    <w:p w14:paraId="15365A2C" w14:textId="31025CD6" w:rsidR="00CE7A13" w:rsidRDefault="00CE7A13" w:rsidP="00CE7A13">
      <w:r>
        <w:t>Pooled analysis</w:t>
      </w:r>
      <w:r w:rsidR="00592D23">
        <w:t xml:space="preserve">: </w:t>
      </w:r>
      <w:r>
        <w:t>In the remibrutinib arm 31.7% of subjects achieved a UAS7 ≤ 6 at week 2 compared to 4.6% of subjects in the placebo arm. The estimated treatment difference was 27.41% (95% CI: 23.10 to 31.72).</w:t>
      </w:r>
    </w:p>
    <w:p w14:paraId="612E0A7F" w14:textId="0CABE7FF" w:rsidR="00CE7A13" w:rsidRDefault="00CE7A13" w:rsidP="00592D23">
      <w:pPr>
        <w:pStyle w:val="Heading7"/>
      </w:pPr>
      <w:r>
        <w:t xml:space="preserve">Achievement of a score of 0 or 1 on the DLQI at </w:t>
      </w:r>
      <w:r w:rsidR="0052070A">
        <w:t>w</w:t>
      </w:r>
      <w:r>
        <w:t>eek 12.</w:t>
      </w:r>
    </w:p>
    <w:p w14:paraId="73F6A57F" w14:textId="5E211383" w:rsidR="00CE7A13" w:rsidRDefault="00CE7A13" w:rsidP="00CE7A13">
      <w:r>
        <w:t>Study A2301</w:t>
      </w:r>
      <w:r w:rsidR="00592D23">
        <w:t xml:space="preserve">: </w:t>
      </w:r>
      <w:r>
        <w:t>In the remibrutinib arm 39.0% of subjects achieved a DLQI of 0 or 1 at week 12 compared to 22.2% of subjects in the placebo arm. The estimated conditional odds ratio was 2.44 (95% CI: 1.53 to 3.90). The difference was statistically significant (p-value &lt; 0.001).</w:t>
      </w:r>
    </w:p>
    <w:p w14:paraId="72ED1863" w14:textId="2E1A8849" w:rsidR="00CE7A13" w:rsidRDefault="00CE7A13" w:rsidP="00CE7A13">
      <w:r>
        <w:t>Study A2302</w:t>
      </w:r>
      <w:r w:rsidR="00592D23">
        <w:t xml:space="preserve">: </w:t>
      </w:r>
      <w:r>
        <w:t>In the remibrutinib arm 35.7% of subjects achieved a DLQI of 0 or 1 at week 12 compared to 18.3% of subjects in the placebo arm. The estimated conditional odds ratio was 2.75 (95% CI: 1.65 to 4.58). The difference was statistically significant (p-value &lt; 0.001).</w:t>
      </w:r>
    </w:p>
    <w:p w14:paraId="42361793" w14:textId="3FBD764E" w:rsidR="00CE7A13" w:rsidRDefault="00CE7A13" w:rsidP="00CE7A13">
      <w:r>
        <w:t>Pooled analysis</w:t>
      </w:r>
      <w:r w:rsidR="00592D23">
        <w:t xml:space="preserve">: </w:t>
      </w:r>
      <w:r>
        <w:t>In the remibrutinib arm 37.4% of subjects achieved a DLQI of 0 or 1 at week 12 compared to 19.9% of subjects in the placebo arm. The estimated treatment difference was 17.85% (95% CI: 23.10 to 31.72).</w:t>
      </w:r>
    </w:p>
    <w:p w14:paraId="30334ADB" w14:textId="77777777" w:rsidR="00CE7A13" w:rsidRDefault="00CE7A13" w:rsidP="00592D23">
      <w:pPr>
        <w:pStyle w:val="Heading7"/>
      </w:pPr>
      <w:r>
        <w:lastRenderedPageBreak/>
        <w:t>Cumulative number of weeks with a UAS7 ≤ 6 up to week 12</w:t>
      </w:r>
    </w:p>
    <w:p w14:paraId="296D483C" w14:textId="25F9E4E4" w:rsidR="00CE7A13" w:rsidRDefault="00CE7A13" w:rsidP="00CE7A13">
      <w:r>
        <w:t>Study A2301</w:t>
      </w:r>
      <w:r w:rsidR="00592D23">
        <w:t xml:space="preserve">: </w:t>
      </w:r>
      <w:r>
        <w:t>In the remibrutinib arm the LS mean cumulative number of weeks with a UAS score ≤ 6 was 5.17 weeks, compared to 1.92 weeks in the placebo arm. The rate ratio was 2.69 (95%CI: 2.01 to 3.61). The difference was statistically significant (p-value &lt; 0.001).</w:t>
      </w:r>
    </w:p>
    <w:p w14:paraId="1AA97C46" w14:textId="74721725" w:rsidR="00CE7A13" w:rsidRDefault="00CE7A13" w:rsidP="00CE7A13">
      <w:r>
        <w:t>Study A2302</w:t>
      </w:r>
      <w:r w:rsidR="00592D23">
        <w:t xml:space="preserve">: </w:t>
      </w:r>
      <w:r>
        <w:t>In the remibrutinib arm the LS mean cumulative number of weeks with a UAS score ≤ 6 was 4.50 weeks, compared to 1.38 weeks in the placebo arm. The rate ratio was 3.26 (95%CI: 2.26 to 4.71). The difference was statistically significant (p-value &lt; 0.001).</w:t>
      </w:r>
    </w:p>
    <w:p w14:paraId="76CAA86B" w14:textId="77461626" w:rsidR="00CE7A13" w:rsidRDefault="00CE7A13" w:rsidP="00CE7A13">
      <w:r>
        <w:t>Pooled analysis</w:t>
      </w:r>
      <w:r w:rsidR="00592D23">
        <w:t xml:space="preserve">: </w:t>
      </w:r>
      <w:r>
        <w:t>In the remibrutinib arm the LS mean cumulative number of weeks with a UAS score ≤ 6 was 4.83 weeks, compared to 1.68 weeks in the placebo arm. The rate ratio was 2.87 (95%CI: 2.28 to 4.61).</w:t>
      </w:r>
    </w:p>
    <w:p w14:paraId="57ABF87F" w14:textId="77777777" w:rsidR="00CE7A13" w:rsidRDefault="00CE7A13" w:rsidP="00592D23">
      <w:pPr>
        <w:pStyle w:val="Heading7"/>
      </w:pPr>
      <w:r>
        <w:t>Cumulative number of weeks with an AAS7 = 0</w:t>
      </w:r>
    </w:p>
    <w:p w14:paraId="25091082" w14:textId="2DD83101" w:rsidR="00CE7A13" w:rsidRDefault="00CE7A13" w:rsidP="00CE7A13">
      <w:r>
        <w:t>Study A2301</w:t>
      </w:r>
      <w:r w:rsidR="00592D23">
        <w:t xml:space="preserve">: </w:t>
      </w:r>
      <w:r>
        <w:t>In the remibrutinib arm the LS mean cumulative number of weeks with an AAS score = 0 was 8.43 weeks, compared to 6.72 weeks in the placebo arm. The rate ratio was 1.25 (95%CI: 1.12 to 1.41). The difference was statistically significant (p-value &lt; 0.001).</w:t>
      </w:r>
    </w:p>
    <w:p w14:paraId="7243A96E" w14:textId="134B279C" w:rsidR="00CE7A13" w:rsidRDefault="00CE7A13" w:rsidP="00CE7A13">
      <w:r>
        <w:t>Study A2302</w:t>
      </w:r>
      <w:r w:rsidR="00592D23">
        <w:t xml:space="preserve">: </w:t>
      </w:r>
      <w:r>
        <w:t>In the remibrutinib arm the LS mean cumulative number of weeks with an AAS score = 0 was 8.81 weeks, compared to 6.68 weeks in the placebo arm. The rate ratio was 1.32 (95%CI: 1.17 to 1.49). The difference was statistically significant (p-value &lt; 0.001).</w:t>
      </w:r>
    </w:p>
    <w:p w14:paraId="15135115" w14:textId="31D03EE7" w:rsidR="00CE7A13" w:rsidRDefault="00CE7A13" w:rsidP="00CE7A13">
      <w:r>
        <w:t>Pooled analysis</w:t>
      </w:r>
      <w:r w:rsidR="00592D23">
        <w:t xml:space="preserve">: </w:t>
      </w:r>
      <w:r>
        <w:t>In the remibrutinib arm the LS mean cumulative number of weeks with an AAS score = 0 was 8.64 weeks, compared to 6.70 weeks in the placebo arm. The rate ratio was 1.29 (95%CI: 1.19 to 1.40).</w:t>
      </w:r>
    </w:p>
    <w:p w14:paraId="211A4E6D" w14:textId="77777777" w:rsidR="00CE7A13" w:rsidRDefault="00CE7A13" w:rsidP="00592D23">
      <w:pPr>
        <w:pStyle w:val="Heading6"/>
      </w:pPr>
      <w:r>
        <w:t>Results for exploratory efficacy outcomes</w:t>
      </w:r>
    </w:p>
    <w:p w14:paraId="093F5D21" w14:textId="083D2AB9" w:rsidR="00CE7A13" w:rsidRDefault="00CE7A13" w:rsidP="00CE7A13">
      <w:r>
        <w:t>Key findings from the exploratory end point</w:t>
      </w:r>
      <w:r w:rsidR="00C80C75">
        <w:t>s</w:t>
      </w:r>
      <w:r>
        <w:t>:</w:t>
      </w:r>
    </w:p>
    <w:p w14:paraId="5EE470EF" w14:textId="01DEC4EE" w:rsidR="00CE7A13" w:rsidRDefault="00CE7A13" w:rsidP="005D29C3">
      <w:pPr>
        <w:pStyle w:val="ListBullet"/>
      </w:pPr>
      <w:r>
        <w:t>A benefit for remibrutinib over placebo was still apparent at week 24. Similar findings were observed for all the secondary endpoints at week 24.</w:t>
      </w:r>
    </w:p>
    <w:p w14:paraId="7CCD78A2" w14:textId="5A359DA0" w:rsidR="00CE7A13" w:rsidRDefault="00CE7A13" w:rsidP="005D29C3">
      <w:pPr>
        <w:pStyle w:val="ListBullet"/>
      </w:pPr>
      <w:r>
        <w:t>In the remibrutinib arm efficacy was maintained up to 52 weeks. A similar pattern was observed for ISS7 and HSS7.</w:t>
      </w:r>
    </w:p>
    <w:p w14:paraId="33DBB2C4" w14:textId="5E28DC0E" w:rsidR="00CE7A13" w:rsidRDefault="00CE7A13" w:rsidP="005D29C3">
      <w:pPr>
        <w:pStyle w:val="ListBullet"/>
      </w:pPr>
      <w:r>
        <w:t>In the remibrutinib arm efficacy was maintained up to 52 weeks. A similar pattern was observed</w:t>
      </w:r>
      <w:r w:rsidR="00592D23">
        <w:t xml:space="preserve"> </w:t>
      </w:r>
      <w:r>
        <w:t>for achievement of a UAS score ≤ 6, an ISS score =0 and a HSS7 score = 0.</w:t>
      </w:r>
    </w:p>
    <w:p w14:paraId="650EF512" w14:textId="4E9B8F4C" w:rsidR="00CE7A13" w:rsidRDefault="00CE7A13" w:rsidP="005D29C3">
      <w:pPr>
        <w:pStyle w:val="ListBullet"/>
      </w:pPr>
      <w:r>
        <w:t>Additional subgroup analyses indicated an efficacy benefit for remibrutinib over placebo for all subgroups tested. Remibrutinib appeared to be more effective in subjects with low IgE concentrations compared to subjects with high IgE concentrations. Subgroup analyses were also presented for the ISS7, HSS7, UAS≤6 and UAS=0 endpoints and results were similar.</w:t>
      </w:r>
    </w:p>
    <w:p w14:paraId="66EDBA6D" w14:textId="3893466B" w:rsidR="000000FD" w:rsidRDefault="000000FD" w:rsidP="000000FD">
      <w:pPr>
        <w:pStyle w:val="Heading5"/>
      </w:pPr>
      <w:r>
        <w:t>Other efficacy studies</w:t>
      </w:r>
    </w:p>
    <w:p w14:paraId="4915CA0E" w14:textId="77777777" w:rsidR="000000FD" w:rsidRDefault="000000FD" w:rsidP="000000FD">
      <w:pPr>
        <w:pStyle w:val="Heading6"/>
      </w:pPr>
      <w:r>
        <w:t>Study CLOU064A2201</w:t>
      </w:r>
    </w:p>
    <w:p w14:paraId="63F5487C" w14:textId="77777777" w:rsidR="000000FD" w:rsidRDefault="000000FD" w:rsidP="000000FD">
      <w:r>
        <w:t>This study was a randomised, double-blind, placebo-controlled, Phase 2b dose-finding study with seven parallel groups.</w:t>
      </w:r>
    </w:p>
    <w:p w14:paraId="53EAAF3D" w14:textId="77777777" w:rsidR="000000FD" w:rsidRDefault="000000FD" w:rsidP="000000FD">
      <w:r>
        <w:t>The primary objective of the study was to characterise the dose-response relationship of remibrutinib when administered once or twice daily in subjects with CSU with respect to change from baseline in UAS7 at Week 4. There were several secondary objectives related to UAS7 at week 12, change in UAS7 over time, UAS7=0, UAS7 ≤ 6, number of weeks with an AAS7 = 0 and DLQI.</w:t>
      </w:r>
    </w:p>
    <w:p w14:paraId="6D518A1A" w14:textId="77777777" w:rsidR="000000FD" w:rsidRDefault="000000FD" w:rsidP="000000FD">
      <w:pPr>
        <w:pStyle w:val="Heading7"/>
      </w:pPr>
      <w:r>
        <w:lastRenderedPageBreak/>
        <w:t>Results</w:t>
      </w:r>
    </w:p>
    <w:p w14:paraId="6C2C0A91" w14:textId="77777777" w:rsidR="000000FD" w:rsidRDefault="000000FD" w:rsidP="000000FD">
      <w:r>
        <w:t>A total of 311 subjects were randomised. Two of these subjects were mis-randomised and therefore did not receive treatment. 90.4% of subjects completed the study. There was a higher rate of study discontinuation in the 100 mg BD group (20.0% vs. &lt;10% in the other groups).</w:t>
      </w:r>
    </w:p>
    <w:p w14:paraId="709E5814" w14:textId="77777777" w:rsidR="000000FD" w:rsidRDefault="000000FD" w:rsidP="000000FD">
      <w:r>
        <w:t>Protocol deviations were common in all groups.</w:t>
      </w:r>
    </w:p>
    <w:p w14:paraId="05A5FDC4" w14:textId="77777777" w:rsidR="000000FD" w:rsidRDefault="000000FD" w:rsidP="000000FD">
      <w:r>
        <w:t>Mean age of the study population was 45.0 years (range 18 to 78). 71.4% were female and 28.6% were male. 82.3% were white and 16.1% were Asian. The seven groups were reasonably well balanced with respect to baseline demographic characteristics.</w:t>
      </w:r>
    </w:p>
    <w:p w14:paraId="715E435F" w14:textId="4C04FD7A" w:rsidR="00E84AA6" w:rsidRDefault="000000FD" w:rsidP="000000FD">
      <w:r>
        <w:t>Mean baseline UAS7 score was 29.58 (range 11.5 to 42.0). 60.5% of subjects had severe disease (UAS7 28-42) and 38.6% had moderate disease UAS 16 to &lt; 42). 27.0% of subjects had previously been treated with anti-IgE agents. The seven groups were reasonably well balanced with respect to baseline disease characteristics.</w:t>
      </w:r>
    </w:p>
    <w:p w14:paraId="3E33D117" w14:textId="3150D6DC" w:rsidR="007B1C48" w:rsidRDefault="007B1C48" w:rsidP="007B1C48">
      <w:r>
        <w:t>An overall dose-response was observed for remibrutinib treatment compared to placebo with respect to change from baseline in UAS7 score at Week 4, based on the MCP-mod approach (p&lt;0.0001). The dose response plateaued at the 10 mg OD and 25 mg BD doses. Compared to placebo, the greatest change at Week 4 was observed in the 25 mg BD arm (−14.58 points, 90% CI: -18.43 to -10.73).</w:t>
      </w:r>
    </w:p>
    <w:p w14:paraId="64E93ED0" w14:textId="6F95C1AD" w:rsidR="007B1C48" w:rsidRDefault="007B1C48" w:rsidP="007B1C48">
      <w:r>
        <w:t xml:space="preserve">The results of this study were the basis for </w:t>
      </w:r>
      <w:r w:rsidR="00A44887">
        <w:t xml:space="preserve">the </w:t>
      </w:r>
      <w:r>
        <w:t>25 mg BD dose used in the two pivotal phase 3 studies.</w:t>
      </w:r>
    </w:p>
    <w:p w14:paraId="631B9B22" w14:textId="77777777" w:rsidR="007B1C48" w:rsidRDefault="007B1C48" w:rsidP="007B1C48">
      <w:r>
        <w:t>The placebo-corrected change in UAS7 at Week 12 was −12.35 points (90% CI: -16.82 to -7.87), which was notably larger than that observed in the pivotal studies.</w:t>
      </w:r>
    </w:p>
    <w:p w14:paraId="351B64EF" w14:textId="77777777" w:rsidR="007B1C48" w:rsidRDefault="007B1C48" w:rsidP="007B1C48">
      <w:pPr>
        <w:pStyle w:val="Heading6"/>
      </w:pPr>
      <w:r>
        <w:t>Study CLOU064A2201E</w:t>
      </w:r>
    </w:p>
    <w:p w14:paraId="76FBE8C8" w14:textId="77777777" w:rsidR="007B1C48" w:rsidRDefault="007B1C48" w:rsidP="007B1C48">
      <w:r>
        <w:t>This was an open-label, single arm, extension study for patients rolling over from Study A2201. The primary objective of the study was to assess long-term safety. Secondary objectives were related to efficacy endpoints based on UAS7.</w:t>
      </w:r>
    </w:p>
    <w:p w14:paraId="391E3732" w14:textId="77777777" w:rsidR="007B1C48" w:rsidRDefault="007B1C48" w:rsidP="007B1C48">
      <w:r>
        <w:t xml:space="preserve">The study did not include a placebo arm hence the magnitude of any efficacy benefit cannot be assessed. Also, </w:t>
      </w:r>
      <w:proofErr w:type="gramStart"/>
      <w:r>
        <w:t>a number of</w:t>
      </w:r>
      <w:proofErr w:type="gramEnd"/>
      <w:r>
        <w:t xml:space="preserve"> the efficacy endpoints were assessed at week 4, and the use of H1 antihistamines as background treatment was not permitted during the first 4 weeks of treatment. The efficacy of remibrutinib as add-on therapy to antihistamines was therefore not assessed by these endpoints.</w:t>
      </w:r>
    </w:p>
    <w:p w14:paraId="57383A6D" w14:textId="77777777" w:rsidR="007B1C48" w:rsidRDefault="007B1C48" w:rsidP="007B1C48">
      <w:r>
        <w:t>The data from this study suggest that efficacy is maintained out to 52 weeks.</w:t>
      </w:r>
    </w:p>
    <w:p w14:paraId="23264975" w14:textId="77777777" w:rsidR="007B1C48" w:rsidRDefault="007B1C48" w:rsidP="007B1C48">
      <w:r>
        <w:t>The study also suggests that, after withdrawal of remibrutinib, approximately 50% of subjects will experience disease relapse within 12 weeks.</w:t>
      </w:r>
    </w:p>
    <w:p w14:paraId="0EDCC986" w14:textId="77777777" w:rsidR="007B1C48" w:rsidRDefault="007B1C48" w:rsidP="007B1C48">
      <w:pPr>
        <w:pStyle w:val="Heading6"/>
      </w:pPr>
      <w:r>
        <w:t>Study CLOU064A2305</w:t>
      </w:r>
    </w:p>
    <w:p w14:paraId="472BE01D" w14:textId="1145CD17" w:rsidR="007B1C48" w:rsidRDefault="007B1C48" w:rsidP="007B1C48">
      <w:r>
        <w:t xml:space="preserve">The primary objective of this study was to examine the effects of remibrutinib on blood pressure. The study was a phase 3, open-label, single-arm trial in subjects with CSU. A total of 144 subjects were enrolled and treated. All subjects were treated with remibrutinib 25 mg BD for 12 weeks. </w:t>
      </w:r>
      <w:proofErr w:type="gramStart"/>
      <w:r>
        <w:t>A number of</w:t>
      </w:r>
      <w:proofErr w:type="gramEnd"/>
      <w:r>
        <w:t xml:space="preserve"> efficacy measures were examined as exploratory endpoints (UAS7, ISS7, HSS7, DLQI, AAS7).</w:t>
      </w:r>
    </w:p>
    <w:p w14:paraId="7941887B" w14:textId="5CD773CC" w:rsidR="007B1C48" w:rsidRDefault="00AF6916" w:rsidP="007B1C48">
      <w:r w:rsidRPr="00837183">
        <w:t>This study was a supportive study to exclude an effect of remibrutinib on blood pressure with a limited assessment of efficacy over time to facilitate the physician’s decision for the risk/benefit of the patient before entering the available extension study for continuous treatment</w:t>
      </w:r>
      <w:r>
        <w:t xml:space="preserve">. </w:t>
      </w:r>
      <w:r w:rsidR="007B1C48">
        <w:t>As the study did not include a placebo arm, the efficacy data from this study do not provide any useful contribution to the assessment of efficacy.</w:t>
      </w:r>
    </w:p>
    <w:p w14:paraId="621DCF9E" w14:textId="77777777" w:rsidR="007B1C48" w:rsidRDefault="007B1C48" w:rsidP="007B1C48">
      <w:pPr>
        <w:pStyle w:val="Heading6"/>
      </w:pPr>
      <w:r>
        <w:lastRenderedPageBreak/>
        <w:t>Study CLOU064A1301</w:t>
      </w:r>
    </w:p>
    <w:p w14:paraId="2CB2C0D5" w14:textId="515B58A8" w:rsidR="007B1C48" w:rsidRDefault="00E62743" w:rsidP="007B1C48">
      <w:r>
        <w:t>Ex</w:t>
      </w:r>
      <w:r w:rsidR="007B1C48">
        <w:t>amine</w:t>
      </w:r>
      <w:r>
        <w:t>d</w:t>
      </w:r>
      <w:r w:rsidR="007B1C48">
        <w:t xml:space="preserve"> the safety of remibrutinib in patients with CSU. A total of 71 subjects in Japan were treated. The study was a phase 3, open-label, single-arm trial in subjects with CSU. All subjects were treated with remibrutinib 25 mg BD for 52 weeks. </w:t>
      </w:r>
      <w:proofErr w:type="gramStart"/>
      <w:r w:rsidR="007B1C48">
        <w:t>A number of</w:t>
      </w:r>
      <w:proofErr w:type="gramEnd"/>
      <w:r w:rsidR="007B1C48">
        <w:t xml:space="preserve"> efficacy measures were examined as secondary endpoints (UAS7, ISS7, HSS7, DLQI, AAS7).</w:t>
      </w:r>
      <w:r w:rsidR="00FC7EAF">
        <w:t xml:space="preserve"> </w:t>
      </w:r>
      <w:r w:rsidR="007B1C48">
        <w:t>As the study did not include a placebo arm, the efficacy data from this study do not provide any useful contribution to the assessment of efficacy.</w:t>
      </w:r>
    </w:p>
    <w:p w14:paraId="0774B45F" w14:textId="6E9D67CD" w:rsidR="00067D32" w:rsidRDefault="007B1C48" w:rsidP="007B1C48">
      <w:r>
        <w:t>Overall, only Study A2201 demonstrated a statistically significant improvement in efficacy outcomes compared to placebo and therefore provides supportive evidence of efficacy. The remaining studies lacked a placebo arm and therefore an objective assessment of efficacy was not possible.</w:t>
      </w:r>
    </w:p>
    <w:p w14:paraId="4AFAA8F1" w14:textId="052F9131" w:rsidR="001C0F40" w:rsidRDefault="001C0F40" w:rsidP="001C0F40">
      <w:pPr>
        <w:pStyle w:val="Heading4"/>
      </w:pPr>
      <w:bookmarkStart w:id="55" w:name="_Toc233190974"/>
      <w:r w:rsidRPr="001C0F40">
        <w:t>Safety</w:t>
      </w:r>
      <w:bookmarkEnd w:id="55"/>
    </w:p>
    <w:p w14:paraId="6E613577" w14:textId="77777777" w:rsidR="00535AFE" w:rsidRDefault="00535AFE" w:rsidP="00535AFE">
      <w:r>
        <w:t>Safety data was provided by the two pivotal efficacy studies A2301 and A2302. Safety data was pooled into two groups.</w:t>
      </w:r>
    </w:p>
    <w:p w14:paraId="7E54C0D4" w14:textId="24524739" w:rsidR="00535AFE" w:rsidRDefault="00535AFE" w:rsidP="00535AFE">
      <w:pPr>
        <w:pStyle w:val="Heading5"/>
      </w:pPr>
      <w:r>
        <w:t xml:space="preserve">Pool 1 </w:t>
      </w:r>
    </w:p>
    <w:p w14:paraId="14768A3E" w14:textId="77777777" w:rsidR="00535AFE" w:rsidRDefault="00535AFE" w:rsidP="00535AFE">
      <w:pPr>
        <w:pStyle w:val="Heading6"/>
      </w:pPr>
      <w:r>
        <w:t>Placebo-controlled period</w:t>
      </w:r>
    </w:p>
    <w:p w14:paraId="22A21E81" w14:textId="77777777" w:rsidR="00535AFE" w:rsidRDefault="00535AFE" w:rsidP="00535AFE">
      <w:r>
        <w:t>This data set consisted of safety data from the first 24 weeks of two pivotal studies (A2301 and A2302). During this period subjects received their randomised treatment (remibrutinib or placebo). Data from this dataset provided a comparison with placebo over a period of 24 weeks. In this dataset 606 subjects were treated with remibrutinib and 306 with placebo.</w:t>
      </w:r>
    </w:p>
    <w:p w14:paraId="4078F442" w14:textId="77777777" w:rsidR="00535AFE" w:rsidRDefault="00535AFE" w:rsidP="00535AFE">
      <w:pPr>
        <w:pStyle w:val="Heading6"/>
      </w:pPr>
      <w:r>
        <w:t>Entire study period</w:t>
      </w:r>
    </w:p>
    <w:p w14:paraId="725E5CEA" w14:textId="7B3F670F" w:rsidR="00535AFE" w:rsidRDefault="00535AFE" w:rsidP="00535AFE">
      <w:r>
        <w:t>This dataset included safety data (from remibrutinib-treated subjects) in the placebo-controlled period (weeks 1 – 24) and the open-label period (weeks 25 – 52) of the two pivotal studies. This dataset provided safety data on remibrutinib treatment for up to 52 weeks. In this dataset 868 subjects were treated with remibrutinib</w:t>
      </w:r>
    </w:p>
    <w:p w14:paraId="335A4B39" w14:textId="77777777" w:rsidR="008C4327" w:rsidRDefault="008C4327" w:rsidP="008C4327">
      <w:pPr>
        <w:pStyle w:val="Heading5"/>
      </w:pPr>
      <w:r>
        <w:t>Pool 2</w:t>
      </w:r>
    </w:p>
    <w:p w14:paraId="12199561" w14:textId="0F12AA1A" w:rsidR="008C4327" w:rsidRDefault="008C4327" w:rsidP="008C4327">
      <w:r>
        <w:t>This dataset included safety data (from remibrutinib-treated subjects) from Pool 1 (entire study period) and from the following additional studies: Study A2201; Study A2201E and Study A 1301. In this dataset 1234 subjects were treated with remibrutinib.</w:t>
      </w:r>
    </w:p>
    <w:p w14:paraId="7A8463EE" w14:textId="3C9CC124" w:rsidR="008C4327" w:rsidRDefault="005D3CE7" w:rsidP="008C4327">
      <w:r>
        <w:t>A total of</w:t>
      </w:r>
      <w:r w:rsidR="008C4327">
        <w:t xml:space="preserve"> 1019 subjects received remibrutinib for at least 24 weeks, and 654 subjects were treated for at least 52 weeks.</w:t>
      </w:r>
    </w:p>
    <w:p w14:paraId="43FA9C6B" w14:textId="77777777" w:rsidR="008C4327" w:rsidRDefault="008C4327" w:rsidP="008C4327">
      <w:r>
        <w:t>With respect to laboratory data, pooled analyses were only presented for Pool 1.</w:t>
      </w:r>
    </w:p>
    <w:p w14:paraId="33C77269" w14:textId="162BDD97" w:rsidR="008C4327" w:rsidRDefault="008C4327" w:rsidP="008C4327">
      <w:r>
        <w:t>Of note, All the safety data included in the Pool 1 (entire study period) are also included in Pool</w:t>
      </w:r>
      <w:r w:rsidR="005D3CE7">
        <w:t xml:space="preserve"> </w:t>
      </w:r>
      <w:r>
        <w:t>2. This report will therefore focus on the Pool 1 (placebo-controlled period) and Pool 2 datasets for analysis of AEs.</w:t>
      </w:r>
    </w:p>
    <w:p w14:paraId="16CEF77D" w14:textId="0DC54D27" w:rsidR="0036275F" w:rsidRDefault="0036275F" w:rsidP="0036275F">
      <w:pPr>
        <w:pStyle w:val="Heading5"/>
      </w:pPr>
      <w:r>
        <w:t>Adverse events</w:t>
      </w:r>
    </w:p>
    <w:p w14:paraId="1CF93CB2" w14:textId="77777777" w:rsidR="0036275F" w:rsidRDefault="0036275F" w:rsidP="0036275F">
      <w:pPr>
        <w:pStyle w:val="Heading6"/>
      </w:pPr>
      <w:r>
        <w:t>All adverse events (irrespective of relationship to study treatment)</w:t>
      </w:r>
    </w:p>
    <w:p w14:paraId="209A3AAE" w14:textId="77777777" w:rsidR="0036275F" w:rsidRDefault="0036275F" w:rsidP="0036275F">
      <w:pPr>
        <w:pStyle w:val="Heading7"/>
      </w:pPr>
      <w:r>
        <w:t>Pool 1 (placebo-controlled) dataset</w:t>
      </w:r>
    </w:p>
    <w:p w14:paraId="57C9D9A9" w14:textId="76613BBB" w:rsidR="0036275F" w:rsidRDefault="0036275F" w:rsidP="0036275F">
      <w:r>
        <w:t xml:space="preserve">The overall incidence of </w:t>
      </w:r>
      <w:r w:rsidR="0014460C">
        <w:t>adverse events (</w:t>
      </w:r>
      <w:r>
        <w:t>AEs</w:t>
      </w:r>
      <w:r w:rsidR="0014460C">
        <w:t>)</w:t>
      </w:r>
      <w:r>
        <w:t xml:space="preserve"> was 64.9% with remibrutinib and 64.7% with placebo.</w:t>
      </w:r>
    </w:p>
    <w:p w14:paraId="4B5DD66E" w14:textId="1F801209" w:rsidR="00B81B00" w:rsidRDefault="00B81B00" w:rsidP="00532D73">
      <w:pPr>
        <w:pStyle w:val="TableTitle"/>
        <w:rPr>
          <w:bCs/>
        </w:rPr>
      </w:pPr>
      <w:bookmarkStart w:id="56" w:name="_Toc314842514"/>
      <w:r w:rsidRPr="00B81B00">
        <w:lastRenderedPageBreak/>
        <w:t xml:space="preserve">Table </w:t>
      </w:r>
      <w:r w:rsidR="00DC0AD3">
        <w:t>7</w:t>
      </w:r>
      <w:r w:rsidR="00532D73">
        <w:t>.</w:t>
      </w:r>
      <w:r w:rsidRPr="00B81B00">
        <w:t xml:space="preserve"> Overall and common incidence of AEs in Pool 1</w:t>
      </w:r>
    </w:p>
    <w:p w14:paraId="310F6379" w14:textId="38C6C29C" w:rsidR="00A52E75" w:rsidRDefault="00A52E75" w:rsidP="00A52E75">
      <w:r w:rsidRPr="00A52E75">
        <w:rPr>
          <w:noProof/>
        </w:rPr>
        <w:drawing>
          <wp:inline distT="0" distB="0" distL="0" distR="0" wp14:anchorId="3C24A4A0" wp14:editId="58EB1FA8">
            <wp:extent cx="5759450" cy="2748280"/>
            <wp:effectExtent l="0" t="0" r="0" b="0"/>
            <wp:docPr id="254988511" name="Picture 1" descr="Table 7. Overall and common incidence of AEs in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88511" name="Picture 1" descr="Table 7. Overall and common incidence of AEs in Pool 1"/>
                    <pic:cNvPicPr/>
                  </pic:nvPicPr>
                  <pic:blipFill>
                    <a:blip r:embed="rId32"/>
                    <a:stretch>
                      <a:fillRect/>
                    </a:stretch>
                  </pic:blipFill>
                  <pic:spPr>
                    <a:xfrm>
                      <a:off x="0" y="0"/>
                      <a:ext cx="5759450" cy="2748280"/>
                    </a:xfrm>
                    <a:prstGeom prst="rect">
                      <a:avLst/>
                    </a:prstGeom>
                  </pic:spPr>
                </pic:pic>
              </a:graphicData>
            </a:graphic>
          </wp:inline>
        </w:drawing>
      </w:r>
    </w:p>
    <w:p w14:paraId="5120BBF9" w14:textId="7A1CEB9B" w:rsidR="00F5504D" w:rsidRDefault="00F5504D" w:rsidP="004D3BB5">
      <w:pPr>
        <w:pStyle w:val="TableDescription"/>
      </w:pPr>
      <w:r>
        <w:t>A patient with multiple occurrences of an AE under one treatment is counted only once in this AE category for that treatment.</w:t>
      </w:r>
    </w:p>
    <w:p w14:paraId="6FD82A01" w14:textId="77777777" w:rsidR="00F5504D" w:rsidRDefault="00F5504D" w:rsidP="004D3BB5">
      <w:pPr>
        <w:pStyle w:val="TableDescription"/>
      </w:pPr>
      <w:r>
        <w:t>Preferred terms are sorted in descending frequency of AE in the first column (LOU064 25 mg b.i.d.)</w:t>
      </w:r>
    </w:p>
    <w:p w14:paraId="52D04D71" w14:textId="77777777" w:rsidR="00F5504D" w:rsidRDefault="00F5504D" w:rsidP="004D3BB5">
      <w:pPr>
        <w:pStyle w:val="TableDescription"/>
      </w:pPr>
      <w:r>
        <w:t>MedDRA Version 26.1 has been used for the reporting of adverse events.</w:t>
      </w:r>
    </w:p>
    <w:p w14:paraId="06F14796" w14:textId="0F1CA8A2" w:rsidR="00F5504D" w:rsidRDefault="00F5504D" w:rsidP="004D3BB5">
      <w:pPr>
        <w:pStyle w:val="TableDescription"/>
      </w:pPr>
      <w:r>
        <w:t>N = number of patients in the corresponding treatment group in the analysis set; Total PY = cumulative patient-years of on-treatment exposure from all patients in the corresponding treatment group; n = number of patients</w:t>
      </w:r>
      <w:r w:rsidR="00996F2B">
        <w:t xml:space="preserve"> </w:t>
      </w:r>
      <w:r>
        <w:t>with the event; EAIR = exposure-adjusted incidence rate, defined as the number of patients with the event per</w:t>
      </w:r>
      <w:r w:rsidR="00996F2B">
        <w:t xml:space="preserve"> </w:t>
      </w:r>
      <w:r>
        <w:t>100 patient-years of exposure, where the exposure time at risk is event-specific (terminated by incident events);</w:t>
      </w:r>
      <w:r w:rsidR="00996F2B">
        <w:t xml:space="preserve"> </w:t>
      </w:r>
      <w:r>
        <w:t xml:space="preserve">CI = confidence </w:t>
      </w:r>
      <w:r w:rsidRPr="004E54F7">
        <w:t>interval for the rate</w:t>
      </w:r>
      <w:r w:rsidR="00777B9E" w:rsidRPr="004E54F7">
        <w:rPr>
          <w:rStyle w:val="FootnoteReference"/>
        </w:rPr>
        <w:footnoteReference w:id="28"/>
      </w:r>
      <w:r w:rsidRPr="004E54F7">
        <w:t xml:space="preserve"> or the rate difference</w:t>
      </w:r>
      <w:r w:rsidR="004E54F7">
        <w:t>.</w:t>
      </w:r>
      <w:r w:rsidR="004E54F7" w:rsidRPr="004E54F7">
        <w:rPr>
          <w:rStyle w:val="FootnoteReference"/>
        </w:rPr>
        <w:footnoteReference w:id="29"/>
      </w:r>
      <w:r w:rsidRPr="004E54F7">
        <w:t xml:space="preserve"> </w:t>
      </w:r>
    </w:p>
    <w:p w14:paraId="7A02D319" w14:textId="7F70C0F5" w:rsidR="00096E1A" w:rsidRDefault="00096E1A" w:rsidP="00096E1A">
      <w:r>
        <w:t>AEs that were notably more common in the remibrutinib arm were mainly petechiae (3.8% vs. 0.3%) and nasopharyngitis (6.6% vs.4.6%). Other AEs that were more common with remibrutinib were contusion (2.1% vs.0.7%), ecchymosis (1.5% vs. 0.3%), neutropenia (1.2% vs. 0.3%), upper respiratory tract infection (3.0% vs. 2.0%), influenza (2.5% vs. 1.3%), nausea (3.0% vs. 1.6%) and back pain (2.1% vs.0.7%).</w:t>
      </w:r>
    </w:p>
    <w:p w14:paraId="59694ED5" w14:textId="77777777" w:rsidR="00096E1A" w:rsidRDefault="00096E1A" w:rsidP="00096E1A">
      <w:r>
        <w:t>AE reports of urticaria were more common in the placebo arm (4.9% vs. 2.5%).</w:t>
      </w:r>
    </w:p>
    <w:p w14:paraId="38022436" w14:textId="77777777" w:rsidR="00096E1A" w:rsidRDefault="00096E1A" w:rsidP="00261D43">
      <w:pPr>
        <w:pStyle w:val="Heading7"/>
      </w:pPr>
      <w:r>
        <w:t>Pool 2 dataset</w:t>
      </w:r>
    </w:p>
    <w:p w14:paraId="4533F57F" w14:textId="77777777" w:rsidR="00096E1A" w:rsidRDefault="00096E1A" w:rsidP="00096E1A">
      <w:r>
        <w:t>The overall incidence of AEs with remibrutinib was 69.9%.</w:t>
      </w:r>
    </w:p>
    <w:p w14:paraId="22D9ADA3" w14:textId="39B9F8B2" w:rsidR="004D3BB5" w:rsidRDefault="00096E1A" w:rsidP="00096E1A">
      <w:r>
        <w:t>Common AEs were COVID-19 (11.8%), nasopharyngitis (8.2%), headache (7.9%), upper respiratory tract infection (4.5%), CSU (3.4%), diarrhoea (3.3%), UTI (3.2%) and petechiae</w:t>
      </w:r>
      <w:r w:rsidR="00261D43">
        <w:t xml:space="preserve"> </w:t>
      </w:r>
      <w:r>
        <w:t>(3.2%).</w:t>
      </w:r>
    </w:p>
    <w:p w14:paraId="046F6F79" w14:textId="77777777" w:rsidR="003B0CEB" w:rsidRDefault="003B0CEB" w:rsidP="003B0CEB">
      <w:pPr>
        <w:pStyle w:val="Heading6"/>
      </w:pPr>
      <w:r>
        <w:t>Treatment related adverse events (adverse drug reactions)</w:t>
      </w:r>
    </w:p>
    <w:p w14:paraId="4214291B" w14:textId="77777777" w:rsidR="003B0CEB" w:rsidRDefault="003B0CEB" w:rsidP="003B0CEB">
      <w:pPr>
        <w:pStyle w:val="Heading7"/>
      </w:pPr>
      <w:r>
        <w:t>Pool 1 (placebo-controlled) dataset</w:t>
      </w:r>
    </w:p>
    <w:p w14:paraId="4A0AEC7A" w14:textId="5F5B2E14" w:rsidR="003B0CEB" w:rsidRDefault="003B0CEB" w:rsidP="003B0CEB">
      <w:r>
        <w:t>The overall incidence of treatment-related AEs was 19.0% with remibrutinib and 12.7% with placebo. Treatment-related AEs that were notably more common in the remibrutinib arm were: petechiae</w:t>
      </w:r>
      <w:r w:rsidR="7CAC3EE6">
        <w:t xml:space="preserve"> </w:t>
      </w:r>
      <w:r>
        <w:t>(3.3% vs. 0.3%), ecchymosis (1.2%</w:t>
      </w:r>
      <w:r>
        <w:tab/>
        <w:t>vs. 0.3%)</w:t>
      </w:r>
      <w:r w:rsidR="009556A3">
        <w:t>, c</w:t>
      </w:r>
      <w:r>
        <w:t>ontusion</w:t>
      </w:r>
      <w:r w:rsidR="009556A3">
        <w:t xml:space="preserve"> (</w:t>
      </w:r>
      <w:r>
        <w:t>1.0%</w:t>
      </w:r>
      <w:r w:rsidR="009556A3">
        <w:t xml:space="preserve"> </w:t>
      </w:r>
      <w:r>
        <w:t>vs.</w:t>
      </w:r>
      <w:r>
        <w:tab/>
        <w:t>0.3%</w:t>
      </w:r>
      <w:r w:rsidR="009556A3">
        <w:t>), p</w:t>
      </w:r>
      <w:r>
        <w:t>urpura</w:t>
      </w:r>
      <w:r w:rsidR="009556A3">
        <w:t xml:space="preserve"> (</w:t>
      </w:r>
      <w:r>
        <w:t>0.8%</w:t>
      </w:r>
      <w:r w:rsidR="009556A3">
        <w:t xml:space="preserve"> </w:t>
      </w:r>
      <w:r>
        <w:t>vs.</w:t>
      </w:r>
      <w:r w:rsidR="009556A3">
        <w:t xml:space="preserve"> </w:t>
      </w:r>
      <w:r>
        <w:t>0.0%</w:t>
      </w:r>
      <w:r w:rsidR="009556A3">
        <w:t>) and n</w:t>
      </w:r>
      <w:r>
        <w:t xml:space="preserve">ausea </w:t>
      </w:r>
      <w:r w:rsidR="009556A3">
        <w:t>(</w:t>
      </w:r>
      <w:r>
        <w:t>1.7%</w:t>
      </w:r>
      <w:r w:rsidR="009556A3">
        <w:t xml:space="preserve"> </w:t>
      </w:r>
      <w:r>
        <w:t>vs.</w:t>
      </w:r>
      <w:r>
        <w:tab/>
        <w:t>0.3%</w:t>
      </w:r>
      <w:r w:rsidR="009556A3">
        <w:t>)</w:t>
      </w:r>
    </w:p>
    <w:p w14:paraId="201ED3D2" w14:textId="77777777" w:rsidR="003B0CEB" w:rsidRDefault="003B0CEB" w:rsidP="009556A3">
      <w:pPr>
        <w:pStyle w:val="Heading7"/>
      </w:pPr>
      <w:r>
        <w:t>Pool 2 dataset</w:t>
      </w:r>
    </w:p>
    <w:p w14:paraId="59B0EE69" w14:textId="77777777" w:rsidR="003B0CEB" w:rsidRDefault="003B0CEB" w:rsidP="003B0CEB">
      <w:r>
        <w:t>The overall incidence of treatment-related AEs with remibrutinib was 18.6%.</w:t>
      </w:r>
    </w:p>
    <w:p w14:paraId="73B72B27" w14:textId="77777777" w:rsidR="003B0CEB" w:rsidRDefault="003B0CEB" w:rsidP="003B0CEB">
      <w:r>
        <w:lastRenderedPageBreak/>
        <w:t>Common treatment-related AEs were petechiae (2.5%), headache (1.9%), nausea (1.5%), nasopharyngitis (1.2%), and diarrhoea (1.1%).</w:t>
      </w:r>
    </w:p>
    <w:p w14:paraId="54FF5E6B" w14:textId="77777777" w:rsidR="003B0CEB" w:rsidRDefault="003B0CEB" w:rsidP="00F23CD3">
      <w:pPr>
        <w:pStyle w:val="Heading7"/>
      </w:pPr>
      <w:r>
        <w:t>Study A2201 (placebo-controlled period)</w:t>
      </w:r>
    </w:p>
    <w:p w14:paraId="63D61466" w14:textId="77777777" w:rsidR="003B0CEB" w:rsidRDefault="003B0CEB" w:rsidP="003B0CEB">
      <w:r>
        <w:t>The overall incidence of treatment-related AEs was 18.4% with remibrutinib (all dose groups combined) and 14.3% with placebo. There was no indication of an increasing incidence of treatment-related AEs with increasing dose.</w:t>
      </w:r>
    </w:p>
    <w:p w14:paraId="4B55E2D9" w14:textId="220778C2" w:rsidR="003B0CEB" w:rsidRDefault="003B0CEB" w:rsidP="003B0CEB">
      <w:r>
        <w:t>The only treatment-related AEs that were notably more common with remibrutinib treatment were</w:t>
      </w:r>
      <w:r w:rsidR="00F23CD3">
        <w:t xml:space="preserve"> n</w:t>
      </w:r>
      <w:r>
        <w:t>asopharyngitis</w:t>
      </w:r>
      <w:r>
        <w:tab/>
      </w:r>
      <w:r w:rsidR="00F23CD3">
        <w:t>(</w:t>
      </w:r>
      <w:r>
        <w:t>3.4%</w:t>
      </w:r>
      <w:r w:rsidR="00F23CD3">
        <w:t xml:space="preserve"> </w:t>
      </w:r>
      <w:r>
        <w:t>vs.</w:t>
      </w:r>
      <w:r w:rsidR="00F23CD3">
        <w:t xml:space="preserve"> </w:t>
      </w:r>
      <w:r>
        <w:t>0.0%</w:t>
      </w:r>
      <w:r w:rsidR="00F23CD3">
        <w:t>) and n</w:t>
      </w:r>
      <w:r>
        <w:t>ausea</w:t>
      </w:r>
      <w:r w:rsidR="00F23CD3">
        <w:t xml:space="preserve"> (</w:t>
      </w:r>
      <w:r>
        <w:t>2.6%</w:t>
      </w:r>
      <w:r w:rsidR="00F23CD3">
        <w:t xml:space="preserve"> </w:t>
      </w:r>
      <w:r>
        <w:t>vs.</w:t>
      </w:r>
      <w:r w:rsidR="00F23CD3">
        <w:t xml:space="preserve"> </w:t>
      </w:r>
      <w:r>
        <w:t>0.0%</w:t>
      </w:r>
      <w:r w:rsidR="00F23CD3">
        <w:t xml:space="preserve">). </w:t>
      </w:r>
    </w:p>
    <w:p w14:paraId="6200DA1D" w14:textId="77777777" w:rsidR="003B0CEB" w:rsidRDefault="003B0CEB" w:rsidP="00F23CD3">
      <w:pPr>
        <w:pStyle w:val="Heading6"/>
      </w:pPr>
      <w:r>
        <w:t>Deaths and other serious adverse events</w:t>
      </w:r>
    </w:p>
    <w:p w14:paraId="55BC6E57" w14:textId="77777777" w:rsidR="003B0CEB" w:rsidRDefault="003B0CEB" w:rsidP="003B0CEB">
      <w:r>
        <w:t>There were no deaths reported in any of the clinical studies. Serious AEs are described below.</w:t>
      </w:r>
    </w:p>
    <w:p w14:paraId="38E1D759" w14:textId="77777777" w:rsidR="003B0CEB" w:rsidRDefault="003B0CEB" w:rsidP="004F5453">
      <w:pPr>
        <w:pStyle w:val="Heading7"/>
      </w:pPr>
      <w:r>
        <w:t>Pool 1 (placebo-controlled) dataset</w:t>
      </w:r>
    </w:p>
    <w:p w14:paraId="4B0F3FB5" w14:textId="77777777" w:rsidR="003B0CEB" w:rsidRDefault="003B0CEB" w:rsidP="003B0CEB">
      <w:r>
        <w:t>The overall incidence of serious AEs was 3.3% with remibrutinib and 2.3% with placebo. Individual preferred AE terms were reported by a single patient only. There was a slightly increased incidence of serious musculoskeletal AEs with remibrutinib treatment (0.7% vs. 0.0%).</w:t>
      </w:r>
    </w:p>
    <w:p w14:paraId="1914C527" w14:textId="7C15E4E9" w:rsidR="003B0CEB" w:rsidRDefault="003B0CEB" w:rsidP="004F5453">
      <w:pPr>
        <w:pStyle w:val="Heading7"/>
      </w:pPr>
      <w:r>
        <w:t>Pool 2 dataset</w:t>
      </w:r>
    </w:p>
    <w:p w14:paraId="7BDA47E8" w14:textId="78146B77" w:rsidR="003B0CEB" w:rsidRDefault="003B0CEB" w:rsidP="003B0CEB">
      <w:r>
        <w:t>The overall incidence of serious AEs was 3.4% with remibrutinib. Individual serious AE preferred terms that were reported by more than 1 subject were</w:t>
      </w:r>
      <w:r w:rsidR="004F5453">
        <w:t xml:space="preserve"> </w:t>
      </w:r>
      <w:r>
        <w:t>CSU</w:t>
      </w:r>
      <w:r>
        <w:tab/>
      </w:r>
      <w:r w:rsidR="004F5453">
        <w:t xml:space="preserve"> </w:t>
      </w:r>
      <w:r w:rsidR="00CA5E77">
        <w:t>(</w:t>
      </w:r>
      <w:r>
        <w:t>0.2%</w:t>
      </w:r>
      <w:r w:rsidR="00CA5E77">
        <w:t xml:space="preserve">, </w:t>
      </w:r>
      <w:r>
        <w:t>n = 3)</w:t>
      </w:r>
      <w:r w:rsidR="00CA5E77">
        <w:t>, a</w:t>
      </w:r>
      <w:r>
        <w:t>ppendicitis</w:t>
      </w:r>
      <w:r w:rsidR="00CA5E77">
        <w:t xml:space="preserve"> (</w:t>
      </w:r>
      <w:r>
        <w:t>0.2%</w:t>
      </w:r>
      <w:r w:rsidR="00CA5E77">
        <w:t xml:space="preserve">, </w:t>
      </w:r>
      <w:r>
        <w:t>n = 2)</w:t>
      </w:r>
      <w:r w:rsidR="00CA5E77">
        <w:t xml:space="preserve"> and p</w:t>
      </w:r>
      <w:r>
        <w:t>ruritus</w:t>
      </w:r>
      <w:r w:rsidR="00CA5E77">
        <w:t xml:space="preserve"> (</w:t>
      </w:r>
      <w:r>
        <w:t>0.2%</w:t>
      </w:r>
      <w:r w:rsidR="00CA5E77">
        <w:t xml:space="preserve">, </w:t>
      </w:r>
      <w:r>
        <w:t>n = 2)</w:t>
      </w:r>
      <w:r w:rsidR="00CA5E77">
        <w:t xml:space="preserve">. </w:t>
      </w:r>
    </w:p>
    <w:p w14:paraId="000592C9" w14:textId="77777777" w:rsidR="003B0CEB" w:rsidRDefault="003B0CEB" w:rsidP="00CA5E77">
      <w:pPr>
        <w:pStyle w:val="Heading7"/>
      </w:pPr>
      <w:r>
        <w:t>Study A2201 (placebo-controlled period)</w:t>
      </w:r>
    </w:p>
    <w:p w14:paraId="70DCD41A" w14:textId="77777777" w:rsidR="003B0CEB" w:rsidRDefault="003B0CEB" w:rsidP="003B0CEB">
      <w:r>
        <w:t>The overall incidence of serious AEs was 1.9% with remibrutinib (all dose groups combined) and 0.0% with placebo. There was no indication of an increasing incidence of serious AEs with increasing dose. The only SAE reported by more than one subject was CSU.</w:t>
      </w:r>
    </w:p>
    <w:p w14:paraId="62C1D44B" w14:textId="77777777" w:rsidR="003B0CEB" w:rsidRDefault="003B0CEB" w:rsidP="00CA5E77">
      <w:pPr>
        <w:pStyle w:val="Heading6"/>
      </w:pPr>
      <w:r>
        <w:t>Discontinuations due to adverse events</w:t>
      </w:r>
    </w:p>
    <w:p w14:paraId="40FA29C5" w14:textId="77777777" w:rsidR="003B0CEB" w:rsidRDefault="003B0CEB" w:rsidP="00CA5E77">
      <w:pPr>
        <w:pStyle w:val="Heading7"/>
      </w:pPr>
      <w:r>
        <w:t>Pool 1 (placebo-controlled) dataset</w:t>
      </w:r>
    </w:p>
    <w:p w14:paraId="58215351" w14:textId="77777777" w:rsidR="003B0CEB" w:rsidRDefault="003B0CEB" w:rsidP="003B0CEB">
      <w:r>
        <w:t>The overall incidence of AEs leading to discontinuation was 2.8% with remibrutinib and 2.9% with placebo. In the remibrutinib group, individual preferred AE terms were reported by a single patient only. In the placebo arm there were 3 discontinuations due to urticaria.</w:t>
      </w:r>
    </w:p>
    <w:p w14:paraId="118621B8" w14:textId="77777777" w:rsidR="003B0CEB" w:rsidRDefault="003B0CEB" w:rsidP="00CA5E77">
      <w:pPr>
        <w:pStyle w:val="Heading7"/>
      </w:pPr>
      <w:r>
        <w:t>Pool 2 dataset</w:t>
      </w:r>
    </w:p>
    <w:p w14:paraId="3D4E6E10" w14:textId="0DF1CCE9" w:rsidR="003B0CEB" w:rsidRDefault="003B0CEB" w:rsidP="003B0CEB">
      <w:r>
        <w:t>The overall incidence of AEs leading to discontinuation was 4.1% with remibrutinib. Individual AE preferred terms that were reported by more than 1 subject were:</w:t>
      </w:r>
      <w:r w:rsidR="004B70FD">
        <w:t xml:space="preserve"> d</w:t>
      </w:r>
      <w:r>
        <w:t>iarrhoea</w:t>
      </w:r>
      <w:r w:rsidR="004B70FD">
        <w:t xml:space="preserve"> (</w:t>
      </w:r>
      <w:r w:rsidR="004B70FD" w:rsidRPr="004B70FD">
        <w:t>0.2%</w:t>
      </w:r>
      <w:r w:rsidR="004B70FD">
        <w:t xml:space="preserve">, </w:t>
      </w:r>
      <w:r w:rsidR="004B70FD" w:rsidRPr="004B70FD">
        <w:t>n = 2)</w:t>
      </w:r>
      <w:r w:rsidR="004B70FD">
        <w:t xml:space="preserve">, </w:t>
      </w:r>
      <w:r>
        <w:t>COVID-19</w:t>
      </w:r>
      <w:r w:rsidR="004B70FD">
        <w:t xml:space="preserve"> (</w:t>
      </w:r>
      <w:r>
        <w:t>0.2%</w:t>
      </w:r>
      <w:r w:rsidR="004B70FD">
        <w:t xml:space="preserve">, </w:t>
      </w:r>
      <w:r>
        <w:t>n = 2)</w:t>
      </w:r>
      <w:r w:rsidR="004B70FD">
        <w:t>, u</w:t>
      </w:r>
      <w:r>
        <w:t>rinary tract infection</w:t>
      </w:r>
      <w:r w:rsidR="004B70FD">
        <w:t xml:space="preserve"> (</w:t>
      </w:r>
      <w:r>
        <w:t>0.2%</w:t>
      </w:r>
      <w:r w:rsidR="004B70FD">
        <w:t xml:space="preserve">, </w:t>
      </w:r>
      <w:r>
        <w:t>n = 2)</w:t>
      </w:r>
      <w:r w:rsidR="004B70FD">
        <w:t>, p</w:t>
      </w:r>
      <w:r>
        <w:t>etechiae</w:t>
      </w:r>
      <w:r w:rsidR="004B70FD">
        <w:t xml:space="preserve"> (</w:t>
      </w:r>
      <w:r>
        <w:t>0.2%</w:t>
      </w:r>
      <w:r w:rsidR="004B70FD">
        <w:t xml:space="preserve">, </w:t>
      </w:r>
      <w:r>
        <w:t>n = 2)</w:t>
      </w:r>
      <w:r w:rsidR="004B70FD">
        <w:t>, p</w:t>
      </w:r>
      <w:r>
        <w:t>urpura</w:t>
      </w:r>
      <w:r w:rsidR="004B70FD">
        <w:t xml:space="preserve"> (</w:t>
      </w:r>
      <w:r>
        <w:t>0.2%</w:t>
      </w:r>
      <w:r w:rsidR="004B70FD">
        <w:t xml:space="preserve">, </w:t>
      </w:r>
      <w:r>
        <w:t>n = 2)</w:t>
      </w:r>
      <w:r w:rsidR="004B70FD">
        <w:t xml:space="preserve"> and u</w:t>
      </w:r>
      <w:r>
        <w:t>rticaria</w:t>
      </w:r>
      <w:r w:rsidR="004B70FD">
        <w:t xml:space="preserve"> (</w:t>
      </w:r>
      <w:r>
        <w:t>0.2%</w:t>
      </w:r>
      <w:r w:rsidR="004B70FD">
        <w:t xml:space="preserve">, </w:t>
      </w:r>
      <w:r>
        <w:t>n = 2)</w:t>
      </w:r>
      <w:r w:rsidR="001B4C8A">
        <w:t>.</w:t>
      </w:r>
    </w:p>
    <w:p w14:paraId="04E141B8" w14:textId="77777777" w:rsidR="003B0CEB" w:rsidRDefault="003B0CEB" w:rsidP="001B4C8A">
      <w:pPr>
        <w:pStyle w:val="Heading7"/>
      </w:pPr>
      <w:r>
        <w:t>Study A2201 (placebo-controlled period)</w:t>
      </w:r>
    </w:p>
    <w:p w14:paraId="50A2E485" w14:textId="77777777" w:rsidR="003B0CEB" w:rsidRDefault="003B0CEB" w:rsidP="003B0CEB">
      <w:r>
        <w:t>The overall incidence of AEs leading to discontinuation was 2.6% with remibrutinib (all dose groups combined) and 0.0% with placebo. There was no indication of an increasing incidence of such AEs with increasing dose. In the remibrutinib group, individual preferred AE terms were reported by a single patient only.</w:t>
      </w:r>
    </w:p>
    <w:p w14:paraId="14259065" w14:textId="34E4D83F" w:rsidR="003B0CEB" w:rsidRDefault="003B0CEB" w:rsidP="001B4C8A">
      <w:pPr>
        <w:pStyle w:val="Heading6"/>
      </w:pPr>
      <w:r>
        <w:t xml:space="preserve">AE of special interest - </w:t>
      </w:r>
      <w:r w:rsidR="001B4C8A">
        <w:t>i</w:t>
      </w:r>
      <w:r>
        <w:t>nfections</w:t>
      </w:r>
    </w:p>
    <w:p w14:paraId="00213083" w14:textId="77777777" w:rsidR="003B0CEB" w:rsidRDefault="003B0CEB" w:rsidP="001B4C8A">
      <w:pPr>
        <w:pStyle w:val="Heading7"/>
      </w:pPr>
      <w:r>
        <w:t>Pool 1 (placebo-controlled) dataset</w:t>
      </w:r>
    </w:p>
    <w:p w14:paraId="144EBF73" w14:textId="77777777" w:rsidR="003B0CEB" w:rsidRDefault="003B0CEB" w:rsidP="003B0CEB">
      <w:r>
        <w:t>The overall incidence of AEs under the System Organ Class (SOC) heading of “Infections and infestations” was 33.5% with remibrutinib and 34.3% with placebo. Nasopharyngitis, influenza and upper respiratory tract infection were more common in the remibrutinib arm</w:t>
      </w:r>
    </w:p>
    <w:p w14:paraId="2C13588D" w14:textId="77777777" w:rsidR="003B0CEB" w:rsidRDefault="003B0CEB" w:rsidP="003B0CEB">
      <w:r>
        <w:lastRenderedPageBreak/>
        <w:t>The incidence of serious infections was 0.7% in each arm. One subject (0.2%) discontinued treatment with remibrutinib due to an infection (COVID-19) compared with none in the placebo arm.</w:t>
      </w:r>
    </w:p>
    <w:p w14:paraId="7D38DCC9" w14:textId="77777777" w:rsidR="003B0CEB" w:rsidRDefault="003B0CEB" w:rsidP="003B0CEB">
      <w:r>
        <w:t xml:space="preserve">Most infections in both groups were assessed as being mild or moderate. There were two severe infections with remibrutinib (1 bronchitis and 1 </w:t>
      </w:r>
      <w:proofErr w:type="spellStart"/>
      <w:r>
        <w:t>acarodermatitis</w:t>
      </w:r>
      <w:proofErr w:type="spellEnd"/>
      <w:r>
        <w:t>) with remibrutinib and none with placebo.</w:t>
      </w:r>
    </w:p>
    <w:p w14:paraId="097B0CF3" w14:textId="77777777" w:rsidR="003B0CEB" w:rsidRDefault="003B0CEB" w:rsidP="001B4C8A">
      <w:pPr>
        <w:pStyle w:val="Heading7"/>
      </w:pPr>
      <w:r>
        <w:t>Pool 2 dataset</w:t>
      </w:r>
    </w:p>
    <w:p w14:paraId="50AC788E" w14:textId="77777777" w:rsidR="003B0CEB" w:rsidRDefault="003B0CEB" w:rsidP="003B0CEB">
      <w:r>
        <w:t>The overall incidence of infection AEs was 40.8%. Common infections were the same as those observed in the Pool 1 (placebo-controlled) dataset.</w:t>
      </w:r>
    </w:p>
    <w:p w14:paraId="3ABC0429" w14:textId="77777777" w:rsidR="003B0CEB" w:rsidRDefault="003B0CEB" w:rsidP="001B4C8A">
      <w:pPr>
        <w:pStyle w:val="Heading7"/>
      </w:pPr>
      <w:r>
        <w:t>Study A2201 (placebo-controlled period)</w:t>
      </w:r>
    </w:p>
    <w:p w14:paraId="59F86120" w14:textId="77777777" w:rsidR="003B0CEB" w:rsidRDefault="003B0CEB" w:rsidP="003B0CEB">
      <w:r>
        <w:t>The overall incidence of infection AEs was 25.1% with remibrutinib (all dose groups combined) and 21.4% with placebo. There was no indication of an increasing incidence of infection AEs with increasing dose.</w:t>
      </w:r>
    </w:p>
    <w:p w14:paraId="4A2DEA8B" w14:textId="3CD69954" w:rsidR="003B0CEB" w:rsidRDefault="003B0CEB" w:rsidP="003B0CEB">
      <w:r>
        <w:t>The only infection AEs that were notably more common with remibrutinib treatment were</w:t>
      </w:r>
      <w:r w:rsidR="001B4C8A">
        <w:t xml:space="preserve"> nasopharyngitis (</w:t>
      </w:r>
      <w:r>
        <w:t>8.6%</w:t>
      </w:r>
      <w:r>
        <w:tab/>
      </w:r>
      <w:r w:rsidR="001B4C8A">
        <w:t xml:space="preserve"> </w:t>
      </w:r>
      <w:r>
        <w:t>vs.</w:t>
      </w:r>
      <w:r w:rsidR="001B4C8A">
        <w:t xml:space="preserve"> </w:t>
      </w:r>
      <w:r>
        <w:t>7.1%</w:t>
      </w:r>
      <w:r w:rsidR="001B4C8A">
        <w:t>) and c</w:t>
      </w:r>
      <w:r>
        <w:t>ystitis</w:t>
      </w:r>
      <w:r w:rsidR="001B4C8A">
        <w:t xml:space="preserve"> (</w:t>
      </w:r>
      <w:r>
        <w:t>1.9%</w:t>
      </w:r>
      <w:r w:rsidR="001B4C8A">
        <w:t xml:space="preserve"> </w:t>
      </w:r>
      <w:r>
        <w:t>vs.</w:t>
      </w:r>
      <w:r w:rsidR="001B4C8A">
        <w:t xml:space="preserve"> </w:t>
      </w:r>
      <w:r>
        <w:t>0.0%</w:t>
      </w:r>
      <w:r w:rsidR="001B4C8A">
        <w:t>).</w:t>
      </w:r>
    </w:p>
    <w:p w14:paraId="5E8BB1E8" w14:textId="77777777" w:rsidR="003B0CEB" w:rsidRDefault="003B0CEB" w:rsidP="003B0CEB">
      <w:r>
        <w:t>There was one serious infection with remibrutinib (renal abscess) and none with placebo.</w:t>
      </w:r>
    </w:p>
    <w:p w14:paraId="30350233" w14:textId="58EA7D48" w:rsidR="003B0CEB" w:rsidRDefault="003B0CEB" w:rsidP="001B4C8A">
      <w:pPr>
        <w:pStyle w:val="Heading6"/>
      </w:pPr>
      <w:r>
        <w:t>A</w:t>
      </w:r>
      <w:r w:rsidR="000A4EEF">
        <w:t>dverse events</w:t>
      </w:r>
      <w:r>
        <w:t xml:space="preserve"> of special interest</w:t>
      </w:r>
      <w:r w:rsidR="001B4C8A">
        <w:t xml:space="preserve"> - b</w:t>
      </w:r>
      <w:r>
        <w:t>leeding</w:t>
      </w:r>
    </w:p>
    <w:p w14:paraId="7CA22E19" w14:textId="77777777" w:rsidR="003B0CEB" w:rsidRDefault="003B0CEB" w:rsidP="001B4C8A">
      <w:pPr>
        <w:pStyle w:val="Heading7"/>
      </w:pPr>
      <w:r>
        <w:t>Pool 1 (placebo-controlled) dataset</w:t>
      </w:r>
    </w:p>
    <w:p w14:paraId="41AC17F0" w14:textId="015C2DCB" w:rsidR="003B0CEB" w:rsidRDefault="003B0CEB" w:rsidP="003B0CEB">
      <w:r>
        <w:t xml:space="preserve">The overall incidence of bleeding </w:t>
      </w:r>
      <w:r w:rsidR="000A4EEF">
        <w:t>a</w:t>
      </w:r>
      <w:r w:rsidR="000A4EEF" w:rsidRPr="000A4EEF">
        <w:t xml:space="preserve">dverse events of special interest </w:t>
      </w:r>
      <w:r w:rsidR="000A4EEF">
        <w:t>(</w:t>
      </w:r>
      <w:r>
        <w:t>AE</w:t>
      </w:r>
      <w:r w:rsidR="000A4EEF">
        <w:t>SI)</w:t>
      </w:r>
      <w:r>
        <w:t xml:space="preserve"> was 10.6% with remibrutinib and 5.2% with placebo. Bleeding </w:t>
      </w:r>
      <w:r w:rsidR="000A4EEF" w:rsidRPr="000A4EEF">
        <w:t xml:space="preserve">AESI </w:t>
      </w:r>
      <w:r>
        <w:t>that were notably more common with remibrutinib treatment were</w:t>
      </w:r>
      <w:r w:rsidR="001B4C8A">
        <w:t xml:space="preserve"> p</w:t>
      </w:r>
      <w:r>
        <w:t>etechiae</w:t>
      </w:r>
      <w:r w:rsidR="001B4C8A">
        <w:t xml:space="preserve"> (</w:t>
      </w:r>
      <w:r>
        <w:t>3.8%</w:t>
      </w:r>
      <w:r w:rsidR="001B4C8A">
        <w:t xml:space="preserve"> </w:t>
      </w:r>
      <w:r>
        <w:t>vs.</w:t>
      </w:r>
      <w:r w:rsidR="001B4C8A">
        <w:t xml:space="preserve"> </w:t>
      </w:r>
      <w:r>
        <w:t>0.3%</w:t>
      </w:r>
      <w:r w:rsidR="001B4C8A">
        <w:t>), c</w:t>
      </w:r>
      <w:r>
        <w:t>ontusion</w:t>
      </w:r>
      <w:r w:rsidR="001B4C8A">
        <w:t xml:space="preserve"> (</w:t>
      </w:r>
      <w:r>
        <w:t>2.1%</w:t>
      </w:r>
      <w:r w:rsidR="001B4C8A">
        <w:t xml:space="preserve"> </w:t>
      </w:r>
      <w:r>
        <w:t>vs.</w:t>
      </w:r>
      <w:r w:rsidR="001B4C8A">
        <w:t xml:space="preserve"> </w:t>
      </w:r>
      <w:r>
        <w:t>0.7%</w:t>
      </w:r>
      <w:r w:rsidR="001B4C8A">
        <w:t>), and (e</w:t>
      </w:r>
      <w:r>
        <w:t>cchymosis</w:t>
      </w:r>
      <w:r w:rsidR="009626A1">
        <w:t xml:space="preserve"> </w:t>
      </w:r>
      <w:r>
        <w:t>1.5%</w:t>
      </w:r>
      <w:r w:rsidR="001B4C8A">
        <w:t xml:space="preserve"> </w:t>
      </w:r>
      <w:r>
        <w:t>vs.</w:t>
      </w:r>
      <w:r w:rsidR="001B4C8A">
        <w:t xml:space="preserve"> </w:t>
      </w:r>
      <w:r>
        <w:t>0.3%</w:t>
      </w:r>
      <w:r w:rsidR="001B4C8A">
        <w:t>).</w:t>
      </w:r>
    </w:p>
    <w:p w14:paraId="021F3BD7" w14:textId="7DE64778" w:rsidR="003B0CEB" w:rsidRDefault="003B0CEB" w:rsidP="003B0CEB">
      <w:r>
        <w:t xml:space="preserve">There were two serious bleeding </w:t>
      </w:r>
      <w:r w:rsidR="000A4EEF" w:rsidRPr="000A4EEF">
        <w:t xml:space="preserve">AESI </w:t>
      </w:r>
      <w:r>
        <w:t>with remibrutinib (1 contusion and 1 haematuria) and none with placebo. Both events were assessed as being unrelated to study treatment.</w:t>
      </w:r>
    </w:p>
    <w:p w14:paraId="03475EEE" w14:textId="76913DF6" w:rsidR="003B0CEB" w:rsidRDefault="003B0CEB" w:rsidP="003B0CEB">
      <w:r>
        <w:t xml:space="preserve">In the remibrutinib group there were two bleeding </w:t>
      </w:r>
      <w:r w:rsidR="000A4EEF" w:rsidRPr="000A4EEF">
        <w:t>AESI</w:t>
      </w:r>
      <w:r w:rsidR="009626A1">
        <w:t xml:space="preserve"> </w:t>
      </w:r>
      <w:r>
        <w:t>leading to discontinuation (1 petechiae and 1 purpura) compared with none in the placebo arm.</w:t>
      </w:r>
    </w:p>
    <w:p w14:paraId="6411904D" w14:textId="11F4D441" w:rsidR="003B0CEB" w:rsidRDefault="003B0CEB" w:rsidP="003B0CEB">
      <w:r>
        <w:t xml:space="preserve">In the remibrutinib group 88.7% of the bleeding </w:t>
      </w:r>
      <w:r w:rsidR="000A4EEF" w:rsidRPr="000A4EEF">
        <w:t xml:space="preserve">AESI </w:t>
      </w:r>
      <w:r>
        <w:t>were mild and 11.3% were moderate. None were assessed as severe.</w:t>
      </w:r>
    </w:p>
    <w:p w14:paraId="10D9C186" w14:textId="77777777" w:rsidR="003B0CEB" w:rsidRDefault="003B0CEB" w:rsidP="001B4C8A">
      <w:pPr>
        <w:pStyle w:val="Heading7"/>
      </w:pPr>
      <w:r>
        <w:t>Pool 2 dataset</w:t>
      </w:r>
    </w:p>
    <w:p w14:paraId="0CE1DE91" w14:textId="13C52E11" w:rsidR="003B0CEB" w:rsidRDefault="003B0CEB" w:rsidP="003B0CEB">
      <w:r>
        <w:t xml:space="preserve">The overall incidence of bleeding </w:t>
      </w:r>
      <w:r w:rsidR="009626A1" w:rsidRPr="009626A1">
        <w:t>AESI</w:t>
      </w:r>
      <w:r w:rsidR="009626A1">
        <w:t xml:space="preserve"> </w:t>
      </w:r>
      <w:r>
        <w:t xml:space="preserve">was 10.5%. Common bleeding </w:t>
      </w:r>
      <w:r w:rsidR="009626A1" w:rsidRPr="009626A1">
        <w:t xml:space="preserve">AESI </w:t>
      </w:r>
      <w:r>
        <w:t>were the same as those observed in the Pool 1 (placebo-controlled) dataset.</w:t>
      </w:r>
    </w:p>
    <w:p w14:paraId="50240C95" w14:textId="49B14D8A" w:rsidR="003B0CEB" w:rsidRDefault="003B0CEB" w:rsidP="003B0CEB">
      <w:r>
        <w:t xml:space="preserve">There was one additional serious bleeding event. The </w:t>
      </w:r>
      <w:r w:rsidR="00E93AB0" w:rsidRPr="00E93AB0">
        <w:t xml:space="preserve">AESI </w:t>
      </w:r>
      <w:r>
        <w:t>was assessed as being related to the bariatric surgery and not to remibrutinib. Nevertheless, the drug was discontinued.</w:t>
      </w:r>
    </w:p>
    <w:p w14:paraId="12039AE8" w14:textId="77777777" w:rsidR="003B0CEB" w:rsidRDefault="003B0CEB" w:rsidP="001B4C8A">
      <w:pPr>
        <w:pStyle w:val="Heading7"/>
      </w:pPr>
      <w:r>
        <w:t>Study A2201 (placebo-controlled period)</w:t>
      </w:r>
    </w:p>
    <w:p w14:paraId="2F5A638A" w14:textId="00FB1490" w:rsidR="003B0CEB" w:rsidRDefault="003B0CEB" w:rsidP="003B0CEB">
      <w:r>
        <w:t xml:space="preserve">The overall incidence of bleeding </w:t>
      </w:r>
      <w:r w:rsidR="00E93AB0" w:rsidRPr="00E93AB0">
        <w:t xml:space="preserve">AESI </w:t>
      </w:r>
      <w:r>
        <w:t xml:space="preserve">was 6.7% with remibrutinib (all dose groups combined) and 2.4% with placebo. There was no indication of an increasing incidence of bleeding </w:t>
      </w:r>
      <w:r w:rsidR="00E93AB0" w:rsidRPr="00E93AB0">
        <w:t xml:space="preserve">AESI </w:t>
      </w:r>
      <w:r>
        <w:t xml:space="preserve">with increasing dose. Petechiae was the </w:t>
      </w:r>
      <w:proofErr w:type="gramStart"/>
      <w:r>
        <w:t>most commonly reported</w:t>
      </w:r>
      <w:proofErr w:type="gramEnd"/>
      <w:r>
        <w:t xml:space="preserve"> event (1.5% vs. 0.0%).</w:t>
      </w:r>
    </w:p>
    <w:p w14:paraId="39A973E2" w14:textId="1309B6AF" w:rsidR="003B0CEB" w:rsidRDefault="003B0CEB" w:rsidP="003B0CEB">
      <w:r>
        <w:t xml:space="preserve">There were no serious bleeding </w:t>
      </w:r>
      <w:r w:rsidR="00E93AB0" w:rsidRPr="00E93AB0">
        <w:t>AESI</w:t>
      </w:r>
      <w:r>
        <w:t>. Two subjects treated with remibrutinib discontinued due to a bleeding AE (1 petechiae and 1 haematuria) compared with none in the placebo arm.</w:t>
      </w:r>
    </w:p>
    <w:p w14:paraId="34CF7B45" w14:textId="77777777" w:rsidR="003B0CEB" w:rsidRDefault="003B0CEB" w:rsidP="001B4C8A">
      <w:pPr>
        <w:pStyle w:val="Heading6"/>
      </w:pPr>
      <w:r>
        <w:lastRenderedPageBreak/>
        <w:t>Cytopaenias</w:t>
      </w:r>
    </w:p>
    <w:p w14:paraId="16B8DB90" w14:textId="77777777" w:rsidR="003B0CEB" w:rsidRDefault="003B0CEB" w:rsidP="001B4C8A">
      <w:pPr>
        <w:pStyle w:val="Heading7"/>
      </w:pPr>
      <w:r>
        <w:t>Pool 1 (placebo-controlled) dataset</w:t>
      </w:r>
    </w:p>
    <w:p w14:paraId="446EA45F" w14:textId="0524F91F" w:rsidR="003B0CEB" w:rsidRDefault="003B0CEB" w:rsidP="003B0CEB">
      <w:r>
        <w:t xml:space="preserve">The overall incidence of </w:t>
      </w:r>
      <w:proofErr w:type="spellStart"/>
      <w:r>
        <w:t>cytopaenia</w:t>
      </w:r>
      <w:proofErr w:type="spellEnd"/>
      <w:r>
        <w:t xml:space="preserve"> AEs was 3.6% with remibrutinib and 2.0% with placebo. </w:t>
      </w:r>
      <w:proofErr w:type="spellStart"/>
      <w:r>
        <w:t>Cytopaenia</w:t>
      </w:r>
      <w:proofErr w:type="spellEnd"/>
      <w:r>
        <w:t xml:space="preserve"> AEs that were notably more common with remibrutinib treatment were</w:t>
      </w:r>
      <w:r w:rsidR="001B4C8A">
        <w:t xml:space="preserve"> n</w:t>
      </w:r>
      <w:r>
        <w:t xml:space="preserve">eutropaenia </w:t>
      </w:r>
      <w:r w:rsidR="001B4C8A">
        <w:t>(</w:t>
      </w:r>
      <w:r>
        <w:t>1.2</w:t>
      </w:r>
      <w:proofErr w:type="gramStart"/>
      <w:r>
        <w:t>%</w:t>
      </w:r>
      <w:r w:rsidR="001B4C8A">
        <w:t xml:space="preserve"> </w:t>
      </w:r>
      <w:r>
        <w:t xml:space="preserve"> </w:t>
      </w:r>
      <w:r w:rsidR="001B4C8A">
        <w:t>v</w:t>
      </w:r>
      <w:r>
        <w:t>s.</w:t>
      </w:r>
      <w:proofErr w:type="gramEnd"/>
      <w:r w:rsidR="001B4C8A">
        <w:t xml:space="preserve"> </w:t>
      </w:r>
      <w:r>
        <w:t>0.3</w:t>
      </w:r>
      <w:r w:rsidR="001B4C8A">
        <w:t>%).</w:t>
      </w:r>
    </w:p>
    <w:p w14:paraId="63A4AF5E" w14:textId="77777777" w:rsidR="003B0CEB" w:rsidRDefault="003B0CEB" w:rsidP="003B0CEB">
      <w:r>
        <w:t xml:space="preserve">There were no serious </w:t>
      </w:r>
      <w:proofErr w:type="spellStart"/>
      <w:r>
        <w:t>cytopaenia</w:t>
      </w:r>
      <w:proofErr w:type="spellEnd"/>
      <w:r>
        <w:t xml:space="preserve"> AEs reported. One remibrutinib-treated subject discontinued due to thrombocytopaenia. All AEs were assessed as mild or moderate. There were no severe cytopaenias AEs reported.</w:t>
      </w:r>
    </w:p>
    <w:p w14:paraId="3FE8A7B4" w14:textId="77777777" w:rsidR="003B0CEB" w:rsidRDefault="003B0CEB" w:rsidP="001B4C8A">
      <w:pPr>
        <w:pStyle w:val="Heading7"/>
      </w:pPr>
      <w:r>
        <w:t>Pool 2 dataset</w:t>
      </w:r>
    </w:p>
    <w:p w14:paraId="6AA1DCF1" w14:textId="52546E3A" w:rsidR="003B0CEB" w:rsidRDefault="003B0CEB" w:rsidP="003B0CEB">
      <w:r>
        <w:t xml:space="preserve">The overall incidence of </w:t>
      </w:r>
      <w:proofErr w:type="spellStart"/>
      <w:r>
        <w:t>cytopaenia</w:t>
      </w:r>
      <w:proofErr w:type="spellEnd"/>
      <w:r>
        <w:t xml:space="preserve"> AEs was 4.5%. Common </w:t>
      </w:r>
      <w:proofErr w:type="spellStart"/>
      <w:r>
        <w:t>cytopaenia</w:t>
      </w:r>
      <w:proofErr w:type="spellEnd"/>
      <w:r>
        <w:t xml:space="preserve"> AEs were the same as those observed in the Pool 1 (placebo-controlled) dataset. </w:t>
      </w:r>
    </w:p>
    <w:p w14:paraId="5EA5F5E5" w14:textId="77777777" w:rsidR="003B0CEB" w:rsidRDefault="003B0CEB" w:rsidP="001B4C8A">
      <w:pPr>
        <w:pStyle w:val="Heading7"/>
      </w:pPr>
      <w:r>
        <w:t>Study A2201 (placebo-controlled period)</w:t>
      </w:r>
    </w:p>
    <w:p w14:paraId="4C9E9B93" w14:textId="1FD7450F" w:rsidR="003B0CEB" w:rsidRPr="00A52E75" w:rsidRDefault="003B0CEB" w:rsidP="003B0CEB">
      <w:r>
        <w:t xml:space="preserve">The overall incidence of </w:t>
      </w:r>
      <w:proofErr w:type="spellStart"/>
      <w:r>
        <w:t>cytopaenia</w:t>
      </w:r>
      <w:proofErr w:type="spellEnd"/>
      <w:r>
        <w:t xml:space="preserve"> AEs was 3.0% with remibrutinib (all dose groups combined) and 2.4% with placebo. There was no indication of an increasing incidence of bleeding AEs with increasing dose. Neutropaenia was the most reported event (1.5% vs. 0.0%).</w:t>
      </w:r>
    </w:p>
    <w:p w14:paraId="2858B006" w14:textId="77777777" w:rsidR="00C22214" w:rsidRDefault="00C22214" w:rsidP="00C22214">
      <w:pPr>
        <w:pStyle w:val="Heading3"/>
        <w:rPr>
          <w:lang w:eastAsia="en-AU"/>
        </w:rPr>
      </w:pPr>
      <w:bookmarkStart w:id="57" w:name="_Toc103679298"/>
      <w:bookmarkStart w:id="58" w:name="_Toc233190975"/>
      <w:r>
        <w:rPr>
          <w:lang w:eastAsia="en-AU"/>
        </w:rPr>
        <w:t>Risk management plan</w:t>
      </w:r>
      <w:bookmarkEnd w:id="56"/>
      <w:bookmarkEnd w:id="57"/>
      <w:bookmarkEnd w:id="58"/>
    </w:p>
    <w:p w14:paraId="39F3CD1D" w14:textId="3D0EE19C" w:rsidR="0072003B" w:rsidRPr="00BD5DBD" w:rsidRDefault="00335E0F" w:rsidP="00C22214">
      <w:pPr>
        <w:rPr>
          <w:szCs w:val="22"/>
        </w:rPr>
      </w:pPr>
      <w:bookmarkStart w:id="59" w:name="_Toc247691531"/>
      <w:bookmarkStart w:id="60" w:name="_Toc314842515"/>
      <w:r w:rsidRPr="00335E0F">
        <w:rPr>
          <w:szCs w:val="22"/>
        </w:rPr>
        <w:t>Novartis Pharmaceuticals Australia Pty Ltd has submitted EU-RMP version 1.0 (dated 22 November 2024; DLP 4 August 2024) and ASA version 1.0 (dated 8 April 2025) in support of this application.</w:t>
      </w:r>
      <w:r>
        <w:rPr>
          <w:szCs w:val="22"/>
        </w:rPr>
        <w:t xml:space="preserve"> T</w:t>
      </w:r>
      <w:r w:rsidRPr="00335E0F">
        <w:rPr>
          <w:szCs w:val="22"/>
        </w:rPr>
        <w:t>he sponsor has provided ASA version 1.1 (dated 11 December 2025) and EU-RMP version 1.1 (dated 26 September 2025; DLP 4 August 2024) was subsequently provided upon request.</w:t>
      </w:r>
      <w:r w:rsidR="008C250A">
        <w:rPr>
          <w:szCs w:val="22"/>
        </w:rPr>
        <w:t xml:space="preserve"> </w:t>
      </w:r>
      <w:r w:rsidRPr="00335E0F">
        <w:rPr>
          <w:szCs w:val="22"/>
        </w:rPr>
        <w:t xml:space="preserve">The proposed summary of safety concerns and their associated risk monitoring and mitigation strategies are summarised </w:t>
      </w:r>
      <w:r w:rsidR="008C250A">
        <w:rPr>
          <w:szCs w:val="22"/>
        </w:rPr>
        <w:t>in Table</w:t>
      </w:r>
      <w:r w:rsidR="00DC0AD3">
        <w:rPr>
          <w:szCs w:val="22"/>
        </w:rPr>
        <w:t xml:space="preserve"> 8</w:t>
      </w:r>
      <w:r w:rsidR="008C250A">
        <w:rPr>
          <w:szCs w:val="22"/>
        </w:rPr>
        <w:t xml:space="preserve">. </w:t>
      </w:r>
      <w:r w:rsidR="0072003B" w:rsidRPr="00BD5DBD">
        <w:rPr>
          <w:szCs w:val="22"/>
        </w:rPr>
        <w:t>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616DB801" w:rsidR="006A277A" w:rsidRDefault="00C22214" w:rsidP="00C22214">
      <w:pPr>
        <w:pStyle w:val="TableTitle"/>
      </w:pPr>
      <w:bookmarkStart w:id="61" w:name="_Ref97629131"/>
      <w:r>
        <w:t>Table</w:t>
      </w:r>
      <w:bookmarkEnd w:id="61"/>
      <w:r w:rsidR="00DC0AD3">
        <w:t xml:space="preserve"> 8</w:t>
      </w:r>
      <w:r w:rsidR="003302FF">
        <w:rPr>
          <w:noProof/>
        </w:rPr>
        <w:t>.</w:t>
      </w:r>
      <w:r>
        <w:t xml:space="preserve"> Summary of safety concerns</w:t>
      </w:r>
    </w:p>
    <w:tbl>
      <w:tblPr>
        <w:tblStyle w:val="TableGrid1"/>
        <w:tblW w:w="946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Caption w:val="Table 8. Summary of safety concerns"/>
        <w:tblDescription w:val="Table 8. Summary of safety concerns"/>
      </w:tblPr>
      <w:tblGrid>
        <w:gridCol w:w="1696"/>
        <w:gridCol w:w="4031"/>
        <w:gridCol w:w="851"/>
        <w:gridCol w:w="1020"/>
        <w:gridCol w:w="823"/>
        <w:gridCol w:w="1048"/>
      </w:tblGrid>
      <w:tr w:rsidR="0087519D" w:rsidRPr="00BF52F4" w14:paraId="4416D691" w14:textId="77777777" w:rsidTr="004F5433">
        <w:trPr>
          <w:trHeight w:val="131"/>
          <w:jc w:val="center"/>
        </w:trPr>
        <w:tc>
          <w:tcPr>
            <w:tcW w:w="5727" w:type="dxa"/>
            <w:gridSpan w:val="2"/>
            <w:vMerge w:val="restart"/>
            <w:shd w:val="clear" w:color="auto" w:fill="DEEAF6"/>
          </w:tcPr>
          <w:p w14:paraId="12F38482" w14:textId="77777777" w:rsidR="0087519D" w:rsidRPr="00BA4789" w:rsidRDefault="0087519D" w:rsidP="009211DA">
            <w:pPr>
              <w:pStyle w:val="Tabletext0"/>
              <w:rPr>
                <w:b/>
                <w:color w:val="263287"/>
                <w:kern w:val="0"/>
              </w:rPr>
            </w:pPr>
            <w:r w:rsidRPr="00BA4789">
              <w:rPr>
                <w:b/>
                <w:color w:val="263287"/>
                <w:kern w:val="0"/>
              </w:rPr>
              <w:t>Summary of safety concerns</w:t>
            </w:r>
          </w:p>
        </w:tc>
        <w:tc>
          <w:tcPr>
            <w:tcW w:w="1871" w:type="dxa"/>
            <w:gridSpan w:val="2"/>
            <w:shd w:val="clear" w:color="auto" w:fill="DEEAF6"/>
          </w:tcPr>
          <w:p w14:paraId="232F2D6B" w14:textId="77777777" w:rsidR="0087519D" w:rsidRPr="00BA4789" w:rsidRDefault="0087519D" w:rsidP="009211DA">
            <w:pPr>
              <w:pStyle w:val="Tabletext0"/>
              <w:rPr>
                <w:b/>
                <w:color w:val="263287"/>
                <w:kern w:val="0"/>
                <w:sz w:val="18"/>
              </w:rPr>
            </w:pPr>
            <w:r w:rsidRPr="00BA4789">
              <w:rPr>
                <w:b/>
                <w:color w:val="263287"/>
                <w:kern w:val="0"/>
                <w:sz w:val="18"/>
              </w:rPr>
              <w:t>Pharmacovigilance</w:t>
            </w:r>
          </w:p>
        </w:tc>
        <w:tc>
          <w:tcPr>
            <w:tcW w:w="1871" w:type="dxa"/>
            <w:gridSpan w:val="2"/>
            <w:shd w:val="clear" w:color="auto" w:fill="DEEAF6"/>
          </w:tcPr>
          <w:p w14:paraId="63EE3291" w14:textId="77777777" w:rsidR="0087519D" w:rsidRPr="00BA4789" w:rsidRDefault="0087519D" w:rsidP="009211DA">
            <w:pPr>
              <w:pStyle w:val="Tabletext0"/>
              <w:rPr>
                <w:b/>
                <w:color w:val="263287"/>
                <w:kern w:val="0"/>
                <w:sz w:val="18"/>
              </w:rPr>
            </w:pPr>
            <w:r w:rsidRPr="00BA4789">
              <w:rPr>
                <w:b/>
                <w:color w:val="263287"/>
                <w:kern w:val="0"/>
                <w:sz w:val="18"/>
              </w:rPr>
              <w:t>Risk Minimisation</w:t>
            </w:r>
          </w:p>
        </w:tc>
      </w:tr>
      <w:tr w:rsidR="0087519D" w:rsidRPr="00BF52F4" w14:paraId="4C6FD4B7" w14:textId="77777777" w:rsidTr="004F5433">
        <w:trPr>
          <w:trHeight w:val="150"/>
          <w:jc w:val="center"/>
        </w:trPr>
        <w:tc>
          <w:tcPr>
            <w:tcW w:w="5727" w:type="dxa"/>
            <w:gridSpan w:val="2"/>
            <w:vMerge/>
            <w:shd w:val="clear" w:color="auto" w:fill="DEEAF6"/>
          </w:tcPr>
          <w:p w14:paraId="3B32561D" w14:textId="77777777" w:rsidR="0087519D" w:rsidRPr="00BA4789" w:rsidRDefault="0087519D" w:rsidP="009211DA">
            <w:pPr>
              <w:pStyle w:val="Tabletext0"/>
              <w:rPr>
                <w:b/>
                <w:color w:val="263287"/>
                <w:kern w:val="0"/>
              </w:rPr>
            </w:pPr>
          </w:p>
        </w:tc>
        <w:tc>
          <w:tcPr>
            <w:tcW w:w="851" w:type="dxa"/>
            <w:shd w:val="clear" w:color="auto" w:fill="DEEAF6"/>
          </w:tcPr>
          <w:p w14:paraId="151E5D6C" w14:textId="77777777" w:rsidR="0087519D" w:rsidRPr="00BA4789" w:rsidRDefault="0087519D" w:rsidP="009211DA">
            <w:pPr>
              <w:pStyle w:val="Tabletext0"/>
              <w:rPr>
                <w:color w:val="263287"/>
                <w:kern w:val="0"/>
                <w:sz w:val="18"/>
              </w:rPr>
            </w:pPr>
            <w:r w:rsidRPr="00BA4789">
              <w:rPr>
                <w:color w:val="263287"/>
                <w:kern w:val="0"/>
                <w:sz w:val="18"/>
              </w:rPr>
              <w:t>Routine</w:t>
            </w:r>
          </w:p>
        </w:tc>
        <w:tc>
          <w:tcPr>
            <w:tcW w:w="1020" w:type="dxa"/>
            <w:shd w:val="clear" w:color="auto" w:fill="DEEAF6"/>
          </w:tcPr>
          <w:p w14:paraId="48F2A544" w14:textId="77777777" w:rsidR="0087519D" w:rsidRPr="00BA4789" w:rsidRDefault="0087519D" w:rsidP="009211DA">
            <w:pPr>
              <w:pStyle w:val="Tabletext0"/>
              <w:rPr>
                <w:color w:val="263287"/>
                <w:kern w:val="0"/>
                <w:sz w:val="18"/>
              </w:rPr>
            </w:pPr>
            <w:r w:rsidRPr="00BA4789">
              <w:rPr>
                <w:color w:val="263287"/>
                <w:kern w:val="0"/>
                <w:sz w:val="18"/>
              </w:rPr>
              <w:t>Additional</w:t>
            </w:r>
          </w:p>
        </w:tc>
        <w:tc>
          <w:tcPr>
            <w:tcW w:w="823" w:type="dxa"/>
            <w:shd w:val="clear" w:color="auto" w:fill="DEEAF6"/>
          </w:tcPr>
          <w:p w14:paraId="1FBB01EA" w14:textId="77777777" w:rsidR="0087519D" w:rsidRPr="00BA4789" w:rsidRDefault="0087519D" w:rsidP="009211DA">
            <w:pPr>
              <w:pStyle w:val="Tabletext0"/>
              <w:rPr>
                <w:color w:val="263287"/>
                <w:kern w:val="0"/>
                <w:sz w:val="18"/>
              </w:rPr>
            </w:pPr>
            <w:r w:rsidRPr="00BA4789">
              <w:rPr>
                <w:color w:val="263287"/>
                <w:kern w:val="0"/>
                <w:sz w:val="18"/>
              </w:rPr>
              <w:t>Routine</w:t>
            </w:r>
          </w:p>
        </w:tc>
        <w:tc>
          <w:tcPr>
            <w:tcW w:w="1048" w:type="dxa"/>
            <w:shd w:val="clear" w:color="auto" w:fill="DEEAF6"/>
          </w:tcPr>
          <w:p w14:paraId="64452A2C" w14:textId="77777777" w:rsidR="0087519D" w:rsidRPr="00BA4789" w:rsidRDefault="0087519D" w:rsidP="009211DA">
            <w:pPr>
              <w:pStyle w:val="Tabletext0"/>
              <w:rPr>
                <w:color w:val="263287"/>
                <w:kern w:val="0"/>
                <w:sz w:val="18"/>
              </w:rPr>
            </w:pPr>
            <w:r w:rsidRPr="00BA4789">
              <w:rPr>
                <w:color w:val="263287"/>
                <w:kern w:val="0"/>
                <w:sz w:val="18"/>
              </w:rPr>
              <w:t>Additional</w:t>
            </w:r>
          </w:p>
        </w:tc>
      </w:tr>
      <w:tr w:rsidR="0087519D" w:rsidRPr="00BF52F4" w14:paraId="1E137399" w14:textId="77777777" w:rsidTr="00BA4789">
        <w:trPr>
          <w:trHeight w:val="862"/>
          <w:jc w:val="center"/>
        </w:trPr>
        <w:tc>
          <w:tcPr>
            <w:tcW w:w="1696" w:type="dxa"/>
          </w:tcPr>
          <w:p w14:paraId="79405E8C" w14:textId="77777777" w:rsidR="0087519D" w:rsidRPr="00BF52F4" w:rsidRDefault="0087519D" w:rsidP="009211DA">
            <w:pPr>
              <w:pStyle w:val="Tabletext0"/>
              <w:rPr>
                <w:b/>
                <w:kern w:val="0"/>
              </w:rPr>
            </w:pPr>
            <w:r w:rsidRPr="00BF52F4">
              <w:rPr>
                <w:b/>
                <w:kern w:val="0"/>
              </w:rPr>
              <w:t>Important identified risks</w:t>
            </w:r>
          </w:p>
        </w:tc>
        <w:tc>
          <w:tcPr>
            <w:tcW w:w="4031" w:type="dxa"/>
          </w:tcPr>
          <w:p w14:paraId="35781A8B" w14:textId="77777777" w:rsidR="0087519D" w:rsidRPr="00BF52F4" w:rsidRDefault="0087519D" w:rsidP="009211DA">
            <w:pPr>
              <w:pStyle w:val="Tabletext0"/>
              <w:rPr>
                <w:kern w:val="0"/>
              </w:rPr>
            </w:pPr>
            <w:r>
              <w:rPr>
                <w:kern w:val="0"/>
              </w:rPr>
              <w:t>None</w:t>
            </w:r>
          </w:p>
        </w:tc>
        <w:tc>
          <w:tcPr>
            <w:tcW w:w="851" w:type="dxa"/>
            <w:vAlign w:val="center"/>
          </w:tcPr>
          <w:p w14:paraId="5B9F1FBC" w14:textId="77777777" w:rsidR="0087519D" w:rsidRPr="00A12A5D" w:rsidRDefault="0087519D" w:rsidP="009211DA">
            <w:pPr>
              <w:pStyle w:val="Tabletext0"/>
              <w:jc w:val="center"/>
              <w:rPr>
                <w:kern w:val="0"/>
              </w:rPr>
            </w:pPr>
            <w:r w:rsidRPr="00A12A5D">
              <w:rPr>
                <w:kern w:val="0"/>
              </w:rPr>
              <w:t>–</w:t>
            </w:r>
          </w:p>
          <w:p w14:paraId="029155F4" w14:textId="77777777" w:rsidR="0087519D" w:rsidRPr="00A12A5D" w:rsidRDefault="0087519D" w:rsidP="009211DA">
            <w:pPr>
              <w:pStyle w:val="Tabletext0"/>
              <w:jc w:val="center"/>
              <w:rPr>
                <w:kern w:val="0"/>
              </w:rPr>
            </w:pPr>
          </w:p>
          <w:p w14:paraId="1C9B1F46" w14:textId="77777777" w:rsidR="0087519D" w:rsidRPr="00A12A5D" w:rsidRDefault="0087519D" w:rsidP="009211DA">
            <w:pPr>
              <w:pStyle w:val="Tabletext0"/>
              <w:jc w:val="center"/>
              <w:rPr>
                <w:kern w:val="0"/>
              </w:rPr>
            </w:pPr>
          </w:p>
        </w:tc>
        <w:tc>
          <w:tcPr>
            <w:tcW w:w="1020" w:type="dxa"/>
            <w:vAlign w:val="center"/>
          </w:tcPr>
          <w:p w14:paraId="060B8BAA" w14:textId="77777777" w:rsidR="0087519D" w:rsidRPr="00A12A5D" w:rsidRDefault="0087519D" w:rsidP="009211DA">
            <w:pPr>
              <w:pStyle w:val="Tabletext0"/>
              <w:jc w:val="center"/>
              <w:rPr>
                <w:kern w:val="0"/>
              </w:rPr>
            </w:pPr>
            <w:r w:rsidRPr="00A12A5D">
              <w:rPr>
                <w:kern w:val="0"/>
              </w:rPr>
              <w:t>–</w:t>
            </w:r>
          </w:p>
          <w:p w14:paraId="03F9AAF7" w14:textId="77777777" w:rsidR="0087519D" w:rsidRPr="00A12A5D" w:rsidRDefault="0087519D" w:rsidP="009211DA">
            <w:pPr>
              <w:pStyle w:val="Tabletext0"/>
              <w:jc w:val="center"/>
              <w:rPr>
                <w:kern w:val="0"/>
              </w:rPr>
            </w:pPr>
          </w:p>
          <w:p w14:paraId="1C206DAB" w14:textId="77777777" w:rsidR="0087519D" w:rsidRPr="00A12A5D" w:rsidRDefault="0087519D" w:rsidP="009211DA">
            <w:pPr>
              <w:pStyle w:val="Tabletext0"/>
              <w:jc w:val="center"/>
              <w:rPr>
                <w:kern w:val="0"/>
              </w:rPr>
            </w:pPr>
          </w:p>
        </w:tc>
        <w:tc>
          <w:tcPr>
            <w:tcW w:w="823" w:type="dxa"/>
            <w:vAlign w:val="center"/>
          </w:tcPr>
          <w:p w14:paraId="231C0BD8" w14:textId="77777777" w:rsidR="0087519D" w:rsidRPr="00A12A5D" w:rsidRDefault="0087519D" w:rsidP="009211DA">
            <w:pPr>
              <w:pStyle w:val="Tabletext0"/>
              <w:jc w:val="center"/>
              <w:rPr>
                <w:kern w:val="0"/>
              </w:rPr>
            </w:pPr>
            <w:r w:rsidRPr="00A12A5D">
              <w:rPr>
                <w:kern w:val="0"/>
              </w:rPr>
              <w:t>–</w:t>
            </w:r>
          </w:p>
          <w:p w14:paraId="05FF2554" w14:textId="77777777" w:rsidR="0087519D" w:rsidRPr="00A12A5D" w:rsidRDefault="0087519D" w:rsidP="009211DA">
            <w:pPr>
              <w:pStyle w:val="Tabletext0"/>
              <w:jc w:val="center"/>
              <w:rPr>
                <w:kern w:val="0"/>
              </w:rPr>
            </w:pPr>
          </w:p>
          <w:p w14:paraId="2847C269" w14:textId="77777777" w:rsidR="0087519D" w:rsidRPr="00A12A5D" w:rsidRDefault="0087519D" w:rsidP="009211DA">
            <w:pPr>
              <w:pStyle w:val="Tabletext0"/>
              <w:jc w:val="center"/>
              <w:rPr>
                <w:kern w:val="0"/>
              </w:rPr>
            </w:pPr>
          </w:p>
        </w:tc>
        <w:tc>
          <w:tcPr>
            <w:tcW w:w="1048" w:type="dxa"/>
            <w:vAlign w:val="center"/>
          </w:tcPr>
          <w:p w14:paraId="63FA0724" w14:textId="77777777" w:rsidR="0087519D" w:rsidRPr="00A12A5D" w:rsidRDefault="0087519D" w:rsidP="009211DA">
            <w:pPr>
              <w:pStyle w:val="Tabletext0"/>
              <w:jc w:val="center"/>
              <w:rPr>
                <w:kern w:val="0"/>
              </w:rPr>
            </w:pPr>
            <w:r w:rsidRPr="00A12A5D">
              <w:rPr>
                <w:rFonts w:eastAsia="Cambria"/>
                <w:kern w:val="0"/>
              </w:rPr>
              <w:t>-</w:t>
            </w:r>
          </w:p>
          <w:p w14:paraId="09F0D77C" w14:textId="77777777" w:rsidR="0087519D" w:rsidRPr="00A12A5D" w:rsidRDefault="0087519D" w:rsidP="009211DA">
            <w:pPr>
              <w:pStyle w:val="Tabletext0"/>
              <w:jc w:val="center"/>
              <w:rPr>
                <w:kern w:val="0"/>
              </w:rPr>
            </w:pPr>
          </w:p>
          <w:p w14:paraId="778756A2" w14:textId="77777777" w:rsidR="0087519D" w:rsidRPr="00A12A5D" w:rsidRDefault="0087519D" w:rsidP="009211DA">
            <w:pPr>
              <w:pStyle w:val="Tabletext0"/>
              <w:jc w:val="center"/>
              <w:rPr>
                <w:kern w:val="0"/>
              </w:rPr>
            </w:pPr>
          </w:p>
        </w:tc>
      </w:tr>
      <w:tr w:rsidR="0087519D" w:rsidRPr="00BF52F4" w14:paraId="4EC31563" w14:textId="77777777" w:rsidTr="00BA4789">
        <w:trPr>
          <w:trHeight w:val="159"/>
          <w:jc w:val="center"/>
        </w:trPr>
        <w:tc>
          <w:tcPr>
            <w:tcW w:w="1696" w:type="dxa"/>
            <w:vMerge w:val="restart"/>
          </w:tcPr>
          <w:p w14:paraId="6B467A0A" w14:textId="77777777" w:rsidR="0087519D" w:rsidRPr="00BF52F4" w:rsidRDefault="0087519D" w:rsidP="009211DA">
            <w:pPr>
              <w:pStyle w:val="Tabletext0"/>
              <w:rPr>
                <w:b/>
                <w:kern w:val="0"/>
              </w:rPr>
            </w:pPr>
            <w:r w:rsidRPr="00BF52F4">
              <w:rPr>
                <w:b/>
                <w:kern w:val="0"/>
              </w:rPr>
              <w:t>Important potential risks</w:t>
            </w:r>
          </w:p>
        </w:tc>
        <w:tc>
          <w:tcPr>
            <w:tcW w:w="4031" w:type="dxa"/>
          </w:tcPr>
          <w:p w14:paraId="09C4BA16" w14:textId="77777777" w:rsidR="0087519D" w:rsidRPr="00BF52F4" w:rsidRDefault="0087519D" w:rsidP="009211DA">
            <w:pPr>
              <w:pStyle w:val="Tabletext0"/>
              <w:rPr>
                <w:kern w:val="0"/>
              </w:rPr>
            </w:pPr>
            <w:r>
              <w:rPr>
                <w:kern w:val="0"/>
              </w:rPr>
              <w:t>Serious bleeding events</w:t>
            </w:r>
          </w:p>
        </w:tc>
        <w:tc>
          <w:tcPr>
            <w:tcW w:w="851" w:type="dxa"/>
            <w:vAlign w:val="center"/>
          </w:tcPr>
          <w:p w14:paraId="5B23998F" w14:textId="77777777" w:rsidR="0087519D" w:rsidRPr="00A12A5D" w:rsidRDefault="0087519D" w:rsidP="009211DA">
            <w:pPr>
              <w:pStyle w:val="Tabletext0"/>
              <w:jc w:val="center"/>
              <w:rPr>
                <w:kern w:val="0"/>
              </w:rPr>
            </w:pPr>
            <w:r w:rsidRPr="00A12A5D">
              <w:rPr>
                <w:rFonts w:ascii="Wingdings" w:eastAsia="Wingdings" w:hAnsi="Wingdings" w:cs="Wingdings"/>
                <w:kern w:val="0"/>
              </w:rPr>
              <w:t>ü</w:t>
            </w:r>
          </w:p>
        </w:tc>
        <w:tc>
          <w:tcPr>
            <w:tcW w:w="1020" w:type="dxa"/>
            <w:vAlign w:val="center"/>
          </w:tcPr>
          <w:p w14:paraId="7FC6EC4B" w14:textId="77777777" w:rsidR="0087519D" w:rsidRPr="00A12A5D" w:rsidRDefault="0087519D" w:rsidP="009211DA">
            <w:pPr>
              <w:pStyle w:val="Tabletext0"/>
              <w:jc w:val="center"/>
              <w:rPr>
                <w:kern w:val="0"/>
              </w:rPr>
            </w:pPr>
            <w:r w:rsidRPr="00A12A5D">
              <w:rPr>
                <w:rFonts w:ascii="Wingdings" w:eastAsia="Wingdings" w:hAnsi="Wingdings" w:cs="Wingdings"/>
                <w:kern w:val="0"/>
              </w:rPr>
              <w:t>ü</w:t>
            </w:r>
            <w:r w:rsidRPr="00A12A5D">
              <w:rPr>
                <w:rFonts w:asciiTheme="majorHAnsi" w:hAnsiTheme="majorHAnsi"/>
                <w:kern w:val="0"/>
                <w:szCs w:val="20"/>
              </w:rPr>
              <w:t>*</w:t>
            </w:r>
          </w:p>
        </w:tc>
        <w:tc>
          <w:tcPr>
            <w:tcW w:w="823" w:type="dxa"/>
            <w:vAlign w:val="center"/>
          </w:tcPr>
          <w:p w14:paraId="0D64084A" w14:textId="77777777" w:rsidR="0087519D" w:rsidRPr="00A12A5D" w:rsidRDefault="0087519D" w:rsidP="009211DA">
            <w:pPr>
              <w:pStyle w:val="Tabletext0"/>
              <w:jc w:val="center"/>
              <w:rPr>
                <w:kern w:val="0"/>
              </w:rPr>
            </w:pPr>
            <w:r w:rsidRPr="00A12A5D">
              <w:rPr>
                <w:rFonts w:ascii="Wingdings" w:eastAsia="Wingdings" w:hAnsi="Wingdings" w:cs="Wingdings"/>
                <w:kern w:val="0"/>
              </w:rPr>
              <w:t>ü</w:t>
            </w:r>
          </w:p>
        </w:tc>
        <w:tc>
          <w:tcPr>
            <w:tcW w:w="1048" w:type="dxa"/>
            <w:vAlign w:val="center"/>
          </w:tcPr>
          <w:p w14:paraId="519EA8EB" w14:textId="77777777" w:rsidR="0087519D" w:rsidRPr="00A12A5D" w:rsidRDefault="0087519D" w:rsidP="009211DA">
            <w:pPr>
              <w:pStyle w:val="Tabletext0"/>
              <w:jc w:val="center"/>
              <w:rPr>
                <w:kern w:val="0"/>
              </w:rPr>
            </w:pPr>
            <w:r w:rsidRPr="00A12A5D">
              <w:rPr>
                <w:kern w:val="0"/>
              </w:rPr>
              <w:t>–</w:t>
            </w:r>
          </w:p>
        </w:tc>
      </w:tr>
      <w:tr w:rsidR="0087519D" w:rsidRPr="00BF52F4" w14:paraId="08BA5133" w14:textId="77777777" w:rsidTr="00BA4789">
        <w:trPr>
          <w:trHeight w:val="592"/>
          <w:jc w:val="center"/>
        </w:trPr>
        <w:tc>
          <w:tcPr>
            <w:tcW w:w="1696" w:type="dxa"/>
            <w:vMerge/>
          </w:tcPr>
          <w:p w14:paraId="2D1864E3" w14:textId="77777777" w:rsidR="0087519D" w:rsidRPr="00BF52F4" w:rsidRDefault="0087519D" w:rsidP="009211DA">
            <w:pPr>
              <w:pStyle w:val="Tabletext0"/>
              <w:rPr>
                <w:b/>
                <w:kern w:val="0"/>
              </w:rPr>
            </w:pPr>
          </w:p>
        </w:tc>
        <w:tc>
          <w:tcPr>
            <w:tcW w:w="4031" w:type="dxa"/>
          </w:tcPr>
          <w:p w14:paraId="1BE31DDA" w14:textId="77777777" w:rsidR="0087519D" w:rsidRPr="00BF52F4" w:rsidRDefault="0087519D" w:rsidP="009211DA">
            <w:pPr>
              <w:pStyle w:val="Tabletext0"/>
              <w:rPr>
                <w:kern w:val="0"/>
              </w:rPr>
            </w:pPr>
            <w:r w:rsidRPr="00D67EAE">
              <w:rPr>
                <w:kern w:val="0"/>
              </w:rPr>
              <w:t>Teratogenicity</w:t>
            </w:r>
          </w:p>
        </w:tc>
        <w:tc>
          <w:tcPr>
            <w:tcW w:w="851" w:type="dxa"/>
            <w:vAlign w:val="center"/>
          </w:tcPr>
          <w:p w14:paraId="72FCEF50" w14:textId="77777777" w:rsidR="0087519D" w:rsidRPr="00A12A5D" w:rsidRDefault="0087519D" w:rsidP="009211DA">
            <w:pPr>
              <w:pStyle w:val="Tabletext0"/>
              <w:jc w:val="center"/>
              <w:rPr>
                <w:kern w:val="0"/>
              </w:rPr>
            </w:pPr>
            <w:r w:rsidRPr="00A12A5D">
              <w:rPr>
                <w:rFonts w:ascii="Wingdings" w:eastAsia="Wingdings" w:hAnsi="Wingdings" w:cs="Wingdings"/>
                <w:kern w:val="0"/>
              </w:rPr>
              <w:t>ü</w:t>
            </w:r>
          </w:p>
          <w:p w14:paraId="6C75B5F6" w14:textId="77777777" w:rsidR="0087519D" w:rsidRPr="00A12A5D" w:rsidRDefault="0087519D" w:rsidP="009211DA">
            <w:pPr>
              <w:pStyle w:val="Tabletext0"/>
              <w:jc w:val="center"/>
              <w:rPr>
                <w:kern w:val="0"/>
              </w:rPr>
            </w:pPr>
          </w:p>
        </w:tc>
        <w:tc>
          <w:tcPr>
            <w:tcW w:w="1020" w:type="dxa"/>
            <w:vAlign w:val="center"/>
          </w:tcPr>
          <w:p w14:paraId="7AD29FC4" w14:textId="77777777" w:rsidR="0087519D" w:rsidRPr="00A12A5D" w:rsidRDefault="0087519D" w:rsidP="009211DA">
            <w:pPr>
              <w:pStyle w:val="Tabletext0"/>
              <w:jc w:val="center"/>
              <w:rPr>
                <w:kern w:val="0"/>
              </w:rPr>
            </w:pPr>
            <w:r w:rsidRPr="00A12A5D">
              <w:rPr>
                <w:kern w:val="0"/>
              </w:rPr>
              <w:t>–</w:t>
            </w:r>
          </w:p>
          <w:p w14:paraId="7D4816B7" w14:textId="77777777" w:rsidR="0087519D" w:rsidRPr="00A12A5D" w:rsidRDefault="0087519D" w:rsidP="009211DA">
            <w:pPr>
              <w:pStyle w:val="Tabletext0"/>
              <w:jc w:val="center"/>
              <w:rPr>
                <w:kern w:val="0"/>
              </w:rPr>
            </w:pPr>
          </w:p>
        </w:tc>
        <w:tc>
          <w:tcPr>
            <w:tcW w:w="823" w:type="dxa"/>
            <w:vAlign w:val="center"/>
          </w:tcPr>
          <w:p w14:paraId="519C55B4" w14:textId="77777777" w:rsidR="0087519D" w:rsidRPr="00A12A5D" w:rsidRDefault="0087519D" w:rsidP="009211DA">
            <w:pPr>
              <w:pStyle w:val="Tabletext0"/>
              <w:jc w:val="center"/>
              <w:rPr>
                <w:kern w:val="0"/>
              </w:rPr>
            </w:pPr>
            <w:r w:rsidRPr="00A12A5D">
              <w:rPr>
                <w:rFonts w:ascii="Wingdings" w:eastAsia="Wingdings" w:hAnsi="Wingdings" w:cs="Wingdings"/>
                <w:kern w:val="0"/>
              </w:rPr>
              <w:t>ü</w:t>
            </w:r>
          </w:p>
          <w:p w14:paraId="7590B187" w14:textId="77777777" w:rsidR="0087519D" w:rsidRPr="00A12A5D" w:rsidRDefault="0087519D" w:rsidP="009211DA">
            <w:pPr>
              <w:pStyle w:val="Tabletext0"/>
              <w:jc w:val="center"/>
              <w:rPr>
                <w:kern w:val="0"/>
              </w:rPr>
            </w:pPr>
          </w:p>
        </w:tc>
        <w:tc>
          <w:tcPr>
            <w:tcW w:w="1048" w:type="dxa"/>
            <w:vAlign w:val="center"/>
          </w:tcPr>
          <w:p w14:paraId="4AF791C3" w14:textId="77777777" w:rsidR="0087519D" w:rsidRPr="00A12A5D" w:rsidRDefault="0087519D" w:rsidP="009211DA">
            <w:pPr>
              <w:pStyle w:val="Tabletext0"/>
              <w:jc w:val="center"/>
              <w:rPr>
                <w:kern w:val="0"/>
              </w:rPr>
            </w:pPr>
            <w:r w:rsidRPr="00A12A5D">
              <w:rPr>
                <w:kern w:val="0"/>
              </w:rPr>
              <w:t>–</w:t>
            </w:r>
          </w:p>
          <w:p w14:paraId="169FBA49" w14:textId="77777777" w:rsidR="0087519D" w:rsidRPr="00A12A5D" w:rsidRDefault="0087519D" w:rsidP="009211DA">
            <w:pPr>
              <w:pStyle w:val="Tabletext0"/>
              <w:jc w:val="center"/>
              <w:rPr>
                <w:kern w:val="0"/>
              </w:rPr>
            </w:pPr>
          </w:p>
        </w:tc>
      </w:tr>
      <w:tr w:rsidR="0087519D" w:rsidRPr="00BF52F4" w14:paraId="581D3D86" w14:textId="77777777" w:rsidTr="00BA4789">
        <w:trPr>
          <w:trHeight w:val="434"/>
          <w:jc w:val="center"/>
        </w:trPr>
        <w:tc>
          <w:tcPr>
            <w:tcW w:w="1696" w:type="dxa"/>
          </w:tcPr>
          <w:p w14:paraId="6EC9BA5C" w14:textId="77777777" w:rsidR="0087519D" w:rsidRPr="00BF52F4" w:rsidRDefault="0087519D" w:rsidP="009211DA">
            <w:pPr>
              <w:pStyle w:val="Tabletext0"/>
              <w:rPr>
                <w:b/>
                <w:kern w:val="0"/>
              </w:rPr>
            </w:pPr>
            <w:r w:rsidRPr="00BF52F4">
              <w:rPr>
                <w:b/>
                <w:kern w:val="0"/>
              </w:rPr>
              <w:t>Missing information</w:t>
            </w:r>
          </w:p>
        </w:tc>
        <w:tc>
          <w:tcPr>
            <w:tcW w:w="4031" w:type="dxa"/>
          </w:tcPr>
          <w:p w14:paraId="4BFF5B66" w14:textId="77777777" w:rsidR="0087519D" w:rsidRPr="00BF52F4" w:rsidRDefault="0087519D" w:rsidP="009211DA">
            <w:pPr>
              <w:pStyle w:val="Tabletext0"/>
              <w:rPr>
                <w:kern w:val="0"/>
              </w:rPr>
            </w:pPr>
            <w:r w:rsidRPr="00D922FE">
              <w:rPr>
                <w:kern w:val="0"/>
              </w:rPr>
              <w:t>Long term safety</w:t>
            </w:r>
          </w:p>
        </w:tc>
        <w:tc>
          <w:tcPr>
            <w:tcW w:w="851" w:type="dxa"/>
            <w:vAlign w:val="center"/>
          </w:tcPr>
          <w:p w14:paraId="1E623B30" w14:textId="77777777" w:rsidR="0087519D" w:rsidRPr="00A12A5D" w:rsidRDefault="0087519D" w:rsidP="009211DA">
            <w:pPr>
              <w:pStyle w:val="Tabletext0"/>
              <w:jc w:val="center"/>
              <w:rPr>
                <w:kern w:val="0"/>
              </w:rPr>
            </w:pPr>
            <w:r w:rsidRPr="00A12A5D">
              <w:rPr>
                <w:rFonts w:ascii="Wingdings" w:eastAsia="Wingdings" w:hAnsi="Wingdings" w:cs="Wingdings"/>
                <w:kern w:val="0"/>
              </w:rPr>
              <w:t>ü</w:t>
            </w:r>
          </w:p>
          <w:p w14:paraId="39855FD4" w14:textId="77777777" w:rsidR="0087519D" w:rsidRPr="00A12A5D" w:rsidRDefault="0087519D" w:rsidP="009211DA">
            <w:pPr>
              <w:pStyle w:val="Tabletext0"/>
              <w:jc w:val="center"/>
              <w:rPr>
                <w:kern w:val="0"/>
              </w:rPr>
            </w:pPr>
          </w:p>
          <w:p w14:paraId="4CBA151E" w14:textId="77777777" w:rsidR="0087519D" w:rsidRPr="00A12A5D" w:rsidRDefault="0087519D" w:rsidP="009211DA">
            <w:pPr>
              <w:pStyle w:val="Tabletext0"/>
              <w:jc w:val="center"/>
              <w:rPr>
                <w:kern w:val="0"/>
              </w:rPr>
            </w:pPr>
          </w:p>
        </w:tc>
        <w:tc>
          <w:tcPr>
            <w:tcW w:w="1020" w:type="dxa"/>
          </w:tcPr>
          <w:p w14:paraId="19C8F638" w14:textId="77777777" w:rsidR="0087519D" w:rsidRPr="00A12A5D" w:rsidRDefault="0087519D" w:rsidP="009211DA">
            <w:pPr>
              <w:pStyle w:val="Tabletext0"/>
              <w:jc w:val="center"/>
              <w:rPr>
                <w:kern w:val="0"/>
              </w:rPr>
            </w:pPr>
            <w:r w:rsidRPr="00A12A5D">
              <w:rPr>
                <w:rFonts w:ascii="Wingdings" w:eastAsia="Wingdings" w:hAnsi="Wingdings" w:cs="Wingdings"/>
                <w:kern w:val="0"/>
              </w:rPr>
              <w:t>ü</w:t>
            </w:r>
            <w:r w:rsidRPr="00A12A5D">
              <w:rPr>
                <w:rFonts w:asciiTheme="majorHAnsi" w:hAnsiTheme="majorHAnsi"/>
                <w:kern w:val="0"/>
                <w:szCs w:val="20"/>
              </w:rPr>
              <w:t>*</w:t>
            </w:r>
          </w:p>
        </w:tc>
        <w:tc>
          <w:tcPr>
            <w:tcW w:w="823" w:type="dxa"/>
            <w:vAlign w:val="center"/>
          </w:tcPr>
          <w:p w14:paraId="4D9A7F69" w14:textId="77777777" w:rsidR="0087519D" w:rsidRPr="00A12A5D" w:rsidRDefault="0087519D" w:rsidP="009211DA">
            <w:pPr>
              <w:pStyle w:val="Tabletext0"/>
              <w:jc w:val="center"/>
              <w:rPr>
                <w:kern w:val="0"/>
              </w:rPr>
            </w:pPr>
            <w:r w:rsidRPr="00A12A5D">
              <w:rPr>
                <w:kern w:val="0"/>
              </w:rPr>
              <w:t>–</w:t>
            </w:r>
          </w:p>
          <w:p w14:paraId="3B16BA68" w14:textId="77777777" w:rsidR="0087519D" w:rsidRPr="00A12A5D" w:rsidRDefault="0087519D" w:rsidP="009211DA">
            <w:pPr>
              <w:pStyle w:val="Tabletext0"/>
              <w:jc w:val="center"/>
              <w:rPr>
                <w:kern w:val="0"/>
              </w:rPr>
            </w:pPr>
          </w:p>
          <w:p w14:paraId="71FA0AC2" w14:textId="77777777" w:rsidR="0087519D" w:rsidRPr="00A12A5D" w:rsidRDefault="0087519D" w:rsidP="009211DA">
            <w:pPr>
              <w:pStyle w:val="Tabletext0"/>
              <w:jc w:val="center"/>
              <w:rPr>
                <w:kern w:val="0"/>
              </w:rPr>
            </w:pPr>
          </w:p>
        </w:tc>
        <w:tc>
          <w:tcPr>
            <w:tcW w:w="1048" w:type="dxa"/>
            <w:vAlign w:val="center"/>
          </w:tcPr>
          <w:p w14:paraId="207BB2A8" w14:textId="77777777" w:rsidR="0087519D" w:rsidRPr="00A12A5D" w:rsidRDefault="0087519D" w:rsidP="009211DA">
            <w:pPr>
              <w:pStyle w:val="Tabletext0"/>
              <w:jc w:val="center"/>
              <w:rPr>
                <w:kern w:val="0"/>
              </w:rPr>
            </w:pPr>
            <w:r w:rsidRPr="00A12A5D">
              <w:rPr>
                <w:kern w:val="0"/>
              </w:rPr>
              <w:t>–</w:t>
            </w:r>
          </w:p>
          <w:p w14:paraId="4481AC60" w14:textId="77777777" w:rsidR="0087519D" w:rsidRPr="00A12A5D" w:rsidRDefault="0087519D" w:rsidP="009211DA">
            <w:pPr>
              <w:pStyle w:val="Tabletext0"/>
              <w:jc w:val="center"/>
              <w:rPr>
                <w:kern w:val="0"/>
              </w:rPr>
            </w:pPr>
          </w:p>
          <w:p w14:paraId="3DBEB472" w14:textId="77777777" w:rsidR="0087519D" w:rsidRPr="00A12A5D" w:rsidRDefault="0087519D" w:rsidP="009211DA">
            <w:pPr>
              <w:pStyle w:val="Tabletext0"/>
              <w:jc w:val="center"/>
              <w:rPr>
                <w:kern w:val="0"/>
              </w:rPr>
            </w:pPr>
          </w:p>
        </w:tc>
      </w:tr>
    </w:tbl>
    <w:p w14:paraId="456C7934" w14:textId="2DC78F64" w:rsidR="00FA1BC9" w:rsidRDefault="00D02798" w:rsidP="004F5433">
      <w:pPr>
        <w:pStyle w:val="TableDescription"/>
      </w:pPr>
      <w:bookmarkStart w:id="62" w:name="_Toc103679299"/>
      <w:r w:rsidRPr="00D02798">
        <w:t>*</w:t>
      </w:r>
      <w:r w:rsidR="00A6419B" w:rsidRPr="00D02798">
        <w:t>Stud</w:t>
      </w:r>
      <w:r w:rsidR="00A6419B">
        <w:t>y</w:t>
      </w:r>
      <w:r w:rsidR="00A6419B" w:rsidRPr="00D02798">
        <w:t xml:space="preserve"> </w:t>
      </w:r>
      <w:r w:rsidRPr="00D02798">
        <w:t>CLOU064A2303B</w:t>
      </w:r>
    </w:p>
    <w:p w14:paraId="74A4F87F" w14:textId="77777777" w:rsidR="00C22214" w:rsidRDefault="00C22214" w:rsidP="00C22214">
      <w:pPr>
        <w:pStyle w:val="Heading3"/>
      </w:pPr>
      <w:bookmarkStart w:id="63" w:name="_Toc233190976"/>
      <w:r>
        <w:t>Risk-benefit analysis</w:t>
      </w:r>
      <w:bookmarkEnd w:id="59"/>
      <w:bookmarkEnd w:id="60"/>
      <w:bookmarkEnd w:id="62"/>
      <w:bookmarkEnd w:id="63"/>
    </w:p>
    <w:p w14:paraId="6234FB4F" w14:textId="50FD7A72" w:rsidR="005963E5" w:rsidRDefault="005963E5" w:rsidP="005963E5">
      <w:pPr>
        <w:pStyle w:val="Heading4"/>
      </w:pPr>
      <w:bookmarkStart w:id="64" w:name="_Toc233190977"/>
      <w:r>
        <w:t>Efficacy</w:t>
      </w:r>
      <w:bookmarkEnd w:id="64"/>
    </w:p>
    <w:p w14:paraId="2599FF03" w14:textId="647F760B" w:rsidR="005963E5" w:rsidRDefault="005963E5" w:rsidP="005963E5">
      <w:r>
        <w:t xml:space="preserve">Evidence supporting the efficacy of remibrutinib for adult patients with CSU who remain symptomatic despite H1 antihistamine therapy is derived from two identical, randomized, </w:t>
      </w:r>
      <w:r>
        <w:lastRenderedPageBreak/>
        <w:t>double-blind, placebo-controlled trials (A2301 and A2302). Both studies were methodologically robust and yielded consistent results.</w:t>
      </w:r>
    </w:p>
    <w:p w14:paraId="1FD8CC7D" w14:textId="77777777" w:rsidR="005963E5" w:rsidRDefault="005963E5" w:rsidP="005963E5">
      <w:r>
        <w:t>Participants enrolled exhibited moderate to severe disease, aligning with populations typically encountered in Australian clinical practice. The demographic profile was predominantly female, with a mean age ranging from 41 to 45 years.</w:t>
      </w:r>
    </w:p>
    <w:p w14:paraId="5B29AC4D" w14:textId="77777777" w:rsidR="005963E5" w:rsidRDefault="005963E5" w:rsidP="005963E5">
      <w:r>
        <w:t>The primary endpoint was the absolute change from baseline in UAS7 at Week 12.</w:t>
      </w:r>
    </w:p>
    <w:p w14:paraId="6E8B0477" w14:textId="1B55AC40" w:rsidR="005963E5" w:rsidRDefault="005963E5" w:rsidP="005963E5">
      <w:r>
        <w:t xml:space="preserve">In study A2301, in the remibrutinib arm the LS mean change in UAS7 from baseline to week 12 was -20.02 points, compared with -13.79 points in the placebo arm. The LS mean difference between treatments was -6.22 points (95%CI: -8.45 to -4.00). The difference was statistically significant (p &lt; 0.001). Similarly, </w:t>
      </w:r>
      <w:proofErr w:type="gramStart"/>
      <w:r w:rsidR="00F55CE0" w:rsidRPr="00F55CE0">
        <w:t>In</w:t>
      </w:r>
      <w:proofErr w:type="gramEnd"/>
      <w:r w:rsidR="00F55CE0" w:rsidRPr="00F55CE0">
        <w:t xml:space="preserve"> study A2302, in the remibrutinib arm the LS mean change in UAS7 from baseline to week 12 was -19.41 points, compared with -11.73 points in the placebo arm. The LS mean difference between treatments was -7.68 points (95%CI: -9.91 to -5.46). The difference was statistically significant (p &lt; 0.001)</w:t>
      </w:r>
      <w:r>
        <w:t>.</w:t>
      </w:r>
    </w:p>
    <w:p w14:paraId="4DD2AD2C" w14:textId="77777777" w:rsidR="005963E5" w:rsidRDefault="005963E5" w:rsidP="005963E5">
      <w:r>
        <w:t>Secondary endpoints included assessment of the proportion of subjects who achieved a UAS7 ≤ 6 or UAS7 = 0, change from baseline in itch and hives scores and effects on angioedema and quality of life. A significant benefit for remibrutinib over placebo was demonstrated for all secondary endpoints in both studies.</w:t>
      </w:r>
    </w:p>
    <w:p w14:paraId="264A4CA0" w14:textId="4C7A8CFB" w:rsidR="005963E5" w:rsidRDefault="005963E5" w:rsidP="005963E5">
      <w:r>
        <w:t>A minimally important difference</w:t>
      </w:r>
      <w:r w:rsidR="000F5380">
        <w:t xml:space="preserve"> </w:t>
      </w:r>
      <w:r>
        <w:t xml:space="preserve">for the UAS7 score is estimated to be approximately </w:t>
      </w:r>
      <w:r w:rsidR="00F5781F">
        <w:t xml:space="preserve">a change of </w:t>
      </w:r>
      <w:r>
        <w:t>10 points.</w:t>
      </w:r>
      <w:r w:rsidR="00C930B4">
        <w:rPr>
          <w:rStyle w:val="FootnoteReference"/>
        </w:rPr>
        <w:footnoteReference w:id="30"/>
      </w:r>
      <w:r>
        <w:t xml:space="preserve"> The placebo-corrected change from baseline in both pivotal studies was less than this level. Across the whole population the efficacy of remibrutinib would therefore appear to be modest.</w:t>
      </w:r>
    </w:p>
    <w:p w14:paraId="0B6A4F39" w14:textId="77777777" w:rsidR="005963E5" w:rsidRDefault="005963E5" w:rsidP="005963E5">
      <w:r>
        <w:t>Achievement of a UAS7 = 0 is a clinically significant outcome. This was measured as a secondary endpoint.</w:t>
      </w:r>
    </w:p>
    <w:p w14:paraId="086E00EC" w14:textId="77777777" w:rsidR="005963E5" w:rsidRDefault="005963E5" w:rsidP="005963E5">
      <w:r>
        <w:t>In study A2301, in the remibrutinib arm 31.1% of subjects achieved a UAS7 = 0 at week 12 compared to 10.5% of subjects in the placebo arm. The difference was statistically significant.</w:t>
      </w:r>
    </w:p>
    <w:p w14:paraId="7F260E96" w14:textId="77777777" w:rsidR="005963E5" w:rsidRDefault="005963E5" w:rsidP="005963E5">
      <w:r>
        <w:t>In study A2302, in the remibrutinib arm 27.9% of subjects achieved a UAS7 = 0 at week 12 compared to 6.5% of subjects in the placebo arm. The difference was again statistically significant.</w:t>
      </w:r>
    </w:p>
    <w:p w14:paraId="720A7AD0" w14:textId="77777777" w:rsidR="005963E5" w:rsidRDefault="005963E5" w:rsidP="005963E5">
      <w:r>
        <w:t>Achievement of a UAS7 ≤ 6 is also clinically significant outcome. This was also measured as a secondary endpoint.</w:t>
      </w:r>
    </w:p>
    <w:p w14:paraId="1716742D" w14:textId="77777777" w:rsidR="005963E5" w:rsidRDefault="005963E5" w:rsidP="005963E5">
      <w:r>
        <w:t>In study A2301, in the remibrutinib arm 49.8% of subjects achieved a UAS7 ≤ 6 at week 12 compared to 24.8% of subjects in the placebo arm. The difference was statistically significant.</w:t>
      </w:r>
    </w:p>
    <w:p w14:paraId="5373AA81" w14:textId="77777777" w:rsidR="005963E5" w:rsidRDefault="005963E5" w:rsidP="005963E5">
      <w:r>
        <w:t>In study A2302, in the remibrutinib arm 46.8% of subjects achieved a UAS7 ≤ 6 at week 12 compared to 19.6% of subjects in the placebo arm. The difference was statistically significant.</w:t>
      </w:r>
    </w:p>
    <w:p w14:paraId="1760EDA2" w14:textId="77777777" w:rsidR="005963E5" w:rsidRDefault="005963E5" w:rsidP="005963E5">
      <w:r>
        <w:t>Based on these endpoints, remibrutinib would appear to provide clinically significant benefits for approximately 20-25% of treated subjects.</w:t>
      </w:r>
    </w:p>
    <w:p w14:paraId="7C89205D" w14:textId="77777777" w:rsidR="005963E5" w:rsidRDefault="005963E5" w:rsidP="005963E5">
      <w:r>
        <w:t>Remibrutinib is intended for long-term treatment. The studies in the submission provided uncontrolled data that supports the maintenance of efficacy out to 52 weeks of treatment.</w:t>
      </w:r>
    </w:p>
    <w:p w14:paraId="33AB78B0" w14:textId="71C8AE18" w:rsidR="005963E5" w:rsidRDefault="005963E5" w:rsidP="005963E5">
      <w:r>
        <w:t>The pivotal studies only included subjects with moderate or severe disease (UAS7 ≥ 16 at baseline). Whether remibrutinib prides any efficacy benefits for subjects with mild disease is unknown.</w:t>
      </w:r>
    </w:p>
    <w:p w14:paraId="5441B6CD" w14:textId="619F7C4C" w:rsidR="005963E5" w:rsidRDefault="005963E5" w:rsidP="005963E5">
      <w:r>
        <w:lastRenderedPageBreak/>
        <w:t xml:space="preserve">The current standard treatment of CSU in adult patients who remain symptomatic despite H1 antihistamine treatment is omalizumab. The submitted data do not clarify the role of remibrutinib in relation to omalizumab treatment – i.e. whether it is best employed before omalizumab treatment, after omalizumab failure or in combination with omalizumab. Subgroup analyses of the pivotal studies established that remibrutinib is </w:t>
      </w:r>
      <w:r w:rsidR="00051D0F">
        <w:t>also</w:t>
      </w:r>
      <w:r>
        <w:t xml:space="preserve"> effective in subjects who have previously received treatment with anti-IgE therapies such as omalizumab. It therefore may have a role in subjects who are intolerant to omalizumab (e.g. due to allergy). Remibrutinib may be more acceptable to some patients in terms of route of administration (oral versus subcutaneous).</w:t>
      </w:r>
    </w:p>
    <w:p w14:paraId="741D3652" w14:textId="743C17DD" w:rsidR="005963E5" w:rsidRDefault="005963E5" w:rsidP="005963E5">
      <w:r>
        <w:t>In summary, remibrutinib demonstrates statistically significant efficacy over placebo, though</w:t>
      </w:r>
      <w:r w:rsidR="00257477">
        <w:t xml:space="preserve"> </w:t>
      </w:r>
      <w:r>
        <w:t>the overall benefit appears modest.</w:t>
      </w:r>
    </w:p>
    <w:p w14:paraId="1FB9E346" w14:textId="5CDADCC3" w:rsidR="005963E5" w:rsidRDefault="005963E5" w:rsidP="00C930B4">
      <w:pPr>
        <w:pStyle w:val="Heading4"/>
      </w:pPr>
      <w:bookmarkStart w:id="65" w:name="_Toc233190978"/>
      <w:r>
        <w:t>Safety</w:t>
      </w:r>
      <w:bookmarkEnd w:id="65"/>
    </w:p>
    <w:p w14:paraId="3950B518" w14:textId="77777777" w:rsidR="005963E5" w:rsidRDefault="005963E5" w:rsidP="005963E5">
      <w:r>
        <w:t>A total of approximately 2000 subjects were exposed to remibrutinib in the submitted studies. 1378 of these subjects had CSU.</w:t>
      </w:r>
    </w:p>
    <w:p w14:paraId="40048A54" w14:textId="2B779753" w:rsidR="005963E5" w:rsidRDefault="005963E5" w:rsidP="005963E5">
      <w:r>
        <w:t xml:space="preserve">The most informative safety data come from the two pivotal efficacy studies which provided a randomised, double-blind comparison of remibrutinib with placebo over a period of 24 weeks. Based on the pooled data from these studies, remibrutinib would appear to have limited toxicity. The incidence of the various categories of AEs was similar in the two treatment groups as shown in </w:t>
      </w:r>
      <w:r w:rsidR="009426E5">
        <w:t>T</w:t>
      </w:r>
      <w:r>
        <w:t>able</w:t>
      </w:r>
      <w:r w:rsidR="009426E5">
        <w:t xml:space="preserve"> 9</w:t>
      </w:r>
      <w:r>
        <w:t>.</w:t>
      </w:r>
    </w:p>
    <w:p w14:paraId="0A08B2BF" w14:textId="4828DAFD" w:rsidR="00185965" w:rsidRDefault="00185965" w:rsidP="00185965">
      <w:pPr>
        <w:pStyle w:val="TableTitle"/>
      </w:pPr>
      <w:r w:rsidRPr="00185965">
        <w:t xml:space="preserve">Table </w:t>
      </w:r>
      <w:r w:rsidR="009426E5">
        <w:t>9</w:t>
      </w:r>
      <w:r>
        <w:t>.</w:t>
      </w:r>
      <w:r w:rsidRPr="00185965">
        <w:t xml:space="preserve"> Categories of AEs- p</w:t>
      </w:r>
      <w:r>
        <w:t>o</w:t>
      </w:r>
      <w:r w:rsidRPr="00185965">
        <w:t xml:space="preserve">oled data from </w:t>
      </w:r>
      <w:r>
        <w:t>p</w:t>
      </w:r>
      <w:r w:rsidRPr="00185965">
        <w:t>ivotal studies</w:t>
      </w:r>
    </w:p>
    <w:tbl>
      <w:tblPr>
        <w:tblW w:w="0" w:type="auto"/>
        <w:tblInd w:w="308"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Caption w:val="Table 9. Categories of AEs- pooled data from pivotal studies"/>
        <w:tblDescription w:val="Table 9. Categories of AEs- pooled data from pivotal studies"/>
      </w:tblPr>
      <w:tblGrid>
        <w:gridCol w:w="4265"/>
        <w:gridCol w:w="2373"/>
        <w:gridCol w:w="2388"/>
      </w:tblGrid>
      <w:tr w:rsidR="00B641FD" w14:paraId="63A501D4" w14:textId="77777777" w:rsidTr="00F049D7">
        <w:tc>
          <w:tcPr>
            <w:tcW w:w="4265" w:type="dxa"/>
            <w:shd w:val="clear" w:color="auto" w:fill="DEEAF6"/>
          </w:tcPr>
          <w:p w14:paraId="1608EE6A" w14:textId="77777777" w:rsidR="00B641FD" w:rsidRDefault="00B641FD" w:rsidP="0052070A"/>
        </w:tc>
        <w:tc>
          <w:tcPr>
            <w:tcW w:w="2373" w:type="dxa"/>
            <w:shd w:val="clear" w:color="auto" w:fill="DEEAF6"/>
          </w:tcPr>
          <w:p w14:paraId="6FAF1C77" w14:textId="77777777" w:rsidR="00B641FD" w:rsidRPr="00B641FD" w:rsidRDefault="00B641FD" w:rsidP="0052070A">
            <w:pPr>
              <w:rPr>
                <w:b/>
                <w:color w:val="263287"/>
              </w:rPr>
            </w:pPr>
            <w:r w:rsidRPr="00B641FD">
              <w:rPr>
                <w:b/>
                <w:color w:val="263287"/>
                <w:spacing w:val="-2"/>
              </w:rPr>
              <w:t>Remibrutinib</w:t>
            </w:r>
          </w:p>
        </w:tc>
        <w:tc>
          <w:tcPr>
            <w:tcW w:w="2388" w:type="dxa"/>
            <w:shd w:val="clear" w:color="auto" w:fill="DEEAF6"/>
          </w:tcPr>
          <w:p w14:paraId="2BE3F7C5" w14:textId="77777777" w:rsidR="00B641FD" w:rsidRPr="00B641FD" w:rsidRDefault="00B641FD" w:rsidP="0052070A">
            <w:pPr>
              <w:rPr>
                <w:b/>
                <w:color w:val="263287"/>
              </w:rPr>
            </w:pPr>
            <w:r w:rsidRPr="00B641FD">
              <w:rPr>
                <w:b/>
                <w:color w:val="263287"/>
                <w:spacing w:val="-2"/>
              </w:rPr>
              <w:t>Placebo</w:t>
            </w:r>
          </w:p>
        </w:tc>
      </w:tr>
      <w:tr w:rsidR="00B641FD" w14:paraId="2AAAC493" w14:textId="77777777" w:rsidTr="00F049D7">
        <w:tc>
          <w:tcPr>
            <w:tcW w:w="4265" w:type="dxa"/>
          </w:tcPr>
          <w:p w14:paraId="4C4403DF" w14:textId="77777777" w:rsidR="00B641FD" w:rsidRPr="001D4703" w:rsidRDefault="00B641FD" w:rsidP="0052070A">
            <w:pPr>
              <w:rPr>
                <w:bCs/>
              </w:rPr>
            </w:pPr>
            <w:r w:rsidRPr="001D4703">
              <w:rPr>
                <w:bCs/>
              </w:rPr>
              <w:t>All</w:t>
            </w:r>
            <w:r w:rsidRPr="001D4703">
              <w:rPr>
                <w:bCs/>
                <w:spacing w:val="14"/>
              </w:rPr>
              <w:t xml:space="preserve"> </w:t>
            </w:r>
            <w:r w:rsidRPr="001D4703">
              <w:rPr>
                <w:bCs/>
                <w:spacing w:val="-5"/>
              </w:rPr>
              <w:t>AEs</w:t>
            </w:r>
          </w:p>
        </w:tc>
        <w:tc>
          <w:tcPr>
            <w:tcW w:w="2373" w:type="dxa"/>
          </w:tcPr>
          <w:p w14:paraId="68556464" w14:textId="77777777" w:rsidR="00B641FD" w:rsidRPr="00B641FD" w:rsidRDefault="00B641FD" w:rsidP="0052070A">
            <w:pPr>
              <w:rPr>
                <w:bCs/>
              </w:rPr>
            </w:pPr>
            <w:r w:rsidRPr="00B641FD">
              <w:rPr>
                <w:bCs/>
                <w:spacing w:val="-2"/>
              </w:rPr>
              <w:t>64.9%</w:t>
            </w:r>
          </w:p>
        </w:tc>
        <w:tc>
          <w:tcPr>
            <w:tcW w:w="2388" w:type="dxa"/>
          </w:tcPr>
          <w:p w14:paraId="2EF93D20" w14:textId="77777777" w:rsidR="00B641FD" w:rsidRPr="00B641FD" w:rsidRDefault="00B641FD" w:rsidP="0052070A">
            <w:pPr>
              <w:rPr>
                <w:bCs/>
              </w:rPr>
            </w:pPr>
            <w:r w:rsidRPr="00B641FD">
              <w:rPr>
                <w:bCs/>
                <w:spacing w:val="-2"/>
              </w:rPr>
              <w:t>64.7%</w:t>
            </w:r>
          </w:p>
        </w:tc>
      </w:tr>
      <w:tr w:rsidR="00B641FD" w14:paraId="764C9216" w14:textId="77777777" w:rsidTr="00F049D7">
        <w:tc>
          <w:tcPr>
            <w:tcW w:w="4265" w:type="dxa"/>
          </w:tcPr>
          <w:p w14:paraId="74440DF8" w14:textId="77777777" w:rsidR="00B641FD" w:rsidRPr="001D4703" w:rsidRDefault="00B641FD" w:rsidP="0052070A">
            <w:pPr>
              <w:rPr>
                <w:bCs/>
              </w:rPr>
            </w:pPr>
            <w:r w:rsidRPr="001D4703">
              <w:rPr>
                <w:bCs/>
              </w:rPr>
              <w:t>Severe</w:t>
            </w:r>
            <w:r w:rsidRPr="001D4703">
              <w:rPr>
                <w:bCs/>
                <w:spacing w:val="14"/>
              </w:rPr>
              <w:t xml:space="preserve"> </w:t>
            </w:r>
            <w:r w:rsidRPr="001D4703">
              <w:rPr>
                <w:bCs/>
                <w:spacing w:val="-5"/>
              </w:rPr>
              <w:t>AEs</w:t>
            </w:r>
          </w:p>
        </w:tc>
        <w:tc>
          <w:tcPr>
            <w:tcW w:w="2373" w:type="dxa"/>
          </w:tcPr>
          <w:p w14:paraId="71D8E9BD" w14:textId="77777777" w:rsidR="00B641FD" w:rsidRPr="00B641FD" w:rsidRDefault="00B641FD" w:rsidP="0052070A">
            <w:pPr>
              <w:rPr>
                <w:bCs/>
              </w:rPr>
            </w:pPr>
            <w:r w:rsidRPr="00B641FD">
              <w:rPr>
                <w:bCs/>
                <w:spacing w:val="-4"/>
              </w:rPr>
              <w:t>2.8%</w:t>
            </w:r>
          </w:p>
        </w:tc>
        <w:tc>
          <w:tcPr>
            <w:tcW w:w="2388" w:type="dxa"/>
          </w:tcPr>
          <w:p w14:paraId="298BE13C" w14:textId="77777777" w:rsidR="00B641FD" w:rsidRPr="00B641FD" w:rsidRDefault="00B641FD" w:rsidP="0052070A">
            <w:pPr>
              <w:rPr>
                <w:bCs/>
              </w:rPr>
            </w:pPr>
            <w:r w:rsidRPr="00B641FD">
              <w:rPr>
                <w:bCs/>
                <w:spacing w:val="-4"/>
              </w:rPr>
              <w:t>2.3%</w:t>
            </w:r>
          </w:p>
        </w:tc>
      </w:tr>
      <w:tr w:rsidR="00B641FD" w14:paraId="512D8219" w14:textId="77777777" w:rsidTr="00F049D7">
        <w:tc>
          <w:tcPr>
            <w:tcW w:w="4265" w:type="dxa"/>
          </w:tcPr>
          <w:p w14:paraId="728D4748" w14:textId="77777777" w:rsidR="00B641FD" w:rsidRPr="001D4703" w:rsidRDefault="00B641FD" w:rsidP="0052070A">
            <w:pPr>
              <w:rPr>
                <w:bCs/>
              </w:rPr>
            </w:pPr>
            <w:r w:rsidRPr="001D4703">
              <w:rPr>
                <w:bCs/>
                <w:spacing w:val="2"/>
              </w:rPr>
              <w:t>Treatment-related</w:t>
            </w:r>
            <w:r w:rsidRPr="001D4703">
              <w:rPr>
                <w:bCs/>
                <w:spacing w:val="24"/>
              </w:rPr>
              <w:t xml:space="preserve"> </w:t>
            </w:r>
            <w:r w:rsidRPr="001D4703">
              <w:rPr>
                <w:bCs/>
                <w:spacing w:val="-5"/>
              </w:rPr>
              <w:t>AEs</w:t>
            </w:r>
          </w:p>
        </w:tc>
        <w:tc>
          <w:tcPr>
            <w:tcW w:w="2373" w:type="dxa"/>
          </w:tcPr>
          <w:p w14:paraId="30F48793" w14:textId="77777777" w:rsidR="00B641FD" w:rsidRPr="00B641FD" w:rsidRDefault="00B641FD" w:rsidP="0052070A">
            <w:pPr>
              <w:rPr>
                <w:bCs/>
              </w:rPr>
            </w:pPr>
            <w:r w:rsidRPr="00B641FD">
              <w:rPr>
                <w:bCs/>
                <w:spacing w:val="-2"/>
              </w:rPr>
              <w:t>19.0%</w:t>
            </w:r>
          </w:p>
        </w:tc>
        <w:tc>
          <w:tcPr>
            <w:tcW w:w="2388" w:type="dxa"/>
          </w:tcPr>
          <w:p w14:paraId="3001D3F7" w14:textId="77777777" w:rsidR="00B641FD" w:rsidRPr="00B641FD" w:rsidRDefault="00B641FD" w:rsidP="0052070A">
            <w:pPr>
              <w:rPr>
                <w:bCs/>
              </w:rPr>
            </w:pPr>
            <w:r w:rsidRPr="00B641FD">
              <w:rPr>
                <w:bCs/>
                <w:spacing w:val="-2"/>
              </w:rPr>
              <w:t>12.7%</w:t>
            </w:r>
          </w:p>
        </w:tc>
      </w:tr>
      <w:tr w:rsidR="00B641FD" w14:paraId="675884B7" w14:textId="77777777" w:rsidTr="00F049D7">
        <w:tc>
          <w:tcPr>
            <w:tcW w:w="4265" w:type="dxa"/>
          </w:tcPr>
          <w:p w14:paraId="59E4CAFA" w14:textId="77777777" w:rsidR="00B641FD" w:rsidRPr="001D4703" w:rsidRDefault="00B641FD" w:rsidP="0052070A">
            <w:pPr>
              <w:rPr>
                <w:bCs/>
              </w:rPr>
            </w:pPr>
            <w:r w:rsidRPr="001D4703">
              <w:rPr>
                <w:bCs/>
              </w:rPr>
              <w:t>Serious</w:t>
            </w:r>
            <w:r w:rsidRPr="001D4703">
              <w:rPr>
                <w:bCs/>
                <w:spacing w:val="26"/>
              </w:rPr>
              <w:t xml:space="preserve"> </w:t>
            </w:r>
            <w:r w:rsidRPr="001D4703">
              <w:rPr>
                <w:bCs/>
                <w:spacing w:val="-5"/>
              </w:rPr>
              <w:t>AEs</w:t>
            </w:r>
          </w:p>
        </w:tc>
        <w:tc>
          <w:tcPr>
            <w:tcW w:w="2373" w:type="dxa"/>
          </w:tcPr>
          <w:p w14:paraId="394BC71E" w14:textId="77777777" w:rsidR="00B641FD" w:rsidRPr="00B641FD" w:rsidRDefault="00B641FD" w:rsidP="0052070A">
            <w:pPr>
              <w:rPr>
                <w:bCs/>
              </w:rPr>
            </w:pPr>
            <w:r w:rsidRPr="00B641FD">
              <w:rPr>
                <w:bCs/>
                <w:spacing w:val="-4"/>
              </w:rPr>
              <w:t>3.3%</w:t>
            </w:r>
          </w:p>
        </w:tc>
        <w:tc>
          <w:tcPr>
            <w:tcW w:w="2388" w:type="dxa"/>
          </w:tcPr>
          <w:p w14:paraId="2B228BC3" w14:textId="77777777" w:rsidR="00B641FD" w:rsidRPr="00B641FD" w:rsidRDefault="00B641FD" w:rsidP="0052070A">
            <w:pPr>
              <w:rPr>
                <w:bCs/>
              </w:rPr>
            </w:pPr>
            <w:r w:rsidRPr="00B641FD">
              <w:rPr>
                <w:bCs/>
                <w:spacing w:val="-4"/>
              </w:rPr>
              <w:t>2.3%</w:t>
            </w:r>
          </w:p>
        </w:tc>
      </w:tr>
      <w:tr w:rsidR="00B641FD" w14:paraId="044EB4FF" w14:textId="77777777" w:rsidTr="00F049D7">
        <w:tc>
          <w:tcPr>
            <w:tcW w:w="4265" w:type="dxa"/>
          </w:tcPr>
          <w:p w14:paraId="49E84842" w14:textId="77777777" w:rsidR="00B641FD" w:rsidRPr="001D4703" w:rsidRDefault="00B641FD" w:rsidP="0052070A">
            <w:pPr>
              <w:rPr>
                <w:bCs/>
              </w:rPr>
            </w:pPr>
            <w:r w:rsidRPr="001D4703">
              <w:rPr>
                <w:bCs/>
              </w:rPr>
              <w:t>AEs</w:t>
            </w:r>
            <w:r w:rsidRPr="001D4703">
              <w:rPr>
                <w:bCs/>
                <w:spacing w:val="12"/>
              </w:rPr>
              <w:t xml:space="preserve"> </w:t>
            </w:r>
            <w:r w:rsidRPr="001D4703">
              <w:rPr>
                <w:bCs/>
              </w:rPr>
              <w:t>leading</w:t>
            </w:r>
            <w:r w:rsidRPr="001D4703">
              <w:rPr>
                <w:bCs/>
                <w:spacing w:val="14"/>
              </w:rPr>
              <w:t xml:space="preserve"> </w:t>
            </w:r>
            <w:r w:rsidRPr="001D4703">
              <w:rPr>
                <w:bCs/>
              </w:rPr>
              <w:t>to</w:t>
            </w:r>
            <w:r w:rsidRPr="001D4703">
              <w:rPr>
                <w:bCs/>
                <w:spacing w:val="19"/>
              </w:rPr>
              <w:t xml:space="preserve"> </w:t>
            </w:r>
            <w:r w:rsidRPr="001D4703">
              <w:rPr>
                <w:bCs/>
                <w:spacing w:val="-2"/>
              </w:rPr>
              <w:t>discontinuation</w:t>
            </w:r>
          </w:p>
        </w:tc>
        <w:tc>
          <w:tcPr>
            <w:tcW w:w="2373" w:type="dxa"/>
          </w:tcPr>
          <w:p w14:paraId="6F28D567" w14:textId="77777777" w:rsidR="00B641FD" w:rsidRPr="00B641FD" w:rsidRDefault="00B641FD" w:rsidP="0052070A">
            <w:pPr>
              <w:rPr>
                <w:bCs/>
              </w:rPr>
            </w:pPr>
            <w:r w:rsidRPr="00B641FD">
              <w:rPr>
                <w:bCs/>
                <w:spacing w:val="-4"/>
              </w:rPr>
              <w:t>2.8%</w:t>
            </w:r>
          </w:p>
        </w:tc>
        <w:tc>
          <w:tcPr>
            <w:tcW w:w="2388" w:type="dxa"/>
          </w:tcPr>
          <w:p w14:paraId="0C8FD0EC" w14:textId="77777777" w:rsidR="00B641FD" w:rsidRPr="00B641FD" w:rsidRDefault="00B641FD" w:rsidP="0052070A">
            <w:pPr>
              <w:rPr>
                <w:bCs/>
              </w:rPr>
            </w:pPr>
            <w:r w:rsidRPr="00B641FD">
              <w:rPr>
                <w:bCs/>
                <w:spacing w:val="-4"/>
              </w:rPr>
              <w:t>2.9%</w:t>
            </w:r>
          </w:p>
        </w:tc>
      </w:tr>
    </w:tbl>
    <w:p w14:paraId="0BE59784" w14:textId="77777777" w:rsidR="0052070A" w:rsidRDefault="0052070A" w:rsidP="0052070A">
      <w:pPr>
        <w:rPr>
          <w:lang w:val="en-US"/>
        </w:rPr>
      </w:pPr>
      <w:bookmarkStart w:id="66" w:name="_Toc98931932"/>
    </w:p>
    <w:p w14:paraId="354F466D" w14:textId="1A6410CF" w:rsidR="009A0229" w:rsidRPr="009A0229" w:rsidRDefault="009A0229" w:rsidP="0052070A">
      <w:pPr>
        <w:rPr>
          <w:lang w:val="en-US"/>
        </w:rPr>
      </w:pPr>
      <w:proofErr w:type="gramStart"/>
      <w:r w:rsidRPr="009A0229">
        <w:rPr>
          <w:lang w:val="en-US"/>
        </w:rPr>
        <w:t>Across</w:t>
      </w:r>
      <w:proofErr w:type="gramEnd"/>
      <w:r w:rsidRPr="009A0229">
        <w:rPr>
          <w:lang w:val="en-US"/>
        </w:rPr>
        <w:t xml:space="preserve"> all studies the toxicities which appeared to be more frequent with remibrutinib were the following:</w:t>
      </w:r>
    </w:p>
    <w:p w14:paraId="55C9A0BA" w14:textId="77777777" w:rsidR="009A0229" w:rsidRDefault="009A0229" w:rsidP="00A02C68">
      <w:pPr>
        <w:pStyle w:val="Heading5"/>
        <w:rPr>
          <w:lang w:val="en-US"/>
        </w:rPr>
      </w:pPr>
      <w:r w:rsidRPr="009A0229">
        <w:rPr>
          <w:lang w:val="en-US"/>
        </w:rPr>
        <w:t>Bleeding events</w:t>
      </w:r>
    </w:p>
    <w:p w14:paraId="3D4D823D" w14:textId="3327D3F1" w:rsidR="009A0229" w:rsidRPr="009A0229" w:rsidRDefault="009A0229" w:rsidP="009A0229">
      <w:pPr>
        <w:rPr>
          <w:lang w:val="en-US"/>
        </w:rPr>
      </w:pPr>
      <w:r w:rsidRPr="009A0229">
        <w:rPr>
          <w:lang w:val="en-US"/>
        </w:rPr>
        <w:t xml:space="preserve">These typically were minor AEs in the skin such as petechiae, ecchymosis, contusion and purpura, as well as </w:t>
      </w:r>
      <w:proofErr w:type="spellStart"/>
      <w:r w:rsidRPr="009A0229">
        <w:rPr>
          <w:lang w:val="en-US"/>
        </w:rPr>
        <w:t>haematuria</w:t>
      </w:r>
      <w:proofErr w:type="spellEnd"/>
      <w:r w:rsidRPr="009A0229">
        <w:rPr>
          <w:lang w:val="en-US"/>
        </w:rPr>
        <w:t>. There were three serious bleeding AEs reported in the clinical studies, however none of these were assessed as being related to remibrutinib.</w:t>
      </w:r>
    </w:p>
    <w:p w14:paraId="618A324E" w14:textId="368546C0" w:rsidR="009A0229" w:rsidRPr="009A0229" w:rsidRDefault="001D4703" w:rsidP="009A0229">
      <w:pPr>
        <w:rPr>
          <w:lang w:val="en-US"/>
        </w:rPr>
      </w:pPr>
      <w:r>
        <w:rPr>
          <w:lang w:val="en-US"/>
        </w:rPr>
        <w:t>I</w:t>
      </w:r>
      <w:r w:rsidR="009A0229" w:rsidRPr="009A0229">
        <w:rPr>
          <w:lang w:val="en-US"/>
        </w:rPr>
        <w:t>n vitro and animal studies have demonstrated that remibrutinib impairs platelet function.</w:t>
      </w:r>
    </w:p>
    <w:p w14:paraId="0DB8B381" w14:textId="77777777" w:rsidR="009A0229" w:rsidRPr="009A0229" w:rsidRDefault="009A0229" w:rsidP="009A0229">
      <w:pPr>
        <w:rPr>
          <w:lang w:val="en-US"/>
        </w:rPr>
      </w:pPr>
      <w:r w:rsidRPr="009A0229">
        <w:rPr>
          <w:lang w:val="en-US"/>
        </w:rPr>
        <w:t>In the pivotal studies subjects were permitted to use anti-platelet agents such as aspirin and clopidogrel, but anticoagulants (e.g. warfarin) were prohibited. The draft PI contains a precautionary statement regarding the potential for interactions with these agents.</w:t>
      </w:r>
    </w:p>
    <w:p w14:paraId="4218A27C" w14:textId="77777777" w:rsidR="009A0229" w:rsidRDefault="009A0229" w:rsidP="00A02C68">
      <w:pPr>
        <w:pStyle w:val="Heading5"/>
        <w:rPr>
          <w:lang w:val="en-US"/>
        </w:rPr>
      </w:pPr>
      <w:r w:rsidRPr="009A0229">
        <w:rPr>
          <w:lang w:val="en-US"/>
        </w:rPr>
        <w:t>Upper respiratory tract infections</w:t>
      </w:r>
    </w:p>
    <w:p w14:paraId="01CB1530" w14:textId="2496A3DA" w:rsidR="009A0229" w:rsidRPr="009A0229" w:rsidRDefault="009A0229" w:rsidP="009A0229">
      <w:pPr>
        <w:rPr>
          <w:lang w:val="en-US"/>
        </w:rPr>
      </w:pPr>
      <w:r w:rsidRPr="009A0229">
        <w:rPr>
          <w:lang w:val="en-US"/>
        </w:rPr>
        <w:t>In placebo-controlled studies there was an increased incidence of AEs such as nasopharyngitis, upper respiratory tract infection and influenza. There was no increase in the incidence of serious infections.</w:t>
      </w:r>
    </w:p>
    <w:p w14:paraId="76DC51B5" w14:textId="0D04DB44" w:rsidR="009D3BCE" w:rsidRDefault="009A0229" w:rsidP="00A02C68">
      <w:pPr>
        <w:pStyle w:val="Heading5"/>
        <w:rPr>
          <w:lang w:val="en-US"/>
        </w:rPr>
      </w:pPr>
      <w:r w:rsidRPr="009A0229">
        <w:rPr>
          <w:lang w:val="en-US"/>
        </w:rPr>
        <w:lastRenderedPageBreak/>
        <w:t>Neutropaenia</w:t>
      </w:r>
    </w:p>
    <w:p w14:paraId="66F88430" w14:textId="15DB0874" w:rsidR="009A0229" w:rsidRPr="009A0229" w:rsidRDefault="009D3BCE" w:rsidP="009A0229">
      <w:pPr>
        <w:rPr>
          <w:lang w:val="en-US"/>
        </w:rPr>
      </w:pPr>
      <w:r>
        <w:rPr>
          <w:lang w:val="en-US"/>
        </w:rPr>
        <w:t>Adverse event</w:t>
      </w:r>
      <w:r w:rsidR="009A0229" w:rsidRPr="009A0229">
        <w:rPr>
          <w:lang w:val="en-US"/>
        </w:rPr>
        <w:t xml:space="preserve"> reports of neutropaenia were more common with remibrutinib than with placebo in the pivotal studies and in </w:t>
      </w:r>
      <w:r w:rsidR="00646726">
        <w:rPr>
          <w:lang w:val="en-US"/>
        </w:rPr>
        <w:t xml:space="preserve">phase 2 </w:t>
      </w:r>
      <w:r w:rsidR="009A0229" w:rsidRPr="009A0229">
        <w:rPr>
          <w:lang w:val="en-US"/>
        </w:rPr>
        <w:t xml:space="preserve">study A2201. Laboratory testing in </w:t>
      </w:r>
      <w:proofErr w:type="gramStart"/>
      <w:r w:rsidR="009A0229" w:rsidRPr="009A0229">
        <w:rPr>
          <w:lang w:val="en-US"/>
        </w:rPr>
        <w:t>the pivotal</w:t>
      </w:r>
      <w:proofErr w:type="gramEnd"/>
      <w:r w:rsidR="009A0229" w:rsidRPr="009A0229">
        <w:rPr>
          <w:lang w:val="en-US"/>
        </w:rPr>
        <w:t xml:space="preserve"> studies suggested that any increase in neutropaenia was only grade 1 or 2 in severity.</w:t>
      </w:r>
    </w:p>
    <w:p w14:paraId="623F2FA2" w14:textId="77777777" w:rsidR="009D3BCE" w:rsidRDefault="009A0229" w:rsidP="00A02C68">
      <w:pPr>
        <w:pStyle w:val="Heading5"/>
        <w:rPr>
          <w:lang w:val="en-US"/>
        </w:rPr>
      </w:pPr>
      <w:r w:rsidRPr="009A0229">
        <w:rPr>
          <w:lang w:val="en-US"/>
        </w:rPr>
        <w:t>Nausea</w:t>
      </w:r>
    </w:p>
    <w:p w14:paraId="66F416A8" w14:textId="01F24CEB" w:rsidR="009A0229" w:rsidRPr="009A0229" w:rsidRDefault="009A0229" w:rsidP="009A0229">
      <w:pPr>
        <w:rPr>
          <w:lang w:val="en-US"/>
        </w:rPr>
      </w:pPr>
      <w:r w:rsidRPr="009A0229">
        <w:rPr>
          <w:lang w:val="en-US"/>
        </w:rPr>
        <w:t>Nausea was more common with remibrutinib than with placebo in the pivotal studies and in some of the phase 2 studies. In the pivotal studies nausea was reported by 18 subjects. Severity was assessed as mild in 17 and moderate in 1</w:t>
      </w:r>
      <w:r w:rsidR="325CA368" w:rsidRPr="01D0CA21">
        <w:rPr>
          <w:lang w:val="en-US"/>
        </w:rPr>
        <w:t xml:space="preserve"> </w:t>
      </w:r>
      <w:r w:rsidR="325CA368" w:rsidRPr="29AF3835">
        <w:rPr>
          <w:lang w:val="en-US"/>
        </w:rPr>
        <w:t>subject</w:t>
      </w:r>
      <w:r w:rsidRPr="29AF3835">
        <w:rPr>
          <w:lang w:val="en-US"/>
        </w:rPr>
        <w:t>.</w:t>
      </w:r>
    </w:p>
    <w:p w14:paraId="3D16071E" w14:textId="435E140D" w:rsidR="009A0229" w:rsidRPr="009A0229" w:rsidRDefault="009A0229" w:rsidP="009A0229">
      <w:pPr>
        <w:rPr>
          <w:lang w:val="en-US"/>
        </w:rPr>
      </w:pPr>
      <w:r w:rsidRPr="009A0229">
        <w:rPr>
          <w:lang w:val="en-US"/>
        </w:rPr>
        <w:t>Remibrutinib is intended for long term use. In the submitted studies in CSU subjects a total of 1019 subjects received remibrutinib for at least 24 weeks, and 654 subjects were treated for at least 52 weeks. These numbers met the requirements of the relevant EMA guideline adopted by the TGA, which suggests that 300-600 patients should be treated for 6 months, and 100 patients for 12 months.</w:t>
      </w:r>
      <w:r w:rsidR="00CC2C4A">
        <w:rPr>
          <w:rStyle w:val="FootnoteReference"/>
          <w:lang w:val="en-US"/>
        </w:rPr>
        <w:footnoteReference w:id="31"/>
      </w:r>
    </w:p>
    <w:p w14:paraId="111BECCF" w14:textId="77777777" w:rsidR="009A0229" w:rsidRPr="009A0229" w:rsidRDefault="009A0229" w:rsidP="009A0229">
      <w:pPr>
        <w:rPr>
          <w:lang w:val="en-US"/>
        </w:rPr>
      </w:pPr>
      <w:r w:rsidRPr="009A0229">
        <w:rPr>
          <w:lang w:val="en-US"/>
        </w:rPr>
        <w:t>In the submitted studies, long term treatment was not associated with increases in exposure-adjusted incidence rates or the development of new toxicities.</w:t>
      </w:r>
    </w:p>
    <w:p w14:paraId="77586BAE" w14:textId="77777777" w:rsidR="009A0229" w:rsidRPr="009A0229" w:rsidRDefault="009A0229" w:rsidP="009A0229">
      <w:pPr>
        <w:rPr>
          <w:lang w:val="en-US"/>
        </w:rPr>
      </w:pPr>
      <w:r w:rsidRPr="009A0229">
        <w:rPr>
          <w:lang w:val="en-US"/>
        </w:rPr>
        <w:t>The submitted data are considered adequate to define the toxicity of remibrutinib.</w:t>
      </w:r>
    </w:p>
    <w:p w14:paraId="1627F20B" w14:textId="4CE4EA12" w:rsidR="009A0229" w:rsidRPr="009A0229" w:rsidRDefault="009A0229" w:rsidP="00A02C68">
      <w:pPr>
        <w:pStyle w:val="Heading5"/>
        <w:rPr>
          <w:lang w:val="en-US"/>
        </w:rPr>
      </w:pPr>
      <w:r w:rsidRPr="009A0229">
        <w:rPr>
          <w:lang w:val="en-US"/>
        </w:rPr>
        <w:t xml:space="preserve">Data </w:t>
      </w:r>
      <w:r w:rsidR="00A02C68">
        <w:rPr>
          <w:lang w:val="en-US"/>
        </w:rPr>
        <w:t>l</w:t>
      </w:r>
      <w:r w:rsidRPr="009A0229">
        <w:rPr>
          <w:lang w:val="en-US"/>
        </w:rPr>
        <w:t>imitation</w:t>
      </w:r>
      <w:r w:rsidR="00A02C68">
        <w:rPr>
          <w:lang w:val="en-US"/>
        </w:rPr>
        <w:t>s</w:t>
      </w:r>
    </w:p>
    <w:p w14:paraId="00E5D265" w14:textId="77777777" w:rsidR="009A0229" w:rsidRPr="009A0229" w:rsidRDefault="009A0229" w:rsidP="00A02C68">
      <w:pPr>
        <w:rPr>
          <w:lang w:val="en-US"/>
        </w:rPr>
      </w:pPr>
      <w:r w:rsidRPr="009A0229">
        <w:rPr>
          <w:lang w:val="en-US"/>
        </w:rPr>
        <w:t>Efficacy in subjects with mild CSU has not been established.</w:t>
      </w:r>
    </w:p>
    <w:p w14:paraId="0BC50A71" w14:textId="77777777" w:rsidR="009A0229" w:rsidRPr="009A0229" w:rsidRDefault="009A0229" w:rsidP="00A02C68">
      <w:pPr>
        <w:rPr>
          <w:lang w:val="en-US"/>
        </w:rPr>
      </w:pPr>
      <w:r w:rsidRPr="009A0229">
        <w:rPr>
          <w:lang w:val="en-US"/>
        </w:rPr>
        <w:t>Efficacy compared to current standard therapy (omalizumab) has not been established.</w:t>
      </w:r>
    </w:p>
    <w:p w14:paraId="212E48CD" w14:textId="77777777" w:rsidR="009A0229" w:rsidRPr="009A0229" w:rsidRDefault="009A0229" w:rsidP="00D07A33">
      <w:pPr>
        <w:rPr>
          <w:lang w:val="en-US"/>
        </w:rPr>
      </w:pPr>
      <w:r w:rsidRPr="009A0229">
        <w:rPr>
          <w:lang w:val="en-US"/>
        </w:rPr>
        <w:t>Efficacy in subjects aged &lt; 18 years has not been tested.</w:t>
      </w:r>
    </w:p>
    <w:p w14:paraId="07ABA4D9" w14:textId="77777777" w:rsidR="009A0229" w:rsidRPr="009A0229" w:rsidRDefault="009A0229" w:rsidP="00D07A33">
      <w:pPr>
        <w:rPr>
          <w:lang w:val="en-US"/>
        </w:rPr>
      </w:pPr>
      <w:r w:rsidRPr="009A0229">
        <w:rPr>
          <w:lang w:val="en-US"/>
        </w:rPr>
        <w:t>Clinical trial population did not include Aboriginal, Torres islander population. However, it did include Americal Indians and native subjects.</w:t>
      </w:r>
    </w:p>
    <w:p w14:paraId="307F236C" w14:textId="7FD19BD3" w:rsidR="00C22214" w:rsidRPr="002E238E" w:rsidRDefault="0046285C" w:rsidP="00C22214">
      <w:pPr>
        <w:pStyle w:val="Heading2"/>
      </w:pPr>
      <w:bookmarkStart w:id="67" w:name="_Toc247691532"/>
      <w:bookmarkStart w:id="68" w:name="_Toc314842516"/>
      <w:bookmarkStart w:id="69" w:name="_Toc103679300"/>
      <w:bookmarkStart w:id="70" w:name="_Toc233190979"/>
      <w:bookmarkEnd w:id="66"/>
      <w:r>
        <w:t>Assessment</w:t>
      </w:r>
      <w:r w:rsidR="00190853">
        <w:t xml:space="preserve"> </w:t>
      </w:r>
      <w:r>
        <w:t>o</w:t>
      </w:r>
      <w:r w:rsidR="00C22214">
        <w:t>utcome</w:t>
      </w:r>
      <w:bookmarkEnd w:id="67"/>
      <w:bookmarkEnd w:id="68"/>
      <w:bookmarkEnd w:id="69"/>
      <w:bookmarkEnd w:id="70"/>
    </w:p>
    <w:p w14:paraId="4EF22939" w14:textId="1E6737A6"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BA1C03">
        <w:t>Rhapsido</w:t>
      </w:r>
      <w:r w:rsidR="00D07A33" w:rsidRPr="00D07A33">
        <w:t xml:space="preserve"> </w:t>
      </w:r>
      <w:r w:rsidR="00D07A33">
        <w:t>(</w:t>
      </w:r>
      <w:r w:rsidR="00D07A33" w:rsidRPr="00D07A33">
        <w:t>remibrutinib</w:t>
      </w:r>
      <w:r w:rsidR="00D07A33">
        <w:t>)</w:t>
      </w:r>
      <w:r w:rsidR="00D07A33" w:rsidRPr="00D07A33">
        <w:t xml:space="preserve"> </w:t>
      </w:r>
      <w:r w:rsidRPr="0017005C">
        <w:t>for the following indication:</w:t>
      </w:r>
    </w:p>
    <w:p w14:paraId="26EAD491" w14:textId="2867D366" w:rsidR="00A93DC6" w:rsidRDefault="00BA1C03" w:rsidP="00C84671">
      <w:pPr>
        <w:pStyle w:val="Indication"/>
      </w:pPr>
      <w:r>
        <w:t>Rhapsido</w:t>
      </w:r>
      <w:r w:rsidR="00C84671" w:rsidRPr="00C84671">
        <w:t xml:space="preserve"> is indicated for the treatment of chronic spontaneous urticaria (CSU) in adult patients who remain symptomatic despite H1 antihistamine treatment.</w:t>
      </w:r>
    </w:p>
    <w:p w14:paraId="0D732DA4" w14:textId="74882685" w:rsidR="00854D98" w:rsidRPr="00D23139" w:rsidRDefault="00854D98" w:rsidP="004B2938">
      <w:pPr>
        <w:pStyle w:val="Heading4"/>
      </w:pPr>
      <w:bookmarkStart w:id="71" w:name="_Toc103679301"/>
      <w:bookmarkStart w:id="72" w:name="_Toc233190980"/>
      <w:r w:rsidRPr="00D23139">
        <w:t>Specific conditions of registration</w:t>
      </w:r>
      <w:bookmarkEnd w:id="72"/>
      <w:r w:rsidRPr="00D23139">
        <w:t xml:space="preserve"> </w:t>
      </w:r>
      <w:bookmarkEnd w:id="71"/>
    </w:p>
    <w:p w14:paraId="7BB14D57" w14:textId="77D556F8" w:rsidR="00F16F35" w:rsidRDefault="00BA1C03" w:rsidP="00F16F35">
      <w:r>
        <w:t>Rhapsido</w:t>
      </w:r>
      <w:r w:rsidR="00F16F35">
        <w:t xml:space="preserve"> (remibrutinib) is to be included in the Black Triangle Scheme. The PI and CMI for </w:t>
      </w:r>
      <w:r>
        <w:t>Rhapsido</w:t>
      </w:r>
      <w:r w:rsidR="00F16F35">
        <w:t xml:space="preserve"> must include the black triangle symbol and mandatory accompanying text for five years, which starts from the date of first supply of the product.</w:t>
      </w:r>
    </w:p>
    <w:p w14:paraId="46E05E23" w14:textId="2E52AB87" w:rsidR="00F16F35" w:rsidRDefault="00F16F35" w:rsidP="00F16F35">
      <w:r>
        <w:t xml:space="preserve">The </w:t>
      </w:r>
      <w:r w:rsidR="00BA1C03">
        <w:t>Rhapsido</w:t>
      </w:r>
      <w:r>
        <w:t xml:space="preserve"> EU-Risk Management Plan (RMP) (version 1.1, dated 26 September 2025; DLP 4 August 2024), with Australia-Specific Annex (ASA) (version 1.1, dated 11 December 2025), included with submission PM-2025-01101-1-1, and any subsequent revisions, as agreed with the TGA will be implemented in Australia.</w:t>
      </w:r>
    </w:p>
    <w:p w14:paraId="0E8F76DB" w14:textId="4AE10437" w:rsidR="00F16F35" w:rsidRDefault="00F16F35" w:rsidP="00F16F35">
      <w:r>
        <w:lastRenderedPageBreak/>
        <w:t>An obligatory component of risk management plans is routine pharmacovigilance. Routine pharmacovigilance includes the submission of periodic safety update reports (PSURs).</w:t>
      </w:r>
    </w:p>
    <w:p w14:paraId="675AF459" w14:textId="408D6CF5" w:rsidR="00974D4C" w:rsidRDefault="00F16F35" w:rsidP="00974D4C">
      <w:r>
        <w:t>Unless agreed separately between the supplier who is the recipient of the approval and the TGA, the first report must be submitted to TGA no later than 15 calendar months after the date of this approval letter. The subsequent reports must be submitted no less</w:t>
      </w:r>
      <w:r w:rsidR="00974D4C" w:rsidRPr="00974D4C">
        <w:t xml:space="preserve"> </w:t>
      </w:r>
      <w:r w:rsidR="00974D4C">
        <w:t xml:space="preserve">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rsidR="00974D4C">
        <w:t>six monthly</w:t>
      </w:r>
      <w:proofErr w:type="gramEnd"/>
      <w:r w:rsidR="00974D4C">
        <w:t xml:space="preserve"> reports may be submitted separately as they become available.</w:t>
      </w:r>
    </w:p>
    <w:p w14:paraId="33C7F9AB" w14:textId="77777777" w:rsidR="00974D4C" w:rsidRDefault="00974D4C" w:rsidP="00974D4C">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16AAACA5" w14:textId="3ED9B1F9" w:rsidR="00854D98" w:rsidRDefault="00974D4C" w:rsidP="00974D4C">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0F9C1952" w14:textId="46BD475E" w:rsidR="00BA657C" w:rsidRPr="00BA657C" w:rsidRDefault="00BA657C" w:rsidP="004B2938">
      <w:pPr>
        <w:pStyle w:val="Heading4"/>
      </w:pPr>
      <w:bookmarkStart w:id="73" w:name="_Toc196738290"/>
      <w:bookmarkStart w:id="74" w:name="_Toc233190981"/>
      <w:r w:rsidRPr="00BA657C">
        <w:t>Product Information and Consumer Medicine Information</w:t>
      </w:r>
      <w:bookmarkEnd w:id="74"/>
      <w:r w:rsidRPr="00BA657C">
        <w:t xml:space="preserve"> </w:t>
      </w:r>
      <w:bookmarkEnd w:id="73"/>
    </w:p>
    <w:p w14:paraId="53357BF3" w14:textId="61B0B7D1" w:rsidR="00C22214" w:rsidRDefault="004D0933" w:rsidP="00C22214">
      <w:pPr>
        <w:rPr>
          <w:lang w:eastAsia="ja-JP"/>
        </w:rPr>
        <w:sectPr w:rsidR="00C22214" w:rsidSect="007452E8">
          <w:headerReference w:type="default" r:id="rId33"/>
          <w:footerReference w:type="default" r:id="rId34"/>
          <w:pgSz w:w="11906" w:h="16838" w:code="9"/>
          <w:pgMar w:top="1134" w:right="1418" w:bottom="1361" w:left="1418" w:header="573" w:footer="567" w:gutter="0"/>
          <w:cols w:space="708"/>
          <w:docGrid w:linePitch="360"/>
        </w:sectPr>
      </w:pPr>
      <w:bookmarkStart w:id="75" w:name="_Hlk200021736"/>
      <w:r w:rsidRPr="004D0933">
        <w:t xml:space="preserve">For the most recent Product Information (PI) and Consumer Medicine Information (CMI), please refer to the TGA </w:t>
      </w:r>
      <w:hyperlink r:id="rId35" w:history="1">
        <w:r w:rsidRPr="004D0933">
          <w:rPr>
            <w:rStyle w:val="Hyperlink"/>
          </w:rPr>
          <w:t>PI/CMI search facility.</w:t>
        </w:r>
      </w:hyperlink>
      <w:bookmarkEnd w:id="75"/>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3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37"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38"/>
      <w:footerReference w:type="first" r:id="rId3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D875C" w14:textId="77777777" w:rsidR="00403A19" w:rsidRDefault="00403A19" w:rsidP="00F02AEC">
      <w:pPr>
        <w:spacing w:after="0" w:line="240" w:lineRule="auto"/>
      </w:pPr>
      <w:r>
        <w:separator/>
      </w:r>
    </w:p>
  </w:endnote>
  <w:endnote w:type="continuationSeparator" w:id="0">
    <w:p w14:paraId="12391933" w14:textId="77777777" w:rsidR="00403A19" w:rsidRDefault="00403A19"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40978" w14:textId="0AC66E38" w:rsidR="0031681E" w:rsidRDefault="0031681E">
    <w:pPr>
      <w:pStyle w:val="Footer"/>
    </w:pPr>
    <w:r>
      <w:rPr>
        <w:noProof/>
      </w:rPr>
      <mc:AlternateContent>
        <mc:Choice Requires="wps">
          <w:drawing>
            <wp:anchor distT="0" distB="0" distL="0" distR="0" simplePos="0" relativeHeight="251665408" behindDoc="0" locked="0" layoutInCell="1" allowOverlap="1" wp14:anchorId="797F154F" wp14:editId="560388FA">
              <wp:simplePos x="635" y="635"/>
              <wp:positionH relativeFrom="page">
                <wp:align>center</wp:align>
              </wp:positionH>
              <wp:positionV relativeFrom="page">
                <wp:align>bottom</wp:align>
              </wp:positionV>
              <wp:extent cx="622300" cy="391160"/>
              <wp:effectExtent l="0" t="0" r="6350" b="0"/>
              <wp:wrapNone/>
              <wp:docPr id="85981794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E5FA4B7" w14:textId="363F09D3"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7F154F"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7E5FA4B7" w14:textId="363F09D3"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100AE21D" w:rsidR="007452E8" w:rsidRDefault="0031681E" w:rsidP="007452E8">
          <w:pPr>
            <w:pStyle w:val="Footer"/>
          </w:pPr>
          <w:r>
            <w:rPr>
              <w:noProof/>
            </w:rPr>
            <mc:AlternateContent>
              <mc:Choice Requires="wps">
                <w:drawing>
                  <wp:anchor distT="0" distB="0" distL="0" distR="0" simplePos="0" relativeHeight="251666432" behindDoc="0" locked="0" layoutInCell="1" allowOverlap="1" wp14:anchorId="0C912CD5" wp14:editId="6FAA6EFB">
                    <wp:simplePos x="635" y="635"/>
                    <wp:positionH relativeFrom="page">
                      <wp:align>center</wp:align>
                    </wp:positionH>
                    <wp:positionV relativeFrom="page">
                      <wp:align>bottom</wp:align>
                    </wp:positionV>
                    <wp:extent cx="622300" cy="391160"/>
                    <wp:effectExtent l="0" t="0" r="6350" b="0"/>
                    <wp:wrapNone/>
                    <wp:docPr id="133905318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F4ED41D" w14:textId="2E2C1ACD"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912CD5"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F4ED41D" w14:textId="2E2C1ACD"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01E51DDF" w:rsidR="007452E8" w:rsidRDefault="0031681E" w:rsidP="007452E8">
    <w:pPr>
      <w:pStyle w:val="Footer"/>
      <w:ind w:left="-1701"/>
    </w:pPr>
    <w:r>
      <w:rPr>
        <w:noProof/>
      </w:rPr>
      <mc:AlternateContent>
        <mc:Choice Requires="wps">
          <w:drawing>
            <wp:anchor distT="0" distB="0" distL="0" distR="0" simplePos="0" relativeHeight="251664384" behindDoc="0" locked="0" layoutInCell="1" allowOverlap="1" wp14:anchorId="4DB79BC3" wp14:editId="510F9EE5">
              <wp:simplePos x="914400" y="10115550"/>
              <wp:positionH relativeFrom="page">
                <wp:align>center</wp:align>
              </wp:positionH>
              <wp:positionV relativeFrom="page">
                <wp:align>bottom</wp:align>
              </wp:positionV>
              <wp:extent cx="622300" cy="391160"/>
              <wp:effectExtent l="0" t="0" r="6350" b="0"/>
              <wp:wrapNone/>
              <wp:docPr id="194607775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CEE29AB" w14:textId="57C17523"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B79BC3"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7CEE29AB" w14:textId="57C17523"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364"/>
      <w:gridCol w:w="1417"/>
    </w:tblGrid>
    <w:tr w:rsidR="007452E8" w:rsidRPr="004A3084" w14:paraId="6266BC33" w14:textId="77777777" w:rsidTr="007C7825">
      <w:trPr>
        <w:trHeight w:val="423"/>
      </w:trPr>
      <w:tc>
        <w:tcPr>
          <w:tcW w:w="8364" w:type="dxa"/>
          <w:tcBorders>
            <w:top w:val="single" w:sz="4" w:space="0" w:color="auto"/>
          </w:tcBorders>
        </w:tcPr>
        <w:p w14:paraId="3C421323" w14:textId="645D7974" w:rsidR="007452E8" w:rsidRPr="00791633" w:rsidRDefault="0031681E" w:rsidP="007452E8">
          <w:pPr>
            <w:pStyle w:val="Footer"/>
          </w:pPr>
          <w:r w:rsidRPr="00791633">
            <w:rPr>
              <w:noProof/>
            </w:rPr>
            <mc:AlternateContent>
              <mc:Choice Requires="wps">
                <w:drawing>
                  <wp:anchor distT="0" distB="0" distL="0" distR="0" simplePos="0" relativeHeight="251667456" behindDoc="0" locked="0" layoutInCell="1" allowOverlap="1" wp14:anchorId="673F92B3" wp14:editId="40B863AA">
                    <wp:simplePos x="0" y="0"/>
                    <wp:positionH relativeFrom="page">
                      <wp:posOffset>2548890</wp:posOffset>
                    </wp:positionH>
                    <wp:positionV relativeFrom="page">
                      <wp:posOffset>142875</wp:posOffset>
                    </wp:positionV>
                    <wp:extent cx="622300" cy="391160"/>
                    <wp:effectExtent l="0" t="0" r="6350" b="0"/>
                    <wp:wrapNone/>
                    <wp:docPr id="165546319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1B8E0C2" w14:textId="5C935D8C"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F92B3" id="_x0000_t202" coordsize="21600,21600" o:spt="202" path="m,l,21600r21600,l21600,xe">
                    <v:stroke joinstyle="miter"/>
                    <v:path gradientshapeok="t" o:connecttype="rect"/>
                  </v:shapetype>
                  <v:shape id="Text Box 9" o:spid="_x0000_s1033" type="#_x0000_t202" alt="OFFICIAL" style="position:absolute;margin-left:200.7pt;margin-top:11.25pt;width:49pt;height:30.8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" filled="f" stroked="f">
                    <v:textbox style="mso-fit-shape-to-text:t" inset="0,0,0,15pt">
                      <w:txbxContent>
                        <w:p w14:paraId="71B8E0C2" w14:textId="5C935D8C"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r w:rsidR="007452E8" w:rsidRPr="00791633">
            <w:t xml:space="preserve">AusPAR - </w:t>
          </w:r>
          <w:r w:rsidR="00B405B2" w:rsidRPr="00791633">
            <w:t xml:space="preserve">Rhapsido </w:t>
          </w:r>
          <w:r w:rsidR="007452E8" w:rsidRPr="00791633">
            <w:t xml:space="preserve">- </w:t>
          </w:r>
          <w:r w:rsidR="00B405B2" w:rsidRPr="00791633">
            <w:t>remibrutinib</w:t>
          </w:r>
          <w:r w:rsidR="007452E8" w:rsidRPr="00791633">
            <w:t xml:space="preserve"> </w:t>
          </w:r>
          <w:r w:rsidR="008C754C" w:rsidRPr="00791633">
            <w:t>-</w:t>
          </w:r>
          <w:r w:rsidR="007452E8" w:rsidRPr="00791633">
            <w:t xml:space="preserve"> </w:t>
          </w:r>
          <w:r w:rsidR="00B405B2" w:rsidRPr="00791633">
            <w:t>Novartis Pharmaceuticals Australia Pty Ltd</w:t>
          </w:r>
          <w:r w:rsidR="007452E8" w:rsidRPr="00791633">
            <w:t xml:space="preserve"> - </w:t>
          </w:r>
          <w:r w:rsidR="00B405B2" w:rsidRPr="00791633">
            <w:t>PM-2025-01101-1-1 – Type A</w:t>
          </w:r>
          <w:r w:rsidR="007452E8" w:rsidRPr="00791633">
            <w:br/>
            <w:t>Date of Finalisation</w:t>
          </w:r>
          <w:r w:rsidR="00791633" w:rsidRPr="00791633">
            <w:t>: 16 June 2026</w:t>
          </w:r>
        </w:p>
      </w:tc>
      <w:tc>
        <w:tcPr>
          <w:tcW w:w="1417"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791633">
                <w:t xml:space="preserve">Page </w:t>
              </w:r>
              <w:r w:rsidRPr="00791633">
                <w:fldChar w:fldCharType="begin"/>
              </w:r>
              <w:r w:rsidRPr="00791633">
                <w:instrText xml:space="preserve"> PAGE </w:instrText>
              </w:r>
              <w:r w:rsidRPr="00791633">
                <w:fldChar w:fldCharType="separate"/>
              </w:r>
              <w:r w:rsidR="006D6B44" w:rsidRPr="00791633">
                <w:rPr>
                  <w:noProof/>
                </w:rPr>
                <w:t>13</w:t>
              </w:r>
              <w:r w:rsidRPr="00791633">
                <w:rPr>
                  <w:noProof/>
                </w:rPr>
                <w:fldChar w:fldCharType="end"/>
              </w:r>
              <w:r w:rsidRPr="00791633">
                <w:t xml:space="preserve"> of </w:t>
              </w:r>
              <w:r w:rsidRPr="00791633">
                <w:fldChar w:fldCharType="begin"/>
              </w:r>
              <w:r w:rsidRPr="00791633">
                <w:instrText>NUMPAGES</w:instrText>
              </w:r>
              <w:r w:rsidRPr="00791633">
                <w:fldChar w:fldCharType="separate"/>
              </w:r>
              <w:r w:rsidR="006D6B44" w:rsidRPr="00791633">
                <w:rPr>
                  <w:noProof/>
                </w:rPr>
                <w:t>17</w:t>
              </w:r>
              <w:r w:rsidRPr="00791633">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4C13DDD" w:rsidR="007452E8" w:rsidRPr="008E3C43" w:rsidRDefault="0031681E" w:rsidP="007452E8">
    <w:pPr>
      <w:pStyle w:val="Footer"/>
    </w:pPr>
    <w:r>
      <w:rPr>
        <w:noProof/>
      </w:rPr>
      <mc:AlternateContent>
        <mc:Choice Requires="wps">
          <w:drawing>
            <wp:anchor distT="0" distB="0" distL="0" distR="0" simplePos="0" relativeHeight="251668480" behindDoc="0" locked="0" layoutInCell="1" allowOverlap="1" wp14:anchorId="346F2B51" wp14:editId="57E121E4">
              <wp:simplePos x="635" y="635"/>
              <wp:positionH relativeFrom="page">
                <wp:align>center</wp:align>
              </wp:positionH>
              <wp:positionV relativeFrom="page">
                <wp:align>bottom</wp:align>
              </wp:positionV>
              <wp:extent cx="622300" cy="391160"/>
              <wp:effectExtent l="0" t="0" r="6350" b="0"/>
              <wp:wrapNone/>
              <wp:docPr id="144354568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A6AE6B2" w14:textId="6220F448"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6F2B51"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2A6AE6B2" w14:textId="6220F448"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DE8D9" w14:textId="77777777" w:rsidR="00403A19" w:rsidRDefault="00403A19" w:rsidP="00F02AEC">
      <w:pPr>
        <w:spacing w:after="0" w:line="240" w:lineRule="auto"/>
      </w:pPr>
      <w:r>
        <w:separator/>
      </w:r>
    </w:p>
  </w:footnote>
  <w:footnote w:type="continuationSeparator" w:id="0">
    <w:p w14:paraId="0642EC42" w14:textId="77777777" w:rsidR="00403A19" w:rsidRDefault="00403A19"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5D4F6B89" w14:textId="2EE5F69B" w:rsidR="00F07292" w:rsidRDefault="00F07292">
      <w:pPr>
        <w:pStyle w:val="FootnoteText"/>
      </w:pPr>
      <w:r>
        <w:rPr>
          <w:rStyle w:val="FootnoteReference"/>
        </w:rPr>
        <w:footnoteRef/>
      </w:r>
      <w:r w:rsidRPr="00674A1C">
        <w:t xml:space="preserve"> </w:t>
      </w:r>
      <w:r w:rsidR="00940863" w:rsidRPr="00674A1C">
        <w:t xml:space="preserve">Zuberbier T, Abdul Latiff AH, </w:t>
      </w:r>
      <w:proofErr w:type="spellStart"/>
      <w:r w:rsidR="00940863" w:rsidRPr="00674A1C">
        <w:t>Abuzakouk</w:t>
      </w:r>
      <w:proofErr w:type="spellEnd"/>
      <w:r w:rsidR="00940863" w:rsidRPr="00674A1C">
        <w:t xml:space="preserve"> M, et al. </w:t>
      </w:r>
      <w:r w:rsidR="00940863" w:rsidRPr="00940863">
        <w:t>The international EAACI/GA²LEN/</w:t>
      </w:r>
      <w:proofErr w:type="spellStart"/>
      <w:r w:rsidR="00940863" w:rsidRPr="00940863">
        <w:t>EuroGuiDerm</w:t>
      </w:r>
      <w:proofErr w:type="spellEnd"/>
      <w:r w:rsidR="00940863" w:rsidRPr="00940863">
        <w:t>/APAAACI guideline for the definition, classification, diagnosis, and management of urticaria. </w:t>
      </w:r>
      <w:r w:rsidR="00940863" w:rsidRPr="00940863">
        <w:rPr>
          <w:i/>
          <w:iCs/>
        </w:rPr>
        <w:t>Allergy</w:t>
      </w:r>
      <w:r w:rsidR="00940863" w:rsidRPr="00940863">
        <w:t>. 2022;77(3):734-766. doi:10.1111/all.15090</w:t>
      </w:r>
    </w:p>
  </w:footnote>
  <w:footnote w:id="3">
    <w:p w14:paraId="6E81C993" w14:textId="4F813A5D" w:rsidR="00C34BAD" w:rsidRDefault="00C34BAD">
      <w:pPr>
        <w:pStyle w:val="FootnoteText"/>
      </w:pPr>
      <w:r>
        <w:rPr>
          <w:rStyle w:val="FootnoteReference"/>
        </w:rPr>
        <w:footnoteRef/>
      </w:r>
      <w:r>
        <w:t xml:space="preserve"> </w:t>
      </w:r>
      <w:r w:rsidRPr="00C34BAD">
        <w:t>Lang DM. Chronic Urticaria. N Engl J Med. 2022; 387 (9): 824-831.</w:t>
      </w:r>
    </w:p>
  </w:footnote>
  <w:footnote w:id="4">
    <w:p w14:paraId="5EC035CA" w14:textId="5261B7E9" w:rsidR="00D30496" w:rsidRDefault="00D30496">
      <w:pPr>
        <w:pStyle w:val="FootnoteText"/>
      </w:pPr>
      <w:r>
        <w:rPr>
          <w:rStyle w:val="FootnoteReference"/>
        </w:rPr>
        <w:footnoteRef/>
      </w:r>
      <w:r>
        <w:t xml:space="preserve"> </w:t>
      </w:r>
      <w:r w:rsidRPr="00D30496">
        <w:t xml:space="preserve">Australasian Society of Clinical Immunology and Allergy (ASCIA). ASCIA Chronic Spontaneous Urticaria (CSU) Position Paper and Treatment Guidelines. 2020. Available from: </w:t>
      </w:r>
      <w:hyperlink r:id="rId1" w:history="1">
        <w:r w:rsidRPr="00D30496">
          <w:rPr>
            <w:rStyle w:val="Hyperlink"/>
          </w:rPr>
          <w:t>https://www.allergy.org.au/images/stories/pospapers/ASCIA_HP_Position_Paper_CSU_2020.pdf</w:t>
        </w:r>
      </w:hyperlink>
    </w:p>
  </w:footnote>
  <w:footnote w:id="5">
    <w:p w14:paraId="02854E9C" w14:textId="6DE25CDB" w:rsidR="00A809C3" w:rsidRDefault="00A809C3">
      <w:pPr>
        <w:pStyle w:val="FootnoteText"/>
      </w:pPr>
      <w:r>
        <w:rPr>
          <w:rStyle w:val="FootnoteReference"/>
        </w:rPr>
        <w:footnoteRef/>
      </w:r>
      <w:r w:rsidRPr="005B5B32">
        <w:t xml:space="preserve"> Ben-Shoshan M, Kanani A, </w:t>
      </w:r>
      <w:proofErr w:type="spellStart"/>
      <w:r w:rsidRPr="005B5B32">
        <w:t>Kalicinsky</w:t>
      </w:r>
      <w:proofErr w:type="spellEnd"/>
      <w:r w:rsidRPr="005B5B32">
        <w:t xml:space="preserve"> C, Watson W. Urticaria. </w:t>
      </w:r>
      <w:r w:rsidRPr="00A809C3">
        <w:t>Allergy Asthma Clin Immunol. 2024; 20 (Suppl 3): 64.</w:t>
      </w:r>
    </w:p>
  </w:footnote>
  <w:footnote w:id="6">
    <w:p w14:paraId="1582E7D9" w14:textId="0EE28FD2" w:rsidR="00115E4B" w:rsidRPr="00674A1C" w:rsidRDefault="00115E4B">
      <w:pPr>
        <w:pStyle w:val="FootnoteText"/>
      </w:pPr>
      <w:r>
        <w:rPr>
          <w:rStyle w:val="FootnoteReference"/>
        </w:rPr>
        <w:footnoteRef/>
      </w:r>
      <w:r>
        <w:t xml:space="preserve"> </w:t>
      </w:r>
      <w:r w:rsidRPr="00115E4B">
        <w:t xml:space="preserve">Wong D, </w:t>
      </w:r>
      <w:proofErr w:type="spellStart"/>
      <w:r w:rsidRPr="00115E4B">
        <w:t>Waserman</w:t>
      </w:r>
      <w:proofErr w:type="spellEnd"/>
      <w:r w:rsidRPr="00115E4B">
        <w:t xml:space="preserve"> S, Sussman GL. Endotypes of chronic spontaneous urticaria and angioedema. </w:t>
      </w:r>
      <w:r w:rsidRPr="00674A1C">
        <w:t>J Allergy Clin Immunol. 2025; 156 (1): 17-23</w:t>
      </w:r>
    </w:p>
  </w:footnote>
  <w:footnote w:id="7">
    <w:p w14:paraId="73A308F8" w14:textId="2AB18E8B" w:rsidR="00E05BBF" w:rsidRPr="00674A1C" w:rsidRDefault="00E05BBF">
      <w:pPr>
        <w:pStyle w:val="FootnoteText"/>
      </w:pPr>
      <w:r>
        <w:rPr>
          <w:rStyle w:val="FootnoteReference"/>
        </w:rPr>
        <w:footnoteRef/>
      </w:r>
      <w:r w:rsidRPr="00674A1C">
        <w:t xml:space="preserve"> Sabroe RA, Lawlor F, Grattan CEH et al. </w:t>
      </w:r>
      <w:r w:rsidRPr="00E05BBF">
        <w:t xml:space="preserve">British Association of Dermatologists’ Clinical Standards Unit. British Association of Dermatologists guidelines for the management of people with chronic urticaria 2021. </w:t>
      </w:r>
      <w:r w:rsidRPr="00674A1C">
        <w:t>Br J Dermatol. 2022; 186 (3): 398-413.</w:t>
      </w:r>
    </w:p>
  </w:footnote>
  <w:footnote w:id="8">
    <w:p w14:paraId="4B7D5C6E" w14:textId="519627F1" w:rsidR="00692CB3" w:rsidRPr="00887139" w:rsidRDefault="00692CB3">
      <w:pPr>
        <w:pStyle w:val="FootnoteText"/>
      </w:pPr>
      <w:r>
        <w:rPr>
          <w:rStyle w:val="FootnoteReference"/>
        </w:rPr>
        <w:footnoteRef/>
      </w:r>
      <w:r w:rsidRPr="00887139">
        <w:t xml:space="preserve"> Maurer M, </w:t>
      </w:r>
      <w:proofErr w:type="spellStart"/>
      <w:r w:rsidRPr="00887139">
        <w:t>Abuzakouk</w:t>
      </w:r>
      <w:proofErr w:type="spellEnd"/>
      <w:r w:rsidRPr="00887139">
        <w:t xml:space="preserve"> M, Bérard F et al. </w:t>
      </w:r>
      <w:r w:rsidRPr="00692CB3">
        <w:t xml:space="preserve">The burden of chronic spontaneous urticaria is substantial: Real-world evidence from ASSURE-CSU. </w:t>
      </w:r>
      <w:r w:rsidRPr="00887139">
        <w:t>Allergy. 2017; 72 (12): 2005-2016</w:t>
      </w:r>
    </w:p>
  </w:footnote>
  <w:footnote w:id="9">
    <w:p w14:paraId="7BC5B3FA" w14:textId="77777777" w:rsidR="00FF37C4" w:rsidRPr="00887139" w:rsidRDefault="00FF37C4" w:rsidP="00FF37C4">
      <w:pPr>
        <w:pStyle w:val="FootnoteText"/>
      </w:pPr>
      <w:r>
        <w:rPr>
          <w:rStyle w:val="FootnoteReference"/>
        </w:rPr>
        <w:footnoteRef/>
      </w:r>
      <w:r w:rsidRPr="00887139">
        <w:t xml:space="preserve"> Maurer M, Weller K, Bindslev-Jensen C et al. </w:t>
      </w:r>
      <w:r w:rsidRPr="00DA3401">
        <w:t xml:space="preserve">Unmet clinical needs in chronic spontaneous urticaria. </w:t>
      </w:r>
      <w:r w:rsidRPr="00887139">
        <w:t>A GA²LEN task force report. Allergy. 2011; 66 (3): 317-30.</w:t>
      </w:r>
    </w:p>
  </w:footnote>
  <w:footnote w:id="10">
    <w:p w14:paraId="031AEC69" w14:textId="10A82637" w:rsidR="005C2921" w:rsidRDefault="005C2921">
      <w:pPr>
        <w:pStyle w:val="FootnoteText"/>
      </w:pPr>
      <w:r>
        <w:rPr>
          <w:rStyle w:val="FootnoteReference"/>
        </w:rPr>
        <w:footnoteRef/>
      </w:r>
      <w:r w:rsidRPr="00887139">
        <w:t xml:space="preserve"> Bernstein JA, Lang DM, Khan DA et al. </w:t>
      </w:r>
      <w:r w:rsidRPr="005C2921">
        <w:t>The diagnosis and management of acute and chronic urticaria: 2014 update. J Allergy Clin Immunol. 2014; 133 (5): 1270-7.</w:t>
      </w:r>
    </w:p>
  </w:footnote>
  <w:footnote w:id="11">
    <w:p w14:paraId="21B7F03F" w14:textId="0D660642" w:rsidR="00FF37C4" w:rsidRDefault="00FF37C4">
      <w:pPr>
        <w:pStyle w:val="FootnoteText"/>
      </w:pPr>
      <w:r>
        <w:rPr>
          <w:rStyle w:val="FootnoteReference"/>
        </w:rPr>
        <w:footnoteRef/>
      </w:r>
      <w:r>
        <w:t xml:space="preserve"> </w:t>
      </w:r>
      <w:r w:rsidRPr="00FF37C4">
        <w:t>Powell RJ, Leech SC, Till S et al. British Society for Allergy and Clinical Immunology. BSACI guideline for the management of chronic urticaria and angioedema. Clin Exp Allergy. 2015; 45 (3): 547-65.</w:t>
      </w:r>
    </w:p>
  </w:footnote>
  <w:footnote w:id="12">
    <w:p w14:paraId="17B77203" w14:textId="5E8FE999" w:rsidR="00F21308" w:rsidRDefault="00F21308">
      <w:pPr>
        <w:pStyle w:val="FootnoteText"/>
      </w:pPr>
      <w:r>
        <w:rPr>
          <w:rStyle w:val="FootnoteReference"/>
        </w:rPr>
        <w:footnoteRef/>
      </w:r>
      <w:r>
        <w:t xml:space="preserve"> </w:t>
      </w:r>
      <w:r w:rsidRPr="00F21308">
        <w:t>Zuberbier T, Abdul Hameed Ansari Z, Abdul Latiff AH, et al. The International Guideline for the Definition, Classification, Diagnosis and Management of Urticaria. Allergy. Published online February 6, 2026. doi:10.1111/all.70210</w:t>
      </w:r>
    </w:p>
  </w:footnote>
  <w:footnote w:id="13">
    <w:p w14:paraId="69FB6F3F" w14:textId="6440ADE5" w:rsidR="00BF6ED1" w:rsidRDefault="00BF6ED1" w:rsidP="00BF6ED1">
      <w:pPr>
        <w:pStyle w:val="FootnoteText"/>
      </w:pPr>
      <w:r>
        <w:rPr>
          <w:rStyle w:val="FootnoteReference"/>
        </w:rPr>
        <w:footnoteRef/>
      </w:r>
      <w:r>
        <w:t xml:space="preserve"> Reynolds JA, Bruce IN (2021)</w:t>
      </w:r>
      <w:r w:rsidR="00452375">
        <w:t xml:space="preserve">. </w:t>
      </w:r>
      <w:r>
        <w:t xml:space="preserve">Chapter 40 – Pipeline therapies and future drug development. In: Lahita RG, Costenbader KH, </w:t>
      </w:r>
      <w:proofErr w:type="spellStart"/>
      <w:r>
        <w:t>Bucala</w:t>
      </w:r>
      <w:proofErr w:type="spellEnd"/>
      <w:r>
        <w:t xml:space="preserve"> R, Manzi S, </w:t>
      </w:r>
      <w:proofErr w:type="spellStart"/>
      <w:r>
        <w:t>Khamashta</w:t>
      </w:r>
      <w:proofErr w:type="spellEnd"/>
      <w:r>
        <w:t xml:space="preserve"> MA, (eds) Lahita’s systemic lupus erythematosus. pp. 661-71. Sixth edition. Academic Press, London, UK.</w:t>
      </w:r>
    </w:p>
  </w:footnote>
  <w:footnote w:id="14">
    <w:p w14:paraId="59A75393" w14:textId="36C6E42C" w:rsidR="004216D0" w:rsidRDefault="004216D0" w:rsidP="004216D0">
      <w:pPr>
        <w:pStyle w:val="FootnoteText"/>
      </w:pPr>
      <w:r>
        <w:rPr>
          <w:rStyle w:val="FootnoteReference"/>
        </w:rPr>
        <w:footnoteRef/>
      </w:r>
      <w:r>
        <w:t xml:space="preserve"> [Sung L (2021)] Chapter Two – Covalent drugs in development for immune-mediated diseases. In: Ward RA, </w:t>
      </w:r>
      <w:proofErr w:type="spellStart"/>
      <w:r>
        <w:t>Grimster</w:t>
      </w:r>
      <w:proofErr w:type="spellEnd"/>
      <w:r>
        <w:t xml:space="preserve"> NP (eds) The Design of Covalent-Based Inhibitors. Annual Reports in Medicinal Chemistry. pp. 33-74. Volume 56. Academic Press, London, UK.</w:t>
      </w:r>
    </w:p>
  </w:footnote>
  <w:footnote w:id="15">
    <w:p w14:paraId="56494803" w14:textId="14E5F77C" w:rsidR="00BB295A" w:rsidRDefault="00BB295A" w:rsidP="00BB295A">
      <w:pPr>
        <w:pStyle w:val="FootnoteText"/>
      </w:pPr>
      <w:r>
        <w:rPr>
          <w:rStyle w:val="FootnoteReference"/>
        </w:rPr>
        <w:footnoteRef/>
      </w:r>
      <w:r>
        <w:t xml:space="preserve"> Rip J, Van Der Ploeg EK, Hendriks RW, et al (2018). The Role of Bruton's Tyrosine Kinase in Immune Cell Signaling and Systemic Autoimmunity. Crit Rev Immunol; 38(1):17-62.</w:t>
      </w:r>
    </w:p>
  </w:footnote>
  <w:footnote w:id="16">
    <w:p w14:paraId="4FF7B504" w14:textId="4CFF8434" w:rsidR="00FD6DCD" w:rsidRDefault="00FD6DCD" w:rsidP="00FD6DCD">
      <w:pPr>
        <w:pStyle w:val="FootnoteText"/>
      </w:pPr>
      <w:r>
        <w:rPr>
          <w:rStyle w:val="FootnoteReference"/>
        </w:rPr>
        <w:footnoteRef/>
      </w:r>
      <w:r>
        <w:t xml:space="preserve"> McDonald C, Xanthopoulos C, </w:t>
      </w:r>
      <w:proofErr w:type="spellStart"/>
      <w:r>
        <w:t>Kostareli</w:t>
      </w:r>
      <w:proofErr w:type="spellEnd"/>
      <w:r>
        <w:t xml:space="preserve"> E (2021)</w:t>
      </w:r>
      <w:r w:rsidR="00113FCF">
        <w:t>.</w:t>
      </w:r>
      <w:r>
        <w:t xml:space="preserve"> The role of Bruton's tyrosine kinase in the immune system and disease. Immunology; 164(4):722-36.</w:t>
      </w:r>
    </w:p>
  </w:footnote>
  <w:footnote w:id="17">
    <w:p w14:paraId="022B22EB" w14:textId="2290AB29" w:rsidR="00113FCF" w:rsidRDefault="00113FCF" w:rsidP="00113FCF">
      <w:pPr>
        <w:pStyle w:val="FootnoteText"/>
      </w:pPr>
      <w:r>
        <w:rPr>
          <w:rStyle w:val="FootnoteReference"/>
        </w:rPr>
        <w:footnoteRef/>
      </w:r>
      <w:r>
        <w:t xml:space="preserve"> </w:t>
      </w:r>
      <w:proofErr w:type="spellStart"/>
      <w:r>
        <w:t>Smiljkovic</w:t>
      </w:r>
      <w:proofErr w:type="spellEnd"/>
      <w:r>
        <w:t xml:space="preserve"> D, Blatt K, </w:t>
      </w:r>
      <w:proofErr w:type="spellStart"/>
      <w:r>
        <w:t>Stefanzl</w:t>
      </w:r>
      <w:proofErr w:type="spellEnd"/>
      <w:r>
        <w:t xml:space="preserve"> G, et al (2017). BTK inhibition is a potent approach to block IgE-mediated histamine release in human basophils. Allergy; 72(11):1–11.</w:t>
      </w:r>
    </w:p>
  </w:footnote>
  <w:footnote w:id="18">
    <w:p w14:paraId="155E2344" w14:textId="1FAFEA11" w:rsidR="00113FCF" w:rsidRPr="00FF7BCF" w:rsidRDefault="00113FCF" w:rsidP="00113FCF">
      <w:pPr>
        <w:pStyle w:val="FootnoteText"/>
      </w:pPr>
      <w:r>
        <w:rPr>
          <w:rStyle w:val="FootnoteReference"/>
        </w:rPr>
        <w:footnoteRef/>
      </w:r>
      <w:r>
        <w:t xml:space="preserve"> Regan JA, Cao Y, Dispenza MC, et al (2017)] Ibrutinib, a Bruton's tyrosine kinase inhibitor used for treatment of lymphoproliferative disorders, eliminates both aeroallergen skin test and basophil activation test reactivity. </w:t>
      </w:r>
      <w:r w:rsidRPr="00FF7BCF">
        <w:t>J Allergy Clin Immunol; 140(3): 875-9.</w:t>
      </w:r>
    </w:p>
  </w:footnote>
  <w:footnote w:id="19">
    <w:p w14:paraId="0DCC42A8" w14:textId="6DCA18FF" w:rsidR="00382F08" w:rsidRPr="00B46BB9" w:rsidRDefault="00382F08" w:rsidP="00382F08">
      <w:pPr>
        <w:pStyle w:val="FootnoteText"/>
      </w:pPr>
      <w:r>
        <w:rPr>
          <w:rStyle w:val="FootnoteReference"/>
        </w:rPr>
        <w:footnoteRef/>
      </w:r>
      <w:r w:rsidRPr="00FF7BCF">
        <w:t xml:space="preserve"> Dispenza MC, </w:t>
      </w:r>
      <w:proofErr w:type="spellStart"/>
      <w:r w:rsidRPr="00FF7BCF">
        <w:t>Pongracic</w:t>
      </w:r>
      <w:proofErr w:type="spellEnd"/>
      <w:r w:rsidRPr="00FF7BCF">
        <w:t xml:space="preserve"> JA, Singh AM, et al (2018). </w:t>
      </w:r>
      <w:r>
        <w:t xml:space="preserve">Short-term ibrutinib therapy suppresses skin test responses and eliminates IgE-mediated basophil activation in adults with peanut or tree nut allergy. </w:t>
      </w:r>
      <w:r w:rsidRPr="00B46BB9">
        <w:t>J. Allergy Clin. Immunol; 141(5):1914-</w:t>
      </w:r>
      <w:proofErr w:type="gramStart"/>
      <w:r w:rsidRPr="00B46BB9">
        <w:t>16.e</w:t>
      </w:r>
      <w:proofErr w:type="gramEnd"/>
      <w:r w:rsidRPr="00B46BB9">
        <w:t>7.</w:t>
      </w:r>
    </w:p>
  </w:footnote>
  <w:footnote w:id="20">
    <w:p w14:paraId="52074CD5" w14:textId="29733056" w:rsidR="005A778C" w:rsidRDefault="005A778C" w:rsidP="005A778C">
      <w:pPr>
        <w:pStyle w:val="FootnoteText"/>
      </w:pPr>
      <w:r>
        <w:rPr>
          <w:rStyle w:val="FootnoteReference"/>
        </w:rPr>
        <w:footnoteRef/>
      </w:r>
      <w:r w:rsidRPr="00B46BB9">
        <w:t xml:space="preserve"> Dispenza MC, Krier-Burris RA, </w:t>
      </w:r>
      <w:proofErr w:type="spellStart"/>
      <w:r w:rsidRPr="00B46BB9">
        <w:t>Chhiba</w:t>
      </w:r>
      <w:proofErr w:type="spellEnd"/>
      <w:r w:rsidRPr="00B46BB9">
        <w:t xml:space="preserve"> KD, et al (2020)</w:t>
      </w:r>
      <w:r w:rsidR="00D66847" w:rsidRPr="00B46BB9">
        <w:t>.</w:t>
      </w:r>
      <w:r w:rsidRPr="00B46BB9">
        <w:t xml:space="preserve"> </w:t>
      </w:r>
      <w:r>
        <w:t>Bruton's tyrosine kinase inhibition effectively protects against human IgE-mediated anaphylaxis. J Clin Invest; 130(9):4759-70.</w:t>
      </w:r>
    </w:p>
  </w:footnote>
  <w:footnote w:id="21">
    <w:p w14:paraId="166E82CD" w14:textId="063395A1" w:rsidR="005A778C" w:rsidRPr="00B46BB9" w:rsidRDefault="005A778C" w:rsidP="005A778C">
      <w:pPr>
        <w:pStyle w:val="FootnoteText"/>
      </w:pPr>
      <w:r>
        <w:rPr>
          <w:rStyle w:val="FootnoteReference"/>
        </w:rPr>
        <w:footnoteRef/>
      </w:r>
      <w:r>
        <w:t xml:space="preserve"> Kaul M, End P, </w:t>
      </w:r>
      <w:proofErr w:type="spellStart"/>
      <w:r>
        <w:t>Cabanski</w:t>
      </w:r>
      <w:proofErr w:type="spellEnd"/>
      <w:r>
        <w:t xml:space="preserve"> M, et al (2021)</w:t>
      </w:r>
      <w:r w:rsidR="00D66847">
        <w:t>.</w:t>
      </w:r>
      <w:r>
        <w:t xml:space="preserve"> Remibrutinib (LOU064): A selective potent oral BTK inhibitor with promising clinical safety and pharmacodynamics in a randomized phase I trial. </w:t>
      </w:r>
      <w:r w:rsidRPr="00B46BB9">
        <w:t xml:space="preserve">Clin </w:t>
      </w:r>
      <w:proofErr w:type="spellStart"/>
      <w:r w:rsidRPr="00B46BB9">
        <w:t>Transl</w:t>
      </w:r>
      <w:proofErr w:type="spellEnd"/>
      <w:r w:rsidRPr="00B46BB9">
        <w:t xml:space="preserve"> Sci; 14(5):1756-68.</w:t>
      </w:r>
    </w:p>
  </w:footnote>
  <w:footnote w:id="22">
    <w:p w14:paraId="00AF34B2" w14:textId="1045584C" w:rsidR="00D66847" w:rsidRDefault="00D66847" w:rsidP="00D66847">
      <w:pPr>
        <w:pStyle w:val="FootnoteText"/>
      </w:pPr>
      <w:r>
        <w:rPr>
          <w:rStyle w:val="FootnoteReference"/>
        </w:rPr>
        <w:footnoteRef/>
      </w:r>
      <w:r w:rsidRPr="000E6632">
        <w:t xml:space="preserve"> Metz M, Sussman G, Gagnon R, et al (2021). </w:t>
      </w:r>
      <w:proofErr w:type="spellStart"/>
      <w:r>
        <w:t>Fenebrutinib</w:t>
      </w:r>
      <w:proofErr w:type="spellEnd"/>
      <w:r>
        <w:t xml:space="preserve"> in H1 antihistamine-refractory chronic spontaneous urticaria: a randomized phase 2 trial. Nat Med; 27(11):1961-9.</w:t>
      </w:r>
    </w:p>
  </w:footnote>
  <w:footnote w:id="23">
    <w:p w14:paraId="65D47654" w14:textId="5BA48ED5" w:rsidR="005F1617" w:rsidRDefault="005F1617" w:rsidP="005F1617">
      <w:pPr>
        <w:pStyle w:val="FootnoteText"/>
      </w:pPr>
      <w:r>
        <w:rPr>
          <w:rStyle w:val="FootnoteReference"/>
        </w:rPr>
        <w:footnoteRef/>
      </w:r>
      <w:r>
        <w:t xml:space="preserve"> Maurer M, Berger W, Giménez-Arnau A, et al (2022)] Remibrutinib, a novel BTK inhibitor, demonstrates promising efficacy and safety in chronic spontaneous urticaria. J Allergy Clin Immunol; 150(6):1498-1506.e2.</w:t>
      </w:r>
    </w:p>
  </w:footnote>
  <w:footnote w:id="24">
    <w:p w14:paraId="335ADA2E" w14:textId="21A3B4BA" w:rsidR="004F69F7" w:rsidRPr="004F69F7" w:rsidRDefault="004F69F7" w:rsidP="004F69F7">
      <w:pPr>
        <w:pStyle w:val="FootnoteText"/>
        <w:rPr>
          <w:lang w:val="en-US"/>
        </w:rPr>
      </w:pPr>
      <w:r>
        <w:rPr>
          <w:rStyle w:val="FootnoteReference"/>
        </w:rPr>
        <w:footnoteRef/>
      </w:r>
      <w:r>
        <w:t xml:space="preserve"> </w:t>
      </w:r>
      <w:r w:rsidRPr="00085580">
        <w:rPr>
          <w:lang w:val="en-US"/>
        </w:rPr>
        <w:t>International Conference on Harmonisation of Technical Requirements for Registration of Pharmaceuticals for Human Use</w:t>
      </w:r>
    </w:p>
    <w:p w14:paraId="640D67D5" w14:textId="05CA34A6" w:rsidR="004F69F7" w:rsidRPr="004F69F7" w:rsidRDefault="004F69F7" w:rsidP="004F69F7">
      <w:pPr>
        <w:pStyle w:val="FootnoteText"/>
        <w:rPr>
          <w:lang w:val="en-US"/>
        </w:rPr>
      </w:pPr>
      <w:r w:rsidRPr="004F69F7">
        <w:rPr>
          <w:lang w:val="en-US"/>
        </w:rPr>
        <w:t xml:space="preserve">ICH </w:t>
      </w:r>
      <w:proofErr w:type="spellStart"/>
      <w:r w:rsidRPr="004F69F7">
        <w:rPr>
          <w:lang w:val="en-US"/>
        </w:rPr>
        <w:t>Harmonised</w:t>
      </w:r>
      <w:proofErr w:type="spellEnd"/>
      <w:r w:rsidRPr="004F69F7">
        <w:rPr>
          <w:lang w:val="en-US"/>
        </w:rPr>
        <w:t xml:space="preserve"> Tripartite Guideline</w:t>
      </w:r>
      <w:r w:rsidR="00085580" w:rsidRPr="00085580">
        <w:rPr>
          <w:lang w:val="en-US"/>
        </w:rPr>
        <w:t xml:space="preserve">. </w:t>
      </w:r>
      <w:r w:rsidRPr="004F69F7">
        <w:rPr>
          <w:lang w:val="en-US"/>
        </w:rPr>
        <w:t>Impurities In New Drug Substances Q3A(R2)</w:t>
      </w:r>
      <w:r w:rsidR="00085580" w:rsidRPr="00085580">
        <w:rPr>
          <w:lang w:val="en-US"/>
        </w:rPr>
        <w:t xml:space="preserve">. </w:t>
      </w:r>
    </w:p>
    <w:p w14:paraId="0EF90CE0" w14:textId="71554E56" w:rsidR="004F69F7" w:rsidRDefault="004F69F7">
      <w:pPr>
        <w:pStyle w:val="FootnoteText"/>
      </w:pPr>
    </w:p>
  </w:footnote>
  <w:footnote w:id="25">
    <w:p w14:paraId="1AEFC06B" w14:textId="4F372CCE" w:rsidR="00F4098C" w:rsidRDefault="00F4098C" w:rsidP="00F4098C">
      <w:pPr>
        <w:pStyle w:val="FootnoteText"/>
      </w:pPr>
      <w:r>
        <w:rPr>
          <w:rStyle w:val="FootnoteReference"/>
        </w:rPr>
        <w:footnoteRef/>
      </w:r>
      <w:r>
        <w:t xml:space="preserve"> International Conference on Harmonisation of Technical Requirements for Registration of Pharmaceuticals for Human </w:t>
      </w:r>
      <w:proofErr w:type="gramStart"/>
      <w:r>
        <w:t>Use  ICH</w:t>
      </w:r>
      <w:proofErr w:type="gramEnd"/>
      <w:r>
        <w:t xml:space="preserve"> harmonised tripartite guideline. Impurities in New Drug Products. Q3B(R2)</w:t>
      </w:r>
    </w:p>
  </w:footnote>
  <w:footnote w:id="26">
    <w:p w14:paraId="153C1F13" w14:textId="54482898" w:rsidR="004C25BE" w:rsidRDefault="004C25BE">
      <w:pPr>
        <w:pStyle w:val="FootnoteText"/>
      </w:pPr>
      <w:r>
        <w:rPr>
          <w:rStyle w:val="FootnoteReference"/>
        </w:rPr>
        <w:footnoteRef/>
      </w:r>
      <w:r>
        <w:t xml:space="preserve"> </w:t>
      </w:r>
      <w:r w:rsidR="00F24AEF" w:rsidRPr="00F24AEF">
        <w:t xml:space="preserve">International Council for Harmonisation of Technical Requirements for Pharmaceuticals for Human Use. </w:t>
      </w:r>
      <w:hyperlink r:id="rId2" w:history="1">
        <w:r w:rsidR="00F24AEF" w:rsidRPr="00F24AEF">
          <w:rPr>
            <w:rStyle w:val="Hyperlink"/>
          </w:rPr>
          <w:t>ICH M3 (R2) Non-clinical safety studies for the conduct of human clinical trials for pharmaceuticals - Scientific guideline</w:t>
        </w:r>
      </w:hyperlink>
      <w:r w:rsidR="00F24AEF" w:rsidRPr="00F24AEF">
        <w:t>. 2013.</w:t>
      </w:r>
    </w:p>
  </w:footnote>
  <w:footnote w:id="27">
    <w:p w14:paraId="0DCFDC3E" w14:textId="5BA2BAD5" w:rsidR="00B03FC1" w:rsidRDefault="00B03FC1" w:rsidP="00B03FC1">
      <w:pPr>
        <w:pStyle w:val="FootnoteText"/>
      </w:pPr>
      <w:r>
        <w:rPr>
          <w:rStyle w:val="FootnoteReference"/>
        </w:rPr>
        <w:footnoteRef/>
      </w:r>
      <w:r>
        <w:t xml:space="preserve"> ICH Topic E1. </w:t>
      </w:r>
      <w:hyperlink r:id="rId3" w:history="1">
        <w:r w:rsidRPr="009E413C">
          <w:rPr>
            <w:rStyle w:val="Hyperlink"/>
          </w:rPr>
          <w:t>Population Exposure: The Extent of Population Exposure to Assess Clinical Safety</w:t>
        </w:r>
      </w:hyperlink>
      <w:r w:rsidR="003F72B3">
        <w:t xml:space="preserve">. </w:t>
      </w:r>
      <w:r w:rsidR="00124A3C">
        <w:t>1995.</w:t>
      </w:r>
    </w:p>
  </w:footnote>
  <w:footnote w:id="28">
    <w:p w14:paraId="208B3CB3" w14:textId="0E854B5E" w:rsidR="00777B9E" w:rsidRDefault="00777B9E">
      <w:pPr>
        <w:pStyle w:val="FootnoteText"/>
      </w:pPr>
      <w:r>
        <w:rPr>
          <w:rStyle w:val="FootnoteReference"/>
        </w:rPr>
        <w:footnoteRef/>
      </w:r>
      <w:r>
        <w:t xml:space="preserve"> </w:t>
      </w:r>
      <w:r w:rsidRPr="00777B9E">
        <w:t xml:space="preserve">Garwood F (1936) Fiducial limits for the Poisson distribution. </w:t>
      </w:r>
      <w:proofErr w:type="spellStart"/>
      <w:r w:rsidRPr="00777B9E">
        <w:t>Biometrika</w:t>
      </w:r>
      <w:proofErr w:type="spellEnd"/>
      <w:r w:rsidRPr="00777B9E">
        <w:t>; 28(3-4):437-42.</w:t>
      </w:r>
    </w:p>
  </w:footnote>
  <w:footnote w:id="29">
    <w:p w14:paraId="39A7523A" w14:textId="5BAE5020" w:rsidR="004E54F7" w:rsidRPr="00400EBB" w:rsidRDefault="004E54F7" w:rsidP="004E54F7">
      <w:pPr>
        <w:pStyle w:val="FootnoteText"/>
        <w:rPr>
          <w:lang w:val="en-US"/>
        </w:rPr>
      </w:pPr>
      <w:r>
        <w:rPr>
          <w:rStyle w:val="FootnoteReference"/>
        </w:rPr>
        <w:footnoteRef/>
      </w:r>
      <w:r>
        <w:t xml:space="preserve"> </w:t>
      </w:r>
      <w:proofErr w:type="spellStart"/>
      <w:r>
        <w:t>Scosyrev</w:t>
      </w:r>
      <w:proofErr w:type="spellEnd"/>
      <w:r>
        <w:t xml:space="preserve"> E, Pethe A (2022) Confidence intervals for exposure-adjusted rate differences in randomized trials. </w:t>
      </w:r>
      <w:r w:rsidRPr="00400EBB">
        <w:rPr>
          <w:lang w:val="en-US"/>
        </w:rPr>
        <w:t>Pharm Stat; 21(1):103-21.</w:t>
      </w:r>
    </w:p>
  </w:footnote>
  <w:footnote w:id="30">
    <w:p w14:paraId="14E691BB" w14:textId="2C825D63" w:rsidR="00C930B4" w:rsidRDefault="00C930B4">
      <w:pPr>
        <w:pStyle w:val="FootnoteText"/>
      </w:pPr>
      <w:r>
        <w:rPr>
          <w:rStyle w:val="FootnoteReference"/>
        </w:rPr>
        <w:footnoteRef/>
      </w:r>
      <w:r w:rsidRPr="004B7541">
        <w:t xml:space="preserve"> </w:t>
      </w:r>
      <w:proofErr w:type="spellStart"/>
      <w:r w:rsidRPr="004B7541">
        <w:t>Hawro</w:t>
      </w:r>
      <w:proofErr w:type="spellEnd"/>
      <w:r w:rsidRPr="004B7541">
        <w:t xml:space="preserve"> T, Ohanyan T, Schoepke N et al. </w:t>
      </w:r>
      <w:r w:rsidRPr="00C930B4">
        <w:t xml:space="preserve">The Urticaria Activity Score-Validity, Reliability, and Responsiveness. J Allergy Clin Immunol </w:t>
      </w:r>
      <w:proofErr w:type="spellStart"/>
      <w:r w:rsidRPr="00C930B4">
        <w:t>Pract</w:t>
      </w:r>
      <w:proofErr w:type="spellEnd"/>
      <w:r w:rsidRPr="00C930B4">
        <w:t>. 2018; 6 (4): 1185-1190.e1.</w:t>
      </w:r>
    </w:p>
  </w:footnote>
  <w:footnote w:id="31">
    <w:p w14:paraId="0B341104" w14:textId="2CA9EB0A" w:rsidR="00CC2C4A" w:rsidRDefault="00CC2C4A">
      <w:pPr>
        <w:pStyle w:val="FootnoteText"/>
      </w:pPr>
      <w:r>
        <w:rPr>
          <w:rStyle w:val="FootnoteReference"/>
        </w:rPr>
        <w:footnoteRef/>
      </w:r>
      <w:r>
        <w:t xml:space="preserve"> </w:t>
      </w:r>
      <w:r w:rsidRPr="00CC2C4A">
        <w:t xml:space="preserve">European Medicines Agency (EMA). </w:t>
      </w:r>
      <w:hyperlink r:id="rId4" w:history="1">
        <w:r w:rsidRPr="00B86FDE">
          <w:rPr>
            <w:rStyle w:val="Hyperlink"/>
          </w:rPr>
          <w:t>Note for Guidance on Population Exposure: The Extent of Population Exposure to Assess Clinical Safety</w:t>
        </w:r>
      </w:hyperlink>
      <w:r w:rsidRPr="00CC2C4A">
        <w:t xml:space="preserve"> (CPMP/ICH/375/95)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365C" w14:textId="587CEC47" w:rsidR="0031681E" w:rsidRDefault="0031681E">
    <w:pPr>
      <w:pStyle w:val="Header"/>
    </w:pPr>
    <w:r>
      <w:rPr>
        <w:noProof/>
      </w:rPr>
      <mc:AlternateContent>
        <mc:Choice Requires="wps">
          <w:drawing>
            <wp:anchor distT="0" distB="0" distL="0" distR="0" simplePos="0" relativeHeight="251660288" behindDoc="0" locked="0" layoutInCell="1" allowOverlap="1" wp14:anchorId="4B813FA0" wp14:editId="449484C6">
              <wp:simplePos x="635" y="635"/>
              <wp:positionH relativeFrom="page">
                <wp:align>center</wp:align>
              </wp:positionH>
              <wp:positionV relativeFrom="page">
                <wp:align>top</wp:align>
              </wp:positionV>
              <wp:extent cx="622300" cy="391160"/>
              <wp:effectExtent l="0" t="0" r="6350" b="8890"/>
              <wp:wrapNone/>
              <wp:docPr id="4738552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518FBFC" w14:textId="0A87D77B"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13FA0"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518FBFC" w14:textId="0A87D77B"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305B0C4" w:rsidR="007452E8" w:rsidRPr="00CB0550" w:rsidRDefault="0031681E" w:rsidP="00CB0550">
    <w:pPr>
      <w:pStyle w:val="Header"/>
      <w:jc w:val="left"/>
    </w:pPr>
    <w:r>
      <w:rPr>
        <w:noProof/>
      </w:rPr>
      <mc:AlternateContent>
        <mc:Choice Requires="wps">
          <w:drawing>
            <wp:anchor distT="0" distB="0" distL="0" distR="0" simplePos="0" relativeHeight="251661312" behindDoc="0" locked="0" layoutInCell="1" allowOverlap="1" wp14:anchorId="4C5B1F60" wp14:editId="37458EED">
              <wp:simplePos x="635" y="635"/>
              <wp:positionH relativeFrom="page">
                <wp:align>center</wp:align>
              </wp:positionH>
              <wp:positionV relativeFrom="page">
                <wp:align>top</wp:align>
              </wp:positionV>
              <wp:extent cx="622300" cy="391160"/>
              <wp:effectExtent l="0" t="0" r="6350" b="8890"/>
              <wp:wrapNone/>
              <wp:docPr id="4720693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AA236A9" w14:textId="7C17B713"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5B1F60"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AA236A9" w14:textId="7C17B713"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1DDCF763" w:rsidR="007452E8" w:rsidRPr="002B29B2" w:rsidRDefault="0031681E" w:rsidP="007452E8">
          <w:pPr>
            <w:ind w:left="-57"/>
            <w:rPr>
              <w:noProof/>
            </w:rPr>
          </w:pPr>
          <w:r>
            <w:rPr>
              <w:noProof/>
            </w:rPr>
            <mc:AlternateContent>
              <mc:Choice Requires="wps">
                <w:drawing>
                  <wp:anchor distT="0" distB="0" distL="0" distR="0" simplePos="0" relativeHeight="251659264" behindDoc="0" locked="0" layoutInCell="1" allowOverlap="1" wp14:anchorId="410B5E37" wp14:editId="1E60E739">
                    <wp:simplePos x="0" y="5124450"/>
                    <wp:positionH relativeFrom="page">
                      <wp:align>center</wp:align>
                    </wp:positionH>
                    <wp:positionV relativeFrom="page">
                      <wp:align>top</wp:align>
                    </wp:positionV>
                    <wp:extent cx="622300" cy="391160"/>
                    <wp:effectExtent l="0" t="0" r="6350" b="8890"/>
                    <wp:wrapNone/>
                    <wp:docPr id="179384833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C8C9FA3" w14:textId="09D4ECC3"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0B5E37"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0C8C9FA3" w14:textId="09D4ECC3"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59CF7DB2" w:rsidR="007452E8" w:rsidRDefault="0031681E" w:rsidP="007452E8">
    <w:pPr>
      <w:pStyle w:val="Header"/>
    </w:pPr>
    <w:r>
      <w:rPr>
        <w:noProof/>
      </w:rPr>
      <mc:AlternateContent>
        <mc:Choice Requires="wps">
          <w:drawing>
            <wp:anchor distT="0" distB="0" distL="0" distR="0" simplePos="0" relativeHeight="251662336" behindDoc="0" locked="0" layoutInCell="1" allowOverlap="1" wp14:anchorId="08160204" wp14:editId="737BBFF8">
              <wp:simplePos x="901065" y="364490"/>
              <wp:positionH relativeFrom="page">
                <wp:align>center</wp:align>
              </wp:positionH>
              <wp:positionV relativeFrom="page">
                <wp:align>top</wp:align>
              </wp:positionV>
              <wp:extent cx="622300" cy="391160"/>
              <wp:effectExtent l="0" t="0" r="6350" b="8890"/>
              <wp:wrapNone/>
              <wp:docPr id="120587202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21D0FA4" w14:textId="2FEDB868"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60204"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021D0FA4" w14:textId="2FEDB868"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43B7680" w:rsidR="007452E8" w:rsidRPr="00FE501F" w:rsidRDefault="0031681E" w:rsidP="007452E8">
    <w:pPr>
      <w:pStyle w:val="Headernoline"/>
    </w:pPr>
    <w:r>
      <w:rPr>
        <w:noProof/>
      </w:rPr>
      <mc:AlternateContent>
        <mc:Choice Requires="wps">
          <w:drawing>
            <wp:anchor distT="0" distB="0" distL="0" distR="0" simplePos="0" relativeHeight="251663360" behindDoc="0" locked="0" layoutInCell="1" allowOverlap="1" wp14:anchorId="283DF5A0" wp14:editId="1C05F2E9">
              <wp:simplePos x="635" y="635"/>
              <wp:positionH relativeFrom="page">
                <wp:align>center</wp:align>
              </wp:positionH>
              <wp:positionV relativeFrom="page">
                <wp:align>top</wp:align>
              </wp:positionV>
              <wp:extent cx="622300" cy="391160"/>
              <wp:effectExtent l="0" t="0" r="6350" b="8890"/>
              <wp:wrapNone/>
              <wp:docPr id="198667173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82206B3" w14:textId="4C680BF2"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3DF5A0"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782206B3" w14:textId="4C680BF2" w:rsidR="0031681E" w:rsidRPr="0031681E" w:rsidRDefault="0031681E" w:rsidP="0031681E">
                    <w:pPr>
                      <w:spacing w:after="0"/>
                      <w:rPr>
                        <w:rFonts w:ascii="Aptos" w:eastAsia="Aptos" w:hAnsi="Aptos" w:cs="Aptos"/>
                        <w:noProof/>
                        <w:color w:val="FF0000"/>
                        <w:sz w:val="24"/>
                        <w:szCs w:val="24"/>
                      </w:rPr>
                    </w:pPr>
                    <w:r w:rsidRPr="0031681E">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5D7"/>
    <w:multiLevelType w:val="hybridMultilevel"/>
    <w:tmpl w:val="D2B86D48"/>
    <w:lvl w:ilvl="0" w:tplc="E5ACBF22">
      <w:numFmt w:val="bullet"/>
      <w:lvlText w:val=""/>
      <w:lvlJc w:val="left"/>
      <w:pPr>
        <w:ind w:left="1030" w:hanging="361"/>
      </w:pPr>
      <w:rPr>
        <w:rFonts w:ascii="Symbol" w:eastAsia="Symbol" w:hAnsi="Symbol" w:cs="Symbol" w:hint="default"/>
        <w:b w:val="0"/>
        <w:bCs w:val="0"/>
        <w:i w:val="0"/>
        <w:iCs w:val="0"/>
        <w:spacing w:val="0"/>
        <w:w w:val="102"/>
        <w:sz w:val="22"/>
        <w:szCs w:val="22"/>
        <w:lang w:val="en-US" w:eastAsia="en-US" w:bidi="ar-SA"/>
      </w:rPr>
    </w:lvl>
    <w:lvl w:ilvl="1" w:tplc="24CADA56">
      <w:numFmt w:val="bullet"/>
      <w:lvlText w:val="•"/>
      <w:lvlJc w:val="left"/>
      <w:pPr>
        <w:ind w:left="1985" w:hanging="361"/>
      </w:pPr>
      <w:rPr>
        <w:rFonts w:hint="default"/>
        <w:lang w:val="en-US" w:eastAsia="en-US" w:bidi="ar-SA"/>
      </w:rPr>
    </w:lvl>
    <w:lvl w:ilvl="2" w:tplc="D634139C">
      <w:numFmt w:val="bullet"/>
      <w:lvlText w:val="•"/>
      <w:lvlJc w:val="left"/>
      <w:pPr>
        <w:ind w:left="2930" w:hanging="361"/>
      </w:pPr>
      <w:rPr>
        <w:rFonts w:hint="default"/>
        <w:lang w:val="en-US" w:eastAsia="en-US" w:bidi="ar-SA"/>
      </w:rPr>
    </w:lvl>
    <w:lvl w:ilvl="3" w:tplc="9A1211FA">
      <w:numFmt w:val="bullet"/>
      <w:lvlText w:val="•"/>
      <w:lvlJc w:val="left"/>
      <w:pPr>
        <w:ind w:left="3876" w:hanging="361"/>
      </w:pPr>
      <w:rPr>
        <w:rFonts w:hint="default"/>
        <w:lang w:val="en-US" w:eastAsia="en-US" w:bidi="ar-SA"/>
      </w:rPr>
    </w:lvl>
    <w:lvl w:ilvl="4" w:tplc="F1EEB832">
      <w:numFmt w:val="bullet"/>
      <w:lvlText w:val="•"/>
      <w:lvlJc w:val="left"/>
      <w:pPr>
        <w:ind w:left="4821" w:hanging="361"/>
      </w:pPr>
      <w:rPr>
        <w:rFonts w:hint="default"/>
        <w:lang w:val="en-US" w:eastAsia="en-US" w:bidi="ar-SA"/>
      </w:rPr>
    </w:lvl>
    <w:lvl w:ilvl="5" w:tplc="E858F97E">
      <w:numFmt w:val="bullet"/>
      <w:lvlText w:val="•"/>
      <w:lvlJc w:val="left"/>
      <w:pPr>
        <w:ind w:left="5767" w:hanging="361"/>
      </w:pPr>
      <w:rPr>
        <w:rFonts w:hint="default"/>
        <w:lang w:val="en-US" w:eastAsia="en-US" w:bidi="ar-SA"/>
      </w:rPr>
    </w:lvl>
    <w:lvl w:ilvl="6" w:tplc="F350D452">
      <w:numFmt w:val="bullet"/>
      <w:lvlText w:val="•"/>
      <w:lvlJc w:val="left"/>
      <w:pPr>
        <w:ind w:left="6712" w:hanging="361"/>
      </w:pPr>
      <w:rPr>
        <w:rFonts w:hint="default"/>
        <w:lang w:val="en-US" w:eastAsia="en-US" w:bidi="ar-SA"/>
      </w:rPr>
    </w:lvl>
    <w:lvl w:ilvl="7" w:tplc="C3E6DFBC">
      <w:numFmt w:val="bullet"/>
      <w:lvlText w:val="•"/>
      <w:lvlJc w:val="left"/>
      <w:pPr>
        <w:ind w:left="7657" w:hanging="361"/>
      </w:pPr>
      <w:rPr>
        <w:rFonts w:hint="default"/>
        <w:lang w:val="en-US" w:eastAsia="en-US" w:bidi="ar-SA"/>
      </w:rPr>
    </w:lvl>
    <w:lvl w:ilvl="8" w:tplc="B0E854B2">
      <w:numFmt w:val="bullet"/>
      <w:lvlText w:val="•"/>
      <w:lvlJc w:val="left"/>
      <w:pPr>
        <w:ind w:left="8603" w:hanging="361"/>
      </w:pPr>
      <w:rPr>
        <w:rFonts w:hint="default"/>
        <w:lang w:val="en-US" w:eastAsia="en-US" w:bidi="ar-SA"/>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323C5C1B"/>
    <w:multiLevelType w:val="hybridMultilevel"/>
    <w:tmpl w:val="81BC9640"/>
    <w:lvl w:ilvl="0" w:tplc="8F564B24">
      <w:numFmt w:val="bullet"/>
      <w:lvlText w:val=""/>
      <w:lvlJc w:val="left"/>
      <w:pPr>
        <w:ind w:left="669" w:hanging="361"/>
      </w:pPr>
      <w:rPr>
        <w:rFonts w:ascii="Symbol" w:eastAsia="Symbol" w:hAnsi="Symbol" w:cs="Symbol" w:hint="default"/>
        <w:b w:val="0"/>
        <w:bCs w:val="0"/>
        <w:i w:val="0"/>
        <w:iCs w:val="0"/>
        <w:spacing w:val="0"/>
        <w:w w:val="102"/>
        <w:sz w:val="22"/>
        <w:szCs w:val="22"/>
        <w:lang w:val="en-US" w:eastAsia="en-US" w:bidi="ar-SA"/>
      </w:rPr>
    </w:lvl>
    <w:lvl w:ilvl="1" w:tplc="F42C0038">
      <w:numFmt w:val="bullet"/>
      <w:lvlText w:val="•"/>
      <w:lvlJc w:val="left"/>
      <w:pPr>
        <w:ind w:left="1643" w:hanging="361"/>
      </w:pPr>
      <w:rPr>
        <w:rFonts w:hint="default"/>
        <w:lang w:val="en-US" w:eastAsia="en-US" w:bidi="ar-SA"/>
      </w:rPr>
    </w:lvl>
    <w:lvl w:ilvl="2" w:tplc="C3087CD0">
      <w:numFmt w:val="bullet"/>
      <w:lvlText w:val="•"/>
      <w:lvlJc w:val="left"/>
      <w:pPr>
        <w:ind w:left="2626" w:hanging="361"/>
      </w:pPr>
      <w:rPr>
        <w:rFonts w:hint="default"/>
        <w:lang w:val="en-US" w:eastAsia="en-US" w:bidi="ar-SA"/>
      </w:rPr>
    </w:lvl>
    <w:lvl w:ilvl="3" w:tplc="A3509D3A">
      <w:numFmt w:val="bullet"/>
      <w:lvlText w:val="•"/>
      <w:lvlJc w:val="left"/>
      <w:pPr>
        <w:ind w:left="3610" w:hanging="361"/>
      </w:pPr>
      <w:rPr>
        <w:rFonts w:hint="default"/>
        <w:lang w:val="en-US" w:eastAsia="en-US" w:bidi="ar-SA"/>
      </w:rPr>
    </w:lvl>
    <w:lvl w:ilvl="4" w:tplc="2DE04668">
      <w:numFmt w:val="bullet"/>
      <w:lvlText w:val="•"/>
      <w:lvlJc w:val="left"/>
      <w:pPr>
        <w:ind w:left="4593" w:hanging="361"/>
      </w:pPr>
      <w:rPr>
        <w:rFonts w:hint="default"/>
        <w:lang w:val="en-US" w:eastAsia="en-US" w:bidi="ar-SA"/>
      </w:rPr>
    </w:lvl>
    <w:lvl w:ilvl="5" w:tplc="54A0D522">
      <w:numFmt w:val="bullet"/>
      <w:lvlText w:val="•"/>
      <w:lvlJc w:val="left"/>
      <w:pPr>
        <w:ind w:left="5577" w:hanging="361"/>
      </w:pPr>
      <w:rPr>
        <w:rFonts w:hint="default"/>
        <w:lang w:val="en-US" w:eastAsia="en-US" w:bidi="ar-SA"/>
      </w:rPr>
    </w:lvl>
    <w:lvl w:ilvl="6" w:tplc="FF46E09C">
      <w:numFmt w:val="bullet"/>
      <w:lvlText w:val="•"/>
      <w:lvlJc w:val="left"/>
      <w:pPr>
        <w:ind w:left="6560" w:hanging="361"/>
      </w:pPr>
      <w:rPr>
        <w:rFonts w:hint="default"/>
        <w:lang w:val="en-US" w:eastAsia="en-US" w:bidi="ar-SA"/>
      </w:rPr>
    </w:lvl>
    <w:lvl w:ilvl="7" w:tplc="44725F66">
      <w:numFmt w:val="bullet"/>
      <w:lvlText w:val="•"/>
      <w:lvlJc w:val="left"/>
      <w:pPr>
        <w:ind w:left="7543" w:hanging="361"/>
      </w:pPr>
      <w:rPr>
        <w:rFonts w:hint="default"/>
        <w:lang w:val="en-US" w:eastAsia="en-US" w:bidi="ar-SA"/>
      </w:rPr>
    </w:lvl>
    <w:lvl w:ilvl="8" w:tplc="575E11DC">
      <w:numFmt w:val="bullet"/>
      <w:lvlText w:val="•"/>
      <w:lvlJc w:val="left"/>
      <w:pPr>
        <w:ind w:left="8527" w:hanging="361"/>
      </w:pPr>
      <w:rPr>
        <w:rFonts w:hint="default"/>
        <w:lang w:val="en-US" w:eastAsia="en-US" w:bidi="ar-SA"/>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A1473"/>
    <w:multiLevelType w:val="hybridMultilevel"/>
    <w:tmpl w:val="7A48B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15" w15:restartNumberingAfterBreak="0">
    <w:nsid w:val="7B3C0ECE"/>
    <w:multiLevelType w:val="hybridMultilevel"/>
    <w:tmpl w:val="42CA91E8"/>
    <w:lvl w:ilvl="0" w:tplc="E5B4CD08">
      <w:start w:val="1"/>
      <w:numFmt w:val="decimal"/>
      <w:lvlText w:val="%1."/>
      <w:lvlJc w:val="left"/>
      <w:pPr>
        <w:ind w:left="729" w:hanging="421"/>
      </w:pPr>
      <w:rPr>
        <w:rFonts w:ascii="Cambria" w:eastAsia="Cambria" w:hAnsi="Cambria" w:cs="Cambria" w:hint="default"/>
        <w:b w:val="0"/>
        <w:bCs w:val="0"/>
        <w:i w:val="0"/>
        <w:iCs w:val="0"/>
        <w:spacing w:val="-5"/>
        <w:w w:val="102"/>
        <w:sz w:val="22"/>
        <w:szCs w:val="22"/>
        <w:lang w:val="en-US" w:eastAsia="en-US" w:bidi="ar-SA"/>
      </w:rPr>
    </w:lvl>
    <w:lvl w:ilvl="1" w:tplc="4DE84490">
      <w:start w:val="1"/>
      <w:numFmt w:val="lowerLetter"/>
      <w:lvlText w:val="%2."/>
      <w:lvlJc w:val="left"/>
      <w:pPr>
        <w:ind w:left="1165" w:hanging="436"/>
      </w:pPr>
      <w:rPr>
        <w:rFonts w:ascii="Cambria" w:eastAsia="Cambria" w:hAnsi="Cambria" w:cs="Cambria" w:hint="default"/>
        <w:b w:val="0"/>
        <w:bCs w:val="0"/>
        <w:i w:val="0"/>
        <w:iCs w:val="0"/>
        <w:spacing w:val="-5"/>
        <w:w w:val="102"/>
        <w:sz w:val="22"/>
        <w:szCs w:val="22"/>
        <w:lang w:val="en-US" w:eastAsia="en-US" w:bidi="ar-SA"/>
      </w:rPr>
    </w:lvl>
    <w:lvl w:ilvl="2" w:tplc="D02257D4">
      <w:numFmt w:val="bullet"/>
      <w:lvlText w:val="•"/>
      <w:lvlJc w:val="left"/>
      <w:pPr>
        <w:ind w:left="2197" w:hanging="436"/>
      </w:pPr>
      <w:rPr>
        <w:rFonts w:hint="default"/>
        <w:lang w:val="en-US" w:eastAsia="en-US" w:bidi="ar-SA"/>
      </w:rPr>
    </w:lvl>
    <w:lvl w:ilvl="3" w:tplc="CD74921A">
      <w:numFmt w:val="bullet"/>
      <w:lvlText w:val="•"/>
      <w:lvlJc w:val="left"/>
      <w:pPr>
        <w:ind w:left="3234" w:hanging="436"/>
      </w:pPr>
      <w:rPr>
        <w:rFonts w:hint="default"/>
        <w:lang w:val="en-US" w:eastAsia="en-US" w:bidi="ar-SA"/>
      </w:rPr>
    </w:lvl>
    <w:lvl w:ilvl="4" w:tplc="71702F60">
      <w:numFmt w:val="bullet"/>
      <w:lvlText w:val="•"/>
      <w:lvlJc w:val="left"/>
      <w:pPr>
        <w:ind w:left="4271" w:hanging="436"/>
      </w:pPr>
      <w:rPr>
        <w:rFonts w:hint="default"/>
        <w:lang w:val="en-US" w:eastAsia="en-US" w:bidi="ar-SA"/>
      </w:rPr>
    </w:lvl>
    <w:lvl w:ilvl="5" w:tplc="E508FD66">
      <w:numFmt w:val="bullet"/>
      <w:lvlText w:val="•"/>
      <w:lvlJc w:val="left"/>
      <w:pPr>
        <w:ind w:left="5308" w:hanging="436"/>
      </w:pPr>
      <w:rPr>
        <w:rFonts w:hint="default"/>
        <w:lang w:val="en-US" w:eastAsia="en-US" w:bidi="ar-SA"/>
      </w:rPr>
    </w:lvl>
    <w:lvl w:ilvl="6" w:tplc="D6180BA0">
      <w:numFmt w:val="bullet"/>
      <w:lvlText w:val="•"/>
      <w:lvlJc w:val="left"/>
      <w:pPr>
        <w:ind w:left="6345" w:hanging="436"/>
      </w:pPr>
      <w:rPr>
        <w:rFonts w:hint="default"/>
        <w:lang w:val="en-US" w:eastAsia="en-US" w:bidi="ar-SA"/>
      </w:rPr>
    </w:lvl>
    <w:lvl w:ilvl="7" w:tplc="33689716">
      <w:numFmt w:val="bullet"/>
      <w:lvlText w:val="•"/>
      <w:lvlJc w:val="left"/>
      <w:pPr>
        <w:ind w:left="7382" w:hanging="436"/>
      </w:pPr>
      <w:rPr>
        <w:rFonts w:hint="default"/>
        <w:lang w:val="en-US" w:eastAsia="en-US" w:bidi="ar-SA"/>
      </w:rPr>
    </w:lvl>
    <w:lvl w:ilvl="8" w:tplc="B6EE3A3C">
      <w:numFmt w:val="bullet"/>
      <w:lvlText w:val="•"/>
      <w:lvlJc w:val="left"/>
      <w:pPr>
        <w:ind w:left="8419" w:hanging="436"/>
      </w:pPr>
      <w:rPr>
        <w:rFonts w:hint="default"/>
        <w:lang w:val="en-US" w:eastAsia="en-US" w:bidi="ar-SA"/>
      </w:rPr>
    </w:lvl>
  </w:abstractNum>
  <w:abstractNum w:abstractNumId="16" w15:restartNumberingAfterBreak="0">
    <w:nsid w:val="7D690507"/>
    <w:multiLevelType w:val="multilevel"/>
    <w:tmpl w:val="F9BC2D7E"/>
    <w:lvl w:ilvl="0">
      <w:start w:val="2"/>
      <w:numFmt w:val="decimal"/>
      <w:lvlText w:val="%1."/>
      <w:lvlJc w:val="left"/>
      <w:pPr>
        <w:ind w:left="1030" w:hanging="361"/>
      </w:pPr>
      <w:rPr>
        <w:rFonts w:hint="default"/>
        <w:spacing w:val="-7"/>
        <w:w w:val="102"/>
        <w:lang w:val="en-US" w:eastAsia="en-US" w:bidi="ar-SA"/>
      </w:rPr>
    </w:lvl>
    <w:lvl w:ilvl="1">
      <w:start w:val="1"/>
      <w:numFmt w:val="decimal"/>
      <w:lvlText w:val="%1.%2."/>
      <w:lvlJc w:val="left"/>
      <w:pPr>
        <w:ind w:left="1060" w:hanging="391"/>
      </w:pPr>
      <w:rPr>
        <w:rFonts w:hint="default"/>
        <w:spacing w:val="-14"/>
        <w:w w:val="102"/>
        <w:lang w:val="en-US" w:eastAsia="en-US" w:bidi="ar-SA"/>
      </w:rPr>
    </w:lvl>
    <w:lvl w:ilvl="2">
      <w:start w:val="1"/>
      <w:numFmt w:val="decimal"/>
      <w:lvlText w:val="%1.%2.%3."/>
      <w:lvlJc w:val="left"/>
      <w:pPr>
        <w:ind w:left="1030" w:hanging="391"/>
      </w:pPr>
      <w:rPr>
        <w:rFonts w:hint="default"/>
        <w:spacing w:val="-8"/>
        <w:w w:val="100"/>
        <w:lang w:val="en-US" w:eastAsia="en-US" w:bidi="ar-SA"/>
      </w:rPr>
    </w:lvl>
    <w:lvl w:ilvl="3">
      <w:start w:val="1"/>
      <w:numFmt w:val="decimal"/>
      <w:lvlText w:val="%1.%2.%3.%4."/>
      <w:lvlJc w:val="left"/>
      <w:pPr>
        <w:ind w:left="1450" w:hanging="391"/>
      </w:pPr>
      <w:rPr>
        <w:rFonts w:ascii="Arial" w:eastAsia="Arial" w:hAnsi="Arial" w:cs="Arial" w:hint="default"/>
        <w:b/>
        <w:bCs/>
        <w:i w:val="0"/>
        <w:iCs w:val="0"/>
        <w:spacing w:val="-6"/>
        <w:w w:val="102"/>
        <w:sz w:val="22"/>
        <w:szCs w:val="22"/>
        <w:lang w:val="en-US" w:eastAsia="en-US" w:bidi="ar-SA"/>
      </w:rPr>
    </w:lvl>
    <w:lvl w:ilvl="4">
      <w:numFmt w:val="bullet"/>
      <w:lvlText w:val="•"/>
      <w:lvlJc w:val="left"/>
      <w:pPr>
        <w:ind w:left="1760" w:hanging="391"/>
      </w:pPr>
      <w:rPr>
        <w:rFonts w:hint="default"/>
        <w:lang w:val="en-US" w:eastAsia="en-US" w:bidi="ar-SA"/>
      </w:rPr>
    </w:lvl>
    <w:lvl w:ilvl="5">
      <w:numFmt w:val="bullet"/>
      <w:lvlText w:val="•"/>
      <w:lvlJc w:val="left"/>
      <w:pPr>
        <w:ind w:left="3215" w:hanging="391"/>
      </w:pPr>
      <w:rPr>
        <w:rFonts w:hint="default"/>
        <w:lang w:val="en-US" w:eastAsia="en-US" w:bidi="ar-SA"/>
      </w:rPr>
    </w:lvl>
    <w:lvl w:ilvl="6">
      <w:numFmt w:val="bullet"/>
      <w:lvlText w:val="•"/>
      <w:lvlJc w:val="left"/>
      <w:pPr>
        <w:ind w:left="4671" w:hanging="391"/>
      </w:pPr>
      <w:rPr>
        <w:rFonts w:hint="default"/>
        <w:lang w:val="en-US" w:eastAsia="en-US" w:bidi="ar-SA"/>
      </w:rPr>
    </w:lvl>
    <w:lvl w:ilvl="7">
      <w:numFmt w:val="bullet"/>
      <w:lvlText w:val="•"/>
      <w:lvlJc w:val="left"/>
      <w:pPr>
        <w:ind w:left="6127" w:hanging="391"/>
      </w:pPr>
      <w:rPr>
        <w:rFonts w:hint="default"/>
        <w:lang w:val="en-US" w:eastAsia="en-US" w:bidi="ar-SA"/>
      </w:rPr>
    </w:lvl>
    <w:lvl w:ilvl="8">
      <w:numFmt w:val="bullet"/>
      <w:lvlText w:val="•"/>
      <w:lvlJc w:val="left"/>
      <w:pPr>
        <w:ind w:left="7582" w:hanging="391"/>
      </w:pPr>
      <w:rPr>
        <w:rFonts w:hint="default"/>
        <w:lang w:val="en-US" w:eastAsia="en-US" w:bidi="ar-SA"/>
      </w:rPr>
    </w:lvl>
  </w:abstractNum>
  <w:num w:numId="1" w16cid:durableId="1032997172">
    <w:abstractNumId w:val="4"/>
  </w:num>
  <w:num w:numId="2" w16cid:durableId="1856573705">
    <w:abstractNumId w:val="1"/>
  </w:num>
  <w:num w:numId="3" w16cid:durableId="357703499">
    <w:abstractNumId w:val="3"/>
  </w:num>
  <w:num w:numId="4" w16cid:durableId="1869176708">
    <w:abstractNumId w:val="12"/>
  </w:num>
  <w:num w:numId="5" w16cid:durableId="1652950129">
    <w:abstractNumId w:val="6"/>
  </w:num>
  <w:num w:numId="6" w16cid:durableId="1053193207">
    <w:abstractNumId w:val="9"/>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1"/>
  </w:num>
  <w:num w:numId="9" w16cid:durableId="173421270">
    <w:abstractNumId w:val="2"/>
  </w:num>
  <w:num w:numId="10" w16cid:durableId="2108043357">
    <w:abstractNumId w:val="5"/>
  </w:num>
  <w:num w:numId="11" w16cid:durableId="1725904230">
    <w:abstractNumId w:val="8"/>
  </w:num>
  <w:num w:numId="12" w16cid:durableId="141579354">
    <w:abstractNumId w:val="13"/>
  </w:num>
  <w:num w:numId="13" w16cid:durableId="283735081">
    <w:abstractNumId w:val="14"/>
  </w:num>
  <w:num w:numId="14" w16cid:durableId="703752796">
    <w:abstractNumId w:val="15"/>
  </w:num>
  <w:num w:numId="15" w16cid:durableId="1946300152">
    <w:abstractNumId w:val="7"/>
  </w:num>
  <w:num w:numId="16" w16cid:durableId="1805847313">
    <w:abstractNumId w:val="10"/>
  </w:num>
  <w:num w:numId="17" w16cid:durableId="971591754">
    <w:abstractNumId w:val="0"/>
  </w:num>
  <w:num w:numId="18" w16cid:durableId="20360307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0FD"/>
    <w:rsid w:val="00000E6E"/>
    <w:rsid w:val="00004031"/>
    <w:rsid w:val="00004431"/>
    <w:rsid w:val="00005062"/>
    <w:rsid w:val="00005DFC"/>
    <w:rsid w:val="00007725"/>
    <w:rsid w:val="0000773A"/>
    <w:rsid w:val="0001064C"/>
    <w:rsid w:val="000110A8"/>
    <w:rsid w:val="0001384A"/>
    <w:rsid w:val="00014E6A"/>
    <w:rsid w:val="0001560F"/>
    <w:rsid w:val="00021C13"/>
    <w:rsid w:val="00027970"/>
    <w:rsid w:val="00031D27"/>
    <w:rsid w:val="0003203E"/>
    <w:rsid w:val="00032383"/>
    <w:rsid w:val="00032A0F"/>
    <w:rsid w:val="0003300F"/>
    <w:rsid w:val="000351F3"/>
    <w:rsid w:val="00040D8D"/>
    <w:rsid w:val="000446C6"/>
    <w:rsid w:val="00046423"/>
    <w:rsid w:val="000477F5"/>
    <w:rsid w:val="0005067C"/>
    <w:rsid w:val="00051D0F"/>
    <w:rsid w:val="00052F70"/>
    <w:rsid w:val="00053B6D"/>
    <w:rsid w:val="00056058"/>
    <w:rsid w:val="0006104E"/>
    <w:rsid w:val="000640BD"/>
    <w:rsid w:val="00065839"/>
    <w:rsid w:val="00065FDF"/>
    <w:rsid w:val="0006693A"/>
    <w:rsid w:val="00067D32"/>
    <w:rsid w:val="00071600"/>
    <w:rsid w:val="00072B64"/>
    <w:rsid w:val="00073EAF"/>
    <w:rsid w:val="000749C6"/>
    <w:rsid w:val="00074F6E"/>
    <w:rsid w:val="00077844"/>
    <w:rsid w:val="00077C54"/>
    <w:rsid w:val="0008051C"/>
    <w:rsid w:val="00081357"/>
    <w:rsid w:val="00083763"/>
    <w:rsid w:val="00085580"/>
    <w:rsid w:val="0009023D"/>
    <w:rsid w:val="00090510"/>
    <w:rsid w:val="000917AE"/>
    <w:rsid w:val="000931B7"/>
    <w:rsid w:val="00094B81"/>
    <w:rsid w:val="0009504C"/>
    <w:rsid w:val="00095C6A"/>
    <w:rsid w:val="0009629A"/>
    <w:rsid w:val="00096E1A"/>
    <w:rsid w:val="000975AA"/>
    <w:rsid w:val="000A0203"/>
    <w:rsid w:val="000A0F75"/>
    <w:rsid w:val="000A1A6D"/>
    <w:rsid w:val="000A2937"/>
    <w:rsid w:val="000A4EEF"/>
    <w:rsid w:val="000B4595"/>
    <w:rsid w:val="000B6B15"/>
    <w:rsid w:val="000C04AF"/>
    <w:rsid w:val="000C25A7"/>
    <w:rsid w:val="000C34AD"/>
    <w:rsid w:val="000C6B2B"/>
    <w:rsid w:val="000D5DDF"/>
    <w:rsid w:val="000D78EC"/>
    <w:rsid w:val="000D7934"/>
    <w:rsid w:val="000E2434"/>
    <w:rsid w:val="000E2597"/>
    <w:rsid w:val="000E504E"/>
    <w:rsid w:val="000E6632"/>
    <w:rsid w:val="000E6746"/>
    <w:rsid w:val="000F3A0E"/>
    <w:rsid w:val="000F52A7"/>
    <w:rsid w:val="000F5380"/>
    <w:rsid w:val="000F606B"/>
    <w:rsid w:val="000F7B51"/>
    <w:rsid w:val="00101697"/>
    <w:rsid w:val="00101BEE"/>
    <w:rsid w:val="00101CE6"/>
    <w:rsid w:val="00101FB1"/>
    <w:rsid w:val="00102F65"/>
    <w:rsid w:val="0010558A"/>
    <w:rsid w:val="00105C40"/>
    <w:rsid w:val="00106F85"/>
    <w:rsid w:val="001101FF"/>
    <w:rsid w:val="001111EA"/>
    <w:rsid w:val="00111989"/>
    <w:rsid w:val="00113389"/>
    <w:rsid w:val="00113F9F"/>
    <w:rsid w:val="00113FCF"/>
    <w:rsid w:val="00114025"/>
    <w:rsid w:val="00115E4B"/>
    <w:rsid w:val="00117F2A"/>
    <w:rsid w:val="0012473C"/>
    <w:rsid w:val="00124A3C"/>
    <w:rsid w:val="00127856"/>
    <w:rsid w:val="00127A74"/>
    <w:rsid w:val="0013132F"/>
    <w:rsid w:val="00131B1B"/>
    <w:rsid w:val="0013306D"/>
    <w:rsid w:val="0013528C"/>
    <w:rsid w:val="001374BD"/>
    <w:rsid w:val="00141897"/>
    <w:rsid w:val="00142862"/>
    <w:rsid w:val="001442A2"/>
    <w:rsid w:val="0014460C"/>
    <w:rsid w:val="001468CA"/>
    <w:rsid w:val="001500A8"/>
    <w:rsid w:val="00152CA2"/>
    <w:rsid w:val="00152FF1"/>
    <w:rsid w:val="00155D85"/>
    <w:rsid w:val="001568E3"/>
    <w:rsid w:val="001613F7"/>
    <w:rsid w:val="00161954"/>
    <w:rsid w:val="00163302"/>
    <w:rsid w:val="001633D9"/>
    <w:rsid w:val="00165D28"/>
    <w:rsid w:val="00165F48"/>
    <w:rsid w:val="0017005C"/>
    <w:rsid w:val="00173DA8"/>
    <w:rsid w:val="001757BE"/>
    <w:rsid w:val="00175CD8"/>
    <w:rsid w:val="00182BD8"/>
    <w:rsid w:val="00185965"/>
    <w:rsid w:val="00186C01"/>
    <w:rsid w:val="00190853"/>
    <w:rsid w:val="0019544B"/>
    <w:rsid w:val="001A2E56"/>
    <w:rsid w:val="001A76F9"/>
    <w:rsid w:val="001B03D9"/>
    <w:rsid w:val="001B06FF"/>
    <w:rsid w:val="001B1703"/>
    <w:rsid w:val="001B2797"/>
    <w:rsid w:val="001B2B5D"/>
    <w:rsid w:val="001B3A6E"/>
    <w:rsid w:val="001B48AA"/>
    <w:rsid w:val="001B4C8A"/>
    <w:rsid w:val="001B59A3"/>
    <w:rsid w:val="001B7278"/>
    <w:rsid w:val="001C0F40"/>
    <w:rsid w:val="001C1C2E"/>
    <w:rsid w:val="001C3097"/>
    <w:rsid w:val="001C31A1"/>
    <w:rsid w:val="001C3648"/>
    <w:rsid w:val="001C3FA2"/>
    <w:rsid w:val="001C41E0"/>
    <w:rsid w:val="001C5EE2"/>
    <w:rsid w:val="001C6115"/>
    <w:rsid w:val="001D0077"/>
    <w:rsid w:val="001D1E39"/>
    <w:rsid w:val="001D2704"/>
    <w:rsid w:val="001D4703"/>
    <w:rsid w:val="001E407B"/>
    <w:rsid w:val="001E56C1"/>
    <w:rsid w:val="001E65D2"/>
    <w:rsid w:val="001E7FC6"/>
    <w:rsid w:val="001F2502"/>
    <w:rsid w:val="001F70A5"/>
    <w:rsid w:val="0020235D"/>
    <w:rsid w:val="0020369B"/>
    <w:rsid w:val="00205D0C"/>
    <w:rsid w:val="00207B4D"/>
    <w:rsid w:val="00210309"/>
    <w:rsid w:val="00210F9B"/>
    <w:rsid w:val="002117B1"/>
    <w:rsid w:val="002122C6"/>
    <w:rsid w:val="00212781"/>
    <w:rsid w:val="00214BED"/>
    <w:rsid w:val="00214DA6"/>
    <w:rsid w:val="00217CCE"/>
    <w:rsid w:val="002203B1"/>
    <w:rsid w:val="00222007"/>
    <w:rsid w:val="002241F3"/>
    <w:rsid w:val="00225E13"/>
    <w:rsid w:val="00226F39"/>
    <w:rsid w:val="002273DB"/>
    <w:rsid w:val="00232673"/>
    <w:rsid w:val="002334AD"/>
    <w:rsid w:val="00236F91"/>
    <w:rsid w:val="00241B60"/>
    <w:rsid w:val="00257477"/>
    <w:rsid w:val="0025785B"/>
    <w:rsid w:val="00257969"/>
    <w:rsid w:val="00261D43"/>
    <w:rsid w:val="00265CD1"/>
    <w:rsid w:val="00271147"/>
    <w:rsid w:val="0027165C"/>
    <w:rsid w:val="00273159"/>
    <w:rsid w:val="0027721C"/>
    <w:rsid w:val="00277C08"/>
    <w:rsid w:val="00280048"/>
    <w:rsid w:val="00282EAE"/>
    <w:rsid w:val="00283834"/>
    <w:rsid w:val="0028489E"/>
    <w:rsid w:val="002848DE"/>
    <w:rsid w:val="0028794E"/>
    <w:rsid w:val="002924A1"/>
    <w:rsid w:val="00296F96"/>
    <w:rsid w:val="0029706C"/>
    <w:rsid w:val="0029733B"/>
    <w:rsid w:val="002979E6"/>
    <w:rsid w:val="002A13DC"/>
    <w:rsid w:val="002A24D2"/>
    <w:rsid w:val="002A5841"/>
    <w:rsid w:val="002A5DAC"/>
    <w:rsid w:val="002B1609"/>
    <w:rsid w:val="002B1EDF"/>
    <w:rsid w:val="002B2061"/>
    <w:rsid w:val="002B33C3"/>
    <w:rsid w:val="002B3A9B"/>
    <w:rsid w:val="002C03DF"/>
    <w:rsid w:val="002C1232"/>
    <w:rsid w:val="002C1E44"/>
    <w:rsid w:val="002C5C92"/>
    <w:rsid w:val="002C5E29"/>
    <w:rsid w:val="002C74F2"/>
    <w:rsid w:val="002D0478"/>
    <w:rsid w:val="002D37A7"/>
    <w:rsid w:val="002D5BEB"/>
    <w:rsid w:val="002D606E"/>
    <w:rsid w:val="002D6D64"/>
    <w:rsid w:val="002D7127"/>
    <w:rsid w:val="002F1BEA"/>
    <w:rsid w:val="002F3B20"/>
    <w:rsid w:val="002F599E"/>
    <w:rsid w:val="002F7ADC"/>
    <w:rsid w:val="003008D8"/>
    <w:rsid w:val="003013BD"/>
    <w:rsid w:val="00301D9A"/>
    <w:rsid w:val="00303959"/>
    <w:rsid w:val="00305DEC"/>
    <w:rsid w:val="00306E72"/>
    <w:rsid w:val="003125A6"/>
    <w:rsid w:val="00312AC3"/>
    <w:rsid w:val="00313B1F"/>
    <w:rsid w:val="00314430"/>
    <w:rsid w:val="003163BC"/>
    <w:rsid w:val="0031681E"/>
    <w:rsid w:val="00320A9F"/>
    <w:rsid w:val="003212D9"/>
    <w:rsid w:val="00322370"/>
    <w:rsid w:val="0032351A"/>
    <w:rsid w:val="00324B33"/>
    <w:rsid w:val="00325869"/>
    <w:rsid w:val="00327488"/>
    <w:rsid w:val="003302FF"/>
    <w:rsid w:val="003334E5"/>
    <w:rsid w:val="0033413A"/>
    <w:rsid w:val="00335E0F"/>
    <w:rsid w:val="00336FE1"/>
    <w:rsid w:val="00337BD8"/>
    <w:rsid w:val="00342A5C"/>
    <w:rsid w:val="00342D56"/>
    <w:rsid w:val="003456E7"/>
    <w:rsid w:val="00346E27"/>
    <w:rsid w:val="00346EC2"/>
    <w:rsid w:val="003477F9"/>
    <w:rsid w:val="00347BC8"/>
    <w:rsid w:val="00350C4B"/>
    <w:rsid w:val="00352828"/>
    <w:rsid w:val="0035444D"/>
    <w:rsid w:val="00356D62"/>
    <w:rsid w:val="003604EB"/>
    <w:rsid w:val="0036275F"/>
    <w:rsid w:val="00363EE3"/>
    <w:rsid w:val="003735F3"/>
    <w:rsid w:val="00374729"/>
    <w:rsid w:val="0037664E"/>
    <w:rsid w:val="003819E0"/>
    <w:rsid w:val="00382F08"/>
    <w:rsid w:val="00387298"/>
    <w:rsid w:val="00387984"/>
    <w:rsid w:val="00390A1D"/>
    <w:rsid w:val="003924AF"/>
    <w:rsid w:val="003939DE"/>
    <w:rsid w:val="00394521"/>
    <w:rsid w:val="00395140"/>
    <w:rsid w:val="003A2422"/>
    <w:rsid w:val="003A6871"/>
    <w:rsid w:val="003A6B2E"/>
    <w:rsid w:val="003A6D13"/>
    <w:rsid w:val="003B0CEB"/>
    <w:rsid w:val="003B149C"/>
    <w:rsid w:val="003B7342"/>
    <w:rsid w:val="003C0200"/>
    <w:rsid w:val="003C0FDB"/>
    <w:rsid w:val="003C1192"/>
    <w:rsid w:val="003C191D"/>
    <w:rsid w:val="003C1D5F"/>
    <w:rsid w:val="003C4198"/>
    <w:rsid w:val="003C47C0"/>
    <w:rsid w:val="003C55E2"/>
    <w:rsid w:val="003C63D5"/>
    <w:rsid w:val="003C7AA8"/>
    <w:rsid w:val="003D71A1"/>
    <w:rsid w:val="003E07CF"/>
    <w:rsid w:val="003E0EB6"/>
    <w:rsid w:val="003E21D9"/>
    <w:rsid w:val="003F72B3"/>
    <w:rsid w:val="00400EBB"/>
    <w:rsid w:val="00403A19"/>
    <w:rsid w:val="00403F46"/>
    <w:rsid w:val="004151E7"/>
    <w:rsid w:val="0041688F"/>
    <w:rsid w:val="00421571"/>
    <w:rsid w:val="004216D0"/>
    <w:rsid w:val="0042376F"/>
    <w:rsid w:val="004246B8"/>
    <w:rsid w:val="004248F1"/>
    <w:rsid w:val="00431BC9"/>
    <w:rsid w:val="00432F98"/>
    <w:rsid w:val="00433318"/>
    <w:rsid w:val="004351D0"/>
    <w:rsid w:val="004411D9"/>
    <w:rsid w:val="00442A56"/>
    <w:rsid w:val="00443229"/>
    <w:rsid w:val="004444B0"/>
    <w:rsid w:val="00445741"/>
    <w:rsid w:val="00450432"/>
    <w:rsid w:val="0045060B"/>
    <w:rsid w:val="00452375"/>
    <w:rsid w:val="0045312D"/>
    <w:rsid w:val="00453464"/>
    <w:rsid w:val="00456918"/>
    <w:rsid w:val="004626FF"/>
    <w:rsid w:val="0046285C"/>
    <w:rsid w:val="00463AAB"/>
    <w:rsid w:val="00470A52"/>
    <w:rsid w:val="004717F8"/>
    <w:rsid w:val="00471BD5"/>
    <w:rsid w:val="0047623A"/>
    <w:rsid w:val="00477C4E"/>
    <w:rsid w:val="00477F07"/>
    <w:rsid w:val="00480800"/>
    <w:rsid w:val="00480D8D"/>
    <w:rsid w:val="00481503"/>
    <w:rsid w:val="00481D12"/>
    <w:rsid w:val="00482D8E"/>
    <w:rsid w:val="004854A6"/>
    <w:rsid w:val="00491A55"/>
    <w:rsid w:val="0049200E"/>
    <w:rsid w:val="0049380A"/>
    <w:rsid w:val="00493DB3"/>
    <w:rsid w:val="00494C3E"/>
    <w:rsid w:val="00497DF1"/>
    <w:rsid w:val="004A20BC"/>
    <w:rsid w:val="004A318E"/>
    <w:rsid w:val="004A45D4"/>
    <w:rsid w:val="004A53C8"/>
    <w:rsid w:val="004A57E8"/>
    <w:rsid w:val="004A6A9B"/>
    <w:rsid w:val="004B0854"/>
    <w:rsid w:val="004B27CE"/>
    <w:rsid w:val="004B2938"/>
    <w:rsid w:val="004B3081"/>
    <w:rsid w:val="004B46A9"/>
    <w:rsid w:val="004B4A09"/>
    <w:rsid w:val="004B51B0"/>
    <w:rsid w:val="004B70FD"/>
    <w:rsid w:val="004B7541"/>
    <w:rsid w:val="004B7E41"/>
    <w:rsid w:val="004C0695"/>
    <w:rsid w:val="004C138A"/>
    <w:rsid w:val="004C25BE"/>
    <w:rsid w:val="004C3029"/>
    <w:rsid w:val="004C41CE"/>
    <w:rsid w:val="004C631B"/>
    <w:rsid w:val="004D0933"/>
    <w:rsid w:val="004D144A"/>
    <w:rsid w:val="004D2C56"/>
    <w:rsid w:val="004D2F00"/>
    <w:rsid w:val="004D31D8"/>
    <w:rsid w:val="004D35D1"/>
    <w:rsid w:val="004D3BB5"/>
    <w:rsid w:val="004D4AD5"/>
    <w:rsid w:val="004D5388"/>
    <w:rsid w:val="004D72F2"/>
    <w:rsid w:val="004E1EFA"/>
    <w:rsid w:val="004E54F7"/>
    <w:rsid w:val="004E5E1B"/>
    <w:rsid w:val="004E7F16"/>
    <w:rsid w:val="004F18EC"/>
    <w:rsid w:val="004F2642"/>
    <w:rsid w:val="004F5433"/>
    <w:rsid w:val="004F5453"/>
    <w:rsid w:val="004F69F7"/>
    <w:rsid w:val="00500D68"/>
    <w:rsid w:val="00503210"/>
    <w:rsid w:val="00504C29"/>
    <w:rsid w:val="00505EFE"/>
    <w:rsid w:val="00510364"/>
    <w:rsid w:val="0052070A"/>
    <w:rsid w:val="005208DB"/>
    <w:rsid w:val="0052271B"/>
    <w:rsid w:val="0052448B"/>
    <w:rsid w:val="005269A9"/>
    <w:rsid w:val="0052781D"/>
    <w:rsid w:val="0053267A"/>
    <w:rsid w:val="00532D73"/>
    <w:rsid w:val="00532E25"/>
    <w:rsid w:val="0053377D"/>
    <w:rsid w:val="00533A29"/>
    <w:rsid w:val="005345A8"/>
    <w:rsid w:val="00534AC2"/>
    <w:rsid w:val="00535AFE"/>
    <w:rsid w:val="00535DFE"/>
    <w:rsid w:val="005373B5"/>
    <w:rsid w:val="00537AB7"/>
    <w:rsid w:val="00543D33"/>
    <w:rsid w:val="0054669B"/>
    <w:rsid w:val="005542BC"/>
    <w:rsid w:val="00557684"/>
    <w:rsid w:val="00560EC1"/>
    <w:rsid w:val="005610D1"/>
    <w:rsid w:val="00562F42"/>
    <w:rsid w:val="0056522D"/>
    <w:rsid w:val="00565739"/>
    <w:rsid w:val="005661B4"/>
    <w:rsid w:val="0056766D"/>
    <w:rsid w:val="00574B58"/>
    <w:rsid w:val="00575215"/>
    <w:rsid w:val="005775D0"/>
    <w:rsid w:val="00581138"/>
    <w:rsid w:val="0058327F"/>
    <w:rsid w:val="00583CA4"/>
    <w:rsid w:val="00583F2C"/>
    <w:rsid w:val="0058575E"/>
    <w:rsid w:val="00586D4F"/>
    <w:rsid w:val="0058783C"/>
    <w:rsid w:val="005911AE"/>
    <w:rsid w:val="005926E2"/>
    <w:rsid w:val="00592D23"/>
    <w:rsid w:val="0059313A"/>
    <w:rsid w:val="00594742"/>
    <w:rsid w:val="00594FAC"/>
    <w:rsid w:val="005963E5"/>
    <w:rsid w:val="005A54EA"/>
    <w:rsid w:val="005A778C"/>
    <w:rsid w:val="005B023F"/>
    <w:rsid w:val="005B02A2"/>
    <w:rsid w:val="005B04F9"/>
    <w:rsid w:val="005B10C9"/>
    <w:rsid w:val="005B1417"/>
    <w:rsid w:val="005B37DD"/>
    <w:rsid w:val="005B5B32"/>
    <w:rsid w:val="005B69CF"/>
    <w:rsid w:val="005B70C8"/>
    <w:rsid w:val="005B7C24"/>
    <w:rsid w:val="005C0FFB"/>
    <w:rsid w:val="005C2921"/>
    <w:rsid w:val="005C3F07"/>
    <w:rsid w:val="005C4B46"/>
    <w:rsid w:val="005C5DC5"/>
    <w:rsid w:val="005D0E1E"/>
    <w:rsid w:val="005D2089"/>
    <w:rsid w:val="005D29C3"/>
    <w:rsid w:val="005D3172"/>
    <w:rsid w:val="005D3B5B"/>
    <w:rsid w:val="005D3CE7"/>
    <w:rsid w:val="005D4762"/>
    <w:rsid w:val="005D5491"/>
    <w:rsid w:val="005D6AC6"/>
    <w:rsid w:val="005D7514"/>
    <w:rsid w:val="005E0FC6"/>
    <w:rsid w:val="005E1A7B"/>
    <w:rsid w:val="005E1CCF"/>
    <w:rsid w:val="005E231F"/>
    <w:rsid w:val="005E6C7C"/>
    <w:rsid w:val="005E7497"/>
    <w:rsid w:val="005F1617"/>
    <w:rsid w:val="005F327B"/>
    <w:rsid w:val="005F3A4F"/>
    <w:rsid w:val="0060000A"/>
    <w:rsid w:val="00602D6E"/>
    <w:rsid w:val="00603057"/>
    <w:rsid w:val="006058F2"/>
    <w:rsid w:val="00605C05"/>
    <w:rsid w:val="00606C3A"/>
    <w:rsid w:val="00611351"/>
    <w:rsid w:val="0061217D"/>
    <w:rsid w:val="006129AE"/>
    <w:rsid w:val="006250AC"/>
    <w:rsid w:val="00625B58"/>
    <w:rsid w:val="006277A1"/>
    <w:rsid w:val="00630343"/>
    <w:rsid w:val="006333E8"/>
    <w:rsid w:val="00633BD7"/>
    <w:rsid w:val="00634580"/>
    <w:rsid w:val="00634884"/>
    <w:rsid w:val="006351D9"/>
    <w:rsid w:val="006362FC"/>
    <w:rsid w:val="00636AE1"/>
    <w:rsid w:val="00637130"/>
    <w:rsid w:val="00637F0E"/>
    <w:rsid w:val="006423F2"/>
    <w:rsid w:val="006428C5"/>
    <w:rsid w:val="00646726"/>
    <w:rsid w:val="00646A58"/>
    <w:rsid w:val="00650234"/>
    <w:rsid w:val="00651667"/>
    <w:rsid w:val="00653E28"/>
    <w:rsid w:val="0066044B"/>
    <w:rsid w:val="0066199F"/>
    <w:rsid w:val="00661D03"/>
    <w:rsid w:val="006630AA"/>
    <w:rsid w:val="00663544"/>
    <w:rsid w:val="006659A1"/>
    <w:rsid w:val="00666539"/>
    <w:rsid w:val="00666911"/>
    <w:rsid w:val="00671C59"/>
    <w:rsid w:val="00674A1C"/>
    <w:rsid w:val="00675F81"/>
    <w:rsid w:val="00677A1D"/>
    <w:rsid w:val="0068143E"/>
    <w:rsid w:val="006842B1"/>
    <w:rsid w:val="0068507D"/>
    <w:rsid w:val="00690BD0"/>
    <w:rsid w:val="00691AF2"/>
    <w:rsid w:val="00692B80"/>
    <w:rsid w:val="00692CB3"/>
    <w:rsid w:val="00692CCD"/>
    <w:rsid w:val="00692D51"/>
    <w:rsid w:val="00693588"/>
    <w:rsid w:val="00694DD7"/>
    <w:rsid w:val="0069636B"/>
    <w:rsid w:val="006A1762"/>
    <w:rsid w:val="006A19CE"/>
    <w:rsid w:val="006A1F0B"/>
    <w:rsid w:val="006A277A"/>
    <w:rsid w:val="006A3A53"/>
    <w:rsid w:val="006A5973"/>
    <w:rsid w:val="006B04F3"/>
    <w:rsid w:val="006B0897"/>
    <w:rsid w:val="006B1EA0"/>
    <w:rsid w:val="006B5E64"/>
    <w:rsid w:val="006B610C"/>
    <w:rsid w:val="006B65F1"/>
    <w:rsid w:val="006B7126"/>
    <w:rsid w:val="006C4633"/>
    <w:rsid w:val="006C6B86"/>
    <w:rsid w:val="006C7924"/>
    <w:rsid w:val="006D1A38"/>
    <w:rsid w:val="006D2475"/>
    <w:rsid w:val="006D3FEF"/>
    <w:rsid w:val="006D4553"/>
    <w:rsid w:val="006D4A35"/>
    <w:rsid w:val="006D6B44"/>
    <w:rsid w:val="006E0BD3"/>
    <w:rsid w:val="006E0F71"/>
    <w:rsid w:val="006E27FE"/>
    <w:rsid w:val="006E6059"/>
    <w:rsid w:val="006F500C"/>
    <w:rsid w:val="006F7750"/>
    <w:rsid w:val="006F7E0B"/>
    <w:rsid w:val="00701110"/>
    <w:rsid w:val="00702E91"/>
    <w:rsid w:val="0070330F"/>
    <w:rsid w:val="00703624"/>
    <w:rsid w:val="0070392B"/>
    <w:rsid w:val="007046ED"/>
    <w:rsid w:val="0070541F"/>
    <w:rsid w:val="00705ED0"/>
    <w:rsid w:val="007072A1"/>
    <w:rsid w:val="00707A0E"/>
    <w:rsid w:val="0071060C"/>
    <w:rsid w:val="00710BC5"/>
    <w:rsid w:val="00710D0C"/>
    <w:rsid w:val="007121CA"/>
    <w:rsid w:val="00712580"/>
    <w:rsid w:val="0072003B"/>
    <w:rsid w:val="007208F2"/>
    <w:rsid w:val="00720D83"/>
    <w:rsid w:val="00720F54"/>
    <w:rsid w:val="00721059"/>
    <w:rsid w:val="007211E6"/>
    <w:rsid w:val="007220C4"/>
    <w:rsid w:val="00722E1E"/>
    <w:rsid w:val="007305ED"/>
    <w:rsid w:val="007311B9"/>
    <w:rsid w:val="00732361"/>
    <w:rsid w:val="007357B9"/>
    <w:rsid w:val="00737147"/>
    <w:rsid w:val="00740AB9"/>
    <w:rsid w:val="00741AB9"/>
    <w:rsid w:val="00742D03"/>
    <w:rsid w:val="00742DDD"/>
    <w:rsid w:val="00743B7C"/>
    <w:rsid w:val="00744216"/>
    <w:rsid w:val="007452E8"/>
    <w:rsid w:val="00746990"/>
    <w:rsid w:val="00747093"/>
    <w:rsid w:val="00750504"/>
    <w:rsid w:val="00750D70"/>
    <w:rsid w:val="00752884"/>
    <w:rsid w:val="00756808"/>
    <w:rsid w:val="007575D0"/>
    <w:rsid w:val="00761407"/>
    <w:rsid w:val="00764ACE"/>
    <w:rsid w:val="007662E0"/>
    <w:rsid w:val="007677A7"/>
    <w:rsid w:val="0077576D"/>
    <w:rsid w:val="007762CD"/>
    <w:rsid w:val="00776E9C"/>
    <w:rsid w:val="00777B9E"/>
    <w:rsid w:val="00780ED4"/>
    <w:rsid w:val="007816D8"/>
    <w:rsid w:val="00784150"/>
    <w:rsid w:val="00785106"/>
    <w:rsid w:val="007852A5"/>
    <w:rsid w:val="00785ADF"/>
    <w:rsid w:val="00785B6B"/>
    <w:rsid w:val="007909F3"/>
    <w:rsid w:val="00791633"/>
    <w:rsid w:val="00792008"/>
    <w:rsid w:val="00793272"/>
    <w:rsid w:val="0079499A"/>
    <w:rsid w:val="00794B64"/>
    <w:rsid w:val="007967C3"/>
    <w:rsid w:val="007A0A33"/>
    <w:rsid w:val="007A20D1"/>
    <w:rsid w:val="007A5E1A"/>
    <w:rsid w:val="007B04DE"/>
    <w:rsid w:val="007B0AE6"/>
    <w:rsid w:val="007B1918"/>
    <w:rsid w:val="007B1C48"/>
    <w:rsid w:val="007B3CAA"/>
    <w:rsid w:val="007B51A0"/>
    <w:rsid w:val="007B7F2B"/>
    <w:rsid w:val="007C0F0B"/>
    <w:rsid w:val="007C57BC"/>
    <w:rsid w:val="007C6D35"/>
    <w:rsid w:val="007C7825"/>
    <w:rsid w:val="007D04CA"/>
    <w:rsid w:val="007D0548"/>
    <w:rsid w:val="007D0A2B"/>
    <w:rsid w:val="007D12A1"/>
    <w:rsid w:val="007D40E5"/>
    <w:rsid w:val="007D4138"/>
    <w:rsid w:val="007D7C63"/>
    <w:rsid w:val="007E4178"/>
    <w:rsid w:val="007E4FF8"/>
    <w:rsid w:val="007E5824"/>
    <w:rsid w:val="007E5DC4"/>
    <w:rsid w:val="007E6036"/>
    <w:rsid w:val="007E6443"/>
    <w:rsid w:val="007F082A"/>
    <w:rsid w:val="007F0A77"/>
    <w:rsid w:val="007F1E37"/>
    <w:rsid w:val="007F3488"/>
    <w:rsid w:val="007F50D3"/>
    <w:rsid w:val="007F5A2E"/>
    <w:rsid w:val="007F6B1F"/>
    <w:rsid w:val="008013D1"/>
    <w:rsid w:val="008013F0"/>
    <w:rsid w:val="00802A22"/>
    <w:rsid w:val="00803926"/>
    <w:rsid w:val="00803B1F"/>
    <w:rsid w:val="00804897"/>
    <w:rsid w:val="008068F4"/>
    <w:rsid w:val="008143EC"/>
    <w:rsid w:val="008146AE"/>
    <w:rsid w:val="00816EB2"/>
    <w:rsid w:val="00821D2F"/>
    <w:rsid w:val="008237DE"/>
    <w:rsid w:val="00823DB7"/>
    <w:rsid w:val="00823E0E"/>
    <w:rsid w:val="008329DB"/>
    <w:rsid w:val="00834F89"/>
    <w:rsid w:val="008361C5"/>
    <w:rsid w:val="0083628F"/>
    <w:rsid w:val="00837183"/>
    <w:rsid w:val="00837AB9"/>
    <w:rsid w:val="008403D3"/>
    <w:rsid w:val="00840402"/>
    <w:rsid w:val="00843454"/>
    <w:rsid w:val="00845453"/>
    <w:rsid w:val="00845B63"/>
    <w:rsid w:val="00850637"/>
    <w:rsid w:val="008518F6"/>
    <w:rsid w:val="00854D98"/>
    <w:rsid w:val="00856811"/>
    <w:rsid w:val="00856B5B"/>
    <w:rsid w:val="0085751E"/>
    <w:rsid w:val="008575A9"/>
    <w:rsid w:val="00860B29"/>
    <w:rsid w:val="008622E8"/>
    <w:rsid w:val="00863B2E"/>
    <w:rsid w:val="00863CF1"/>
    <w:rsid w:val="0086430F"/>
    <w:rsid w:val="008645EE"/>
    <w:rsid w:val="00866187"/>
    <w:rsid w:val="008667B7"/>
    <w:rsid w:val="00866DFA"/>
    <w:rsid w:val="00870144"/>
    <w:rsid w:val="0087072C"/>
    <w:rsid w:val="00871312"/>
    <w:rsid w:val="00873D7A"/>
    <w:rsid w:val="0087468E"/>
    <w:rsid w:val="0087519D"/>
    <w:rsid w:val="00877CB3"/>
    <w:rsid w:val="008804CF"/>
    <w:rsid w:val="00882013"/>
    <w:rsid w:val="00882D58"/>
    <w:rsid w:val="00882F19"/>
    <w:rsid w:val="00883D35"/>
    <w:rsid w:val="00884569"/>
    <w:rsid w:val="008854F1"/>
    <w:rsid w:val="00885C36"/>
    <w:rsid w:val="00887139"/>
    <w:rsid w:val="00887A51"/>
    <w:rsid w:val="0089038A"/>
    <w:rsid w:val="00890D9B"/>
    <w:rsid w:val="00891C6C"/>
    <w:rsid w:val="00893CCD"/>
    <w:rsid w:val="008955DA"/>
    <w:rsid w:val="008964B3"/>
    <w:rsid w:val="00897AB2"/>
    <w:rsid w:val="008A191E"/>
    <w:rsid w:val="008A361F"/>
    <w:rsid w:val="008B038E"/>
    <w:rsid w:val="008B0CC2"/>
    <w:rsid w:val="008B1CB5"/>
    <w:rsid w:val="008B614B"/>
    <w:rsid w:val="008B74A7"/>
    <w:rsid w:val="008C250A"/>
    <w:rsid w:val="008C2D69"/>
    <w:rsid w:val="008C3719"/>
    <w:rsid w:val="008C4327"/>
    <w:rsid w:val="008C4579"/>
    <w:rsid w:val="008C49C6"/>
    <w:rsid w:val="008C754C"/>
    <w:rsid w:val="008D0CAC"/>
    <w:rsid w:val="008D2899"/>
    <w:rsid w:val="008D476F"/>
    <w:rsid w:val="008D4D78"/>
    <w:rsid w:val="008D56C9"/>
    <w:rsid w:val="008D56CA"/>
    <w:rsid w:val="008D5922"/>
    <w:rsid w:val="008D6A54"/>
    <w:rsid w:val="008E1271"/>
    <w:rsid w:val="008E2585"/>
    <w:rsid w:val="008E2D7A"/>
    <w:rsid w:val="008E47AE"/>
    <w:rsid w:val="008F3215"/>
    <w:rsid w:val="008F4A62"/>
    <w:rsid w:val="008F7166"/>
    <w:rsid w:val="008F7256"/>
    <w:rsid w:val="008F74E8"/>
    <w:rsid w:val="0090424C"/>
    <w:rsid w:val="0090605E"/>
    <w:rsid w:val="00906AF6"/>
    <w:rsid w:val="00906C74"/>
    <w:rsid w:val="009108CE"/>
    <w:rsid w:val="0091222D"/>
    <w:rsid w:val="009139F2"/>
    <w:rsid w:val="00913C47"/>
    <w:rsid w:val="00913D15"/>
    <w:rsid w:val="00915A9F"/>
    <w:rsid w:val="0092034A"/>
    <w:rsid w:val="009211DA"/>
    <w:rsid w:val="00925048"/>
    <w:rsid w:val="00925C19"/>
    <w:rsid w:val="00930D58"/>
    <w:rsid w:val="0093150E"/>
    <w:rsid w:val="00934C14"/>
    <w:rsid w:val="00935AAA"/>
    <w:rsid w:val="00940863"/>
    <w:rsid w:val="009426E5"/>
    <w:rsid w:val="00943D3F"/>
    <w:rsid w:val="00944FF6"/>
    <w:rsid w:val="0095031E"/>
    <w:rsid w:val="00952430"/>
    <w:rsid w:val="00954297"/>
    <w:rsid w:val="009556A3"/>
    <w:rsid w:val="00960A56"/>
    <w:rsid w:val="009626A1"/>
    <w:rsid w:val="00966EF1"/>
    <w:rsid w:val="00967223"/>
    <w:rsid w:val="0096759F"/>
    <w:rsid w:val="00974350"/>
    <w:rsid w:val="00974D4C"/>
    <w:rsid w:val="009751F7"/>
    <w:rsid w:val="00976C6D"/>
    <w:rsid w:val="009774B6"/>
    <w:rsid w:val="0098168B"/>
    <w:rsid w:val="00982AEB"/>
    <w:rsid w:val="0098316A"/>
    <w:rsid w:val="0098350E"/>
    <w:rsid w:val="0098528B"/>
    <w:rsid w:val="00985F5E"/>
    <w:rsid w:val="0098666B"/>
    <w:rsid w:val="00990C12"/>
    <w:rsid w:val="00992CC9"/>
    <w:rsid w:val="0099404F"/>
    <w:rsid w:val="00996F2B"/>
    <w:rsid w:val="00996FA5"/>
    <w:rsid w:val="00997DDE"/>
    <w:rsid w:val="009A0229"/>
    <w:rsid w:val="009A484F"/>
    <w:rsid w:val="009B03BF"/>
    <w:rsid w:val="009B03D2"/>
    <w:rsid w:val="009B15B7"/>
    <w:rsid w:val="009B1BD0"/>
    <w:rsid w:val="009B5662"/>
    <w:rsid w:val="009B5AF6"/>
    <w:rsid w:val="009C0497"/>
    <w:rsid w:val="009C2211"/>
    <w:rsid w:val="009C40E8"/>
    <w:rsid w:val="009C45C5"/>
    <w:rsid w:val="009D0BDD"/>
    <w:rsid w:val="009D3BCE"/>
    <w:rsid w:val="009D526D"/>
    <w:rsid w:val="009D72CD"/>
    <w:rsid w:val="009D7903"/>
    <w:rsid w:val="009E413C"/>
    <w:rsid w:val="009E656F"/>
    <w:rsid w:val="009E6858"/>
    <w:rsid w:val="009E6F8C"/>
    <w:rsid w:val="009E7844"/>
    <w:rsid w:val="009F361E"/>
    <w:rsid w:val="009F3923"/>
    <w:rsid w:val="009F405F"/>
    <w:rsid w:val="009F475B"/>
    <w:rsid w:val="009F53A9"/>
    <w:rsid w:val="00A00FBB"/>
    <w:rsid w:val="00A01C56"/>
    <w:rsid w:val="00A02C68"/>
    <w:rsid w:val="00A048E5"/>
    <w:rsid w:val="00A05C24"/>
    <w:rsid w:val="00A05F9E"/>
    <w:rsid w:val="00A06D0E"/>
    <w:rsid w:val="00A122DB"/>
    <w:rsid w:val="00A17C96"/>
    <w:rsid w:val="00A2091A"/>
    <w:rsid w:val="00A2565A"/>
    <w:rsid w:val="00A25B20"/>
    <w:rsid w:val="00A32221"/>
    <w:rsid w:val="00A32C50"/>
    <w:rsid w:val="00A358E7"/>
    <w:rsid w:val="00A432F6"/>
    <w:rsid w:val="00A4380B"/>
    <w:rsid w:val="00A44887"/>
    <w:rsid w:val="00A448AF"/>
    <w:rsid w:val="00A51A2D"/>
    <w:rsid w:val="00A52E75"/>
    <w:rsid w:val="00A5596B"/>
    <w:rsid w:val="00A63025"/>
    <w:rsid w:val="00A63A79"/>
    <w:rsid w:val="00A63C07"/>
    <w:rsid w:val="00A63D9B"/>
    <w:rsid w:val="00A6419B"/>
    <w:rsid w:val="00A658BD"/>
    <w:rsid w:val="00A704DC"/>
    <w:rsid w:val="00A767F4"/>
    <w:rsid w:val="00A809C3"/>
    <w:rsid w:val="00A816BD"/>
    <w:rsid w:val="00A86BBB"/>
    <w:rsid w:val="00A87172"/>
    <w:rsid w:val="00A91DC6"/>
    <w:rsid w:val="00A93DC6"/>
    <w:rsid w:val="00A9411A"/>
    <w:rsid w:val="00A94B2D"/>
    <w:rsid w:val="00AA2D35"/>
    <w:rsid w:val="00AA4A4B"/>
    <w:rsid w:val="00AA6682"/>
    <w:rsid w:val="00AA763D"/>
    <w:rsid w:val="00AB0408"/>
    <w:rsid w:val="00AB0613"/>
    <w:rsid w:val="00AB3F3C"/>
    <w:rsid w:val="00AB69BC"/>
    <w:rsid w:val="00AB7C5C"/>
    <w:rsid w:val="00AB7CBF"/>
    <w:rsid w:val="00AC042D"/>
    <w:rsid w:val="00AC23A2"/>
    <w:rsid w:val="00AC28E1"/>
    <w:rsid w:val="00AC5576"/>
    <w:rsid w:val="00AC795C"/>
    <w:rsid w:val="00AD0111"/>
    <w:rsid w:val="00AD089E"/>
    <w:rsid w:val="00AD0B68"/>
    <w:rsid w:val="00AD3DFA"/>
    <w:rsid w:val="00AD40C3"/>
    <w:rsid w:val="00AD4C72"/>
    <w:rsid w:val="00AD5451"/>
    <w:rsid w:val="00AE1236"/>
    <w:rsid w:val="00AE15FB"/>
    <w:rsid w:val="00AE1947"/>
    <w:rsid w:val="00AE202C"/>
    <w:rsid w:val="00AE3B07"/>
    <w:rsid w:val="00AF0D8E"/>
    <w:rsid w:val="00AF1C8B"/>
    <w:rsid w:val="00AF299B"/>
    <w:rsid w:val="00AF6916"/>
    <w:rsid w:val="00AF7E43"/>
    <w:rsid w:val="00B02AE0"/>
    <w:rsid w:val="00B03F25"/>
    <w:rsid w:val="00B03FC1"/>
    <w:rsid w:val="00B05326"/>
    <w:rsid w:val="00B0628F"/>
    <w:rsid w:val="00B1225B"/>
    <w:rsid w:val="00B14545"/>
    <w:rsid w:val="00B14E60"/>
    <w:rsid w:val="00B15F6A"/>
    <w:rsid w:val="00B16E87"/>
    <w:rsid w:val="00B17BA2"/>
    <w:rsid w:val="00B224D1"/>
    <w:rsid w:val="00B23598"/>
    <w:rsid w:val="00B25C57"/>
    <w:rsid w:val="00B26DC3"/>
    <w:rsid w:val="00B30B9D"/>
    <w:rsid w:val="00B3138B"/>
    <w:rsid w:val="00B33AE4"/>
    <w:rsid w:val="00B35603"/>
    <w:rsid w:val="00B3620D"/>
    <w:rsid w:val="00B405B2"/>
    <w:rsid w:val="00B4574D"/>
    <w:rsid w:val="00B468E1"/>
    <w:rsid w:val="00B46BB9"/>
    <w:rsid w:val="00B46BC0"/>
    <w:rsid w:val="00B46DFB"/>
    <w:rsid w:val="00B50106"/>
    <w:rsid w:val="00B5141B"/>
    <w:rsid w:val="00B54BA4"/>
    <w:rsid w:val="00B55681"/>
    <w:rsid w:val="00B56C9A"/>
    <w:rsid w:val="00B57AAD"/>
    <w:rsid w:val="00B606F3"/>
    <w:rsid w:val="00B62D3A"/>
    <w:rsid w:val="00B6374E"/>
    <w:rsid w:val="00B641FD"/>
    <w:rsid w:val="00B64642"/>
    <w:rsid w:val="00B66520"/>
    <w:rsid w:val="00B72B16"/>
    <w:rsid w:val="00B74AC8"/>
    <w:rsid w:val="00B7537D"/>
    <w:rsid w:val="00B75432"/>
    <w:rsid w:val="00B80408"/>
    <w:rsid w:val="00B81397"/>
    <w:rsid w:val="00B81B00"/>
    <w:rsid w:val="00B845EC"/>
    <w:rsid w:val="00B86FDE"/>
    <w:rsid w:val="00B87344"/>
    <w:rsid w:val="00B90D12"/>
    <w:rsid w:val="00B925DB"/>
    <w:rsid w:val="00B9290D"/>
    <w:rsid w:val="00B9318D"/>
    <w:rsid w:val="00B9329B"/>
    <w:rsid w:val="00B935F7"/>
    <w:rsid w:val="00B967FF"/>
    <w:rsid w:val="00B96C49"/>
    <w:rsid w:val="00B974B9"/>
    <w:rsid w:val="00BA008D"/>
    <w:rsid w:val="00BA036A"/>
    <w:rsid w:val="00BA1C03"/>
    <w:rsid w:val="00BA2BE8"/>
    <w:rsid w:val="00BA3F6D"/>
    <w:rsid w:val="00BA4789"/>
    <w:rsid w:val="00BA4A01"/>
    <w:rsid w:val="00BA4BE6"/>
    <w:rsid w:val="00BA4FC0"/>
    <w:rsid w:val="00BA593B"/>
    <w:rsid w:val="00BA61E0"/>
    <w:rsid w:val="00BA657C"/>
    <w:rsid w:val="00BA74B5"/>
    <w:rsid w:val="00BA7F7D"/>
    <w:rsid w:val="00BB1C14"/>
    <w:rsid w:val="00BB295A"/>
    <w:rsid w:val="00BB37C8"/>
    <w:rsid w:val="00BB6847"/>
    <w:rsid w:val="00BB6C85"/>
    <w:rsid w:val="00BB7F8F"/>
    <w:rsid w:val="00BC248F"/>
    <w:rsid w:val="00BC2A01"/>
    <w:rsid w:val="00BC420C"/>
    <w:rsid w:val="00BC4A87"/>
    <w:rsid w:val="00BC716A"/>
    <w:rsid w:val="00BD07DF"/>
    <w:rsid w:val="00BD15C7"/>
    <w:rsid w:val="00BD26F4"/>
    <w:rsid w:val="00BD43BD"/>
    <w:rsid w:val="00BD576D"/>
    <w:rsid w:val="00BD5DBD"/>
    <w:rsid w:val="00BD5DF6"/>
    <w:rsid w:val="00BD5EF3"/>
    <w:rsid w:val="00BD6353"/>
    <w:rsid w:val="00BD6509"/>
    <w:rsid w:val="00BE0041"/>
    <w:rsid w:val="00BE2AD2"/>
    <w:rsid w:val="00BE4E90"/>
    <w:rsid w:val="00BE640F"/>
    <w:rsid w:val="00BE6D2A"/>
    <w:rsid w:val="00BF4638"/>
    <w:rsid w:val="00BF502D"/>
    <w:rsid w:val="00BF5130"/>
    <w:rsid w:val="00BF6ED1"/>
    <w:rsid w:val="00C00844"/>
    <w:rsid w:val="00C025B8"/>
    <w:rsid w:val="00C059D0"/>
    <w:rsid w:val="00C07551"/>
    <w:rsid w:val="00C1109F"/>
    <w:rsid w:val="00C12D65"/>
    <w:rsid w:val="00C1317C"/>
    <w:rsid w:val="00C133AB"/>
    <w:rsid w:val="00C20B56"/>
    <w:rsid w:val="00C22214"/>
    <w:rsid w:val="00C23ACA"/>
    <w:rsid w:val="00C26F72"/>
    <w:rsid w:val="00C27CB8"/>
    <w:rsid w:val="00C309A7"/>
    <w:rsid w:val="00C32408"/>
    <w:rsid w:val="00C335AB"/>
    <w:rsid w:val="00C34BAD"/>
    <w:rsid w:val="00C36842"/>
    <w:rsid w:val="00C36BF7"/>
    <w:rsid w:val="00C40190"/>
    <w:rsid w:val="00C407AB"/>
    <w:rsid w:val="00C451BE"/>
    <w:rsid w:val="00C51258"/>
    <w:rsid w:val="00C51B3D"/>
    <w:rsid w:val="00C523FB"/>
    <w:rsid w:val="00C526B5"/>
    <w:rsid w:val="00C52B7B"/>
    <w:rsid w:val="00C547CD"/>
    <w:rsid w:val="00C56072"/>
    <w:rsid w:val="00C56FDD"/>
    <w:rsid w:val="00C570FF"/>
    <w:rsid w:val="00C57CEA"/>
    <w:rsid w:val="00C60FEC"/>
    <w:rsid w:val="00C62B1C"/>
    <w:rsid w:val="00C62DDE"/>
    <w:rsid w:val="00C6562D"/>
    <w:rsid w:val="00C6574E"/>
    <w:rsid w:val="00C6590C"/>
    <w:rsid w:val="00C65B0A"/>
    <w:rsid w:val="00C663D1"/>
    <w:rsid w:val="00C707FD"/>
    <w:rsid w:val="00C7309A"/>
    <w:rsid w:val="00C73322"/>
    <w:rsid w:val="00C76DEB"/>
    <w:rsid w:val="00C77961"/>
    <w:rsid w:val="00C80C75"/>
    <w:rsid w:val="00C80E54"/>
    <w:rsid w:val="00C811D8"/>
    <w:rsid w:val="00C816C6"/>
    <w:rsid w:val="00C82CCF"/>
    <w:rsid w:val="00C84671"/>
    <w:rsid w:val="00C863A7"/>
    <w:rsid w:val="00C90F3B"/>
    <w:rsid w:val="00C912F4"/>
    <w:rsid w:val="00C9156F"/>
    <w:rsid w:val="00C92E8F"/>
    <w:rsid w:val="00C930B4"/>
    <w:rsid w:val="00C9581A"/>
    <w:rsid w:val="00C96D3F"/>
    <w:rsid w:val="00C97D29"/>
    <w:rsid w:val="00CA0800"/>
    <w:rsid w:val="00CA1EEF"/>
    <w:rsid w:val="00CA584F"/>
    <w:rsid w:val="00CA5E77"/>
    <w:rsid w:val="00CA71E9"/>
    <w:rsid w:val="00CA76AF"/>
    <w:rsid w:val="00CB0550"/>
    <w:rsid w:val="00CB6582"/>
    <w:rsid w:val="00CB6813"/>
    <w:rsid w:val="00CC2C4A"/>
    <w:rsid w:val="00CC3D6E"/>
    <w:rsid w:val="00CC3F65"/>
    <w:rsid w:val="00CD5A76"/>
    <w:rsid w:val="00CD75B8"/>
    <w:rsid w:val="00CE1025"/>
    <w:rsid w:val="00CE15C7"/>
    <w:rsid w:val="00CE7A13"/>
    <w:rsid w:val="00CF238E"/>
    <w:rsid w:val="00CF52B0"/>
    <w:rsid w:val="00CF6A55"/>
    <w:rsid w:val="00CF6DC6"/>
    <w:rsid w:val="00CF6DCF"/>
    <w:rsid w:val="00D01DDB"/>
    <w:rsid w:val="00D02798"/>
    <w:rsid w:val="00D03764"/>
    <w:rsid w:val="00D05824"/>
    <w:rsid w:val="00D05F4F"/>
    <w:rsid w:val="00D078BE"/>
    <w:rsid w:val="00D07A33"/>
    <w:rsid w:val="00D1308A"/>
    <w:rsid w:val="00D13F8A"/>
    <w:rsid w:val="00D15FE1"/>
    <w:rsid w:val="00D16F60"/>
    <w:rsid w:val="00D20DBF"/>
    <w:rsid w:val="00D22981"/>
    <w:rsid w:val="00D2689D"/>
    <w:rsid w:val="00D30496"/>
    <w:rsid w:val="00D3145E"/>
    <w:rsid w:val="00D31DD5"/>
    <w:rsid w:val="00D3349B"/>
    <w:rsid w:val="00D36494"/>
    <w:rsid w:val="00D36E18"/>
    <w:rsid w:val="00D36FC5"/>
    <w:rsid w:val="00D40E5A"/>
    <w:rsid w:val="00D424A8"/>
    <w:rsid w:val="00D453BC"/>
    <w:rsid w:val="00D46589"/>
    <w:rsid w:val="00D52A16"/>
    <w:rsid w:val="00D53388"/>
    <w:rsid w:val="00D53496"/>
    <w:rsid w:val="00D57D31"/>
    <w:rsid w:val="00D6036F"/>
    <w:rsid w:val="00D60397"/>
    <w:rsid w:val="00D62877"/>
    <w:rsid w:val="00D63760"/>
    <w:rsid w:val="00D63AB4"/>
    <w:rsid w:val="00D66847"/>
    <w:rsid w:val="00D6703F"/>
    <w:rsid w:val="00D67A23"/>
    <w:rsid w:val="00D70639"/>
    <w:rsid w:val="00D734EB"/>
    <w:rsid w:val="00D8192E"/>
    <w:rsid w:val="00D82713"/>
    <w:rsid w:val="00D8312E"/>
    <w:rsid w:val="00D86F00"/>
    <w:rsid w:val="00D918D5"/>
    <w:rsid w:val="00D92EE4"/>
    <w:rsid w:val="00D94C8E"/>
    <w:rsid w:val="00DA0B86"/>
    <w:rsid w:val="00DA3401"/>
    <w:rsid w:val="00DA34BA"/>
    <w:rsid w:val="00DA4C19"/>
    <w:rsid w:val="00DA5DAA"/>
    <w:rsid w:val="00DB013A"/>
    <w:rsid w:val="00DB1372"/>
    <w:rsid w:val="00DB192C"/>
    <w:rsid w:val="00DB1CF3"/>
    <w:rsid w:val="00DB491C"/>
    <w:rsid w:val="00DB4A20"/>
    <w:rsid w:val="00DB5425"/>
    <w:rsid w:val="00DB72A6"/>
    <w:rsid w:val="00DC0795"/>
    <w:rsid w:val="00DC0AD3"/>
    <w:rsid w:val="00DC1F14"/>
    <w:rsid w:val="00DC33AF"/>
    <w:rsid w:val="00DC5D3E"/>
    <w:rsid w:val="00DC6611"/>
    <w:rsid w:val="00DC7361"/>
    <w:rsid w:val="00DD1F82"/>
    <w:rsid w:val="00DD5AFB"/>
    <w:rsid w:val="00DD72BE"/>
    <w:rsid w:val="00DD7A74"/>
    <w:rsid w:val="00DE1344"/>
    <w:rsid w:val="00DE46BE"/>
    <w:rsid w:val="00DE4A1E"/>
    <w:rsid w:val="00DE67C4"/>
    <w:rsid w:val="00DE76C4"/>
    <w:rsid w:val="00DF1CFD"/>
    <w:rsid w:val="00DF284D"/>
    <w:rsid w:val="00DF3964"/>
    <w:rsid w:val="00DF5BFE"/>
    <w:rsid w:val="00E0523F"/>
    <w:rsid w:val="00E05BBF"/>
    <w:rsid w:val="00E05F97"/>
    <w:rsid w:val="00E107D9"/>
    <w:rsid w:val="00E13FE2"/>
    <w:rsid w:val="00E1457C"/>
    <w:rsid w:val="00E22CC7"/>
    <w:rsid w:val="00E23E50"/>
    <w:rsid w:val="00E26213"/>
    <w:rsid w:val="00E274DF"/>
    <w:rsid w:val="00E3353C"/>
    <w:rsid w:val="00E34973"/>
    <w:rsid w:val="00E34D66"/>
    <w:rsid w:val="00E362C4"/>
    <w:rsid w:val="00E378FE"/>
    <w:rsid w:val="00E42AAF"/>
    <w:rsid w:val="00E46CC2"/>
    <w:rsid w:val="00E47C4D"/>
    <w:rsid w:val="00E47E0C"/>
    <w:rsid w:val="00E47ED2"/>
    <w:rsid w:val="00E51813"/>
    <w:rsid w:val="00E52C0B"/>
    <w:rsid w:val="00E53D3F"/>
    <w:rsid w:val="00E55660"/>
    <w:rsid w:val="00E5579B"/>
    <w:rsid w:val="00E5765E"/>
    <w:rsid w:val="00E57A28"/>
    <w:rsid w:val="00E57FF4"/>
    <w:rsid w:val="00E62743"/>
    <w:rsid w:val="00E631B8"/>
    <w:rsid w:val="00E63D53"/>
    <w:rsid w:val="00E65529"/>
    <w:rsid w:val="00E675EE"/>
    <w:rsid w:val="00E679D1"/>
    <w:rsid w:val="00E67A8E"/>
    <w:rsid w:val="00E67B24"/>
    <w:rsid w:val="00E67C1C"/>
    <w:rsid w:val="00E75E76"/>
    <w:rsid w:val="00E812D0"/>
    <w:rsid w:val="00E84AA6"/>
    <w:rsid w:val="00E85209"/>
    <w:rsid w:val="00E91F11"/>
    <w:rsid w:val="00E93AB0"/>
    <w:rsid w:val="00E9706D"/>
    <w:rsid w:val="00EA1368"/>
    <w:rsid w:val="00EA2943"/>
    <w:rsid w:val="00EA3AF4"/>
    <w:rsid w:val="00EA3C8D"/>
    <w:rsid w:val="00EA6C6F"/>
    <w:rsid w:val="00EA72A7"/>
    <w:rsid w:val="00EB217F"/>
    <w:rsid w:val="00EC5826"/>
    <w:rsid w:val="00EC684F"/>
    <w:rsid w:val="00EC7C4B"/>
    <w:rsid w:val="00ED095D"/>
    <w:rsid w:val="00ED3BB9"/>
    <w:rsid w:val="00EE186F"/>
    <w:rsid w:val="00EE4B01"/>
    <w:rsid w:val="00EF3F0B"/>
    <w:rsid w:val="00EF5583"/>
    <w:rsid w:val="00EF622E"/>
    <w:rsid w:val="00EF71D5"/>
    <w:rsid w:val="00F011AD"/>
    <w:rsid w:val="00F0289D"/>
    <w:rsid w:val="00F02AEC"/>
    <w:rsid w:val="00F049D7"/>
    <w:rsid w:val="00F07292"/>
    <w:rsid w:val="00F07572"/>
    <w:rsid w:val="00F157FC"/>
    <w:rsid w:val="00F16F35"/>
    <w:rsid w:val="00F21308"/>
    <w:rsid w:val="00F21432"/>
    <w:rsid w:val="00F23A60"/>
    <w:rsid w:val="00F23CD3"/>
    <w:rsid w:val="00F248F9"/>
    <w:rsid w:val="00F24AEF"/>
    <w:rsid w:val="00F24FFE"/>
    <w:rsid w:val="00F25CE5"/>
    <w:rsid w:val="00F30AF3"/>
    <w:rsid w:val="00F40053"/>
    <w:rsid w:val="00F4098C"/>
    <w:rsid w:val="00F40CB3"/>
    <w:rsid w:val="00F42331"/>
    <w:rsid w:val="00F43CD1"/>
    <w:rsid w:val="00F45AE0"/>
    <w:rsid w:val="00F45CF7"/>
    <w:rsid w:val="00F5276D"/>
    <w:rsid w:val="00F5337E"/>
    <w:rsid w:val="00F5504D"/>
    <w:rsid w:val="00F55CE0"/>
    <w:rsid w:val="00F57421"/>
    <w:rsid w:val="00F5781F"/>
    <w:rsid w:val="00F60CF2"/>
    <w:rsid w:val="00F657B4"/>
    <w:rsid w:val="00F713C5"/>
    <w:rsid w:val="00F71F24"/>
    <w:rsid w:val="00F72725"/>
    <w:rsid w:val="00F75DB3"/>
    <w:rsid w:val="00F7649F"/>
    <w:rsid w:val="00F8083B"/>
    <w:rsid w:val="00F8106E"/>
    <w:rsid w:val="00F8116D"/>
    <w:rsid w:val="00F8290A"/>
    <w:rsid w:val="00F82BC8"/>
    <w:rsid w:val="00F82D1B"/>
    <w:rsid w:val="00F8448B"/>
    <w:rsid w:val="00F84B90"/>
    <w:rsid w:val="00F8568E"/>
    <w:rsid w:val="00F865A7"/>
    <w:rsid w:val="00F94CBA"/>
    <w:rsid w:val="00FA0726"/>
    <w:rsid w:val="00FA0754"/>
    <w:rsid w:val="00FA1BC9"/>
    <w:rsid w:val="00FA4261"/>
    <w:rsid w:val="00FA49C3"/>
    <w:rsid w:val="00FA6901"/>
    <w:rsid w:val="00FA7236"/>
    <w:rsid w:val="00FA7386"/>
    <w:rsid w:val="00FB1CA4"/>
    <w:rsid w:val="00FB236E"/>
    <w:rsid w:val="00FB3F7B"/>
    <w:rsid w:val="00FB4C2A"/>
    <w:rsid w:val="00FC2107"/>
    <w:rsid w:val="00FC4191"/>
    <w:rsid w:val="00FC48FE"/>
    <w:rsid w:val="00FC51BA"/>
    <w:rsid w:val="00FC5435"/>
    <w:rsid w:val="00FC6F56"/>
    <w:rsid w:val="00FC7EAF"/>
    <w:rsid w:val="00FD07EE"/>
    <w:rsid w:val="00FD0E10"/>
    <w:rsid w:val="00FD1DAE"/>
    <w:rsid w:val="00FD275A"/>
    <w:rsid w:val="00FD4C9E"/>
    <w:rsid w:val="00FD5452"/>
    <w:rsid w:val="00FD6D29"/>
    <w:rsid w:val="00FD6DCD"/>
    <w:rsid w:val="00FE087C"/>
    <w:rsid w:val="00FE7004"/>
    <w:rsid w:val="00FE79A0"/>
    <w:rsid w:val="00FF0939"/>
    <w:rsid w:val="00FF28C9"/>
    <w:rsid w:val="00FF37C4"/>
    <w:rsid w:val="00FF5C11"/>
    <w:rsid w:val="00FF7BCF"/>
    <w:rsid w:val="01D0CA21"/>
    <w:rsid w:val="032BF3B4"/>
    <w:rsid w:val="037AFB46"/>
    <w:rsid w:val="06F40E6E"/>
    <w:rsid w:val="081015C8"/>
    <w:rsid w:val="0AC4A224"/>
    <w:rsid w:val="0E6FCC05"/>
    <w:rsid w:val="10FEC18E"/>
    <w:rsid w:val="162770A8"/>
    <w:rsid w:val="1855ADA7"/>
    <w:rsid w:val="1C926F31"/>
    <w:rsid w:val="1E3FC6C4"/>
    <w:rsid w:val="29AF3835"/>
    <w:rsid w:val="2A149474"/>
    <w:rsid w:val="2A157372"/>
    <w:rsid w:val="2D2A8644"/>
    <w:rsid w:val="2D7332B0"/>
    <w:rsid w:val="2EE6BF7B"/>
    <w:rsid w:val="2F29E58E"/>
    <w:rsid w:val="2FDC01F0"/>
    <w:rsid w:val="325CA368"/>
    <w:rsid w:val="393ED915"/>
    <w:rsid w:val="3BCE7BBB"/>
    <w:rsid w:val="3C5CD111"/>
    <w:rsid w:val="3C99137A"/>
    <w:rsid w:val="4BE11A7B"/>
    <w:rsid w:val="4D054EB2"/>
    <w:rsid w:val="4F12A4D3"/>
    <w:rsid w:val="5826A909"/>
    <w:rsid w:val="59F4B52A"/>
    <w:rsid w:val="69B0AB72"/>
    <w:rsid w:val="6AB6574A"/>
    <w:rsid w:val="6D15D0D3"/>
    <w:rsid w:val="6DD084A2"/>
    <w:rsid w:val="6FE20911"/>
    <w:rsid w:val="709F7C81"/>
    <w:rsid w:val="71DCD0C0"/>
    <w:rsid w:val="7493023A"/>
    <w:rsid w:val="76F067B5"/>
    <w:rsid w:val="7AB6AE0C"/>
    <w:rsid w:val="7CAC3EE6"/>
    <w:rsid w:val="7D6CA13F"/>
    <w:rsid w:val="7FE262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556764DC-B900-4127-9CC2-87BF2D2A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0077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10169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Yu Mincho" w:hAnsi="Yu Mincho"/>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autoRedefine/>
    <w:qFormat/>
    <w:rsid w:val="00B96C49"/>
    <w:pPr>
      <w:spacing w:before="120"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autoRedefine/>
    <w:qFormat/>
    <w:rsid w:val="00B96C49"/>
    <w:pPr>
      <w:keepNext/>
      <w:spacing w:before="120" w:line="240" w:lineRule="auto"/>
      <w:contextualSpacing/>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autoRedefine/>
    <w:qFormat/>
    <w:rsid w:val="00B96C49"/>
    <w:rPr>
      <w:b w:val="0"/>
      <w:sz w:val="18"/>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007725"/>
    <w:rPr>
      <w:rFonts w:asciiTheme="majorHAnsi" w:eastAsiaTheme="majorEastAsia" w:hAnsiTheme="majorHAnsi" w:cstheme="majorBidi"/>
      <w:color w:val="2F5496" w:themeColor="accent1" w:themeShade="BF"/>
      <w:sz w:val="32"/>
      <w:szCs w:val="32"/>
    </w:rPr>
  </w:style>
  <w:style w:type="paragraph" w:customStyle="1" w:styleId="Default">
    <w:name w:val="Default"/>
    <w:rsid w:val="00F84B90"/>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basedOn w:val="Normal"/>
    <w:link w:val="StandardChar"/>
    <w:qFormat/>
    <w:rsid w:val="00142862"/>
    <w:pPr>
      <w:spacing w:after="180" w:line="252" w:lineRule="auto"/>
    </w:pPr>
    <w:rPr>
      <w:rFonts w:eastAsia="Times New Roman" w:cs="Times New Roman"/>
      <w:snapToGrid w:val="0"/>
      <w:kern w:val="16"/>
      <w:szCs w:val="24"/>
    </w:rPr>
  </w:style>
  <w:style w:type="character" w:customStyle="1" w:styleId="StandardChar">
    <w:name w:val="Standard Char"/>
    <w:basedOn w:val="DefaultParagraphFont"/>
    <w:link w:val="Standard"/>
    <w:rsid w:val="00142862"/>
    <w:rPr>
      <w:rFonts w:ascii="Cambria" w:eastAsia="Times New Roman" w:hAnsi="Cambria" w:cs="Times New Roman"/>
      <w:snapToGrid w:val="0"/>
      <w:kern w:val="16"/>
      <w:sz w:val="22"/>
      <w:szCs w:val="24"/>
    </w:rPr>
  </w:style>
  <w:style w:type="paragraph" w:styleId="BodyText">
    <w:name w:val="Body Text"/>
    <w:basedOn w:val="Normal"/>
    <w:link w:val="BodyTextChar"/>
    <w:uiPriority w:val="99"/>
    <w:semiHidden/>
    <w:unhideWhenUsed/>
    <w:rsid w:val="004F69F7"/>
  </w:style>
  <w:style w:type="character" w:customStyle="1" w:styleId="BodyTextChar">
    <w:name w:val="Body Text Char"/>
    <w:basedOn w:val="DefaultParagraphFont"/>
    <w:link w:val="BodyText"/>
    <w:uiPriority w:val="99"/>
    <w:semiHidden/>
    <w:rsid w:val="004F69F7"/>
    <w:rPr>
      <w:rFonts w:ascii="Cambria" w:hAnsi="Cambria"/>
      <w:sz w:val="22"/>
    </w:rPr>
  </w:style>
  <w:style w:type="paragraph" w:customStyle="1" w:styleId="TableParagraph">
    <w:name w:val="Table Paragraph"/>
    <w:basedOn w:val="Normal"/>
    <w:uiPriority w:val="1"/>
    <w:qFormat/>
    <w:rsid w:val="009B1BD0"/>
    <w:pPr>
      <w:widowControl w:val="0"/>
      <w:autoSpaceDE w:val="0"/>
      <w:autoSpaceDN w:val="0"/>
      <w:spacing w:after="0" w:line="240" w:lineRule="auto"/>
      <w:ind w:left="112"/>
    </w:pPr>
    <w:rPr>
      <w:rFonts w:eastAsia="Cambria" w:cs="Cambria"/>
      <w:szCs w:val="22"/>
      <w:lang w:val="en-US"/>
    </w:rPr>
  </w:style>
  <w:style w:type="character" w:customStyle="1" w:styleId="Heading7Char">
    <w:name w:val="Heading 7 Char"/>
    <w:basedOn w:val="DefaultParagraphFont"/>
    <w:link w:val="Heading7"/>
    <w:uiPriority w:val="9"/>
    <w:rsid w:val="00101697"/>
    <w:rPr>
      <w:rFonts w:asciiTheme="majorHAnsi" w:eastAsiaTheme="majorEastAsia" w:hAnsiTheme="majorHAnsi" w:cstheme="majorBidi"/>
      <w:i/>
      <w:iCs/>
      <w:color w:val="1F3763" w:themeColor="accent1" w:themeShade="7F"/>
      <w:sz w:val="22"/>
    </w:rPr>
  </w:style>
  <w:style w:type="table" w:customStyle="1" w:styleId="TableGrid1">
    <w:name w:val="Table Grid1"/>
    <w:basedOn w:val="TableNormal"/>
    <w:next w:val="TableGrid"/>
    <w:uiPriority w:val="59"/>
    <w:rsid w:val="0087519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Standard"/>
    <w:link w:val="TabletextChar"/>
    <w:qFormat/>
    <w:rsid w:val="0087519D"/>
    <w:pPr>
      <w:spacing w:before="20" w:after="20"/>
    </w:pPr>
  </w:style>
  <w:style w:type="character" w:customStyle="1" w:styleId="TabletextChar">
    <w:name w:val="Table text Char"/>
    <w:basedOn w:val="StandardChar"/>
    <w:link w:val="Tabletext0"/>
    <w:rsid w:val="0087519D"/>
    <w:rPr>
      <w:rFonts w:ascii="Cambria" w:eastAsia="Times New Roman" w:hAnsi="Cambria" w:cs="Times New Roman"/>
      <w:snapToGrid w:val="0"/>
      <w:kern w:val="16"/>
      <w:sz w:val="22"/>
      <w:szCs w:val="24"/>
    </w:rPr>
  </w:style>
  <w:style w:type="character" w:styleId="Mention">
    <w:name w:val="Mention"/>
    <w:basedOn w:val="DefaultParagraphFont"/>
    <w:uiPriority w:val="99"/>
    <w:unhideWhenUsed/>
    <w:rsid w:val="008518F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black-triangle-scheme" TargetMode="External"/><Relationship Id="rId26" Type="http://schemas.openxmlformats.org/officeDocument/2006/relationships/image" Target="media/image7.png"/><Relationship Id="rId39" Type="http://schemas.openxmlformats.org/officeDocument/2006/relationships/footer" Target="footer5.xml"/><Relationship Id="rId21" Type="http://schemas.openxmlformats.org/officeDocument/2006/relationships/hyperlink" Target="https://www.tga.gov.au/obstetric-drug-information-services" TargetMode="External"/><Relationship Id="rId34"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ga.copyright@tga.gov.au" TargetMode="External"/><Relationship Id="rId20" Type="http://schemas.openxmlformats.org/officeDocument/2006/relationships/hyperlink" Target="https://www.tga.gov.au/products/medicines/find-information-about-medicine/prescribing-medicines-pregnancy-database" TargetMode="External"/><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www.tga.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mailto:info@tga.gov.au" TargetMode="External"/><Relationship Id="rId10" Type="http://schemas.openxmlformats.org/officeDocument/2006/relationships/footer" Target="footer1.xml"/><Relationship Id="rId19" Type="http://schemas.openxmlformats.org/officeDocument/2006/relationships/hyperlink" Target="https://www.ebs.tga.gov.au/"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ebs.tga.gov.au/"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resources/artg/485465" TargetMode="External"/><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documents/scientific-guideline/ich-e-1-population-exposure-extent-population-exposure-assess-clinical-safety-step-5_en.pdf" TargetMode="External"/><Relationship Id="rId2" Type="http://schemas.openxmlformats.org/officeDocument/2006/relationships/hyperlink" Target="https://www.ema.europa.eu/en/ich-m3-r2-non-clinical-safety-studies-conduct-human-clinical-trials-pharmaceuticals-scientific-guideline" TargetMode="External"/><Relationship Id="rId1" Type="http://schemas.openxmlformats.org/officeDocument/2006/relationships/hyperlink" Target="https://www.allergy.org.au/images/stories/pospapers/ASCIA_HP_Position_Paper_CSU_2020.pdf" TargetMode="External"/><Relationship Id="rId4" Type="http://schemas.openxmlformats.org/officeDocument/2006/relationships/hyperlink" Target="https://www.tga.gov.au/resources/resource/international-scientific-guidelines/ich-topic-e1-population-exposure-extent-population-exposure-assess-clinical-safet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Metadata/LabelInfo.xml><?xml version="1.0" encoding="utf-8"?>
<clbl:labelList xmlns:clbl="http://schemas.microsoft.com/office/2020/mipLabelMetadata">
  <clbl:label id="{3c9bec58-8084-492e-8360-0e1cfe36408c}" enabled="1" method="Standard" siteId="{f35a6974-607f-47d4-82d7-ff31d7dc53a5}"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38</Pages>
  <Words>13641</Words>
  <Characters>75572</Characters>
  <Application>Microsoft Office Word</Application>
  <DocSecurity>0</DocSecurity>
  <Lines>2222</Lines>
  <Paragraphs>1622</Paragraphs>
  <ScaleCrop>false</ScaleCrop>
  <HeadingPairs>
    <vt:vector size="2" baseType="variant">
      <vt:variant>
        <vt:lpstr>Title</vt:lpstr>
      </vt:variant>
      <vt:variant>
        <vt:i4>1</vt:i4>
      </vt:variant>
    </vt:vector>
  </HeadingPairs>
  <TitlesOfParts>
    <vt:vector size="1" baseType="lpstr">
      <vt:lpstr/>
    </vt:vector>
  </TitlesOfParts>
  <Company>Department of Health, Disability and Ageing</Company>
  <LinksUpToDate>false</LinksUpToDate>
  <CharactersWithSpaces>87591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Rhapsido</dc:title>
  <dc:subject>prescription medicines</dc:subject>
  <dc:creator>TGA</dc:creator>
  <cp:keywords/>
  <dc:description/>
  <cp:lastModifiedBy>LACK, Janet</cp:lastModifiedBy>
  <cp:revision>4</cp:revision>
  <dcterms:created xsi:type="dcterms:W3CDTF">2026-06-23T22:29:00Z</dcterms:created>
  <dcterms:modified xsi:type="dcterms:W3CDTF">2026-06-24T01:01:00Z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6aebf40f,1c3e7502,2d05217,47e02596,766a3477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73feca3e,333fc7d5,4fd0547d,62ac5d1f,560ac252</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2026-06-12T03:18:06Z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61d51af8-7577-43fd-b9a2-4a284a4ca5be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