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27E0DE5" w:rsidR="00F02AEC" w:rsidRPr="00215D48" w:rsidRDefault="00346EC2" w:rsidP="007452E8">
            <w:pPr>
              <w:pStyle w:val="Title"/>
            </w:pPr>
            <w:r w:rsidRPr="00346EC2">
              <w:t xml:space="preserve">Australian Public Assessment Report for </w:t>
            </w:r>
            <w:r w:rsidR="003838B4">
              <w:t>Qdenga</w:t>
            </w:r>
          </w:p>
        </w:tc>
      </w:tr>
      <w:tr w:rsidR="00F02AEC" w:rsidRPr="00215D48" w14:paraId="318A40A3" w14:textId="77777777" w:rsidTr="00346EC2">
        <w:trPr>
          <w:trHeight w:val="995"/>
        </w:trPr>
        <w:tc>
          <w:tcPr>
            <w:tcW w:w="8720" w:type="dxa"/>
          </w:tcPr>
          <w:p w14:paraId="7C442537" w14:textId="1620DF65" w:rsidR="00023C65" w:rsidRPr="00023C65" w:rsidRDefault="00346EC2" w:rsidP="00023C65">
            <w:pPr>
              <w:pStyle w:val="Subtitle"/>
              <w:ind w:left="0"/>
            </w:pPr>
            <w:r w:rsidRPr="00346EC2">
              <w:t xml:space="preserve">Active ingredients: </w:t>
            </w:r>
            <w:r w:rsidR="00D01BAB">
              <w:t>D</w:t>
            </w:r>
            <w:r w:rsidR="00023C65" w:rsidRPr="00023C65">
              <w:t xml:space="preserve">engue virus serotype </w:t>
            </w:r>
            <w:r w:rsidR="00C64724">
              <w:t>1, 2, 3, and 4 (live, attenuated)</w:t>
            </w:r>
          </w:p>
          <w:p w14:paraId="1AA7C701" w14:textId="35A4703B" w:rsidR="00F02AEC" w:rsidRPr="00215D48" w:rsidRDefault="00F02AEC" w:rsidP="00C64724">
            <w:pPr>
              <w:pStyle w:val="Subtitle"/>
              <w:ind w:left="0"/>
            </w:pPr>
          </w:p>
        </w:tc>
      </w:tr>
      <w:tr w:rsidR="00346EC2" w:rsidRPr="00215D48" w14:paraId="362CCAE4" w14:textId="77777777" w:rsidTr="007452E8">
        <w:trPr>
          <w:trHeight w:val="1916"/>
        </w:trPr>
        <w:tc>
          <w:tcPr>
            <w:tcW w:w="8720" w:type="dxa"/>
          </w:tcPr>
          <w:p w14:paraId="709C45C0" w14:textId="051CF6B3" w:rsidR="00346EC2" w:rsidRPr="00215D48" w:rsidRDefault="00346EC2" w:rsidP="007452E8">
            <w:pPr>
              <w:pStyle w:val="Subtitle"/>
              <w:ind w:left="0"/>
            </w:pPr>
            <w:r w:rsidRPr="00346EC2">
              <w:t xml:space="preserve">Sponsor: </w:t>
            </w:r>
            <w:r w:rsidR="00C64724" w:rsidRPr="00F26F1A">
              <w:rPr>
                <w:sz w:val="36"/>
                <w:szCs w:val="36"/>
              </w:rPr>
              <w:t xml:space="preserve">Takeda Pharmaceuticals </w:t>
            </w:r>
            <w:r w:rsidR="00BE4253" w:rsidRPr="00F26F1A">
              <w:rPr>
                <w:sz w:val="36"/>
                <w:szCs w:val="36"/>
              </w:rPr>
              <w:t>Australia Pty Ltd</w:t>
            </w:r>
            <w:r w:rsidR="00C64724">
              <w:t xml:space="preserve"> </w:t>
            </w:r>
          </w:p>
        </w:tc>
      </w:tr>
      <w:tr w:rsidR="00F02AEC" w:rsidRPr="00215D48" w14:paraId="37F2AA1F" w14:textId="77777777" w:rsidTr="007452E8">
        <w:tc>
          <w:tcPr>
            <w:tcW w:w="8720" w:type="dxa"/>
          </w:tcPr>
          <w:p w14:paraId="1FDE8DCD" w14:textId="3E962639" w:rsidR="00F02AEC" w:rsidRPr="00215D48" w:rsidRDefault="006D4153" w:rsidP="007452E8">
            <w:pPr>
              <w:pStyle w:val="Date"/>
            </w:pPr>
            <w:r>
              <w:t>June</w:t>
            </w:r>
            <w:r w:rsidR="00C64724">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9CF0AE7" w:rsidR="00175CD8" w:rsidRPr="00346EC2" w:rsidRDefault="00F02AEC" w:rsidP="00346EC2">
      <w:pPr>
        <w:pStyle w:val="LegalCopy"/>
        <w:rPr>
          <w:rFonts w:cs="Arial"/>
        </w:rPr>
      </w:pPr>
      <w:r w:rsidRPr="00215D48">
        <w:rPr>
          <w:rFonts w:cs="Arial"/>
        </w:rPr>
        <w:t>© Commonwealth of Australia 20</w:t>
      </w:r>
      <w:r>
        <w:rPr>
          <w:rFonts w:cs="Arial"/>
        </w:rPr>
        <w:t>2</w:t>
      </w:r>
      <w:r w:rsidR="004E16C6">
        <w:rPr>
          <w:rFonts w:cs="Arial"/>
        </w:rPr>
        <w:t>6</w:t>
      </w:r>
      <w:r w:rsidR="00F26F1A">
        <w:rPr>
          <w:rFonts w:cs="Arial"/>
        </w:rPr>
        <w:t>.</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0C5432"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191D433A" w14:textId="1A732B46" w:rsidR="00092BFF"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2600089" w:history="1">
            <w:r w:rsidR="00092BFF" w:rsidRPr="008C2BBA">
              <w:rPr>
                <w:rStyle w:val="Hyperlink"/>
                <w:noProof/>
              </w:rPr>
              <w:t>List of abbreviations</w:t>
            </w:r>
            <w:r w:rsidR="00092BFF">
              <w:rPr>
                <w:noProof/>
                <w:webHidden/>
              </w:rPr>
              <w:tab/>
            </w:r>
            <w:r w:rsidR="00092BFF">
              <w:rPr>
                <w:noProof/>
                <w:webHidden/>
              </w:rPr>
              <w:fldChar w:fldCharType="begin"/>
            </w:r>
            <w:r w:rsidR="00092BFF">
              <w:rPr>
                <w:noProof/>
                <w:webHidden/>
              </w:rPr>
              <w:instrText xml:space="preserve"> PAGEREF _Toc232600089 \h </w:instrText>
            </w:r>
            <w:r w:rsidR="00092BFF">
              <w:rPr>
                <w:noProof/>
                <w:webHidden/>
              </w:rPr>
            </w:r>
            <w:r w:rsidR="00092BFF">
              <w:rPr>
                <w:noProof/>
                <w:webHidden/>
              </w:rPr>
              <w:fldChar w:fldCharType="separate"/>
            </w:r>
            <w:r w:rsidR="00092BFF">
              <w:rPr>
                <w:noProof/>
                <w:webHidden/>
              </w:rPr>
              <w:t>4</w:t>
            </w:r>
            <w:r w:rsidR="00092BFF">
              <w:rPr>
                <w:noProof/>
                <w:webHidden/>
              </w:rPr>
              <w:fldChar w:fldCharType="end"/>
            </w:r>
          </w:hyperlink>
        </w:p>
        <w:p w14:paraId="12A8CCC8" w14:textId="45D072F8" w:rsidR="00092BFF" w:rsidRDefault="00092BF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2600090" w:history="1">
            <w:r w:rsidRPr="008C2BBA">
              <w:rPr>
                <w:rStyle w:val="Hyperlink"/>
                <w:noProof/>
              </w:rPr>
              <w:t>Product submission</w:t>
            </w:r>
            <w:r>
              <w:rPr>
                <w:noProof/>
                <w:webHidden/>
              </w:rPr>
              <w:tab/>
            </w:r>
            <w:r>
              <w:rPr>
                <w:noProof/>
                <w:webHidden/>
              </w:rPr>
              <w:fldChar w:fldCharType="begin"/>
            </w:r>
            <w:r>
              <w:rPr>
                <w:noProof/>
                <w:webHidden/>
              </w:rPr>
              <w:instrText xml:space="preserve"> PAGEREF _Toc232600090 \h </w:instrText>
            </w:r>
            <w:r>
              <w:rPr>
                <w:noProof/>
                <w:webHidden/>
              </w:rPr>
            </w:r>
            <w:r>
              <w:rPr>
                <w:noProof/>
                <w:webHidden/>
              </w:rPr>
              <w:fldChar w:fldCharType="separate"/>
            </w:r>
            <w:r>
              <w:rPr>
                <w:noProof/>
                <w:webHidden/>
              </w:rPr>
              <w:t>6</w:t>
            </w:r>
            <w:r>
              <w:rPr>
                <w:noProof/>
                <w:webHidden/>
              </w:rPr>
              <w:fldChar w:fldCharType="end"/>
            </w:r>
          </w:hyperlink>
        </w:p>
        <w:p w14:paraId="70C4DDC9" w14:textId="2A0ECD9A"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091" w:history="1">
            <w:r w:rsidRPr="008C2BBA">
              <w:rPr>
                <w:rStyle w:val="Hyperlink"/>
                <w:noProof/>
                <w:lang w:eastAsia="en-AU"/>
              </w:rPr>
              <w:t>Submission details</w:t>
            </w:r>
            <w:r>
              <w:rPr>
                <w:noProof/>
                <w:webHidden/>
              </w:rPr>
              <w:tab/>
            </w:r>
            <w:r>
              <w:rPr>
                <w:noProof/>
                <w:webHidden/>
              </w:rPr>
              <w:fldChar w:fldCharType="begin"/>
            </w:r>
            <w:r>
              <w:rPr>
                <w:noProof/>
                <w:webHidden/>
              </w:rPr>
              <w:instrText xml:space="preserve"> PAGEREF _Toc232600091 \h </w:instrText>
            </w:r>
            <w:r>
              <w:rPr>
                <w:noProof/>
                <w:webHidden/>
              </w:rPr>
            </w:r>
            <w:r>
              <w:rPr>
                <w:noProof/>
                <w:webHidden/>
              </w:rPr>
              <w:fldChar w:fldCharType="separate"/>
            </w:r>
            <w:r>
              <w:rPr>
                <w:noProof/>
                <w:webHidden/>
              </w:rPr>
              <w:t>6</w:t>
            </w:r>
            <w:r>
              <w:rPr>
                <w:noProof/>
                <w:webHidden/>
              </w:rPr>
              <w:fldChar w:fldCharType="end"/>
            </w:r>
          </w:hyperlink>
        </w:p>
        <w:p w14:paraId="4B7D4CA6" w14:textId="32863CE2"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092" w:history="1">
            <w:r w:rsidRPr="008C2BBA">
              <w:rPr>
                <w:rStyle w:val="Hyperlink"/>
                <w:noProof/>
              </w:rPr>
              <w:t>Product background</w:t>
            </w:r>
            <w:r>
              <w:rPr>
                <w:noProof/>
                <w:webHidden/>
              </w:rPr>
              <w:tab/>
            </w:r>
            <w:r>
              <w:rPr>
                <w:noProof/>
                <w:webHidden/>
              </w:rPr>
              <w:fldChar w:fldCharType="begin"/>
            </w:r>
            <w:r>
              <w:rPr>
                <w:noProof/>
                <w:webHidden/>
              </w:rPr>
              <w:instrText xml:space="preserve"> PAGEREF _Toc232600092 \h </w:instrText>
            </w:r>
            <w:r>
              <w:rPr>
                <w:noProof/>
                <w:webHidden/>
              </w:rPr>
            </w:r>
            <w:r>
              <w:rPr>
                <w:noProof/>
                <w:webHidden/>
              </w:rPr>
              <w:fldChar w:fldCharType="separate"/>
            </w:r>
            <w:r>
              <w:rPr>
                <w:noProof/>
                <w:webHidden/>
              </w:rPr>
              <w:t>7</w:t>
            </w:r>
            <w:r>
              <w:rPr>
                <w:noProof/>
                <w:webHidden/>
              </w:rPr>
              <w:fldChar w:fldCharType="end"/>
            </w:r>
          </w:hyperlink>
        </w:p>
        <w:p w14:paraId="20F2540C" w14:textId="710DA85D"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093" w:history="1">
            <w:r w:rsidRPr="008C2BBA">
              <w:rPr>
                <w:rStyle w:val="Hyperlink"/>
                <w:noProof/>
              </w:rPr>
              <w:t>Disease</w:t>
            </w:r>
            <w:r>
              <w:rPr>
                <w:noProof/>
                <w:webHidden/>
              </w:rPr>
              <w:tab/>
            </w:r>
            <w:r>
              <w:rPr>
                <w:noProof/>
                <w:webHidden/>
              </w:rPr>
              <w:fldChar w:fldCharType="begin"/>
            </w:r>
            <w:r>
              <w:rPr>
                <w:noProof/>
                <w:webHidden/>
              </w:rPr>
              <w:instrText xml:space="preserve"> PAGEREF _Toc232600093 \h </w:instrText>
            </w:r>
            <w:r>
              <w:rPr>
                <w:noProof/>
                <w:webHidden/>
              </w:rPr>
            </w:r>
            <w:r>
              <w:rPr>
                <w:noProof/>
                <w:webHidden/>
              </w:rPr>
              <w:fldChar w:fldCharType="separate"/>
            </w:r>
            <w:r>
              <w:rPr>
                <w:noProof/>
                <w:webHidden/>
              </w:rPr>
              <w:t>7</w:t>
            </w:r>
            <w:r>
              <w:rPr>
                <w:noProof/>
                <w:webHidden/>
              </w:rPr>
              <w:fldChar w:fldCharType="end"/>
            </w:r>
          </w:hyperlink>
        </w:p>
        <w:p w14:paraId="0B8F1EBD" w14:textId="207661DB"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094" w:history="1">
            <w:r w:rsidRPr="008C2BBA">
              <w:rPr>
                <w:rStyle w:val="Hyperlink"/>
                <w:noProof/>
              </w:rPr>
              <w:t>Current treatment options</w:t>
            </w:r>
            <w:r>
              <w:rPr>
                <w:noProof/>
                <w:webHidden/>
              </w:rPr>
              <w:tab/>
            </w:r>
            <w:r>
              <w:rPr>
                <w:noProof/>
                <w:webHidden/>
              </w:rPr>
              <w:fldChar w:fldCharType="begin"/>
            </w:r>
            <w:r>
              <w:rPr>
                <w:noProof/>
                <w:webHidden/>
              </w:rPr>
              <w:instrText xml:space="preserve"> PAGEREF _Toc232600094 \h </w:instrText>
            </w:r>
            <w:r>
              <w:rPr>
                <w:noProof/>
                <w:webHidden/>
              </w:rPr>
            </w:r>
            <w:r>
              <w:rPr>
                <w:noProof/>
                <w:webHidden/>
              </w:rPr>
              <w:fldChar w:fldCharType="separate"/>
            </w:r>
            <w:r>
              <w:rPr>
                <w:noProof/>
                <w:webHidden/>
              </w:rPr>
              <w:t>8</w:t>
            </w:r>
            <w:r>
              <w:rPr>
                <w:noProof/>
                <w:webHidden/>
              </w:rPr>
              <w:fldChar w:fldCharType="end"/>
            </w:r>
          </w:hyperlink>
        </w:p>
        <w:p w14:paraId="0C9AEBFD" w14:textId="7E2C81B4"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095" w:history="1">
            <w:r w:rsidRPr="008C2BBA">
              <w:rPr>
                <w:rStyle w:val="Hyperlink"/>
                <w:noProof/>
              </w:rPr>
              <w:t>Clinical rationale</w:t>
            </w:r>
            <w:r>
              <w:rPr>
                <w:noProof/>
                <w:webHidden/>
              </w:rPr>
              <w:tab/>
            </w:r>
            <w:r>
              <w:rPr>
                <w:noProof/>
                <w:webHidden/>
              </w:rPr>
              <w:fldChar w:fldCharType="begin"/>
            </w:r>
            <w:r>
              <w:rPr>
                <w:noProof/>
                <w:webHidden/>
              </w:rPr>
              <w:instrText xml:space="preserve"> PAGEREF _Toc232600095 \h </w:instrText>
            </w:r>
            <w:r>
              <w:rPr>
                <w:noProof/>
                <w:webHidden/>
              </w:rPr>
            </w:r>
            <w:r>
              <w:rPr>
                <w:noProof/>
                <w:webHidden/>
              </w:rPr>
              <w:fldChar w:fldCharType="separate"/>
            </w:r>
            <w:r>
              <w:rPr>
                <w:noProof/>
                <w:webHidden/>
              </w:rPr>
              <w:t>9</w:t>
            </w:r>
            <w:r>
              <w:rPr>
                <w:noProof/>
                <w:webHidden/>
              </w:rPr>
              <w:fldChar w:fldCharType="end"/>
            </w:r>
          </w:hyperlink>
        </w:p>
        <w:p w14:paraId="2E5C0CA6" w14:textId="148DC2CB"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096" w:history="1">
            <w:r w:rsidRPr="008C2BBA">
              <w:rPr>
                <w:rStyle w:val="Hyperlink"/>
                <w:noProof/>
              </w:rPr>
              <w:t>Regulatory status</w:t>
            </w:r>
            <w:r>
              <w:rPr>
                <w:noProof/>
                <w:webHidden/>
              </w:rPr>
              <w:tab/>
            </w:r>
            <w:r>
              <w:rPr>
                <w:noProof/>
                <w:webHidden/>
              </w:rPr>
              <w:fldChar w:fldCharType="begin"/>
            </w:r>
            <w:r>
              <w:rPr>
                <w:noProof/>
                <w:webHidden/>
              </w:rPr>
              <w:instrText xml:space="preserve"> PAGEREF _Toc232600096 \h </w:instrText>
            </w:r>
            <w:r>
              <w:rPr>
                <w:noProof/>
                <w:webHidden/>
              </w:rPr>
            </w:r>
            <w:r>
              <w:rPr>
                <w:noProof/>
                <w:webHidden/>
              </w:rPr>
              <w:fldChar w:fldCharType="separate"/>
            </w:r>
            <w:r>
              <w:rPr>
                <w:noProof/>
                <w:webHidden/>
              </w:rPr>
              <w:t>10</w:t>
            </w:r>
            <w:r>
              <w:rPr>
                <w:noProof/>
                <w:webHidden/>
              </w:rPr>
              <w:fldChar w:fldCharType="end"/>
            </w:r>
          </w:hyperlink>
        </w:p>
        <w:p w14:paraId="1C5DF793" w14:textId="6C3F7617"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097" w:history="1">
            <w:r w:rsidRPr="008C2BBA">
              <w:rPr>
                <w:rStyle w:val="Hyperlink"/>
                <w:noProof/>
              </w:rPr>
              <w:t>Australian regulatory status</w:t>
            </w:r>
            <w:r>
              <w:rPr>
                <w:noProof/>
                <w:webHidden/>
              </w:rPr>
              <w:tab/>
            </w:r>
            <w:r>
              <w:rPr>
                <w:noProof/>
                <w:webHidden/>
              </w:rPr>
              <w:fldChar w:fldCharType="begin"/>
            </w:r>
            <w:r>
              <w:rPr>
                <w:noProof/>
                <w:webHidden/>
              </w:rPr>
              <w:instrText xml:space="preserve"> PAGEREF _Toc232600097 \h </w:instrText>
            </w:r>
            <w:r>
              <w:rPr>
                <w:noProof/>
                <w:webHidden/>
              </w:rPr>
            </w:r>
            <w:r>
              <w:rPr>
                <w:noProof/>
                <w:webHidden/>
              </w:rPr>
              <w:fldChar w:fldCharType="separate"/>
            </w:r>
            <w:r>
              <w:rPr>
                <w:noProof/>
                <w:webHidden/>
              </w:rPr>
              <w:t>10</w:t>
            </w:r>
            <w:r>
              <w:rPr>
                <w:noProof/>
                <w:webHidden/>
              </w:rPr>
              <w:fldChar w:fldCharType="end"/>
            </w:r>
          </w:hyperlink>
        </w:p>
        <w:p w14:paraId="5BEF8FE0" w14:textId="3F13DC7F"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098" w:history="1">
            <w:r w:rsidRPr="008C2BBA">
              <w:rPr>
                <w:rStyle w:val="Hyperlink"/>
                <w:noProof/>
              </w:rPr>
              <w:t>International regulatory status</w:t>
            </w:r>
            <w:r>
              <w:rPr>
                <w:noProof/>
                <w:webHidden/>
              </w:rPr>
              <w:tab/>
            </w:r>
            <w:r>
              <w:rPr>
                <w:noProof/>
                <w:webHidden/>
              </w:rPr>
              <w:fldChar w:fldCharType="begin"/>
            </w:r>
            <w:r>
              <w:rPr>
                <w:noProof/>
                <w:webHidden/>
              </w:rPr>
              <w:instrText xml:space="preserve"> PAGEREF _Toc232600098 \h </w:instrText>
            </w:r>
            <w:r>
              <w:rPr>
                <w:noProof/>
                <w:webHidden/>
              </w:rPr>
            </w:r>
            <w:r>
              <w:rPr>
                <w:noProof/>
                <w:webHidden/>
              </w:rPr>
              <w:fldChar w:fldCharType="separate"/>
            </w:r>
            <w:r>
              <w:rPr>
                <w:noProof/>
                <w:webHidden/>
              </w:rPr>
              <w:t>10</w:t>
            </w:r>
            <w:r>
              <w:rPr>
                <w:noProof/>
                <w:webHidden/>
              </w:rPr>
              <w:fldChar w:fldCharType="end"/>
            </w:r>
          </w:hyperlink>
        </w:p>
        <w:p w14:paraId="106F7D8A" w14:textId="06B4D009" w:rsidR="00092BFF" w:rsidRDefault="00092BF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2600099" w:history="1">
            <w:r w:rsidRPr="008C2BBA">
              <w:rPr>
                <w:rStyle w:val="Hyperlink"/>
                <w:noProof/>
              </w:rPr>
              <w:t>Registration timeline</w:t>
            </w:r>
            <w:r>
              <w:rPr>
                <w:noProof/>
                <w:webHidden/>
              </w:rPr>
              <w:tab/>
            </w:r>
            <w:r>
              <w:rPr>
                <w:noProof/>
                <w:webHidden/>
              </w:rPr>
              <w:fldChar w:fldCharType="begin"/>
            </w:r>
            <w:r>
              <w:rPr>
                <w:noProof/>
                <w:webHidden/>
              </w:rPr>
              <w:instrText xml:space="preserve"> PAGEREF _Toc232600099 \h </w:instrText>
            </w:r>
            <w:r>
              <w:rPr>
                <w:noProof/>
                <w:webHidden/>
              </w:rPr>
            </w:r>
            <w:r>
              <w:rPr>
                <w:noProof/>
                <w:webHidden/>
              </w:rPr>
              <w:fldChar w:fldCharType="separate"/>
            </w:r>
            <w:r>
              <w:rPr>
                <w:noProof/>
                <w:webHidden/>
              </w:rPr>
              <w:t>10</w:t>
            </w:r>
            <w:r>
              <w:rPr>
                <w:noProof/>
                <w:webHidden/>
              </w:rPr>
              <w:fldChar w:fldCharType="end"/>
            </w:r>
          </w:hyperlink>
        </w:p>
        <w:p w14:paraId="202FBF99" w14:textId="7961BCB9" w:rsidR="00092BFF" w:rsidRDefault="00092BF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2600100" w:history="1">
            <w:r w:rsidRPr="008C2BBA">
              <w:rPr>
                <w:rStyle w:val="Hyperlink"/>
                <w:noProof/>
              </w:rPr>
              <w:t>Assessment overview</w:t>
            </w:r>
            <w:r>
              <w:rPr>
                <w:noProof/>
                <w:webHidden/>
              </w:rPr>
              <w:tab/>
            </w:r>
            <w:r>
              <w:rPr>
                <w:noProof/>
                <w:webHidden/>
              </w:rPr>
              <w:fldChar w:fldCharType="begin"/>
            </w:r>
            <w:r>
              <w:rPr>
                <w:noProof/>
                <w:webHidden/>
              </w:rPr>
              <w:instrText xml:space="preserve"> PAGEREF _Toc232600100 \h </w:instrText>
            </w:r>
            <w:r>
              <w:rPr>
                <w:noProof/>
                <w:webHidden/>
              </w:rPr>
            </w:r>
            <w:r>
              <w:rPr>
                <w:noProof/>
                <w:webHidden/>
              </w:rPr>
              <w:fldChar w:fldCharType="separate"/>
            </w:r>
            <w:r>
              <w:rPr>
                <w:noProof/>
                <w:webHidden/>
              </w:rPr>
              <w:t>11</w:t>
            </w:r>
            <w:r>
              <w:rPr>
                <w:noProof/>
                <w:webHidden/>
              </w:rPr>
              <w:fldChar w:fldCharType="end"/>
            </w:r>
          </w:hyperlink>
        </w:p>
        <w:p w14:paraId="62D6075A" w14:textId="3EA9D619"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101" w:history="1">
            <w:r w:rsidRPr="008C2BBA">
              <w:rPr>
                <w:rStyle w:val="Hyperlink"/>
                <w:noProof/>
              </w:rPr>
              <w:t>Quality evaluation summary</w:t>
            </w:r>
            <w:r>
              <w:rPr>
                <w:noProof/>
                <w:webHidden/>
              </w:rPr>
              <w:tab/>
            </w:r>
            <w:r>
              <w:rPr>
                <w:noProof/>
                <w:webHidden/>
              </w:rPr>
              <w:fldChar w:fldCharType="begin"/>
            </w:r>
            <w:r>
              <w:rPr>
                <w:noProof/>
                <w:webHidden/>
              </w:rPr>
              <w:instrText xml:space="preserve"> PAGEREF _Toc232600101 \h </w:instrText>
            </w:r>
            <w:r>
              <w:rPr>
                <w:noProof/>
                <w:webHidden/>
              </w:rPr>
            </w:r>
            <w:r>
              <w:rPr>
                <w:noProof/>
                <w:webHidden/>
              </w:rPr>
              <w:fldChar w:fldCharType="separate"/>
            </w:r>
            <w:r>
              <w:rPr>
                <w:noProof/>
                <w:webHidden/>
              </w:rPr>
              <w:t>11</w:t>
            </w:r>
            <w:r>
              <w:rPr>
                <w:noProof/>
                <w:webHidden/>
              </w:rPr>
              <w:fldChar w:fldCharType="end"/>
            </w:r>
          </w:hyperlink>
        </w:p>
        <w:p w14:paraId="47E4FF6E" w14:textId="26581655"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102" w:history="1">
            <w:r w:rsidRPr="008C2BBA">
              <w:rPr>
                <w:rStyle w:val="Hyperlink"/>
                <w:noProof/>
              </w:rPr>
              <w:t>Nonclinical evaluation summary</w:t>
            </w:r>
            <w:r>
              <w:rPr>
                <w:noProof/>
                <w:webHidden/>
              </w:rPr>
              <w:tab/>
            </w:r>
            <w:r>
              <w:rPr>
                <w:noProof/>
                <w:webHidden/>
              </w:rPr>
              <w:fldChar w:fldCharType="begin"/>
            </w:r>
            <w:r>
              <w:rPr>
                <w:noProof/>
                <w:webHidden/>
              </w:rPr>
              <w:instrText xml:space="preserve"> PAGEREF _Toc232600102 \h </w:instrText>
            </w:r>
            <w:r>
              <w:rPr>
                <w:noProof/>
                <w:webHidden/>
              </w:rPr>
            </w:r>
            <w:r>
              <w:rPr>
                <w:noProof/>
                <w:webHidden/>
              </w:rPr>
              <w:fldChar w:fldCharType="separate"/>
            </w:r>
            <w:r>
              <w:rPr>
                <w:noProof/>
                <w:webHidden/>
              </w:rPr>
              <w:t>11</w:t>
            </w:r>
            <w:r>
              <w:rPr>
                <w:noProof/>
                <w:webHidden/>
              </w:rPr>
              <w:fldChar w:fldCharType="end"/>
            </w:r>
          </w:hyperlink>
        </w:p>
        <w:p w14:paraId="372802D7" w14:textId="49ACB038"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103" w:history="1">
            <w:r w:rsidRPr="008C2BBA">
              <w:rPr>
                <w:rStyle w:val="Hyperlink"/>
                <w:noProof/>
              </w:rPr>
              <w:t>Clinical evaluation summary</w:t>
            </w:r>
            <w:r>
              <w:rPr>
                <w:noProof/>
                <w:webHidden/>
              </w:rPr>
              <w:tab/>
            </w:r>
            <w:r>
              <w:rPr>
                <w:noProof/>
                <w:webHidden/>
              </w:rPr>
              <w:fldChar w:fldCharType="begin"/>
            </w:r>
            <w:r>
              <w:rPr>
                <w:noProof/>
                <w:webHidden/>
              </w:rPr>
              <w:instrText xml:space="preserve"> PAGEREF _Toc232600103 \h </w:instrText>
            </w:r>
            <w:r>
              <w:rPr>
                <w:noProof/>
                <w:webHidden/>
              </w:rPr>
            </w:r>
            <w:r>
              <w:rPr>
                <w:noProof/>
                <w:webHidden/>
              </w:rPr>
              <w:fldChar w:fldCharType="separate"/>
            </w:r>
            <w:r>
              <w:rPr>
                <w:noProof/>
                <w:webHidden/>
              </w:rPr>
              <w:t>12</w:t>
            </w:r>
            <w:r>
              <w:rPr>
                <w:noProof/>
                <w:webHidden/>
              </w:rPr>
              <w:fldChar w:fldCharType="end"/>
            </w:r>
          </w:hyperlink>
        </w:p>
        <w:p w14:paraId="1501D0D1" w14:textId="3F54B4F2"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104" w:history="1">
            <w:r w:rsidRPr="008C2BBA">
              <w:rPr>
                <w:rStyle w:val="Hyperlink"/>
                <w:noProof/>
              </w:rPr>
              <w:t>Pharmacology</w:t>
            </w:r>
            <w:r>
              <w:rPr>
                <w:noProof/>
                <w:webHidden/>
              </w:rPr>
              <w:tab/>
            </w:r>
            <w:r>
              <w:rPr>
                <w:noProof/>
                <w:webHidden/>
              </w:rPr>
              <w:fldChar w:fldCharType="begin"/>
            </w:r>
            <w:r>
              <w:rPr>
                <w:noProof/>
                <w:webHidden/>
              </w:rPr>
              <w:instrText xml:space="preserve"> PAGEREF _Toc232600104 \h </w:instrText>
            </w:r>
            <w:r>
              <w:rPr>
                <w:noProof/>
                <w:webHidden/>
              </w:rPr>
            </w:r>
            <w:r>
              <w:rPr>
                <w:noProof/>
                <w:webHidden/>
              </w:rPr>
              <w:fldChar w:fldCharType="separate"/>
            </w:r>
            <w:r>
              <w:rPr>
                <w:noProof/>
                <w:webHidden/>
              </w:rPr>
              <w:t>12</w:t>
            </w:r>
            <w:r>
              <w:rPr>
                <w:noProof/>
                <w:webHidden/>
              </w:rPr>
              <w:fldChar w:fldCharType="end"/>
            </w:r>
          </w:hyperlink>
        </w:p>
        <w:p w14:paraId="01B4AC2F" w14:textId="53A39289"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105" w:history="1">
            <w:r w:rsidRPr="008C2BBA">
              <w:rPr>
                <w:rStyle w:val="Hyperlink"/>
                <w:noProof/>
              </w:rPr>
              <w:t>Efficacy</w:t>
            </w:r>
            <w:r>
              <w:rPr>
                <w:noProof/>
                <w:webHidden/>
              </w:rPr>
              <w:tab/>
            </w:r>
            <w:r>
              <w:rPr>
                <w:noProof/>
                <w:webHidden/>
              </w:rPr>
              <w:fldChar w:fldCharType="begin"/>
            </w:r>
            <w:r>
              <w:rPr>
                <w:noProof/>
                <w:webHidden/>
              </w:rPr>
              <w:instrText xml:space="preserve"> PAGEREF _Toc232600105 \h </w:instrText>
            </w:r>
            <w:r>
              <w:rPr>
                <w:noProof/>
                <w:webHidden/>
              </w:rPr>
            </w:r>
            <w:r>
              <w:rPr>
                <w:noProof/>
                <w:webHidden/>
              </w:rPr>
              <w:fldChar w:fldCharType="separate"/>
            </w:r>
            <w:r>
              <w:rPr>
                <w:noProof/>
                <w:webHidden/>
              </w:rPr>
              <w:t>14</w:t>
            </w:r>
            <w:r>
              <w:rPr>
                <w:noProof/>
                <w:webHidden/>
              </w:rPr>
              <w:fldChar w:fldCharType="end"/>
            </w:r>
          </w:hyperlink>
        </w:p>
        <w:p w14:paraId="0B3E3AC7" w14:textId="46CB1261"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106" w:history="1">
            <w:r w:rsidRPr="008C2BBA">
              <w:rPr>
                <w:rStyle w:val="Hyperlink"/>
                <w:noProof/>
                <w:lang w:val="en-US"/>
              </w:rPr>
              <w:t>Safety</w:t>
            </w:r>
            <w:r>
              <w:rPr>
                <w:noProof/>
                <w:webHidden/>
              </w:rPr>
              <w:tab/>
            </w:r>
            <w:r>
              <w:rPr>
                <w:noProof/>
                <w:webHidden/>
              </w:rPr>
              <w:fldChar w:fldCharType="begin"/>
            </w:r>
            <w:r>
              <w:rPr>
                <w:noProof/>
                <w:webHidden/>
              </w:rPr>
              <w:instrText xml:space="preserve"> PAGEREF _Toc232600106 \h </w:instrText>
            </w:r>
            <w:r>
              <w:rPr>
                <w:noProof/>
                <w:webHidden/>
              </w:rPr>
            </w:r>
            <w:r>
              <w:rPr>
                <w:noProof/>
                <w:webHidden/>
              </w:rPr>
              <w:fldChar w:fldCharType="separate"/>
            </w:r>
            <w:r>
              <w:rPr>
                <w:noProof/>
                <w:webHidden/>
              </w:rPr>
              <w:t>23</w:t>
            </w:r>
            <w:r>
              <w:rPr>
                <w:noProof/>
                <w:webHidden/>
              </w:rPr>
              <w:fldChar w:fldCharType="end"/>
            </w:r>
          </w:hyperlink>
        </w:p>
        <w:p w14:paraId="6D61A482" w14:textId="738FB406"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107" w:history="1">
            <w:r w:rsidRPr="008C2BBA">
              <w:rPr>
                <w:rStyle w:val="Hyperlink"/>
                <w:noProof/>
                <w:lang w:eastAsia="en-AU"/>
              </w:rPr>
              <w:t>Risk management plan</w:t>
            </w:r>
            <w:r>
              <w:rPr>
                <w:noProof/>
                <w:webHidden/>
              </w:rPr>
              <w:tab/>
            </w:r>
            <w:r>
              <w:rPr>
                <w:noProof/>
                <w:webHidden/>
              </w:rPr>
              <w:fldChar w:fldCharType="begin"/>
            </w:r>
            <w:r>
              <w:rPr>
                <w:noProof/>
                <w:webHidden/>
              </w:rPr>
              <w:instrText xml:space="preserve"> PAGEREF _Toc232600107 \h </w:instrText>
            </w:r>
            <w:r>
              <w:rPr>
                <w:noProof/>
                <w:webHidden/>
              </w:rPr>
            </w:r>
            <w:r>
              <w:rPr>
                <w:noProof/>
                <w:webHidden/>
              </w:rPr>
              <w:fldChar w:fldCharType="separate"/>
            </w:r>
            <w:r>
              <w:rPr>
                <w:noProof/>
                <w:webHidden/>
              </w:rPr>
              <w:t>24</w:t>
            </w:r>
            <w:r>
              <w:rPr>
                <w:noProof/>
                <w:webHidden/>
              </w:rPr>
              <w:fldChar w:fldCharType="end"/>
            </w:r>
          </w:hyperlink>
        </w:p>
        <w:p w14:paraId="55F0F33F" w14:textId="1B610D41"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108" w:history="1">
            <w:r w:rsidRPr="008C2BBA">
              <w:rPr>
                <w:rStyle w:val="Hyperlink"/>
                <w:noProof/>
              </w:rPr>
              <w:t>Risk-benefit analysis</w:t>
            </w:r>
            <w:r>
              <w:rPr>
                <w:noProof/>
                <w:webHidden/>
              </w:rPr>
              <w:tab/>
            </w:r>
            <w:r>
              <w:rPr>
                <w:noProof/>
                <w:webHidden/>
              </w:rPr>
              <w:fldChar w:fldCharType="begin"/>
            </w:r>
            <w:r>
              <w:rPr>
                <w:noProof/>
                <w:webHidden/>
              </w:rPr>
              <w:instrText xml:space="preserve"> PAGEREF _Toc232600108 \h </w:instrText>
            </w:r>
            <w:r>
              <w:rPr>
                <w:noProof/>
                <w:webHidden/>
              </w:rPr>
            </w:r>
            <w:r>
              <w:rPr>
                <w:noProof/>
                <w:webHidden/>
              </w:rPr>
              <w:fldChar w:fldCharType="separate"/>
            </w:r>
            <w:r>
              <w:rPr>
                <w:noProof/>
                <w:webHidden/>
              </w:rPr>
              <w:t>26</w:t>
            </w:r>
            <w:r>
              <w:rPr>
                <w:noProof/>
                <w:webHidden/>
              </w:rPr>
              <w:fldChar w:fldCharType="end"/>
            </w:r>
          </w:hyperlink>
        </w:p>
        <w:p w14:paraId="17B09553" w14:textId="1FA70795"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109" w:history="1">
            <w:r w:rsidRPr="008C2BBA">
              <w:rPr>
                <w:rStyle w:val="Hyperlink"/>
                <w:noProof/>
              </w:rPr>
              <w:t>Delegate’s considerations</w:t>
            </w:r>
            <w:r>
              <w:rPr>
                <w:noProof/>
                <w:webHidden/>
              </w:rPr>
              <w:tab/>
            </w:r>
            <w:r>
              <w:rPr>
                <w:noProof/>
                <w:webHidden/>
              </w:rPr>
              <w:fldChar w:fldCharType="begin"/>
            </w:r>
            <w:r>
              <w:rPr>
                <w:noProof/>
                <w:webHidden/>
              </w:rPr>
              <w:instrText xml:space="preserve"> PAGEREF _Toc232600109 \h </w:instrText>
            </w:r>
            <w:r>
              <w:rPr>
                <w:noProof/>
                <w:webHidden/>
              </w:rPr>
            </w:r>
            <w:r>
              <w:rPr>
                <w:noProof/>
                <w:webHidden/>
              </w:rPr>
              <w:fldChar w:fldCharType="separate"/>
            </w:r>
            <w:r>
              <w:rPr>
                <w:noProof/>
                <w:webHidden/>
              </w:rPr>
              <w:t>26</w:t>
            </w:r>
            <w:r>
              <w:rPr>
                <w:noProof/>
                <w:webHidden/>
              </w:rPr>
              <w:fldChar w:fldCharType="end"/>
            </w:r>
          </w:hyperlink>
        </w:p>
        <w:p w14:paraId="6C5D5808" w14:textId="0ED5035C" w:rsidR="00092BFF" w:rsidRDefault="00092BF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2600110" w:history="1">
            <w:r w:rsidRPr="008C2BBA">
              <w:rPr>
                <w:rStyle w:val="Hyperlink"/>
                <w:noProof/>
              </w:rPr>
              <w:t>Proposed action</w:t>
            </w:r>
            <w:r>
              <w:rPr>
                <w:noProof/>
                <w:webHidden/>
              </w:rPr>
              <w:tab/>
            </w:r>
            <w:r>
              <w:rPr>
                <w:noProof/>
                <w:webHidden/>
              </w:rPr>
              <w:fldChar w:fldCharType="begin"/>
            </w:r>
            <w:r>
              <w:rPr>
                <w:noProof/>
                <w:webHidden/>
              </w:rPr>
              <w:instrText xml:space="preserve"> PAGEREF _Toc232600110 \h </w:instrText>
            </w:r>
            <w:r>
              <w:rPr>
                <w:noProof/>
                <w:webHidden/>
              </w:rPr>
            </w:r>
            <w:r>
              <w:rPr>
                <w:noProof/>
                <w:webHidden/>
              </w:rPr>
              <w:fldChar w:fldCharType="separate"/>
            </w:r>
            <w:r>
              <w:rPr>
                <w:noProof/>
                <w:webHidden/>
              </w:rPr>
              <w:t>26</w:t>
            </w:r>
            <w:r>
              <w:rPr>
                <w:noProof/>
                <w:webHidden/>
              </w:rPr>
              <w:fldChar w:fldCharType="end"/>
            </w:r>
          </w:hyperlink>
        </w:p>
        <w:p w14:paraId="540724AA" w14:textId="0AA94DD4" w:rsidR="00092BFF" w:rsidRDefault="00092BF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2600111" w:history="1">
            <w:r w:rsidRPr="008C2BBA">
              <w:rPr>
                <w:rStyle w:val="Hyperlink"/>
                <w:noProof/>
              </w:rPr>
              <w:t>Assessment outcome</w:t>
            </w:r>
            <w:r>
              <w:rPr>
                <w:noProof/>
                <w:webHidden/>
              </w:rPr>
              <w:tab/>
            </w:r>
            <w:r>
              <w:rPr>
                <w:noProof/>
                <w:webHidden/>
              </w:rPr>
              <w:fldChar w:fldCharType="begin"/>
            </w:r>
            <w:r>
              <w:rPr>
                <w:noProof/>
                <w:webHidden/>
              </w:rPr>
              <w:instrText xml:space="preserve"> PAGEREF _Toc232600111 \h </w:instrText>
            </w:r>
            <w:r>
              <w:rPr>
                <w:noProof/>
                <w:webHidden/>
              </w:rPr>
            </w:r>
            <w:r>
              <w:rPr>
                <w:noProof/>
                <w:webHidden/>
              </w:rPr>
              <w:fldChar w:fldCharType="separate"/>
            </w:r>
            <w:r>
              <w:rPr>
                <w:noProof/>
                <w:webHidden/>
              </w:rPr>
              <w:t>27</w:t>
            </w:r>
            <w:r>
              <w:rPr>
                <w:noProof/>
                <w:webHidden/>
              </w:rPr>
              <w:fldChar w:fldCharType="end"/>
            </w:r>
          </w:hyperlink>
        </w:p>
        <w:p w14:paraId="31166E0B" w14:textId="663F2507"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112" w:history="1">
            <w:r w:rsidRPr="008C2BBA">
              <w:rPr>
                <w:rStyle w:val="Hyperlink"/>
                <w:noProof/>
              </w:rPr>
              <w:t>Specific conditions of registration</w:t>
            </w:r>
            <w:r>
              <w:rPr>
                <w:noProof/>
                <w:webHidden/>
              </w:rPr>
              <w:tab/>
            </w:r>
            <w:r>
              <w:rPr>
                <w:noProof/>
                <w:webHidden/>
              </w:rPr>
              <w:fldChar w:fldCharType="begin"/>
            </w:r>
            <w:r>
              <w:rPr>
                <w:noProof/>
                <w:webHidden/>
              </w:rPr>
              <w:instrText xml:space="preserve"> PAGEREF _Toc232600112 \h </w:instrText>
            </w:r>
            <w:r>
              <w:rPr>
                <w:noProof/>
                <w:webHidden/>
              </w:rPr>
            </w:r>
            <w:r>
              <w:rPr>
                <w:noProof/>
                <w:webHidden/>
              </w:rPr>
              <w:fldChar w:fldCharType="separate"/>
            </w:r>
            <w:r>
              <w:rPr>
                <w:noProof/>
                <w:webHidden/>
              </w:rPr>
              <w:t>27</w:t>
            </w:r>
            <w:r>
              <w:rPr>
                <w:noProof/>
                <w:webHidden/>
              </w:rPr>
              <w:fldChar w:fldCharType="end"/>
            </w:r>
          </w:hyperlink>
        </w:p>
        <w:p w14:paraId="44885F22" w14:textId="016D4E0D" w:rsidR="00092BFF" w:rsidRDefault="00092BF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2600113" w:history="1">
            <w:r w:rsidRPr="008C2BBA">
              <w:rPr>
                <w:rStyle w:val="Hyperlink"/>
                <w:noProof/>
              </w:rPr>
              <w:t>Product and Consumer Medicine Information</w:t>
            </w:r>
            <w:r>
              <w:rPr>
                <w:noProof/>
                <w:webHidden/>
              </w:rPr>
              <w:tab/>
            </w:r>
            <w:r>
              <w:rPr>
                <w:noProof/>
                <w:webHidden/>
              </w:rPr>
              <w:fldChar w:fldCharType="begin"/>
            </w:r>
            <w:r>
              <w:rPr>
                <w:noProof/>
                <w:webHidden/>
              </w:rPr>
              <w:instrText xml:space="preserve"> PAGEREF _Toc232600113 \h </w:instrText>
            </w:r>
            <w:r>
              <w:rPr>
                <w:noProof/>
                <w:webHidden/>
              </w:rPr>
            </w:r>
            <w:r>
              <w:rPr>
                <w:noProof/>
                <w:webHidden/>
              </w:rPr>
              <w:fldChar w:fldCharType="separate"/>
            </w:r>
            <w:r>
              <w:rPr>
                <w:noProof/>
                <w:webHidden/>
              </w:rPr>
              <w:t>29</w:t>
            </w:r>
            <w:r>
              <w:rPr>
                <w:noProof/>
                <w:webHidden/>
              </w:rPr>
              <w:fldChar w:fldCharType="end"/>
            </w:r>
          </w:hyperlink>
        </w:p>
        <w:p w14:paraId="77659F2D" w14:textId="3EB66B9A"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232600089"/>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3875A1" w:rsidRPr="00D01DDB" w14:paraId="308F9BB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00400E" w14:textId="3A4F1EC4" w:rsidR="003875A1" w:rsidRPr="00D01DDB" w:rsidRDefault="003875A1" w:rsidP="00324B33">
            <w:pPr>
              <w:rPr>
                <w:szCs w:val="22"/>
              </w:rPr>
            </w:pPr>
            <w:r>
              <w:rPr>
                <w:szCs w:val="22"/>
              </w:rPr>
              <w:t>AE(s)</w:t>
            </w:r>
          </w:p>
        </w:tc>
        <w:tc>
          <w:tcPr>
            <w:tcW w:w="3800" w:type="pct"/>
          </w:tcPr>
          <w:p w14:paraId="70A622BD" w14:textId="0DDFD6AB" w:rsidR="003875A1" w:rsidRPr="00D01DDB" w:rsidRDefault="003875A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event(s)</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37C67950"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401601" w:rsidRPr="00D01DDB" w14:paraId="012401B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01C410" w14:textId="073C59B0" w:rsidR="00401601" w:rsidRPr="00D01DDB" w:rsidRDefault="00401601" w:rsidP="00324B33">
            <w:pPr>
              <w:rPr>
                <w:szCs w:val="22"/>
              </w:rPr>
            </w:pPr>
            <w:r>
              <w:rPr>
                <w:szCs w:val="22"/>
              </w:rPr>
              <w:t>ATAGI</w:t>
            </w:r>
          </w:p>
        </w:tc>
        <w:tc>
          <w:tcPr>
            <w:tcW w:w="3800" w:type="pct"/>
          </w:tcPr>
          <w:p w14:paraId="5CCB5FB8" w14:textId="5D639F14" w:rsidR="00401601" w:rsidRPr="00D01DDB" w:rsidRDefault="00401601" w:rsidP="00324B33">
            <w:pPr>
              <w:cnfStyle w:val="000000000000" w:firstRow="0" w:lastRow="0" w:firstColumn="0" w:lastColumn="0" w:oddVBand="0" w:evenVBand="0" w:oddHBand="0" w:evenHBand="0" w:firstRowFirstColumn="0" w:firstRowLastColumn="0" w:lastRowFirstColumn="0" w:lastRowLastColumn="0"/>
              <w:rPr>
                <w:szCs w:val="22"/>
              </w:rPr>
            </w:pPr>
            <w:r w:rsidRPr="00401601">
              <w:rPr>
                <w:szCs w:val="22"/>
              </w:rPr>
              <w:t>Australian Technical Advisory Group on Immunisation</w:t>
            </w:r>
          </w:p>
        </w:tc>
      </w:tr>
      <w:tr w:rsidR="004D795E" w:rsidRPr="00D01DDB" w14:paraId="62B685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263160" w14:textId="4AE5AD20" w:rsidR="004D795E" w:rsidRDefault="00431EB7" w:rsidP="00324B33">
            <w:pPr>
              <w:rPr>
                <w:szCs w:val="22"/>
              </w:rPr>
            </w:pPr>
            <w:r>
              <w:rPr>
                <w:szCs w:val="22"/>
              </w:rPr>
              <w:t>BMI</w:t>
            </w:r>
          </w:p>
        </w:tc>
        <w:tc>
          <w:tcPr>
            <w:tcW w:w="3800" w:type="pct"/>
          </w:tcPr>
          <w:p w14:paraId="3E411B06" w14:textId="359E658D" w:rsidR="004D795E" w:rsidRPr="00401601" w:rsidRDefault="004D795E" w:rsidP="00324B33">
            <w:pPr>
              <w:cnfStyle w:val="000000000000" w:firstRow="0" w:lastRow="0" w:firstColumn="0" w:lastColumn="0" w:oddVBand="0" w:evenVBand="0" w:oddHBand="0" w:evenHBand="0" w:firstRowFirstColumn="0" w:firstRowLastColumn="0" w:lastRowFirstColumn="0" w:lastRowLastColumn="0"/>
              <w:rPr>
                <w:szCs w:val="22"/>
              </w:rPr>
            </w:pPr>
            <w:r>
              <w:rPr>
                <w:szCs w:val="22"/>
                <w:lang w:val="en-US"/>
              </w:rPr>
              <w:t>B</w:t>
            </w:r>
            <w:r w:rsidRPr="004D795E">
              <w:rPr>
                <w:szCs w:val="22"/>
                <w:lang w:val="en-US"/>
              </w:rPr>
              <w:t>ody mass index</w:t>
            </w:r>
          </w:p>
        </w:tc>
      </w:tr>
      <w:tr w:rsidR="00532A22" w:rsidRPr="00D01DDB" w14:paraId="4D330A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535380" w14:textId="3A1B9ACD" w:rsidR="00532A22" w:rsidRDefault="00532A22" w:rsidP="00324B33">
            <w:pPr>
              <w:rPr>
                <w:szCs w:val="22"/>
              </w:rPr>
            </w:pPr>
            <w:r w:rsidRPr="00532A22">
              <w:rPr>
                <w:szCs w:val="22"/>
              </w:rPr>
              <w:t>CHMP</w:t>
            </w:r>
          </w:p>
        </w:tc>
        <w:tc>
          <w:tcPr>
            <w:tcW w:w="3800" w:type="pct"/>
          </w:tcPr>
          <w:p w14:paraId="35B71F28" w14:textId="48CABB12" w:rsidR="00532A22" w:rsidRPr="00401601" w:rsidRDefault="008C5BEF" w:rsidP="00324B33">
            <w:pPr>
              <w:cnfStyle w:val="000000000000" w:firstRow="0" w:lastRow="0" w:firstColumn="0" w:lastColumn="0" w:oddVBand="0" w:evenVBand="0" w:oddHBand="0" w:evenHBand="0" w:firstRowFirstColumn="0" w:firstRowLastColumn="0" w:lastRowFirstColumn="0" w:lastRowLastColumn="0"/>
              <w:rPr>
                <w:szCs w:val="22"/>
              </w:rPr>
            </w:pPr>
            <w:r w:rsidRPr="008C5BEF">
              <w:rPr>
                <w:szCs w:val="22"/>
              </w:rPr>
              <w:t>Committee for Medicinal Products for Human Use</w:t>
            </w:r>
          </w:p>
        </w:tc>
      </w:tr>
      <w:tr w:rsidR="008247AD" w:rsidRPr="00D01DDB" w14:paraId="2E86235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606694" w14:textId="1221C4E8" w:rsidR="008247AD" w:rsidRPr="00532A22" w:rsidRDefault="008247AD" w:rsidP="00324B33">
            <w:pPr>
              <w:rPr>
                <w:szCs w:val="22"/>
              </w:rPr>
            </w:pPr>
            <w:r>
              <w:rPr>
                <w:szCs w:val="22"/>
              </w:rPr>
              <w:t>CI</w:t>
            </w:r>
          </w:p>
        </w:tc>
        <w:tc>
          <w:tcPr>
            <w:tcW w:w="3800" w:type="pct"/>
          </w:tcPr>
          <w:p w14:paraId="3D4C2DCF" w14:textId="0C9DC461" w:rsidR="008247AD" w:rsidRPr="008C5BEF" w:rsidRDefault="008247A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Confidence </w:t>
            </w:r>
            <w:r w:rsidR="005165ED">
              <w:rPr>
                <w:szCs w:val="22"/>
              </w:rPr>
              <w:t>i</w:t>
            </w:r>
            <w:r>
              <w:rPr>
                <w:szCs w:val="22"/>
              </w:rPr>
              <w:t>nterval</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0110B4" w:rsidRPr="00D01DDB" w14:paraId="303B165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BE222C" w14:textId="0C20E807" w:rsidR="000110B4" w:rsidRPr="00D01DDB" w:rsidRDefault="000110B4" w:rsidP="00324B33">
            <w:pPr>
              <w:rPr>
                <w:szCs w:val="22"/>
              </w:rPr>
            </w:pPr>
            <w:r>
              <w:rPr>
                <w:szCs w:val="22"/>
              </w:rPr>
              <w:t>DENV</w:t>
            </w:r>
          </w:p>
        </w:tc>
        <w:tc>
          <w:tcPr>
            <w:tcW w:w="3800" w:type="pct"/>
          </w:tcPr>
          <w:p w14:paraId="6931A2B0" w14:textId="0EB26D1A" w:rsidR="000110B4" w:rsidRPr="00D01DDB" w:rsidRDefault="000110B4" w:rsidP="00324B33">
            <w:pPr>
              <w:cnfStyle w:val="000000000000" w:firstRow="0" w:lastRow="0" w:firstColumn="0" w:lastColumn="0" w:oddVBand="0" w:evenVBand="0" w:oddHBand="0" w:evenHBand="0" w:firstRowFirstColumn="0" w:firstRowLastColumn="0" w:lastRowFirstColumn="0" w:lastRowLastColumn="0"/>
              <w:rPr>
                <w:szCs w:val="22"/>
              </w:rPr>
            </w:pPr>
            <w:r w:rsidRPr="000110B4">
              <w:rPr>
                <w:szCs w:val="22"/>
              </w:rPr>
              <w:t>Dengue virus</w:t>
            </w:r>
          </w:p>
        </w:tc>
      </w:tr>
      <w:tr w:rsidR="003545D3" w:rsidRPr="00D01DDB" w14:paraId="0A35660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2B1998" w14:textId="007FDB9E" w:rsidR="003545D3" w:rsidRPr="00D01DDB" w:rsidRDefault="003545D3" w:rsidP="00324B33">
            <w:pPr>
              <w:rPr>
                <w:szCs w:val="22"/>
              </w:rPr>
            </w:pPr>
            <w:r>
              <w:rPr>
                <w:szCs w:val="22"/>
              </w:rPr>
              <w:t>DHF</w:t>
            </w:r>
          </w:p>
        </w:tc>
        <w:tc>
          <w:tcPr>
            <w:tcW w:w="3800" w:type="pct"/>
          </w:tcPr>
          <w:p w14:paraId="7581A8CB" w14:textId="08981A01" w:rsidR="003545D3" w:rsidRPr="00D01DDB" w:rsidRDefault="003545D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Pr="00621F45">
              <w:rPr>
                <w:szCs w:val="22"/>
              </w:rPr>
              <w:t>engue haemorrhagic fever</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845D09" w:rsidRPr="00D01DDB" w14:paraId="2EE6A75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3BCB3D" w14:textId="7A7A03B2" w:rsidR="00845D09" w:rsidRPr="00D01DDB" w:rsidRDefault="00845D09" w:rsidP="00324B33">
            <w:pPr>
              <w:rPr>
                <w:szCs w:val="22"/>
              </w:rPr>
            </w:pPr>
            <w:r>
              <w:rPr>
                <w:szCs w:val="22"/>
              </w:rPr>
              <w:t>DP</w:t>
            </w:r>
          </w:p>
        </w:tc>
        <w:tc>
          <w:tcPr>
            <w:tcW w:w="3800" w:type="pct"/>
          </w:tcPr>
          <w:p w14:paraId="49F09DE8" w14:textId="1D4DA311" w:rsidR="00845D09" w:rsidRPr="00D01DDB" w:rsidRDefault="00845D0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Drug product</w:t>
            </w:r>
          </w:p>
        </w:tc>
      </w:tr>
      <w:tr w:rsidR="003545D3" w:rsidRPr="00D01DDB" w14:paraId="2B0B8E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7A7245" w14:textId="629EAD43" w:rsidR="003545D3" w:rsidRPr="00D01DDB" w:rsidRDefault="003545D3" w:rsidP="00324B33">
            <w:pPr>
              <w:rPr>
                <w:szCs w:val="22"/>
              </w:rPr>
            </w:pPr>
            <w:r>
              <w:rPr>
                <w:szCs w:val="22"/>
              </w:rPr>
              <w:t>DSS</w:t>
            </w:r>
          </w:p>
        </w:tc>
        <w:tc>
          <w:tcPr>
            <w:tcW w:w="3800" w:type="pct"/>
          </w:tcPr>
          <w:p w14:paraId="3A7EBC53" w14:textId="20FC4082" w:rsidR="003545D3" w:rsidRPr="00D01DDB" w:rsidRDefault="003545D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Pr="00621F45">
              <w:rPr>
                <w:szCs w:val="22"/>
              </w:rPr>
              <w:t>engue shock syndrome</w:t>
            </w:r>
          </w:p>
        </w:tc>
      </w:tr>
      <w:tr w:rsidR="001E4ED7" w:rsidRPr="00D01DDB" w14:paraId="6604050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38E3CB" w14:textId="53CB1DE3" w:rsidR="001E4ED7" w:rsidRDefault="00A54FD1" w:rsidP="00324B33">
            <w:pPr>
              <w:rPr>
                <w:szCs w:val="22"/>
              </w:rPr>
            </w:pPr>
            <w:r>
              <w:rPr>
                <w:szCs w:val="22"/>
              </w:rPr>
              <w:t>eCRF</w:t>
            </w:r>
          </w:p>
        </w:tc>
        <w:tc>
          <w:tcPr>
            <w:tcW w:w="3800" w:type="pct"/>
          </w:tcPr>
          <w:p w14:paraId="1A87C7AD" w14:textId="43419477" w:rsidR="001E4ED7" w:rsidRDefault="001E4ED7" w:rsidP="00324B33">
            <w:pPr>
              <w:cnfStyle w:val="000000000000" w:firstRow="0" w:lastRow="0" w:firstColumn="0" w:lastColumn="0" w:oddVBand="0" w:evenVBand="0" w:oddHBand="0" w:evenHBand="0" w:firstRowFirstColumn="0" w:firstRowLastColumn="0" w:lastRowFirstColumn="0" w:lastRowLastColumn="0"/>
              <w:rPr>
                <w:szCs w:val="22"/>
              </w:rPr>
            </w:pPr>
            <w:r w:rsidRPr="001E4ED7">
              <w:rPr>
                <w:szCs w:val="22"/>
                <w:lang w:val="en-US"/>
              </w:rPr>
              <w:t>electronic case report form</w:t>
            </w:r>
          </w:p>
        </w:tc>
      </w:tr>
      <w:tr w:rsidR="00694A86" w:rsidRPr="00D01DDB" w14:paraId="0B05EC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DDD022" w14:textId="7D19032B" w:rsidR="00694A86" w:rsidRDefault="00694A86" w:rsidP="00324B33">
            <w:pPr>
              <w:rPr>
                <w:szCs w:val="22"/>
              </w:rPr>
            </w:pPr>
            <w:r>
              <w:rPr>
                <w:szCs w:val="22"/>
              </w:rPr>
              <w:t>EMA</w:t>
            </w:r>
          </w:p>
        </w:tc>
        <w:tc>
          <w:tcPr>
            <w:tcW w:w="3800" w:type="pct"/>
          </w:tcPr>
          <w:p w14:paraId="1F86A21D" w14:textId="03DC8161" w:rsidR="00694A86" w:rsidRDefault="00694A8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Medicines Ag</w:t>
            </w:r>
            <w:r w:rsidR="00CB4F7E">
              <w:rPr>
                <w:szCs w:val="22"/>
              </w:rPr>
              <w:t>ency</w:t>
            </w:r>
          </w:p>
        </w:tc>
      </w:tr>
      <w:tr w:rsidR="003545D3" w:rsidRPr="00D01DDB" w14:paraId="61FAA62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2BBD1A" w14:textId="3C51F7CB" w:rsidR="003545D3" w:rsidRPr="00D01DDB" w:rsidRDefault="00694A86" w:rsidP="00324B33">
            <w:pPr>
              <w:rPr>
                <w:szCs w:val="22"/>
              </w:rPr>
            </w:pPr>
            <w:r>
              <w:rPr>
                <w:szCs w:val="22"/>
              </w:rPr>
              <w:t>EU</w:t>
            </w:r>
          </w:p>
        </w:tc>
        <w:tc>
          <w:tcPr>
            <w:tcW w:w="3800" w:type="pct"/>
          </w:tcPr>
          <w:p w14:paraId="51025819" w14:textId="749FFEFA" w:rsidR="003545D3" w:rsidRPr="00D01DDB" w:rsidRDefault="00694A8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CF71FC" w:rsidRPr="00D01DDB" w14:paraId="49017D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4714E6" w14:textId="59272D9E" w:rsidR="00CF71FC" w:rsidRDefault="00CF71FC" w:rsidP="00324B33">
            <w:pPr>
              <w:rPr>
                <w:szCs w:val="22"/>
              </w:rPr>
            </w:pPr>
            <w:r w:rsidRPr="00CF71FC">
              <w:rPr>
                <w:szCs w:val="22"/>
              </w:rPr>
              <w:t>GLP</w:t>
            </w:r>
          </w:p>
        </w:tc>
        <w:tc>
          <w:tcPr>
            <w:tcW w:w="3800" w:type="pct"/>
          </w:tcPr>
          <w:p w14:paraId="09F9A37C" w14:textId="32DE576F" w:rsidR="00CF71FC" w:rsidRDefault="00CF71F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Good laboratory practice</w:t>
            </w:r>
          </w:p>
        </w:tc>
      </w:tr>
      <w:tr w:rsidR="0073554E" w:rsidRPr="00D01DDB" w14:paraId="469992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D74E2B" w14:textId="7FC7185D" w:rsidR="0073554E" w:rsidRDefault="0073554E" w:rsidP="00324B33">
            <w:pPr>
              <w:rPr>
                <w:szCs w:val="22"/>
              </w:rPr>
            </w:pPr>
            <w:r>
              <w:rPr>
                <w:szCs w:val="22"/>
              </w:rPr>
              <w:t>GMOs</w:t>
            </w:r>
          </w:p>
        </w:tc>
        <w:tc>
          <w:tcPr>
            <w:tcW w:w="3800" w:type="pct"/>
          </w:tcPr>
          <w:p w14:paraId="47DEBA30" w14:textId="73B12DE3" w:rsidR="0073554E" w:rsidRDefault="0073554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w:t>
            </w:r>
            <w:r w:rsidRPr="00EE308F">
              <w:rPr>
                <w:szCs w:val="22"/>
              </w:rPr>
              <w:t>enetically modified organisms</w:t>
            </w:r>
          </w:p>
        </w:tc>
      </w:tr>
      <w:tr w:rsidR="00EF3FBC" w:rsidRPr="00D01DDB" w14:paraId="5EFEBFD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99DC83" w14:textId="1104ADE4" w:rsidR="00EF3FBC" w:rsidRDefault="00EF3FBC" w:rsidP="00324B33">
            <w:pPr>
              <w:rPr>
                <w:szCs w:val="22"/>
              </w:rPr>
            </w:pPr>
            <w:r>
              <w:rPr>
                <w:szCs w:val="22"/>
              </w:rPr>
              <w:t>GMTs</w:t>
            </w:r>
          </w:p>
        </w:tc>
        <w:tc>
          <w:tcPr>
            <w:tcW w:w="3800" w:type="pct"/>
          </w:tcPr>
          <w:p w14:paraId="47AD50BA" w14:textId="1023FD75" w:rsidR="00EF3FBC" w:rsidRDefault="00EF3FBC" w:rsidP="00324B33">
            <w:pPr>
              <w:cnfStyle w:val="000000000000" w:firstRow="0" w:lastRow="0" w:firstColumn="0" w:lastColumn="0" w:oddVBand="0" w:evenVBand="0" w:oddHBand="0" w:evenHBand="0" w:firstRowFirstColumn="0" w:firstRowLastColumn="0" w:lastRowFirstColumn="0" w:lastRowLastColumn="0"/>
              <w:rPr>
                <w:szCs w:val="22"/>
              </w:rPr>
            </w:pPr>
            <w:r w:rsidRPr="00EF3FBC">
              <w:rPr>
                <w:szCs w:val="22"/>
              </w:rPr>
              <w:t>Geometric mean titre</w:t>
            </w:r>
            <w:r>
              <w:rPr>
                <w:szCs w:val="22"/>
              </w:rPr>
              <w:t>s</w:t>
            </w:r>
          </w:p>
        </w:tc>
      </w:tr>
      <w:tr w:rsidR="00EB3346" w:rsidRPr="00D01DDB" w14:paraId="2BE52D0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3FBFCD" w14:textId="2E6C1A6C" w:rsidR="00EB3346" w:rsidRDefault="00EB3346" w:rsidP="00324B33">
            <w:pPr>
              <w:rPr>
                <w:szCs w:val="22"/>
              </w:rPr>
            </w:pPr>
            <w:r>
              <w:rPr>
                <w:szCs w:val="22"/>
              </w:rPr>
              <w:t>HD</w:t>
            </w:r>
          </w:p>
        </w:tc>
        <w:tc>
          <w:tcPr>
            <w:tcW w:w="3800" w:type="pct"/>
          </w:tcPr>
          <w:p w14:paraId="0BADF6E4" w14:textId="40718837" w:rsidR="00EB3346" w:rsidRDefault="00EB334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High dose</w:t>
            </w:r>
          </w:p>
        </w:tc>
      </w:tr>
      <w:tr w:rsidR="0073554E" w:rsidRPr="00D01DDB" w14:paraId="1C0F6C3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7E000C" w14:textId="619CBEAD" w:rsidR="0073554E" w:rsidRDefault="004E17F2" w:rsidP="00324B33">
            <w:pPr>
              <w:rPr>
                <w:szCs w:val="22"/>
              </w:rPr>
            </w:pPr>
            <w:r w:rsidRPr="004E17F2">
              <w:rPr>
                <w:szCs w:val="22"/>
              </w:rPr>
              <w:t>ID</w:t>
            </w:r>
            <w:r w:rsidRPr="004E17F2">
              <w:rPr>
                <w:szCs w:val="22"/>
              </w:rPr>
              <w:tab/>
            </w:r>
          </w:p>
        </w:tc>
        <w:tc>
          <w:tcPr>
            <w:tcW w:w="3800" w:type="pct"/>
          </w:tcPr>
          <w:p w14:paraId="15D4B423" w14:textId="3B9E4AE0" w:rsidR="0073554E" w:rsidRDefault="004E17F2" w:rsidP="00324B33">
            <w:pPr>
              <w:cnfStyle w:val="000000000000" w:firstRow="0" w:lastRow="0" w:firstColumn="0" w:lastColumn="0" w:oddVBand="0" w:evenVBand="0" w:oddHBand="0" w:evenHBand="0" w:firstRowFirstColumn="0" w:firstRowLastColumn="0" w:lastRowFirstColumn="0" w:lastRowLastColumn="0"/>
              <w:rPr>
                <w:szCs w:val="22"/>
              </w:rPr>
            </w:pPr>
            <w:r w:rsidRPr="004E17F2">
              <w:rPr>
                <w:szCs w:val="22"/>
              </w:rPr>
              <w:t>Intradermal(</w:t>
            </w:r>
            <w:proofErr w:type="spellStart"/>
            <w:r w:rsidRPr="004E17F2">
              <w:rPr>
                <w:szCs w:val="22"/>
              </w:rPr>
              <w:t>ly</w:t>
            </w:r>
            <w:proofErr w:type="spellEnd"/>
            <w:r w:rsidRPr="004E17F2">
              <w:rPr>
                <w:szCs w:val="22"/>
              </w:rPr>
              <w:t>)</w:t>
            </w:r>
          </w:p>
        </w:tc>
      </w:tr>
      <w:tr w:rsidR="00EB3346" w:rsidRPr="00D01DDB" w14:paraId="26180B7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CEF2DF" w14:textId="0566C1AD" w:rsidR="00EB3346" w:rsidRPr="004E17F2" w:rsidRDefault="00EB3346" w:rsidP="00324B33">
            <w:pPr>
              <w:rPr>
                <w:szCs w:val="22"/>
              </w:rPr>
            </w:pPr>
            <w:r>
              <w:rPr>
                <w:szCs w:val="22"/>
              </w:rPr>
              <w:t>LD</w:t>
            </w:r>
          </w:p>
        </w:tc>
        <w:tc>
          <w:tcPr>
            <w:tcW w:w="3800" w:type="pct"/>
          </w:tcPr>
          <w:p w14:paraId="6C48209D" w14:textId="41695AC5" w:rsidR="00EB3346" w:rsidRPr="004E17F2" w:rsidRDefault="00EB3346" w:rsidP="00324B33">
            <w:pPr>
              <w:cnfStyle w:val="000000000000" w:firstRow="0" w:lastRow="0" w:firstColumn="0" w:lastColumn="0" w:oddVBand="0" w:evenVBand="0" w:oddHBand="0" w:evenHBand="0" w:firstRowFirstColumn="0" w:firstRowLastColumn="0" w:lastRowFirstColumn="0" w:lastRowLastColumn="0"/>
              <w:rPr>
                <w:szCs w:val="22"/>
              </w:rPr>
            </w:pPr>
            <w:r w:rsidRPr="00EB3346">
              <w:rPr>
                <w:szCs w:val="22"/>
              </w:rPr>
              <w:t>Low dose</w:t>
            </w:r>
          </w:p>
        </w:tc>
      </w:tr>
      <w:tr w:rsidR="00361D21" w:rsidRPr="00D01DDB" w14:paraId="327CD8E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ABABFE" w14:textId="202713B8" w:rsidR="00361D21" w:rsidRDefault="00361D21" w:rsidP="00324B33">
            <w:pPr>
              <w:rPr>
                <w:szCs w:val="22"/>
              </w:rPr>
            </w:pPr>
            <w:r>
              <w:rPr>
                <w:szCs w:val="22"/>
              </w:rPr>
              <w:t>MAAE(s)</w:t>
            </w:r>
          </w:p>
        </w:tc>
        <w:tc>
          <w:tcPr>
            <w:tcW w:w="3800" w:type="pct"/>
          </w:tcPr>
          <w:p w14:paraId="6FF2037E" w14:textId="32A8C9F5" w:rsidR="00361D21" w:rsidRPr="00EB3346" w:rsidRDefault="00361D21" w:rsidP="00324B33">
            <w:pPr>
              <w:cnfStyle w:val="000000000000" w:firstRow="0" w:lastRow="0" w:firstColumn="0" w:lastColumn="0" w:oddVBand="0" w:evenVBand="0" w:oddHBand="0" w:evenHBand="0" w:firstRowFirstColumn="0" w:firstRowLastColumn="0" w:lastRowFirstColumn="0" w:lastRowLastColumn="0"/>
              <w:rPr>
                <w:szCs w:val="22"/>
              </w:rPr>
            </w:pPr>
            <w:r w:rsidRPr="00361D21">
              <w:rPr>
                <w:szCs w:val="22"/>
              </w:rPr>
              <w:t>Medically attended adverse event</w:t>
            </w:r>
            <w:r>
              <w:rPr>
                <w:szCs w:val="22"/>
              </w:rPr>
              <w:t>(s)</w:t>
            </w:r>
          </w:p>
        </w:tc>
      </w:tr>
      <w:tr w:rsidR="0073554E" w:rsidRPr="00D01DDB" w14:paraId="54EAA20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C22700" w14:textId="3C9C5106" w:rsidR="0073554E" w:rsidRDefault="003D3145" w:rsidP="00324B33">
            <w:pPr>
              <w:rPr>
                <w:szCs w:val="22"/>
              </w:rPr>
            </w:pPr>
            <w:r>
              <w:rPr>
                <w:szCs w:val="22"/>
              </w:rPr>
              <w:t>MNT</w:t>
            </w:r>
          </w:p>
        </w:tc>
        <w:tc>
          <w:tcPr>
            <w:tcW w:w="3800" w:type="pct"/>
          </w:tcPr>
          <w:p w14:paraId="215F025E" w14:textId="736AD1B1" w:rsidR="0073554E" w:rsidRDefault="003D314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364CAD">
              <w:rPr>
                <w:szCs w:val="22"/>
              </w:rPr>
              <w:t>icroneutralization test</w:t>
            </w:r>
          </w:p>
        </w:tc>
      </w:tr>
      <w:tr w:rsidR="003545D3" w:rsidRPr="00D01DDB" w14:paraId="3F681AB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87A4F3" w14:textId="7F15F7EE" w:rsidR="003545D3" w:rsidRPr="00D01DDB" w:rsidRDefault="00845D09" w:rsidP="00324B33">
            <w:pPr>
              <w:rPr>
                <w:szCs w:val="22"/>
              </w:rPr>
            </w:pPr>
            <w:r>
              <w:rPr>
                <w:szCs w:val="22"/>
              </w:rPr>
              <w:t>PFS</w:t>
            </w:r>
          </w:p>
        </w:tc>
        <w:tc>
          <w:tcPr>
            <w:tcW w:w="3800" w:type="pct"/>
          </w:tcPr>
          <w:p w14:paraId="58D0054C" w14:textId="1EDDA8C7" w:rsidR="003545D3" w:rsidRPr="00D01DDB" w:rsidRDefault="00845D0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EE308F">
              <w:rPr>
                <w:szCs w:val="22"/>
              </w:rPr>
              <w:t>re-filled syringe</w:t>
            </w:r>
          </w:p>
        </w:tc>
      </w:tr>
      <w:tr w:rsidR="001F43CA" w:rsidRPr="00D01DDB" w14:paraId="6AADE0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A81EC3" w14:textId="41124419" w:rsidR="001F43CA" w:rsidRPr="00D01DDB" w:rsidRDefault="001F43CA" w:rsidP="00324B33">
            <w:pPr>
              <w:rPr>
                <w:szCs w:val="22"/>
              </w:rPr>
            </w:pPr>
            <w:r>
              <w:rPr>
                <w:szCs w:val="22"/>
              </w:rPr>
              <w:t>PFU</w:t>
            </w:r>
          </w:p>
        </w:tc>
        <w:tc>
          <w:tcPr>
            <w:tcW w:w="3800" w:type="pct"/>
          </w:tcPr>
          <w:p w14:paraId="68B108DC" w14:textId="4A4859E9" w:rsidR="001F43CA" w:rsidRPr="00D01DDB" w:rsidRDefault="001F43CA" w:rsidP="00324B33">
            <w:pPr>
              <w:cnfStyle w:val="000000000000" w:firstRow="0" w:lastRow="0" w:firstColumn="0" w:lastColumn="0" w:oddVBand="0" w:evenVBand="0" w:oddHBand="0" w:evenHBand="0" w:firstRowFirstColumn="0" w:firstRowLastColumn="0" w:lastRowFirstColumn="0" w:lastRowLastColumn="0"/>
              <w:rPr>
                <w:szCs w:val="22"/>
              </w:rPr>
            </w:pPr>
            <w:r w:rsidRPr="001F43CA">
              <w:rPr>
                <w:szCs w:val="22"/>
              </w:rPr>
              <w:t>Plaque-forming unit</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DD4BAA" w:rsidRPr="00D01DDB" w14:paraId="6E57B8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132932" w14:textId="405A23C6" w:rsidR="00DD4BAA" w:rsidRPr="00D01DDB" w:rsidRDefault="00DD4BAA" w:rsidP="00324B33">
            <w:pPr>
              <w:rPr>
                <w:szCs w:val="22"/>
              </w:rPr>
            </w:pPr>
            <w:r>
              <w:rPr>
                <w:szCs w:val="22"/>
              </w:rPr>
              <w:t>PPS</w:t>
            </w:r>
          </w:p>
        </w:tc>
        <w:tc>
          <w:tcPr>
            <w:tcW w:w="3800" w:type="pct"/>
          </w:tcPr>
          <w:p w14:paraId="37205488" w14:textId="0663A599" w:rsidR="00DD4BAA" w:rsidRPr="00D01DDB" w:rsidRDefault="00DD4BA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DD4BAA">
              <w:rPr>
                <w:szCs w:val="22"/>
              </w:rPr>
              <w:t>er-protocol set</w:t>
            </w:r>
          </w:p>
        </w:tc>
      </w:tr>
      <w:tr w:rsidR="00792C39" w:rsidRPr="00D01DDB" w14:paraId="7E7503A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75850C" w14:textId="1BB4EBBB" w:rsidR="00792C39" w:rsidRPr="00D01DDB" w:rsidRDefault="00792C39" w:rsidP="00324B33">
            <w:pPr>
              <w:rPr>
                <w:szCs w:val="22"/>
              </w:rPr>
            </w:pPr>
            <w:r>
              <w:rPr>
                <w:szCs w:val="22"/>
              </w:rPr>
              <w:t>PRNT</w:t>
            </w:r>
          </w:p>
        </w:tc>
        <w:tc>
          <w:tcPr>
            <w:tcW w:w="3800" w:type="pct"/>
          </w:tcPr>
          <w:p w14:paraId="0B7E1194" w14:textId="750FAC2D" w:rsidR="00792C39" w:rsidRPr="00D01DDB" w:rsidRDefault="00792C3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364CAD">
              <w:rPr>
                <w:szCs w:val="22"/>
              </w:rPr>
              <w:t>laque-reduction neutralisation test</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lastRenderedPageBreak/>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CA5989" w:rsidRPr="00D01DDB" w14:paraId="589232E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755CB4" w14:textId="3EA26A38" w:rsidR="00CA5989" w:rsidRPr="00D01DDB" w:rsidRDefault="00CA5989" w:rsidP="00A704DC">
            <w:pPr>
              <w:rPr>
                <w:szCs w:val="22"/>
              </w:rPr>
            </w:pPr>
            <w:r>
              <w:rPr>
                <w:szCs w:val="22"/>
              </w:rPr>
              <w:t>RR</w:t>
            </w:r>
          </w:p>
        </w:tc>
        <w:tc>
          <w:tcPr>
            <w:tcW w:w="3800" w:type="pct"/>
          </w:tcPr>
          <w:p w14:paraId="0A7228C1" w14:textId="7BB7A9FF" w:rsidR="00CA5989" w:rsidRPr="00D01DDB" w:rsidRDefault="00CA5989" w:rsidP="00A704DC">
            <w:pPr>
              <w:cnfStyle w:val="000000000000" w:firstRow="0" w:lastRow="0" w:firstColumn="0" w:lastColumn="0" w:oddVBand="0" w:evenVBand="0" w:oddHBand="0" w:evenHBand="0" w:firstRowFirstColumn="0" w:firstRowLastColumn="0" w:lastRowFirstColumn="0" w:lastRowLastColumn="0"/>
              <w:rPr>
                <w:szCs w:val="22"/>
              </w:rPr>
            </w:pPr>
            <w:r w:rsidRPr="00CA5989">
              <w:rPr>
                <w:szCs w:val="22"/>
              </w:rPr>
              <w:t>Relative risk</w:t>
            </w:r>
          </w:p>
        </w:tc>
      </w:tr>
      <w:tr w:rsidR="0021715E" w:rsidRPr="00D01DDB" w14:paraId="1DFABC0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BC81BA" w14:textId="138B32E0" w:rsidR="0021715E" w:rsidRPr="00D01DDB" w:rsidRDefault="0021715E" w:rsidP="00A704DC">
            <w:pPr>
              <w:rPr>
                <w:szCs w:val="22"/>
              </w:rPr>
            </w:pPr>
            <w:r>
              <w:rPr>
                <w:szCs w:val="22"/>
              </w:rPr>
              <w:t>SAGE</w:t>
            </w:r>
          </w:p>
        </w:tc>
        <w:tc>
          <w:tcPr>
            <w:tcW w:w="3800" w:type="pct"/>
          </w:tcPr>
          <w:p w14:paraId="3CC99F8D" w14:textId="5E2B7B36" w:rsidR="0021715E" w:rsidRPr="00D01DDB" w:rsidRDefault="0021715E" w:rsidP="00A704DC">
            <w:pPr>
              <w:cnfStyle w:val="000000000000" w:firstRow="0" w:lastRow="0" w:firstColumn="0" w:lastColumn="0" w:oddVBand="0" w:evenVBand="0" w:oddHBand="0" w:evenHBand="0" w:firstRowFirstColumn="0" w:firstRowLastColumn="0" w:lastRowFirstColumn="0" w:lastRowLastColumn="0"/>
              <w:rPr>
                <w:szCs w:val="22"/>
              </w:rPr>
            </w:pPr>
            <w:r w:rsidRPr="0021715E">
              <w:rPr>
                <w:szCs w:val="22"/>
              </w:rPr>
              <w:t>Scientific Advisory Group of Experts</w:t>
            </w:r>
          </w:p>
        </w:tc>
      </w:tr>
      <w:tr w:rsidR="004E17F2" w:rsidRPr="00D01DDB" w14:paraId="3CE7547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83F181" w14:textId="2C859CC1" w:rsidR="004E17F2" w:rsidRPr="00D01DDB" w:rsidRDefault="004E17F2" w:rsidP="00A704DC">
            <w:pPr>
              <w:rPr>
                <w:szCs w:val="22"/>
              </w:rPr>
            </w:pPr>
            <w:r>
              <w:rPr>
                <w:szCs w:val="22"/>
              </w:rPr>
              <w:t>SC</w:t>
            </w:r>
          </w:p>
        </w:tc>
        <w:tc>
          <w:tcPr>
            <w:tcW w:w="3800" w:type="pct"/>
          </w:tcPr>
          <w:p w14:paraId="1FD4AC6B" w14:textId="0CDE5787" w:rsidR="004E17F2" w:rsidRPr="00D01DDB" w:rsidRDefault="004E17F2"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Subcutaneous</w:t>
            </w:r>
            <w:r w:rsidR="00D84B68">
              <w:rPr>
                <w:szCs w:val="22"/>
              </w:rPr>
              <w:t>(</w:t>
            </w:r>
            <w:proofErr w:type="spellStart"/>
            <w:r>
              <w:rPr>
                <w:szCs w:val="22"/>
              </w:rPr>
              <w:t>ly</w:t>
            </w:r>
            <w:proofErr w:type="spellEnd"/>
            <w:r w:rsidR="00D84B68">
              <w:rPr>
                <w:szCs w:val="22"/>
              </w:rPr>
              <w:t>)</w:t>
            </w:r>
          </w:p>
        </w:tc>
      </w:tr>
      <w:tr w:rsidR="00431EB7" w:rsidRPr="00D01DDB" w14:paraId="7F41B23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0270C7" w14:textId="11DED055" w:rsidR="00431EB7" w:rsidRDefault="00431EB7" w:rsidP="00A704DC">
            <w:pPr>
              <w:rPr>
                <w:szCs w:val="22"/>
              </w:rPr>
            </w:pPr>
            <w:r>
              <w:rPr>
                <w:szCs w:val="22"/>
              </w:rPr>
              <w:t>SD</w:t>
            </w:r>
          </w:p>
        </w:tc>
        <w:tc>
          <w:tcPr>
            <w:tcW w:w="3800" w:type="pct"/>
          </w:tcPr>
          <w:p w14:paraId="5CAD4BCC" w14:textId="01D0A8C6" w:rsidR="00431EB7" w:rsidRDefault="00431EB7" w:rsidP="00A704DC">
            <w:pPr>
              <w:cnfStyle w:val="000000000000" w:firstRow="0" w:lastRow="0" w:firstColumn="0" w:lastColumn="0" w:oddVBand="0" w:evenVBand="0" w:oddHBand="0" w:evenHBand="0" w:firstRowFirstColumn="0" w:firstRowLastColumn="0" w:lastRowFirstColumn="0" w:lastRowLastColumn="0"/>
              <w:rPr>
                <w:szCs w:val="22"/>
              </w:rPr>
            </w:pPr>
            <w:r>
              <w:rPr>
                <w:szCs w:val="22"/>
                <w:lang w:val="en-US"/>
              </w:rPr>
              <w:t>S</w:t>
            </w:r>
            <w:r w:rsidRPr="00431EB7">
              <w:rPr>
                <w:szCs w:val="22"/>
                <w:lang w:val="en-US"/>
              </w:rPr>
              <w:t>tandard deviation</w:t>
            </w:r>
          </w:p>
        </w:tc>
      </w:tr>
      <w:tr w:rsidR="00BC1B3A" w:rsidRPr="00D01DDB" w14:paraId="7CD19D4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E1AACB" w14:textId="5969AD36" w:rsidR="00BC1B3A" w:rsidRPr="00D01DDB" w:rsidRDefault="00BC1B3A" w:rsidP="00A704DC">
            <w:pPr>
              <w:rPr>
                <w:szCs w:val="22"/>
              </w:rPr>
            </w:pPr>
            <w:r>
              <w:rPr>
                <w:szCs w:val="22"/>
              </w:rPr>
              <w:t>TDV</w:t>
            </w:r>
          </w:p>
        </w:tc>
        <w:tc>
          <w:tcPr>
            <w:tcW w:w="3800" w:type="pct"/>
          </w:tcPr>
          <w:p w14:paraId="1C622928" w14:textId="1A02FDFC" w:rsidR="00BC1B3A" w:rsidRPr="00D01DDB" w:rsidRDefault="00BC1B3A" w:rsidP="00A704DC">
            <w:pPr>
              <w:cnfStyle w:val="000000000000" w:firstRow="0" w:lastRow="0" w:firstColumn="0" w:lastColumn="0" w:oddVBand="0" w:evenVBand="0" w:oddHBand="0" w:evenHBand="0" w:firstRowFirstColumn="0" w:firstRowLastColumn="0" w:lastRowFirstColumn="0" w:lastRowLastColumn="0"/>
              <w:rPr>
                <w:szCs w:val="22"/>
              </w:rPr>
            </w:pPr>
            <w:r w:rsidRPr="00BC1B3A">
              <w:rPr>
                <w:szCs w:val="22"/>
              </w:rPr>
              <w:t>Tetravalent dengue vaccine</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A704DC" w:rsidRPr="00D01DD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38A76785" w:rsidR="00A704DC" w:rsidRPr="00D01DDB" w:rsidRDefault="00694A86" w:rsidP="00A704DC">
            <w:pPr>
              <w:rPr>
                <w:szCs w:val="22"/>
              </w:rPr>
            </w:pPr>
            <w:r>
              <w:rPr>
                <w:szCs w:val="22"/>
              </w:rPr>
              <w:t>US(A)</w:t>
            </w:r>
          </w:p>
        </w:tc>
        <w:tc>
          <w:tcPr>
            <w:tcW w:w="3800" w:type="pct"/>
          </w:tcPr>
          <w:p w14:paraId="53D4D108" w14:textId="28CC1DDF" w:rsidR="00A704DC" w:rsidRPr="00D01DDB" w:rsidRDefault="00694A86" w:rsidP="00A704DC">
            <w:pPr>
              <w:cnfStyle w:val="000000000000" w:firstRow="0" w:lastRow="0" w:firstColumn="0" w:lastColumn="0" w:oddVBand="0" w:evenVBand="0" w:oddHBand="0" w:evenHBand="0" w:firstRowFirstColumn="0" w:firstRowLastColumn="0" w:lastRowFirstColumn="0" w:lastRowLastColumn="0"/>
              <w:rPr>
                <w:szCs w:val="22"/>
              </w:rPr>
            </w:pPr>
            <w:r w:rsidRPr="00694A86">
              <w:rPr>
                <w:szCs w:val="22"/>
              </w:rPr>
              <w:t>United States of America</w:t>
            </w:r>
          </w:p>
        </w:tc>
      </w:tr>
      <w:tr w:rsidR="00492E42" w:rsidRPr="00D01DDB" w14:paraId="414F6E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E14E44" w14:textId="6B246E34" w:rsidR="00492E42" w:rsidRDefault="00492E42" w:rsidP="00A704DC">
            <w:pPr>
              <w:rPr>
                <w:szCs w:val="22"/>
              </w:rPr>
            </w:pPr>
            <w:r>
              <w:rPr>
                <w:szCs w:val="22"/>
              </w:rPr>
              <w:t>VCD</w:t>
            </w:r>
          </w:p>
        </w:tc>
        <w:tc>
          <w:tcPr>
            <w:tcW w:w="3800" w:type="pct"/>
          </w:tcPr>
          <w:p w14:paraId="478480D6" w14:textId="199A00A1" w:rsidR="00492E42" w:rsidRPr="00694A86" w:rsidRDefault="00492E42"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V</w:t>
            </w:r>
            <w:r w:rsidRPr="00C50987">
              <w:rPr>
                <w:szCs w:val="22"/>
              </w:rPr>
              <w:t>irologically confirmed dengue</w:t>
            </w:r>
          </w:p>
        </w:tc>
      </w:tr>
      <w:tr w:rsidR="00956261" w:rsidRPr="00D01DDB" w14:paraId="6057B1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90D2F6" w14:textId="16F7B0F5" w:rsidR="00956261" w:rsidRDefault="00956261" w:rsidP="00A704DC">
            <w:pPr>
              <w:rPr>
                <w:szCs w:val="22"/>
              </w:rPr>
            </w:pPr>
            <w:r>
              <w:rPr>
                <w:szCs w:val="22"/>
              </w:rPr>
              <w:t>VE</w:t>
            </w:r>
          </w:p>
        </w:tc>
        <w:tc>
          <w:tcPr>
            <w:tcW w:w="3800" w:type="pct"/>
          </w:tcPr>
          <w:p w14:paraId="31FA09D3" w14:textId="695C4FE8" w:rsidR="00956261" w:rsidRDefault="00956261"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V</w:t>
            </w:r>
            <w:r w:rsidRPr="00C50987">
              <w:rPr>
                <w:szCs w:val="22"/>
              </w:rPr>
              <w:t>accine efficacy</w:t>
            </w:r>
          </w:p>
        </w:tc>
      </w:tr>
      <w:tr w:rsidR="004A7705" w:rsidRPr="00D01DDB" w14:paraId="4236259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0FA541" w14:textId="3D00010E" w:rsidR="004A7705" w:rsidRPr="00D01DDB" w:rsidRDefault="004A7705" w:rsidP="00A704DC">
            <w:pPr>
              <w:rPr>
                <w:szCs w:val="22"/>
              </w:rPr>
            </w:pPr>
            <w:r>
              <w:rPr>
                <w:szCs w:val="22"/>
              </w:rPr>
              <w:t>WHO</w:t>
            </w:r>
          </w:p>
        </w:tc>
        <w:tc>
          <w:tcPr>
            <w:tcW w:w="3800" w:type="pct"/>
          </w:tcPr>
          <w:p w14:paraId="7C43703F" w14:textId="324CB958" w:rsidR="004A7705" w:rsidRPr="00D01DDB" w:rsidRDefault="004A7705" w:rsidP="00A704DC">
            <w:pPr>
              <w:cnfStyle w:val="000000000000" w:firstRow="0" w:lastRow="0" w:firstColumn="0" w:lastColumn="0" w:oddVBand="0" w:evenVBand="0" w:oddHBand="0" w:evenHBand="0" w:firstRowFirstColumn="0" w:firstRowLastColumn="0" w:lastRowFirstColumn="0" w:lastRowLastColumn="0"/>
              <w:rPr>
                <w:szCs w:val="22"/>
              </w:rPr>
            </w:pPr>
            <w:r w:rsidRPr="00621F45">
              <w:rPr>
                <w:szCs w:val="22"/>
              </w:rPr>
              <w:t>World Health Organization</w:t>
            </w:r>
          </w:p>
        </w:tc>
      </w:tr>
      <w:tr w:rsidR="004A7705" w:rsidRPr="00D01DDB" w14:paraId="0B061F5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ED6E06" w14:textId="0E709464" w:rsidR="004A7705" w:rsidRPr="00D01DDB" w:rsidRDefault="00CB4F7E" w:rsidP="00A704DC">
            <w:pPr>
              <w:rPr>
                <w:szCs w:val="22"/>
              </w:rPr>
            </w:pPr>
            <w:r>
              <w:rPr>
                <w:szCs w:val="22"/>
              </w:rPr>
              <w:t>YF</w:t>
            </w:r>
          </w:p>
        </w:tc>
        <w:tc>
          <w:tcPr>
            <w:tcW w:w="3800" w:type="pct"/>
          </w:tcPr>
          <w:p w14:paraId="3AA29A4C" w14:textId="28D3E77D" w:rsidR="004A7705" w:rsidRPr="00D01DDB" w:rsidRDefault="00CB4F7E"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Yellow Fever</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32600090"/>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32600091"/>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3118"/>
        <w:gridCol w:w="5952"/>
      </w:tblGrid>
      <w:tr w:rsidR="00324B33" w:rsidRPr="00BD5DBD" w14:paraId="77D11C95" w14:textId="77777777" w:rsidTr="00092BFF">
        <w:tc>
          <w:tcPr>
            <w:tcW w:w="1719" w:type="pct"/>
          </w:tcPr>
          <w:p w14:paraId="10E57D62" w14:textId="35875C31" w:rsidR="00324B33" w:rsidRPr="00BD5DBD" w:rsidRDefault="00324B33" w:rsidP="007452E8">
            <w:pPr>
              <w:rPr>
                <w:i/>
                <w:szCs w:val="22"/>
              </w:rPr>
            </w:pPr>
            <w:r w:rsidRPr="00BD5DBD">
              <w:rPr>
                <w:i/>
                <w:szCs w:val="22"/>
              </w:rPr>
              <w:t>Type of submission:</w:t>
            </w:r>
          </w:p>
        </w:tc>
        <w:tc>
          <w:tcPr>
            <w:tcW w:w="3281" w:type="pct"/>
          </w:tcPr>
          <w:p w14:paraId="4F07C303" w14:textId="4775CE78" w:rsidR="00324B33" w:rsidRPr="00BD5DBD" w:rsidRDefault="00324B33" w:rsidP="007452E8">
            <w:pPr>
              <w:rPr>
                <w:szCs w:val="22"/>
              </w:rPr>
            </w:pPr>
            <w:r w:rsidRPr="00BD5DBD">
              <w:rPr>
                <w:szCs w:val="22"/>
              </w:rPr>
              <w:t xml:space="preserve">New </w:t>
            </w:r>
            <w:r w:rsidR="00750E8B">
              <w:rPr>
                <w:szCs w:val="22"/>
              </w:rPr>
              <w:t xml:space="preserve">biological </w:t>
            </w:r>
            <w:r w:rsidRPr="00BD5DBD">
              <w:rPr>
                <w:szCs w:val="22"/>
              </w:rPr>
              <w:t xml:space="preserve">entity </w:t>
            </w:r>
          </w:p>
        </w:tc>
      </w:tr>
      <w:tr w:rsidR="00324B33" w:rsidRPr="00BD5DBD" w14:paraId="13482B61" w14:textId="77777777" w:rsidTr="00092BFF">
        <w:tc>
          <w:tcPr>
            <w:tcW w:w="1719" w:type="pct"/>
          </w:tcPr>
          <w:p w14:paraId="2C427FCF" w14:textId="33A5C133" w:rsidR="00324B33" w:rsidRPr="00BD5DBD" w:rsidRDefault="00324B33" w:rsidP="007452E8">
            <w:pPr>
              <w:rPr>
                <w:i/>
                <w:szCs w:val="22"/>
              </w:rPr>
            </w:pPr>
            <w:r w:rsidRPr="00BD5DBD">
              <w:rPr>
                <w:i/>
                <w:szCs w:val="22"/>
              </w:rPr>
              <w:t>Product name:</w:t>
            </w:r>
          </w:p>
        </w:tc>
        <w:tc>
          <w:tcPr>
            <w:tcW w:w="3281" w:type="pct"/>
          </w:tcPr>
          <w:p w14:paraId="0E2DEF76" w14:textId="26CABC57" w:rsidR="00324B33" w:rsidRPr="00BD5DBD" w:rsidRDefault="0019651C" w:rsidP="007452E8">
            <w:pPr>
              <w:rPr>
                <w:szCs w:val="22"/>
              </w:rPr>
            </w:pPr>
            <w:r>
              <w:rPr>
                <w:szCs w:val="22"/>
              </w:rPr>
              <w:t>Qdenga</w:t>
            </w:r>
          </w:p>
        </w:tc>
      </w:tr>
      <w:tr w:rsidR="00324B33" w:rsidRPr="00BD5DBD" w14:paraId="01255B5B" w14:textId="77777777" w:rsidTr="00092BFF">
        <w:tc>
          <w:tcPr>
            <w:tcW w:w="1719" w:type="pct"/>
          </w:tcPr>
          <w:p w14:paraId="52B4F3D7" w14:textId="64923CF8" w:rsidR="00324B33" w:rsidRPr="00BD5DBD" w:rsidRDefault="00324B33" w:rsidP="007452E8">
            <w:pPr>
              <w:rPr>
                <w:i/>
                <w:szCs w:val="22"/>
              </w:rPr>
            </w:pPr>
            <w:r w:rsidRPr="00BD5DBD">
              <w:rPr>
                <w:i/>
                <w:szCs w:val="22"/>
              </w:rPr>
              <w:t>Active ingredients:</w:t>
            </w:r>
          </w:p>
        </w:tc>
        <w:tc>
          <w:tcPr>
            <w:tcW w:w="3281" w:type="pct"/>
          </w:tcPr>
          <w:p w14:paraId="02FB6383" w14:textId="0CF4E5D2" w:rsidR="00324B33" w:rsidRPr="00BD5DBD" w:rsidRDefault="00AD077D" w:rsidP="007452E8">
            <w:pPr>
              <w:rPr>
                <w:szCs w:val="22"/>
              </w:rPr>
            </w:pPr>
            <w:r w:rsidRPr="00AD077D">
              <w:rPr>
                <w:szCs w:val="22"/>
              </w:rPr>
              <w:t>Dengue virus serotype 1 (live, attenuated), dengue virus serotype 2 (live, attenuated), dengue virus serotype 3 (live, attenuated), and dengue virus serotype 4 (live, attenuated)</w:t>
            </w:r>
            <w:r>
              <w:rPr>
                <w:szCs w:val="22"/>
              </w:rPr>
              <w:t>.</w:t>
            </w:r>
          </w:p>
        </w:tc>
      </w:tr>
      <w:tr w:rsidR="00324B33" w:rsidRPr="00BD5DBD" w14:paraId="219A281B" w14:textId="77777777" w:rsidTr="00092BFF">
        <w:tc>
          <w:tcPr>
            <w:tcW w:w="1719" w:type="pct"/>
          </w:tcPr>
          <w:p w14:paraId="112E5F78" w14:textId="77777777" w:rsidR="00324B33" w:rsidRPr="00BD5DBD" w:rsidRDefault="00324B33" w:rsidP="007452E8">
            <w:pPr>
              <w:rPr>
                <w:i/>
                <w:szCs w:val="22"/>
              </w:rPr>
            </w:pPr>
            <w:r w:rsidRPr="00BD5DBD">
              <w:rPr>
                <w:i/>
                <w:szCs w:val="22"/>
              </w:rPr>
              <w:t>Decision:</w:t>
            </w:r>
          </w:p>
        </w:tc>
        <w:tc>
          <w:tcPr>
            <w:tcW w:w="3281" w:type="pct"/>
          </w:tcPr>
          <w:p w14:paraId="3B114BEA" w14:textId="2A2172A5" w:rsidR="00324B33" w:rsidRPr="00BD5DBD" w:rsidRDefault="00324B33" w:rsidP="007452E8">
            <w:pPr>
              <w:rPr>
                <w:szCs w:val="22"/>
              </w:rPr>
            </w:pPr>
            <w:r w:rsidRPr="00BD5DBD">
              <w:rPr>
                <w:szCs w:val="22"/>
              </w:rPr>
              <w:t xml:space="preserve">Approved </w:t>
            </w:r>
          </w:p>
        </w:tc>
      </w:tr>
      <w:tr w:rsidR="00AE1947" w:rsidRPr="00BD5DBD" w14:paraId="32B72632" w14:textId="77777777" w:rsidTr="00092BFF">
        <w:tc>
          <w:tcPr>
            <w:tcW w:w="1719" w:type="pct"/>
          </w:tcPr>
          <w:p w14:paraId="332A5CD5" w14:textId="65682B5F" w:rsidR="00AE1947" w:rsidRPr="00BD5DBD" w:rsidRDefault="00AE1947" w:rsidP="007F1E37">
            <w:r w:rsidRPr="00BD5DBD">
              <w:rPr>
                <w:i/>
                <w:szCs w:val="22"/>
              </w:rPr>
              <w:t>Date of decision:</w:t>
            </w:r>
          </w:p>
        </w:tc>
        <w:tc>
          <w:tcPr>
            <w:tcW w:w="3281" w:type="pct"/>
          </w:tcPr>
          <w:p w14:paraId="7B381CD6" w14:textId="0E61E327" w:rsidR="00AE1947" w:rsidRPr="00BD5DBD" w:rsidRDefault="0097652F" w:rsidP="008E3121">
            <w:pPr>
              <w:rPr>
                <w:szCs w:val="22"/>
              </w:rPr>
            </w:pPr>
            <w:r w:rsidRPr="0097652F">
              <w:rPr>
                <w:szCs w:val="22"/>
              </w:rPr>
              <w:t>31 March 2026</w:t>
            </w:r>
          </w:p>
        </w:tc>
      </w:tr>
      <w:tr w:rsidR="00324B33" w:rsidRPr="00BD5DBD" w14:paraId="60A25F5A" w14:textId="77777777" w:rsidTr="00092BFF">
        <w:tc>
          <w:tcPr>
            <w:tcW w:w="1719" w:type="pct"/>
          </w:tcPr>
          <w:p w14:paraId="5C5E4CBA" w14:textId="77777777" w:rsidR="00324B33" w:rsidRPr="00BD5DBD" w:rsidRDefault="00324B33" w:rsidP="007452E8">
            <w:pPr>
              <w:rPr>
                <w:i/>
                <w:szCs w:val="22"/>
              </w:rPr>
            </w:pPr>
            <w:r w:rsidRPr="00BD5DBD">
              <w:rPr>
                <w:i/>
                <w:szCs w:val="22"/>
              </w:rPr>
              <w:t>Date of entry onto ARTG:</w:t>
            </w:r>
          </w:p>
        </w:tc>
        <w:tc>
          <w:tcPr>
            <w:tcW w:w="3281" w:type="pct"/>
          </w:tcPr>
          <w:p w14:paraId="28B270E9" w14:textId="13A46692" w:rsidR="00324B33" w:rsidRPr="00BD5DBD" w:rsidRDefault="004D160D" w:rsidP="007452E8">
            <w:pPr>
              <w:rPr>
                <w:szCs w:val="22"/>
              </w:rPr>
            </w:pPr>
            <w:r w:rsidRPr="004D160D">
              <w:rPr>
                <w:szCs w:val="22"/>
              </w:rPr>
              <w:t>8 April 2026</w:t>
            </w:r>
          </w:p>
        </w:tc>
      </w:tr>
      <w:tr w:rsidR="00324B33" w:rsidRPr="00BD5DBD" w14:paraId="547E08D7" w14:textId="77777777" w:rsidTr="00092BFF">
        <w:tc>
          <w:tcPr>
            <w:tcW w:w="1719" w:type="pct"/>
          </w:tcPr>
          <w:p w14:paraId="5030EF30" w14:textId="3D8A4C8B" w:rsidR="00324B33" w:rsidRPr="00BD5DBD" w:rsidRDefault="00324B33" w:rsidP="007452E8">
            <w:pPr>
              <w:rPr>
                <w:i/>
                <w:szCs w:val="22"/>
              </w:rPr>
            </w:pPr>
            <w:r w:rsidRPr="00BD5DBD">
              <w:rPr>
                <w:i/>
                <w:szCs w:val="22"/>
              </w:rPr>
              <w:t>ARTG number</w:t>
            </w:r>
            <w:r w:rsidR="00135E41">
              <w:rPr>
                <w:i/>
                <w:szCs w:val="22"/>
              </w:rPr>
              <w:t>s</w:t>
            </w:r>
            <w:r w:rsidRPr="00BD5DBD">
              <w:rPr>
                <w:i/>
                <w:szCs w:val="22"/>
              </w:rPr>
              <w:t>:</w:t>
            </w:r>
          </w:p>
        </w:tc>
        <w:tc>
          <w:tcPr>
            <w:tcW w:w="3281" w:type="pct"/>
          </w:tcPr>
          <w:p w14:paraId="0054E912" w14:textId="176F0B78" w:rsidR="00324B33" w:rsidRPr="00826943" w:rsidRDefault="00135E41" w:rsidP="007452E8">
            <w:pPr>
              <w:rPr>
                <w:szCs w:val="22"/>
              </w:rPr>
            </w:pPr>
            <w:r w:rsidRPr="00826943">
              <w:rPr>
                <w:szCs w:val="22"/>
              </w:rPr>
              <w:t>484846, 506646</w:t>
            </w:r>
          </w:p>
        </w:tc>
      </w:tr>
      <w:tr w:rsidR="00324B33" w:rsidRPr="00BD5DBD" w14:paraId="7618393F" w14:textId="77777777" w:rsidTr="00092BFF">
        <w:tc>
          <w:tcPr>
            <w:tcW w:w="1719"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281" w:type="pct"/>
          </w:tcPr>
          <w:p w14:paraId="6FF3C6A2" w14:textId="4B7C6508" w:rsidR="00324B33" w:rsidRPr="00BD5DBD" w:rsidRDefault="003F6281" w:rsidP="007452E8">
            <w:pPr>
              <w:rPr>
                <w:szCs w:val="22"/>
              </w:rPr>
            </w:pPr>
            <w:r>
              <w:rPr>
                <w:szCs w:val="22"/>
              </w:rPr>
              <w:t>Yes</w:t>
            </w:r>
          </w:p>
        </w:tc>
      </w:tr>
      <w:tr w:rsidR="00324B33" w:rsidRPr="00BD5DBD" w14:paraId="179E09FE" w14:textId="77777777" w:rsidTr="00092BFF">
        <w:tc>
          <w:tcPr>
            <w:tcW w:w="1719" w:type="pct"/>
          </w:tcPr>
          <w:p w14:paraId="1A592498" w14:textId="77777777" w:rsidR="00324B33" w:rsidRPr="00BD5DBD" w:rsidRDefault="00324B33" w:rsidP="007452E8">
            <w:pPr>
              <w:rPr>
                <w:i/>
                <w:szCs w:val="22"/>
              </w:rPr>
            </w:pPr>
            <w:r w:rsidRPr="00BD5DBD">
              <w:rPr>
                <w:i/>
                <w:szCs w:val="22"/>
              </w:rPr>
              <w:t>Sponsor’s name and address:</w:t>
            </w:r>
          </w:p>
        </w:tc>
        <w:tc>
          <w:tcPr>
            <w:tcW w:w="3281" w:type="pct"/>
          </w:tcPr>
          <w:p w14:paraId="41DF7B4B" w14:textId="77777777" w:rsidR="00EE3D4B" w:rsidRPr="00EE3D4B" w:rsidRDefault="00EE3D4B" w:rsidP="00EE3D4B">
            <w:pPr>
              <w:rPr>
                <w:szCs w:val="22"/>
              </w:rPr>
            </w:pPr>
            <w:r w:rsidRPr="00EE3D4B">
              <w:rPr>
                <w:szCs w:val="22"/>
              </w:rPr>
              <w:t>Takeda Pharmaceuticals Australia Pty Ltd</w:t>
            </w:r>
          </w:p>
          <w:p w14:paraId="1707EFDE" w14:textId="2DD4296B" w:rsidR="006E2D03" w:rsidRPr="006E2D03" w:rsidRDefault="006E2D03" w:rsidP="006E2D03">
            <w:pPr>
              <w:rPr>
                <w:szCs w:val="22"/>
              </w:rPr>
            </w:pPr>
            <w:r w:rsidRPr="006E2D03">
              <w:rPr>
                <w:szCs w:val="22"/>
              </w:rPr>
              <w:t>Level 39</w:t>
            </w:r>
            <w:r>
              <w:rPr>
                <w:szCs w:val="22"/>
              </w:rPr>
              <w:t xml:space="preserve">, </w:t>
            </w:r>
            <w:r w:rsidRPr="006E2D03">
              <w:rPr>
                <w:szCs w:val="22"/>
              </w:rPr>
              <w:t>225 George Street</w:t>
            </w:r>
          </w:p>
          <w:p w14:paraId="2689C668" w14:textId="77777777" w:rsidR="006E2D03" w:rsidRPr="006E2D03" w:rsidRDefault="006E2D03" w:rsidP="006E2D03">
            <w:pPr>
              <w:rPr>
                <w:szCs w:val="22"/>
              </w:rPr>
            </w:pPr>
            <w:r w:rsidRPr="006E2D03">
              <w:rPr>
                <w:szCs w:val="22"/>
              </w:rPr>
              <w:t>Sydney NSW 2000</w:t>
            </w:r>
          </w:p>
          <w:p w14:paraId="68DD94B0" w14:textId="0E8D4473" w:rsidR="00324B33" w:rsidRPr="00BD5DBD" w:rsidRDefault="006E2D03" w:rsidP="006E2D03">
            <w:pPr>
              <w:rPr>
                <w:szCs w:val="22"/>
              </w:rPr>
            </w:pPr>
            <w:r w:rsidRPr="006E2D03">
              <w:rPr>
                <w:szCs w:val="22"/>
              </w:rPr>
              <w:t>Australia</w:t>
            </w:r>
          </w:p>
        </w:tc>
      </w:tr>
      <w:tr w:rsidR="00324B33" w:rsidRPr="00BD5DBD" w14:paraId="5322B989" w14:textId="77777777" w:rsidTr="00092BFF">
        <w:tc>
          <w:tcPr>
            <w:tcW w:w="1719" w:type="pct"/>
          </w:tcPr>
          <w:p w14:paraId="24F217E3" w14:textId="7D6EE37D" w:rsidR="00324B33" w:rsidRPr="00BD5DBD" w:rsidRDefault="00324B33" w:rsidP="007452E8">
            <w:pPr>
              <w:rPr>
                <w:i/>
                <w:szCs w:val="22"/>
              </w:rPr>
            </w:pPr>
            <w:r w:rsidRPr="00BD5DBD">
              <w:rPr>
                <w:i/>
                <w:szCs w:val="22"/>
              </w:rPr>
              <w:t>Dose forms:</w:t>
            </w:r>
          </w:p>
        </w:tc>
        <w:tc>
          <w:tcPr>
            <w:tcW w:w="3281" w:type="pct"/>
          </w:tcPr>
          <w:p w14:paraId="768B254C" w14:textId="2D08AACA" w:rsidR="00324B33" w:rsidRPr="00BD5DBD" w:rsidRDefault="001F1895" w:rsidP="007452E8">
            <w:pPr>
              <w:rPr>
                <w:szCs w:val="22"/>
              </w:rPr>
            </w:pPr>
            <w:r>
              <w:rPr>
                <w:szCs w:val="22"/>
              </w:rPr>
              <w:t>Powder</w:t>
            </w:r>
            <w:r w:rsidR="00DE71CC">
              <w:rPr>
                <w:szCs w:val="22"/>
              </w:rPr>
              <w:t xml:space="preserve"> and solvent</w:t>
            </w:r>
            <w:r>
              <w:rPr>
                <w:szCs w:val="22"/>
              </w:rPr>
              <w:t xml:space="preserve"> for injection</w:t>
            </w:r>
            <w:r w:rsidR="005D746C">
              <w:rPr>
                <w:szCs w:val="22"/>
              </w:rPr>
              <w:t>.</w:t>
            </w:r>
          </w:p>
        </w:tc>
      </w:tr>
      <w:tr w:rsidR="00324B33" w:rsidRPr="00BD5DBD" w14:paraId="115243E6" w14:textId="77777777" w:rsidTr="00092BFF">
        <w:tc>
          <w:tcPr>
            <w:tcW w:w="1719" w:type="pct"/>
          </w:tcPr>
          <w:p w14:paraId="7634B062" w14:textId="1D56D6D6" w:rsidR="00324B33" w:rsidRPr="00BD5DBD" w:rsidRDefault="00324B33" w:rsidP="007452E8">
            <w:pPr>
              <w:rPr>
                <w:i/>
                <w:szCs w:val="22"/>
              </w:rPr>
            </w:pPr>
            <w:r w:rsidRPr="00BD5DBD">
              <w:rPr>
                <w:i/>
                <w:szCs w:val="22"/>
              </w:rPr>
              <w:t>Strengt</w:t>
            </w:r>
            <w:r w:rsidR="00C625F9">
              <w:rPr>
                <w:i/>
                <w:szCs w:val="22"/>
              </w:rPr>
              <w:t>h</w:t>
            </w:r>
            <w:r w:rsidRPr="00BD5DBD">
              <w:rPr>
                <w:i/>
                <w:szCs w:val="22"/>
              </w:rPr>
              <w:t>:</w:t>
            </w:r>
          </w:p>
        </w:tc>
        <w:tc>
          <w:tcPr>
            <w:tcW w:w="3281" w:type="pct"/>
          </w:tcPr>
          <w:p w14:paraId="4DE4BDE6" w14:textId="632EB421" w:rsidR="007F7DCE" w:rsidRPr="007F7DCE" w:rsidRDefault="007F7DCE" w:rsidP="007F7DCE">
            <w:pPr>
              <w:rPr>
                <w:szCs w:val="22"/>
              </w:rPr>
            </w:pPr>
            <w:r w:rsidRPr="007F7DCE">
              <w:rPr>
                <w:szCs w:val="22"/>
              </w:rPr>
              <w:t>1 dose (0.5 mL) contains</w:t>
            </w:r>
            <w:r w:rsidR="00284DEB">
              <w:rPr>
                <w:szCs w:val="22"/>
              </w:rPr>
              <w:t xml:space="preserve"> live attenuated</w:t>
            </w:r>
            <w:r w:rsidRPr="007F7DCE">
              <w:rPr>
                <w:szCs w:val="22"/>
              </w:rPr>
              <w:t>:</w:t>
            </w:r>
          </w:p>
          <w:p w14:paraId="76A983D4" w14:textId="61C12CCC" w:rsidR="00D970FD" w:rsidRPr="00510943" w:rsidRDefault="007F7DCE" w:rsidP="00B45E9D">
            <w:pPr>
              <w:pStyle w:val="ListBullet"/>
              <w:spacing w:before="0" w:after="0"/>
              <w:rPr>
                <w:lang w:val="fr-CH"/>
              </w:rPr>
            </w:pPr>
            <w:r w:rsidRPr="00510943">
              <w:rPr>
                <w:lang w:val="fr-CH"/>
              </w:rPr>
              <w:t xml:space="preserve">Dengue virus </w:t>
            </w:r>
            <w:proofErr w:type="spellStart"/>
            <w:r w:rsidRPr="00510943">
              <w:rPr>
                <w:lang w:val="fr-CH"/>
              </w:rPr>
              <w:t>serotype</w:t>
            </w:r>
            <w:proofErr w:type="spellEnd"/>
            <w:r w:rsidRPr="00510943">
              <w:rPr>
                <w:lang w:val="fr-CH"/>
              </w:rPr>
              <w:t xml:space="preserve"> </w:t>
            </w:r>
            <w:proofErr w:type="gramStart"/>
            <w:r w:rsidRPr="00510943">
              <w:rPr>
                <w:lang w:val="fr-CH"/>
              </w:rPr>
              <w:t>1:</w:t>
            </w:r>
            <w:proofErr w:type="gramEnd"/>
            <w:r w:rsidRPr="00510943">
              <w:rPr>
                <w:lang w:val="fr-CH"/>
              </w:rPr>
              <w:t xml:space="preserve"> ≥ 3.3 log10 PFU</w:t>
            </w:r>
            <w:r w:rsidR="0057052A" w:rsidRPr="00510943">
              <w:rPr>
                <w:lang w:val="fr-CH"/>
              </w:rPr>
              <w:t xml:space="preserve"> (Plaque-forming </w:t>
            </w:r>
            <w:r w:rsidR="006A15F2" w:rsidRPr="00510943">
              <w:rPr>
                <w:lang w:val="fr-CH"/>
              </w:rPr>
              <w:t>unit) /</w:t>
            </w:r>
            <w:r w:rsidRPr="00510943">
              <w:rPr>
                <w:lang w:val="fr-CH"/>
              </w:rPr>
              <w:t>dose</w:t>
            </w:r>
            <w:r w:rsidR="007C3637" w:rsidRPr="00510943">
              <w:rPr>
                <w:lang w:val="fr-CH"/>
              </w:rPr>
              <w:t>*</w:t>
            </w:r>
          </w:p>
          <w:p w14:paraId="0B48D3D1" w14:textId="62D41CB9" w:rsidR="007F7DCE" w:rsidRPr="00510943" w:rsidRDefault="007F7DCE" w:rsidP="00B45E9D">
            <w:pPr>
              <w:pStyle w:val="ListBullet"/>
              <w:spacing w:before="0" w:after="0"/>
              <w:rPr>
                <w:lang w:val="fr-CH"/>
              </w:rPr>
            </w:pPr>
            <w:r w:rsidRPr="00510943">
              <w:rPr>
                <w:lang w:val="fr-CH"/>
              </w:rPr>
              <w:t xml:space="preserve">Dengue virus </w:t>
            </w:r>
            <w:proofErr w:type="spellStart"/>
            <w:r w:rsidRPr="00510943">
              <w:rPr>
                <w:lang w:val="fr-CH"/>
              </w:rPr>
              <w:t>serotype</w:t>
            </w:r>
            <w:proofErr w:type="spellEnd"/>
            <w:r w:rsidRPr="00510943">
              <w:rPr>
                <w:lang w:val="fr-CH"/>
              </w:rPr>
              <w:t xml:space="preserve"> </w:t>
            </w:r>
            <w:proofErr w:type="gramStart"/>
            <w:r w:rsidRPr="00510943">
              <w:rPr>
                <w:lang w:val="fr-CH"/>
              </w:rPr>
              <w:t>2:</w:t>
            </w:r>
            <w:proofErr w:type="gramEnd"/>
            <w:r w:rsidRPr="00510943">
              <w:rPr>
                <w:lang w:val="fr-CH"/>
              </w:rPr>
              <w:t xml:space="preserve"> ≥ 2.7 log10 PFU/dose</w:t>
            </w:r>
            <w:r w:rsidR="007C3637" w:rsidRPr="00510943">
              <w:rPr>
                <w:lang w:val="fr-CH"/>
              </w:rPr>
              <w:t xml:space="preserve"> #</w:t>
            </w:r>
          </w:p>
          <w:p w14:paraId="03F2B28D" w14:textId="1083DDD6" w:rsidR="007F7DCE" w:rsidRPr="00510943" w:rsidRDefault="007F7DCE" w:rsidP="00B45E9D">
            <w:pPr>
              <w:pStyle w:val="ListBullet"/>
              <w:spacing w:before="0" w:after="0"/>
              <w:rPr>
                <w:lang w:val="fr-CH"/>
              </w:rPr>
            </w:pPr>
            <w:r w:rsidRPr="00510943">
              <w:rPr>
                <w:lang w:val="fr-CH"/>
              </w:rPr>
              <w:t xml:space="preserve">Dengue virus </w:t>
            </w:r>
            <w:proofErr w:type="spellStart"/>
            <w:r w:rsidRPr="00510943">
              <w:rPr>
                <w:lang w:val="fr-CH"/>
              </w:rPr>
              <w:t>serotype</w:t>
            </w:r>
            <w:proofErr w:type="spellEnd"/>
            <w:r w:rsidRPr="00510943">
              <w:rPr>
                <w:lang w:val="fr-CH"/>
              </w:rPr>
              <w:t xml:space="preserve"> </w:t>
            </w:r>
            <w:proofErr w:type="gramStart"/>
            <w:r w:rsidRPr="00510943">
              <w:rPr>
                <w:lang w:val="fr-CH"/>
              </w:rPr>
              <w:t>3:</w:t>
            </w:r>
            <w:proofErr w:type="gramEnd"/>
            <w:r w:rsidRPr="00510943">
              <w:rPr>
                <w:lang w:val="fr-CH"/>
              </w:rPr>
              <w:t xml:space="preserve"> ≥ 4.0 log10 PFU/dose</w:t>
            </w:r>
            <w:r w:rsidR="007C3637" w:rsidRPr="00510943">
              <w:rPr>
                <w:lang w:val="fr-CH"/>
              </w:rPr>
              <w:t>*</w:t>
            </w:r>
          </w:p>
          <w:p w14:paraId="1585B4F5" w14:textId="08F9EB0D" w:rsidR="007C3637" w:rsidRPr="00510943" w:rsidRDefault="007F7DCE" w:rsidP="008E3121">
            <w:pPr>
              <w:pStyle w:val="ListBullet"/>
              <w:numPr>
                <w:ilvl w:val="0"/>
                <w:numId w:val="0"/>
              </w:numPr>
              <w:spacing w:before="0" w:after="0"/>
              <w:ind w:left="360"/>
              <w:rPr>
                <w:lang w:val="fr-CH"/>
              </w:rPr>
            </w:pPr>
            <w:r w:rsidRPr="00510943">
              <w:rPr>
                <w:lang w:val="fr-CH"/>
              </w:rPr>
              <w:t xml:space="preserve">Dengue virus </w:t>
            </w:r>
            <w:proofErr w:type="spellStart"/>
            <w:r w:rsidRPr="00510943">
              <w:rPr>
                <w:lang w:val="fr-CH"/>
              </w:rPr>
              <w:t>serotype</w:t>
            </w:r>
            <w:proofErr w:type="spellEnd"/>
            <w:r w:rsidRPr="00510943">
              <w:rPr>
                <w:lang w:val="fr-CH"/>
              </w:rPr>
              <w:t xml:space="preserve"> </w:t>
            </w:r>
            <w:proofErr w:type="gramStart"/>
            <w:r w:rsidRPr="00510943">
              <w:rPr>
                <w:lang w:val="fr-CH"/>
              </w:rPr>
              <w:t>4</w:t>
            </w:r>
            <w:r w:rsidR="007C3637" w:rsidRPr="00510943">
              <w:rPr>
                <w:lang w:val="fr-CH"/>
              </w:rPr>
              <w:t>:</w:t>
            </w:r>
            <w:proofErr w:type="gramEnd"/>
            <w:r w:rsidRPr="00510943">
              <w:rPr>
                <w:lang w:val="fr-CH"/>
              </w:rPr>
              <w:t xml:space="preserve"> ≥ 4.5 log10 PFU/dose</w:t>
            </w:r>
            <w:r w:rsidR="007C3637" w:rsidRPr="00510943">
              <w:rPr>
                <w:lang w:val="fr-CH"/>
              </w:rPr>
              <w:t>*</w:t>
            </w:r>
          </w:p>
          <w:p w14:paraId="448267F8" w14:textId="77777777" w:rsidR="00D110F5" w:rsidRDefault="007F7DCE" w:rsidP="00D110F5">
            <w:pPr>
              <w:rPr>
                <w:sz w:val="18"/>
                <w:szCs w:val="18"/>
              </w:rPr>
            </w:pPr>
            <w:r w:rsidRPr="007F7DCE">
              <w:rPr>
                <w:szCs w:val="22"/>
              </w:rPr>
              <w:t>*</w:t>
            </w:r>
            <w:r w:rsidRPr="007F7DCE">
              <w:rPr>
                <w:sz w:val="18"/>
                <w:szCs w:val="18"/>
              </w:rPr>
              <w:t>Produced in Vero cells by recombinant DNA technology. Genes of serotype-</w:t>
            </w:r>
            <w:r w:rsidR="00D110F5">
              <w:rPr>
                <w:sz w:val="18"/>
                <w:szCs w:val="18"/>
              </w:rPr>
              <w:t>s</w:t>
            </w:r>
            <w:r w:rsidRPr="007F7DCE">
              <w:rPr>
                <w:sz w:val="18"/>
                <w:szCs w:val="18"/>
              </w:rPr>
              <w:t>pecific surface proteins</w:t>
            </w:r>
            <w:r w:rsidR="00D970FD" w:rsidRPr="00B3546A">
              <w:rPr>
                <w:sz w:val="18"/>
                <w:szCs w:val="18"/>
              </w:rPr>
              <w:t xml:space="preserve"> </w:t>
            </w:r>
            <w:r w:rsidRPr="007F7DCE">
              <w:rPr>
                <w:sz w:val="18"/>
                <w:szCs w:val="18"/>
              </w:rPr>
              <w:t>engineered into dengue type 2 backbone</w:t>
            </w:r>
          </w:p>
          <w:p w14:paraId="5E5F83DB" w14:textId="1A47833D" w:rsidR="00324B33" w:rsidRPr="00BD5DBD" w:rsidRDefault="007F7DCE" w:rsidP="00D110F5">
            <w:pPr>
              <w:rPr>
                <w:szCs w:val="22"/>
              </w:rPr>
            </w:pPr>
            <w:r w:rsidRPr="00B3546A">
              <w:rPr>
                <w:sz w:val="18"/>
                <w:szCs w:val="18"/>
              </w:rPr>
              <w:t># Produced in Vero cells by recombinant DNA technology</w:t>
            </w:r>
          </w:p>
        </w:tc>
      </w:tr>
      <w:tr w:rsidR="00324B33" w:rsidRPr="00BD5DBD" w14:paraId="34B07BA6" w14:textId="77777777" w:rsidTr="00092BFF">
        <w:tc>
          <w:tcPr>
            <w:tcW w:w="1719" w:type="pct"/>
          </w:tcPr>
          <w:p w14:paraId="1C039224" w14:textId="2BFE99E5" w:rsidR="00324B33" w:rsidRPr="00BD5DBD" w:rsidRDefault="00324B33" w:rsidP="007452E8">
            <w:pPr>
              <w:rPr>
                <w:i/>
                <w:szCs w:val="22"/>
              </w:rPr>
            </w:pPr>
            <w:r w:rsidRPr="00BD5DBD">
              <w:rPr>
                <w:i/>
                <w:szCs w:val="22"/>
              </w:rPr>
              <w:t>Containers:</w:t>
            </w:r>
          </w:p>
        </w:tc>
        <w:tc>
          <w:tcPr>
            <w:tcW w:w="3281" w:type="pct"/>
          </w:tcPr>
          <w:p w14:paraId="77E56B08" w14:textId="77777777" w:rsidR="00BA2616" w:rsidRDefault="00783F05" w:rsidP="007452E8">
            <w:pPr>
              <w:rPr>
                <w:szCs w:val="22"/>
              </w:rPr>
            </w:pPr>
            <w:r>
              <w:rPr>
                <w:szCs w:val="22"/>
              </w:rPr>
              <w:t xml:space="preserve">Powder for injection: </w:t>
            </w:r>
            <w:r w:rsidR="001970FF" w:rsidRPr="001970FF">
              <w:rPr>
                <w:szCs w:val="22"/>
              </w:rPr>
              <w:t xml:space="preserve">Type I </w:t>
            </w:r>
            <w:r w:rsidR="00E931A1">
              <w:rPr>
                <w:szCs w:val="22"/>
              </w:rPr>
              <w:t>c</w:t>
            </w:r>
            <w:r w:rsidR="001970FF" w:rsidRPr="001970FF">
              <w:rPr>
                <w:szCs w:val="22"/>
              </w:rPr>
              <w:t>lear</w:t>
            </w:r>
            <w:r w:rsidR="00AB4BDB">
              <w:rPr>
                <w:szCs w:val="22"/>
              </w:rPr>
              <w:t xml:space="preserve"> </w:t>
            </w:r>
            <w:r w:rsidR="00E931A1">
              <w:rPr>
                <w:szCs w:val="22"/>
              </w:rPr>
              <w:t>glass</w:t>
            </w:r>
            <w:r w:rsidR="00A513BE" w:rsidRPr="00A513BE">
              <w:t xml:space="preserve"> </w:t>
            </w:r>
            <w:r w:rsidR="00A513BE" w:rsidRPr="00A513BE">
              <w:rPr>
                <w:szCs w:val="22"/>
              </w:rPr>
              <w:t>vial</w:t>
            </w:r>
            <w:r w:rsidR="00606B57">
              <w:rPr>
                <w:szCs w:val="22"/>
              </w:rPr>
              <w:t xml:space="preserve">. </w:t>
            </w:r>
          </w:p>
          <w:p w14:paraId="500A42C6" w14:textId="75CE2AE2" w:rsidR="00324B33" w:rsidRPr="00BD5DBD" w:rsidRDefault="009F3245" w:rsidP="007452E8">
            <w:pPr>
              <w:rPr>
                <w:szCs w:val="22"/>
              </w:rPr>
            </w:pPr>
            <w:r>
              <w:rPr>
                <w:szCs w:val="22"/>
              </w:rPr>
              <w:t>Solvent</w:t>
            </w:r>
            <w:r w:rsidR="00BA2616">
              <w:rPr>
                <w:szCs w:val="22"/>
              </w:rPr>
              <w:t>: P</w:t>
            </w:r>
            <w:r w:rsidR="0082438E" w:rsidRPr="0082438E">
              <w:rPr>
                <w:szCs w:val="22"/>
              </w:rPr>
              <w:t>re-filled syringe (Type 1 glass)</w:t>
            </w:r>
            <w:r w:rsidR="0082438E">
              <w:rPr>
                <w:szCs w:val="22"/>
              </w:rPr>
              <w:t xml:space="preserve"> or </w:t>
            </w:r>
            <w:r w:rsidR="00BA2616">
              <w:rPr>
                <w:szCs w:val="22"/>
              </w:rPr>
              <w:t>vial (</w:t>
            </w:r>
            <w:r w:rsidR="0082438E">
              <w:rPr>
                <w:szCs w:val="22"/>
              </w:rPr>
              <w:t>Type 1 glass</w:t>
            </w:r>
            <w:r w:rsidR="00BA2616">
              <w:rPr>
                <w:szCs w:val="22"/>
              </w:rPr>
              <w:t>)</w:t>
            </w:r>
            <w:r w:rsidR="0082438E">
              <w:rPr>
                <w:szCs w:val="22"/>
              </w:rPr>
              <w:t xml:space="preserve">. </w:t>
            </w:r>
          </w:p>
        </w:tc>
      </w:tr>
      <w:tr w:rsidR="00324B33" w:rsidRPr="00BD5DBD" w14:paraId="176B6773" w14:textId="77777777" w:rsidTr="00092BFF">
        <w:tc>
          <w:tcPr>
            <w:tcW w:w="1719" w:type="pct"/>
          </w:tcPr>
          <w:p w14:paraId="71846159" w14:textId="22A79904" w:rsidR="00324B33" w:rsidRPr="00BD5DBD" w:rsidRDefault="00324B33" w:rsidP="007452E8">
            <w:pPr>
              <w:rPr>
                <w:i/>
                <w:szCs w:val="22"/>
              </w:rPr>
            </w:pPr>
            <w:r w:rsidRPr="00BD5DBD">
              <w:rPr>
                <w:i/>
                <w:szCs w:val="22"/>
              </w:rPr>
              <w:t>Pack sizes:</w:t>
            </w:r>
          </w:p>
        </w:tc>
        <w:tc>
          <w:tcPr>
            <w:tcW w:w="3281" w:type="pct"/>
          </w:tcPr>
          <w:p w14:paraId="7A3429D5" w14:textId="4CAF9FA9" w:rsidR="00B86D46" w:rsidRPr="00B86D46" w:rsidRDefault="00B86D46" w:rsidP="008C2295">
            <w:pPr>
              <w:spacing w:after="0"/>
              <w:rPr>
                <w:szCs w:val="22"/>
              </w:rPr>
            </w:pPr>
            <w:r w:rsidRPr="00B86D46">
              <w:rPr>
                <w:szCs w:val="22"/>
              </w:rPr>
              <w:t>Pack size: 1 (vial/pre-filled syringe)</w:t>
            </w:r>
          </w:p>
          <w:p w14:paraId="3E35DB5F" w14:textId="77777777" w:rsidR="00B86D46" w:rsidRPr="00B86D46" w:rsidRDefault="00B86D46" w:rsidP="008C2295">
            <w:pPr>
              <w:spacing w:after="0"/>
              <w:rPr>
                <w:szCs w:val="22"/>
              </w:rPr>
            </w:pPr>
            <w:r w:rsidRPr="00B86D46">
              <w:rPr>
                <w:szCs w:val="22"/>
              </w:rPr>
              <w:t>Pack size: 1 or 10 (vial/vial)</w:t>
            </w:r>
          </w:p>
          <w:p w14:paraId="7E978F8F" w14:textId="5EFD9ABB" w:rsidR="00B86D46" w:rsidRPr="00BD5DBD" w:rsidRDefault="00B86D46" w:rsidP="007452E8">
            <w:pPr>
              <w:rPr>
                <w:szCs w:val="22"/>
              </w:rPr>
            </w:pPr>
          </w:p>
        </w:tc>
      </w:tr>
      <w:tr w:rsidR="00324B33" w:rsidRPr="00BD5DBD" w14:paraId="19A2544A" w14:textId="77777777" w:rsidTr="00092BFF">
        <w:tc>
          <w:tcPr>
            <w:tcW w:w="1719" w:type="pct"/>
          </w:tcPr>
          <w:p w14:paraId="0E6C5C0E" w14:textId="77777777"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281" w:type="pct"/>
          </w:tcPr>
          <w:p w14:paraId="3B002B92" w14:textId="3CAB56F2" w:rsidR="00B605EC" w:rsidRPr="00B605EC" w:rsidRDefault="00B605EC" w:rsidP="00B605EC">
            <w:pPr>
              <w:rPr>
                <w:i/>
                <w:iCs/>
                <w:szCs w:val="22"/>
              </w:rPr>
            </w:pPr>
            <w:r w:rsidRPr="00B605EC">
              <w:rPr>
                <w:i/>
                <w:iCs/>
                <w:szCs w:val="22"/>
              </w:rPr>
              <w:t>Q</w:t>
            </w:r>
            <w:r w:rsidR="009B0641">
              <w:rPr>
                <w:i/>
                <w:iCs/>
                <w:szCs w:val="22"/>
              </w:rPr>
              <w:t>denga</w:t>
            </w:r>
            <w:r w:rsidRPr="00B605EC">
              <w:rPr>
                <w:i/>
                <w:iCs/>
                <w:szCs w:val="22"/>
              </w:rPr>
              <w:t xml:space="preserve"> is indicated for the prevention of dengue disease in individuals from 4 years of age.</w:t>
            </w:r>
          </w:p>
          <w:p w14:paraId="6E143E2E" w14:textId="10945310" w:rsidR="00324B33" w:rsidRPr="00BD5DBD" w:rsidRDefault="00B605EC" w:rsidP="00B605EC">
            <w:pPr>
              <w:rPr>
                <w:szCs w:val="22"/>
              </w:rPr>
            </w:pPr>
            <w:r w:rsidRPr="00B605EC">
              <w:rPr>
                <w:i/>
                <w:iCs/>
                <w:szCs w:val="22"/>
              </w:rPr>
              <w:t>The use of this vaccine should be in accordance with official recommendations.</w:t>
            </w:r>
          </w:p>
        </w:tc>
      </w:tr>
      <w:tr w:rsidR="00324B33" w:rsidRPr="00BD5DBD" w14:paraId="5AFDEED3" w14:textId="77777777" w:rsidTr="00092BFF">
        <w:tc>
          <w:tcPr>
            <w:tcW w:w="1719" w:type="pct"/>
          </w:tcPr>
          <w:p w14:paraId="03884BD1" w14:textId="1214A5F1" w:rsidR="00324B33" w:rsidRPr="00BD5DBD" w:rsidRDefault="00324B33" w:rsidP="007452E8">
            <w:pPr>
              <w:rPr>
                <w:i/>
                <w:szCs w:val="22"/>
              </w:rPr>
            </w:pPr>
            <w:r w:rsidRPr="00BD5DBD">
              <w:rPr>
                <w:i/>
                <w:szCs w:val="22"/>
              </w:rPr>
              <w:t>Route of administration:</w:t>
            </w:r>
          </w:p>
        </w:tc>
        <w:tc>
          <w:tcPr>
            <w:tcW w:w="3281" w:type="pct"/>
          </w:tcPr>
          <w:p w14:paraId="1ED1357E" w14:textId="6DA16D12" w:rsidR="00324B33" w:rsidRPr="00BD5DBD" w:rsidRDefault="005C0905" w:rsidP="007452E8">
            <w:pPr>
              <w:rPr>
                <w:szCs w:val="22"/>
              </w:rPr>
            </w:pPr>
            <w:r>
              <w:rPr>
                <w:szCs w:val="22"/>
              </w:rPr>
              <w:t>S</w:t>
            </w:r>
            <w:r w:rsidRPr="005C0905">
              <w:rPr>
                <w:szCs w:val="22"/>
              </w:rPr>
              <w:t xml:space="preserve">ubcutaneous injection </w:t>
            </w:r>
            <w:r w:rsidR="000C3999">
              <w:rPr>
                <w:szCs w:val="22"/>
              </w:rPr>
              <w:t>(</w:t>
            </w:r>
            <w:r w:rsidRPr="005C0905">
              <w:rPr>
                <w:szCs w:val="22"/>
              </w:rPr>
              <w:t>upper arm</w:t>
            </w:r>
            <w:r w:rsidR="000C3999">
              <w:rPr>
                <w:szCs w:val="22"/>
              </w:rPr>
              <w:t>)</w:t>
            </w:r>
          </w:p>
        </w:tc>
      </w:tr>
      <w:tr w:rsidR="00324B33" w:rsidRPr="00BD5DBD" w14:paraId="70D7E9FA" w14:textId="77777777" w:rsidTr="00092BFF">
        <w:tc>
          <w:tcPr>
            <w:tcW w:w="1719" w:type="pct"/>
          </w:tcPr>
          <w:p w14:paraId="5ABFFC80" w14:textId="77777777" w:rsidR="00324B33" w:rsidRPr="00BD5DBD" w:rsidRDefault="00324B33" w:rsidP="007452E8">
            <w:pPr>
              <w:rPr>
                <w:i/>
                <w:szCs w:val="22"/>
              </w:rPr>
            </w:pPr>
            <w:r w:rsidRPr="00BD5DBD">
              <w:rPr>
                <w:i/>
                <w:szCs w:val="22"/>
              </w:rPr>
              <w:lastRenderedPageBreak/>
              <w:t>Dosage:</w:t>
            </w:r>
          </w:p>
        </w:tc>
        <w:tc>
          <w:tcPr>
            <w:tcW w:w="3281" w:type="pct"/>
          </w:tcPr>
          <w:p w14:paraId="31696240" w14:textId="3CECFDBB" w:rsidR="00902938" w:rsidRPr="00902938" w:rsidRDefault="00902938" w:rsidP="00902938">
            <w:pPr>
              <w:rPr>
                <w:szCs w:val="22"/>
              </w:rPr>
            </w:pPr>
            <w:r w:rsidRPr="00902938">
              <w:rPr>
                <w:szCs w:val="22"/>
              </w:rPr>
              <w:t xml:space="preserve">0.5 mL dose </w:t>
            </w:r>
            <w:r w:rsidR="00F70E0A">
              <w:rPr>
                <w:szCs w:val="22"/>
              </w:rPr>
              <w:t xml:space="preserve">as part of a </w:t>
            </w:r>
            <w:r w:rsidR="00975C46">
              <w:rPr>
                <w:szCs w:val="22"/>
              </w:rPr>
              <w:t>two-dose</w:t>
            </w:r>
            <w:r w:rsidR="00F70E0A">
              <w:rPr>
                <w:szCs w:val="22"/>
              </w:rPr>
              <w:t xml:space="preserve"> schedule</w:t>
            </w:r>
            <w:r w:rsidRPr="00902938">
              <w:rPr>
                <w:szCs w:val="22"/>
              </w:rPr>
              <w:t xml:space="preserve"> (0 and 3 months).</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092BFF">
        <w:tc>
          <w:tcPr>
            <w:tcW w:w="1719" w:type="pct"/>
          </w:tcPr>
          <w:p w14:paraId="3A76AFF7" w14:textId="7C436DD9" w:rsidR="0017005C" w:rsidRPr="00F8083B" w:rsidRDefault="0070330F" w:rsidP="0017005C">
            <w:r w:rsidRPr="00BD5DBD">
              <w:rPr>
                <w:i/>
                <w:szCs w:val="22"/>
              </w:rPr>
              <w:t>Pregnancy category:</w:t>
            </w:r>
          </w:p>
        </w:tc>
        <w:tc>
          <w:tcPr>
            <w:tcW w:w="3281" w:type="pct"/>
          </w:tcPr>
          <w:p w14:paraId="6D325958" w14:textId="77777777" w:rsidR="00104136" w:rsidRPr="00104136" w:rsidRDefault="00104136" w:rsidP="00104136">
            <w:pPr>
              <w:rPr>
                <w:b/>
                <w:bCs/>
                <w:szCs w:val="22"/>
              </w:rPr>
            </w:pPr>
            <w:r w:rsidRPr="00104136">
              <w:rPr>
                <w:b/>
                <w:bCs/>
                <w:szCs w:val="22"/>
              </w:rPr>
              <w:t>Category B2</w:t>
            </w:r>
          </w:p>
          <w:p w14:paraId="245CFCFF" w14:textId="3F57BBD6" w:rsidR="00104136" w:rsidRPr="00104136" w:rsidRDefault="00104136" w:rsidP="00104136">
            <w:pPr>
              <w:rPr>
                <w:szCs w:val="22"/>
              </w:rPr>
            </w:pPr>
            <w:r w:rsidRPr="00104136">
              <w:rPr>
                <w:szCs w:val="22"/>
              </w:rPr>
              <w:t>Q</w:t>
            </w:r>
            <w:r>
              <w:rPr>
                <w:szCs w:val="22"/>
              </w:rPr>
              <w:t>denga</w:t>
            </w:r>
            <w:r w:rsidRPr="00104136">
              <w:rPr>
                <w:szCs w:val="22"/>
              </w:rPr>
              <w:t xml:space="preserve"> is a live attenuated vaccine, therefore Q</w:t>
            </w:r>
            <w:r>
              <w:rPr>
                <w:szCs w:val="22"/>
              </w:rPr>
              <w:t>denga</w:t>
            </w:r>
            <w:r w:rsidRPr="00104136">
              <w:rPr>
                <w:szCs w:val="22"/>
              </w:rPr>
              <w:t xml:space="preserve"> is contraindicated during pregnancy (see</w:t>
            </w:r>
            <w:r>
              <w:rPr>
                <w:szCs w:val="22"/>
              </w:rPr>
              <w:t xml:space="preserve"> </w:t>
            </w:r>
            <w:r w:rsidRPr="00104136">
              <w:rPr>
                <w:szCs w:val="22"/>
              </w:rPr>
              <w:t>section 4.3 CONTRAINDICATIONS).</w:t>
            </w:r>
          </w:p>
          <w:p w14:paraId="2C4ED902" w14:textId="4F405F79" w:rsidR="00104136" w:rsidRPr="00104136" w:rsidRDefault="00104136" w:rsidP="00104136">
            <w:pPr>
              <w:rPr>
                <w:szCs w:val="22"/>
              </w:rPr>
            </w:pPr>
            <w:r w:rsidRPr="00104136">
              <w:rPr>
                <w:szCs w:val="22"/>
              </w:rPr>
              <w:t>Women of childbearing potential should avoid pregnancy for at least one month following vaccination.</w:t>
            </w:r>
            <w:r>
              <w:rPr>
                <w:szCs w:val="22"/>
              </w:rPr>
              <w:t xml:space="preserve"> </w:t>
            </w:r>
            <w:r w:rsidRPr="00104136">
              <w:rPr>
                <w:szCs w:val="22"/>
              </w:rPr>
              <w:t>Women who intend to become pregnant should be advised to delay vaccination.</w:t>
            </w:r>
          </w:p>
          <w:p w14:paraId="523C0835" w14:textId="46B43E32" w:rsidR="00104136" w:rsidRDefault="00104136" w:rsidP="00104136">
            <w:pPr>
              <w:rPr>
                <w:szCs w:val="22"/>
              </w:rPr>
            </w:pPr>
            <w:r w:rsidRPr="00104136">
              <w:rPr>
                <w:szCs w:val="22"/>
              </w:rPr>
              <w:t>There is limited amount of data from the use of Q</w:t>
            </w:r>
            <w:r w:rsidR="009746AB">
              <w:rPr>
                <w:szCs w:val="22"/>
              </w:rPr>
              <w:t>denga</w:t>
            </w:r>
            <w:r w:rsidRPr="00104136">
              <w:rPr>
                <w:szCs w:val="22"/>
              </w:rPr>
              <w:t xml:space="preserve"> in pregnant women. These data are not</w:t>
            </w:r>
            <w:r w:rsidR="009746AB">
              <w:rPr>
                <w:szCs w:val="22"/>
              </w:rPr>
              <w:t xml:space="preserve"> </w:t>
            </w:r>
            <w:r w:rsidRPr="00104136">
              <w:rPr>
                <w:szCs w:val="22"/>
              </w:rPr>
              <w:t>sufficient to conclude on the absence of potential effects of Q</w:t>
            </w:r>
            <w:r w:rsidR="009746AB">
              <w:rPr>
                <w:szCs w:val="22"/>
              </w:rPr>
              <w:t>denga</w:t>
            </w:r>
            <w:r w:rsidRPr="00104136">
              <w:rPr>
                <w:szCs w:val="22"/>
              </w:rPr>
              <w:t xml:space="preserve"> on pregnancy, embryo-</w:t>
            </w:r>
            <w:r w:rsidR="009746AB" w:rsidRPr="00104136">
              <w:rPr>
                <w:szCs w:val="22"/>
              </w:rPr>
              <w:t>foetal</w:t>
            </w:r>
            <w:r w:rsidR="009746AB">
              <w:rPr>
                <w:szCs w:val="22"/>
              </w:rPr>
              <w:t xml:space="preserve"> </w:t>
            </w:r>
            <w:r w:rsidRPr="00104136">
              <w:rPr>
                <w:szCs w:val="22"/>
              </w:rPr>
              <w:t>development, parturition and post-natal development.</w:t>
            </w:r>
          </w:p>
          <w:p w14:paraId="76497789" w14:textId="65FA6686"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32600092"/>
      <w:r>
        <w:t>Product background</w:t>
      </w:r>
      <w:bookmarkEnd w:id="11"/>
      <w:bookmarkEnd w:id="12"/>
      <w:bookmarkEnd w:id="13"/>
      <w:bookmarkEnd w:id="14"/>
    </w:p>
    <w:p w14:paraId="59BF31D1" w14:textId="2966625A" w:rsidR="001500A8" w:rsidRPr="00065839" w:rsidRDefault="00324B33" w:rsidP="00F50352">
      <w:r w:rsidRPr="00065839">
        <w:t xml:space="preserve">This AusPAR describes the submission by </w:t>
      </w:r>
      <w:r w:rsidR="00B61428" w:rsidRPr="00B61428">
        <w:t>Takeda Pharmaceuticals Australia Pty Ltd</w:t>
      </w:r>
      <w:r w:rsidR="00BB77D0">
        <w:t xml:space="preserve"> </w:t>
      </w:r>
      <w:r w:rsidRPr="00065839">
        <w:t xml:space="preserve">to register </w:t>
      </w:r>
      <w:r w:rsidR="00F50352" w:rsidRPr="00F50352">
        <w:t>Q</w:t>
      </w:r>
      <w:r w:rsidR="00F50352">
        <w:t>denga</w:t>
      </w:r>
      <w:r w:rsidR="00F50352" w:rsidRPr="00F50352">
        <w:t xml:space="preserve"> dengue tetravalent vaccine (live, attenuated</w:t>
      </w:r>
      <w:r w:rsidR="00F50352">
        <w:t xml:space="preserve"> - </w:t>
      </w:r>
      <w:r w:rsidR="00F50352" w:rsidRPr="00F50352">
        <w:t>dengue virus</w:t>
      </w:r>
      <w:r w:rsidR="00F50352">
        <w:t xml:space="preserve"> </w:t>
      </w:r>
      <w:r w:rsidR="00F50352" w:rsidRPr="00F50352">
        <w:t>serotypes 1, 2, 3, and 4</w:t>
      </w:r>
      <w:r w:rsidR="00F50352">
        <w:t>)</w:t>
      </w:r>
      <w:r w:rsidR="00F50352" w:rsidRPr="00F50352">
        <w:t xml:space="preserve"> </w:t>
      </w:r>
      <w:r w:rsidR="00E468F7" w:rsidRPr="00E468F7">
        <w:t xml:space="preserve">powder (vial) &amp; solvent (vial) </w:t>
      </w:r>
      <w:r w:rsidR="00E468F7">
        <w:t>or</w:t>
      </w:r>
      <w:r w:rsidR="004A6B1C" w:rsidRPr="004A6B1C">
        <w:rPr>
          <w:rFonts w:cs="Cambria"/>
          <w:sz w:val="21"/>
          <w:szCs w:val="21"/>
        </w:rPr>
        <w:t xml:space="preserve"> </w:t>
      </w:r>
      <w:r w:rsidR="004A6B1C" w:rsidRPr="004A6B1C">
        <w:t>(PFS) for injection</w:t>
      </w:r>
      <w:r w:rsidRPr="00065839">
        <w:t xml:space="preserve"> for the following proposed </w:t>
      </w:r>
      <w:r w:rsidR="0043785D">
        <w:t>i</w:t>
      </w:r>
      <w:r w:rsidRPr="00065839">
        <w:t>ndication:</w:t>
      </w:r>
      <w:r w:rsidR="00D63760" w:rsidRPr="00065839">
        <w:rPr>
          <w:vertAlign w:val="superscript"/>
        </w:rPr>
        <w:footnoteReference w:id="1"/>
      </w:r>
    </w:p>
    <w:p w14:paraId="678480FA" w14:textId="767F8522" w:rsidR="00F73CD1" w:rsidRPr="00F73CD1" w:rsidRDefault="00F73CD1" w:rsidP="00F73CD1">
      <w:pPr>
        <w:ind w:left="720"/>
        <w:rPr>
          <w:i/>
        </w:rPr>
      </w:pPr>
      <w:r w:rsidRPr="00F73CD1">
        <w:rPr>
          <w:i/>
          <w:iCs/>
        </w:rPr>
        <w:t>Q</w:t>
      </w:r>
      <w:r w:rsidR="00F909C9">
        <w:rPr>
          <w:i/>
          <w:iCs/>
        </w:rPr>
        <w:t>denga</w:t>
      </w:r>
      <w:r w:rsidRPr="00F73CD1">
        <w:rPr>
          <w:i/>
          <w:iCs/>
        </w:rPr>
        <w:t xml:space="preserve"> is indicated for the prevention of dengue disease</w:t>
      </w:r>
      <w:r>
        <w:rPr>
          <w:i/>
          <w:iCs/>
        </w:rPr>
        <w:t xml:space="preserve"> </w:t>
      </w:r>
      <w:r w:rsidRPr="00F73CD1">
        <w:rPr>
          <w:i/>
          <w:iCs/>
        </w:rPr>
        <w:t>caused by any dengue virus serotype in individuals from 4</w:t>
      </w:r>
      <w:r>
        <w:rPr>
          <w:i/>
          <w:iCs/>
        </w:rPr>
        <w:t xml:space="preserve"> </w:t>
      </w:r>
      <w:r w:rsidRPr="00F73CD1">
        <w:rPr>
          <w:i/>
          <w:iCs/>
        </w:rPr>
        <w:t>years of age.</w:t>
      </w:r>
    </w:p>
    <w:p w14:paraId="1E63A2AE" w14:textId="54BB3AE6" w:rsidR="00CB6813" w:rsidRDefault="00005DFC" w:rsidP="00CB6813">
      <w:pPr>
        <w:pStyle w:val="Heading4"/>
      </w:pPr>
      <w:bookmarkStart w:id="15" w:name="_Toc314842485"/>
      <w:bookmarkStart w:id="16" w:name="_Toc247691504"/>
      <w:bookmarkStart w:id="17" w:name="_Toc232600093"/>
      <w:r>
        <w:t>D</w:t>
      </w:r>
      <w:r w:rsidR="00CB6813" w:rsidRPr="00C12D65">
        <w:t>isease</w:t>
      </w:r>
      <w:bookmarkEnd w:id="17"/>
      <w:r w:rsidR="006428C5">
        <w:t xml:space="preserve"> </w:t>
      </w:r>
    </w:p>
    <w:p w14:paraId="5F64A70D" w14:textId="453D41C6" w:rsidR="00621F45" w:rsidRPr="00621F45" w:rsidRDefault="00621F45" w:rsidP="00621F45">
      <w:r w:rsidRPr="00621F45">
        <w:t>Dengue is a viral infection caused by one of four different serotypes of the dengue virus (DENV-1, DENV-2, DENV-3, DENV-4). The dengue virus is transmitted primarily by the Aedes aegypti</w:t>
      </w:r>
      <w:r w:rsidR="00F3323D" w:rsidRPr="004A7705">
        <w:t xml:space="preserve"> </w:t>
      </w:r>
      <w:r w:rsidRPr="00621F45">
        <w:t>mosquito with mosquitos of the Aedes genus also acting as potential vectors. Dengue has a wide</w:t>
      </w:r>
      <w:r w:rsidR="00F3323D" w:rsidRPr="004A7705">
        <w:t xml:space="preserve"> </w:t>
      </w:r>
      <w:r w:rsidRPr="00621F45">
        <w:t xml:space="preserve">spectrum of clinical presentation, often with unpredictable clinical evolution and outcome. </w:t>
      </w:r>
      <w:proofErr w:type="gramStart"/>
      <w:r w:rsidRPr="00621F45">
        <w:t>The</w:t>
      </w:r>
      <w:r w:rsidR="00F3323D" w:rsidRPr="004A7705">
        <w:t xml:space="preserve"> </w:t>
      </w:r>
      <w:r w:rsidRPr="00621F45">
        <w:t>majority of</w:t>
      </w:r>
      <w:proofErr w:type="gramEnd"/>
      <w:r w:rsidRPr="00621F45">
        <w:t xml:space="preserve"> patients will either be asymptomatic or recover following a self-limiting non-severe</w:t>
      </w:r>
      <w:r w:rsidR="00F3323D" w:rsidRPr="004A7705">
        <w:t xml:space="preserve"> </w:t>
      </w:r>
      <w:r w:rsidRPr="00621F45">
        <w:t>clinical course that may be characterised by high fever, headache, myalgia, arthralgia, nausea,</w:t>
      </w:r>
      <w:r w:rsidR="00AE1A62">
        <w:t xml:space="preserve"> </w:t>
      </w:r>
      <w:r w:rsidRPr="00621F45">
        <w:t>and rash. However, a small proportion of individuals will progress to severe forms of dengue</w:t>
      </w:r>
      <w:r w:rsidR="00AE1A62" w:rsidRPr="004A7705">
        <w:t xml:space="preserve"> </w:t>
      </w:r>
      <w:r w:rsidRPr="00621F45">
        <w:lastRenderedPageBreak/>
        <w:t>infection (dengue haemorrhagic fever [DHF] and dengue shock syndrome [DSS]), characterised</w:t>
      </w:r>
      <w:r w:rsidR="00AE1A62" w:rsidRPr="004A7705">
        <w:t xml:space="preserve"> </w:t>
      </w:r>
      <w:r w:rsidRPr="00621F45">
        <w:t>by severe plasma leakage with/without haemorrhage and severe organ impairment.</w:t>
      </w:r>
    </w:p>
    <w:p w14:paraId="3AE4E2F6" w14:textId="56CF012A" w:rsidR="00621F45" w:rsidRPr="00621F45" w:rsidRDefault="00621F45" w:rsidP="004A7705">
      <w:r w:rsidRPr="00621F45">
        <w:t>For dengue wild type disease, it has been observed that secondary infections, especially with a</w:t>
      </w:r>
      <w:r w:rsidR="005D154C">
        <w:t xml:space="preserve"> </w:t>
      </w:r>
      <w:r w:rsidRPr="00621F45">
        <w:t>different serotype than the primary infection have a higher risk of developing severe disease.</w:t>
      </w:r>
      <w:r w:rsidR="005D154C">
        <w:t xml:space="preserve"> </w:t>
      </w:r>
      <w:r w:rsidRPr="00621F45">
        <w:t>The biological mechanism for this phenomenon is unknown. Primary infection with any of the 4</w:t>
      </w:r>
      <w:r w:rsidR="005D154C">
        <w:t xml:space="preserve"> </w:t>
      </w:r>
      <w:r w:rsidRPr="00621F45">
        <w:t>dengue serotypes is thought to result in life-long protection from re-infection by the same</w:t>
      </w:r>
      <w:r w:rsidR="005D154C">
        <w:t xml:space="preserve"> </w:t>
      </w:r>
      <w:r w:rsidRPr="00621F45">
        <w:t>serotype (homotypic protection) but does not protect against a secondary infection with the</w:t>
      </w:r>
      <w:r w:rsidR="005D154C">
        <w:t xml:space="preserve"> </w:t>
      </w:r>
      <w:r w:rsidRPr="00621F45">
        <w:t>other dengue serotypes and may lead to an increased risk of severe disease over the course of</w:t>
      </w:r>
      <w:r w:rsidR="005D154C">
        <w:t xml:space="preserve"> </w:t>
      </w:r>
      <w:r w:rsidRPr="00621F45">
        <w:t>secondary infection. Following recovery from a second infection, broadly cross-neutralising</w:t>
      </w:r>
      <w:r w:rsidR="004A7705">
        <w:t xml:space="preserve"> </w:t>
      </w:r>
      <w:r w:rsidRPr="00621F45">
        <w:t>antibodies are induced (</w:t>
      </w:r>
      <w:proofErr w:type="spellStart"/>
      <w:r w:rsidRPr="00621F45">
        <w:t>multitypic</w:t>
      </w:r>
      <w:proofErr w:type="spellEnd"/>
      <w:r w:rsidRPr="00621F45">
        <w:t xml:space="preserve"> protection), such that severe disease with tertiary and</w:t>
      </w:r>
      <w:r w:rsidR="004A7705">
        <w:t xml:space="preserve"> </w:t>
      </w:r>
      <w:r w:rsidRPr="00621F45">
        <w:t>quaternary infections is considered rare.</w:t>
      </w:r>
    </w:p>
    <w:p w14:paraId="5FCFD588" w14:textId="5EE3AD76" w:rsidR="00621F45" w:rsidRPr="00621F45" w:rsidRDefault="00621F45" w:rsidP="00883F9D">
      <w:r w:rsidRPr="00621F45">
        <w:t>The incidence of dengue has grown dramatically around the world in recent decades, with cases</w:t>
      </w:r>
      <w:r w:rsidR="004A7705">
        <w:t xml:space="preserve"> </w:t>
      </w:r>
      <w:r w:rsidRPr="00621F45">
        <w:t>reported to the World Health Organization (WHO) increasing from 50,5430 cases in 2000</w:t>
      </w:r>
      <w:r w:rsidR="00776A1D">
        <w:t xml:space="preserve"> </w:t>
      </w:r>
      <w:r w:rsidRPr="00621F45">
        <w:t>to</w:t>
      </w:r>
      <w:r w:rsidR="00776A1D">
        <w:t xml:space="preserve"> </w:t>
      </w:r>
      <w:r w:rsidRPr="00621F45">
        <w:t>5.2 million in 2019.</w:t>
      </w:r>
      <w:bookmarkStart w:id="18" w:name="_Ref228798411"/>
      <w:r w:rsidR="00776A1D">
        <w:rPr>
          <w:rStyle w:val="FootnoteReference"/>
        </w:rPr>
        <w:footnoteReference w:id="2"/>
      </w:r>
      <w:bookmarkEnd w:id="18"/>
      <w:r w:rsidRPr="00621F45">
        <w:t xml:space="preserve"> Dengue is now endemic across over 100 countries spanning Africa, the</w:t>
      </w:r>
      <w:r w:rsidR="004C60D0">
        <w:t xml:space="preserve"> </w:t>
      </w:r>
      <w:r w:rsidRPr="00621F45">
        <w:t>Americas, Eastern Mediterranean, South-East Asia and the Western Pacific. Several factors have</w:t>
      </w:r>
      <w:r w:rsidR="00F128E1">
        <w:t xml:space="preserve"> </w:t>
      </w:r>
      <w:r w:rsidRPr="00621F45">
        <w:t>been associated with the increasing spread of dengue including increased urbanisation and</w:t>
      </w:r>
      <w:r w:rsidR="00F128E1">
        <w:t xml:space="preserve"> </w:t>
      </w:r>
      <w:r w:rsidRPr="00621F45">
        <w:t>population growth; changing distribution of vectors across regions; consequences of climate</w:t>
      </w:r>
      <w:r w:rsidR="00435A53">
        <w:t xml:space="preserve"> </w:t>
      </w:r>
      <w:r w:rsidRPr="00621F45">
        <w:t>change leading to increasing temperatures, high rainfall and humidity; fragile health systems in</w:t>
      </w:r>
      <w:r w:rsidR="00435A53">
        <w:t xml:space="preserve"> </w:t>
      </w:r>
      <w:r w:rsidRPr="00621F45">
        <w:t>the midst of the COVID-19 pandemic; political and financial instabilities in countries facing</w:t>
      </w:r>
      <w:r w:rsidR="0046663F">
        <w:t xml:space="preserve"> </w:t>
      </w:r>
      <w:r w:rsidRPr="00621F45">
        <w:t>complex humanitarian crises; and high population movement.</w:t>
      </w:r>
      <w:r w:rsidR="00BD1B71" w:rsidRPr="00BD1B71">
        <w:rPr>
          <w:vertAlign w:val="superscript"/>
        </w:rPr>
        <w:fldChar w:fldCharType="begin"/>
      </w:r>
      <w:r w:rsidR="00BD1B71" w:rsidRPr="00BD1B71">
        <w:rPr>
          <w:vertAlign w:val="superscript"/>
        </w:rPr>
        <w:instrText xml:space="preserve"> NOTEREF _Ref228798411 \h </w:instrText>
      </w:r>
      <w:r w:rsidR="00BD1B71">
        <w:rPr>
          <w:vertAlign w:val="superscript"/>
        </w:rPr>
        <w:instrText xml:space="preserve"> \* MERGEFORMAT </w:instrText>
      </w:r>
      <w:r w:rsidR="00BD1B71" w:rsidRPr="00BD1B71">
        <w:rPr>
          <w:vertAlign w:val="superscript"/>
        </w:rPr>
      </w:r>
      <w:r w:rsidR="00BD1B71" w:rsidRPr="00BD1B71">
        <w:rPr>
          <w:vertAlign w:val="superscript"/>
        </w:rPr>
        <w:fldChar w:fldCharType="separate"/>
      </w:r>
      <w:r w:rsidR="00BD1B71" w:rsidRPr="00BD1B71">
        <w:rPr>
          <w:vertAlign w:val="superscript"/>
        </w:rPr>
        <w:t>2</w:t>
      </w:r>
      <w:r w:rsidR="00BD1B71" w:rsidRPr="00BD1B71">
        <w:rPr>
          <w:vertAlign w:val="superscript"/>
        </w:rPr>
        <w:fldChar w:fldCharType="end"/>
      </w:r>
    </w:p>
    <w:p w14:paraId="6FC10899" w14:textId="1AC351AB" w:rsidR="00621F45" w:rsidRPr="00621F45" w:rsidRDefault="00621F45" w:rsidP="00883F9D">
      <w:r w:rsidRPr="00621F45">
        <w:t>A systematic review of reported dengue serotypes over 70 years found DENV-1 to be reported</w:t>
      </w:r>
      <w:r w:rsidR="000B7C29">
        <w:t xml:space="preserve"> </w:t>
      </w:r>
      <w:r w:rsidRPr="00621F45">
        <w:t>most frequently, followed by DENV-2, DENV-3, and DENV-4.</w:t>
      </w:r>
      <w:r w:rsidR="000B7C29">
        <w:rPr>
          <w:rStyle w:val="FootnoteReference"/>
        </w:rPr>
        <w:footnoteReference w:id="3"/>
      </w:r>
      <w:r w:rsidRPr="00621F45">
        <w:t xml:space="preserve"> Additionally, a review of 174</w:t>
      </w:r>
      <w:r w:rsidR="00256506">
        <w:t xml:space="preserve"> </w:t>
      </w:r>
      <w:r w:rsidRPr="00621F45">
        <w:t>outbreaks reported in published literature between 1990 and 2015 reported DENV-1 and</w:t>
      </w:r>
      <w:r w:rsidR="00256506">
        <w:t xml:space="preserve"> </w:t>
      </w:r>
      <w:r w:rsidRPr="00621F45">
        <w:t>DENV-2 being the 2 dominant circulating dengue serotypes, whilst prevalence of DENV-4 was</w:t>
      </w:r>
      <w:r w:rsidR="009D6E89">
        <w:t xml:space="preserve"> </w:t>
      </w:r>
      <w:r w:rsidRPr="00621F45">
        <w:t>observed to be infrequent.</w:t>
      </w:r>
      <w:r w:rsidR="009D6E89">
        <w:rPr>
          <w:rStyle w:val="FootnoteReference"/>
        </w:rPr>
        <w:footnoteReference w:id="4"/>
      </w:r>
    </w:p>
    <w:p w14:paraId="1E040A15" w14:textId="26C5A723" w:rsidR="00621F45" w:rsidRDefault="00621F45" w:rsidP="00883F9D">
      <w:r w:rsidRPr="00621F45">
        <w:t>In Australia, a total of 13,343 dengue cases were reported to the National Notifiable Disease</w:t>
      </w:r>
      <w:r w:rsidR="00C15B9D">
        <w:t xml:space="preserve"> </w:t>
      </w:r>
      <w:r w:rsidRPr="00621F45">
        <w:t>Surveillance System between 2012-2022. Of these cases, 12,568 (94%) were imported, 584</w:t>
      </w:r>
      <w:r w:rsidR="00C15B9D">
        <w:t xml:space="preserve"> </w:t>
      </w:r>
      <w:r w:rsidRPr="00621F45">
        <w:t>(4%) were locally acquired and 191 (1%) had no origin recorded.</w:t>
      </w:r>
      <w:r w:rsidR="00E00099">
        <w:rPr>
          <w:rStyle w:val="FootnoteReference"/>
        </w:rPr>
        <w:footnoteReference w:id="5"/>
      </w:r>
      <w:r w:rsidRPr="00621F45">
        <w:t xml:space="preserve"> Overall trends suggest a</w:t>
      </w:r>
      <w:r w:rsidR="00DD2954">
        <w:t xml:space="preserve"> </w:t>
      </w:r>
      <w:r w:rsidRPr="00621F45">
        <w:t>general increase in imported cases (with the exception of 2020-21 which corresponded to</w:t>
      </w:r>
      <w:r w:rsidR="00C40904">
        <w:t xml:space="preserve"> </w:t>
      </w:r>
      <w:r w:rsidRPr="00621F45">
        <w:t>border closures during the COVID-19 pandemic) and a decline in locally acquired cases over</w:t>
      </w:r>
      <w:r w:rsidR="00C40904">
        <w:t xml:space="preserve"> </w:t>
      </w:r>
      <w:r w:rsidRPr="00621F45">
        <w:t>time. Of the imported cases, the majority were acquired in South</w:t>
      </w:r>
      <w:r w:rsidR="00C40904">
        <w:t>-</w:t>
      </w:r>
      <w:r w:rsidRPr="00621F45">
        <w:t>East Asia, Southern and Central</w:t>
      </w:r>
      <w:r w:rsidR="00AE28D2">
        <w:t xml:space="preserve"> </w:t>
      </w:r>
      <w:r w:rsidRPr="00621F45">
        <w:t>Asia, and Oceania. Almost two-thirds (64%) of imported cases to Australia originated from</w:t>
      </w:r>
      <w:r w:rsidR="002A3CF5">
        <w:t xml:space="preserve"> </w:t>
      </w:r>
      <w:r w:rsidRPr="00621F45">
        <w:t>Indonesia, Thailand and India, reflecting their popularity as travel destinations. Although 59%</w:t>
      </w:r>
      <w:r w:rsidR="00425E4C">
        <w:t xml:space="preserve"> </w:t>
      </w:r>
      <w:r w:rsidRPr="00621F45">
        <w:t>of imported cases did not have dengue serotype recorded, of the cases that did, DENV-2 (17%)</w:t>
      </w:r>
      <w:r w:rsidR="00425E4C">
        <w:t xml:space="preserve"> </w:t>
      </w:r>
      <w:r w:rsidRPr="00621F45">
        <w:t>and DENV-1 (12%) represented the predominant serotypes. For locally acquired dengue, DENV-1 represented the most common serotype (67%).</w:t>
      </w:r>
    </w:p>
    <w:p w14:paraId="255E083A" w14:textId="77777777" w:rsidR="00CB6813" w:rsidRDefault="00CB6813" w:rsidP="00CB6813">
      <w:pPr>
        <w:pStyle w:val="Heading4"/>
      </w:pPr>
      <w:bookmarkStart w:id="19" w:name="_Toc232600094"/>
      <w:r>
        <w:t>Current treatment options</w:t>
      </w:r>
      <w:bookmarkEnd w:id="19"/>
    </w:p>
    <w:p w14:paraId="73793EF4" w14:textId="09216FAF" w:rsidR="00883F9D" w:rsidRPr="00883F9D" w:rsidRDefault="00883F9D" w:rsidP="00883F9D">
      <w:r w:rsidRPr="00883F9D">
        <w:t>Treatment of dengue fever is supportive and based solely on managing clinical signs and</w:t>
      </w:r>
      <w:r w:rsidR="002358C3">
        <w:t xml:space="preserve"> </w:t>
      </w:r>
      <w:r w:rsidRPr="00883F9D">
        <w:t>symptoms, with fluid replacement required for haemorrhagic or shock cases. An antiviral</w:t>
      </w:r>
      <w:r w:rsidR="002358C3">
        <w:t xml:space="preserve"> </w:t>
      </w:r>
      <w:r w:rsidRPr="00883F9D">
        <w:t>therapy for dengue virus infection is not available. Most of the current preventive measures that</w:t>
      </w:r>
      <w:r w:rsidR="002358C3">
        <w:t xml:space="preserve"> </w:t>
      </w:r>
      <w:r w:rsidRPr="00883F9D">
        <w:lastRenderedPageBreak/>
        <w:t>rely on mosquito control and individual protection are of limited efficacy, complex to</w:t>
      </w:r>
      <w:r w:rsidR="002358C3">
        <w:t xml:space="preserve"> </w:t>
      </w:r>
      <w:r w:rsidRPr="00883F9D">
        <w:t>implement, and questionable in terms of cost-effectiveness. While the malaria transmitting</w:t>
      </w:r>
      <w:r w:rsidR="002358C3">
        <w:t xml:space="preserve"> </w:t>
      </w:r>
      <w:r w:rsidRPr="00883F9D">
        <w:rPr>
          <w:iCs/>
        </w:rPr>
        <w:t xml:space="preserve">Anopheles </w:t>
      </w:r>
      <w:r w:rsidRPr="00883F9D">
        <w:t xml:space="preserve">mosquitoes predominantly feed during the night, the dengue transmitting </w:t>
      </w:r>
      <w:r w:rsidRPr="00883F9D">
        <w:rPr>
          <w:iCs/>
        </w:rPr>
        <w:t>Aedes</w:t>
      </w:r>
      <w:r w:rsidR="00FB23FF">
        <w:rPr>
          <w:iCs/>
        </w:rPr>
        <w:t xml:space="preserve"> </w:t>
      </w:r>
      <w:r w:rsidRPr="00883F9D">
        <w:t>mosquitoes feed predominantly at dusk and bed nets are therefore not effective. Dengue</w:t>
      </w:r>
      <w:r w:rsidR="00FB23FF">
        <w:t xml:space="preserve"> </w:t>
      </w:r>
      <w:r w:rsidRPr="00883F9D">
        <w:t>continues to spread despite the use of vector control measures. New technologies under</w:t>
      </w:r>
      <w:r w:rsidR="0076673F">
        <w:t xml:space="preserve"> </w:t>
      </w:r>
      <w:r w:rsidRPr="00883F9D">
        <w:t xml:space="preserve">development appear to be effective at stopping local dengue transmission, such as </w:t>
      </w:r>
      <w:r w:rsidR="00293DB0">
        <w:t xml:space="preserve">instances </w:t>
      </w:r>
      <w:r w:rsidRPr="00883F9D">
        <w:t>where</w:t>
      </w:r>
      <w:r w:rsidR="0076673F">
        <w:t xml:space="preserve"> </w:t>
      </w:r>
      <w:r w:rsidRPr="00883F9D">
        <w:t xml:space="preserve">mosquitoes infected with </w:t>
      </w:r>
      <w:r w:rsidRPr="0076673F">
        <w:rPr>
          <w:i/>
        </w:rPr>
        <w:t xml:space="preserve">Wolbachia </w:t>
      </w:r>
      <w:r w:rsidRPr="00883F9D">
        <w:t>(which reduces a mosquito’s ability to transmit human</w:t>
      </w:r>
      <w:r w:rsidR="0076673F">
        <w:t xml:space="preserve"> </w:t>
      </w:r>
      <w:r w:rsidRPr="00883F9D">
        <w:t>viruses) are released into the environment.</w:t>
      </w:r>
    </w:p>
    <w:p w14:paraId="464F3790" w14:textId="3A4DB302" w:rsidR="00883F9D" w:rsidRPr="00883F9D" w:rsidRDefault="00883F9D" w:rsidP="00883F9D">
      <w:r w:rsidRPr="00883F9D">
        <w:t>Vaccine development has assumed the need for tetravalent vaccines against all 4 serotypes to</w:t>
      </w:r>
      <w:r w:rsidR="00293DB0">
        <w:t xml:space="preserve"> </w:t>
      </w:r>
      <w:r w:rsidRPr="00883F9D">
        <w:t>avoid any potential risk of vaccine-induced immune enhancement, as has been well documented</w:t>
      </w:r>
      <w:r w:rsidR="00EF59B0">
        <w:t xml:space="preserve"> </w:t>
      </w:r>
      <w:r w:rsidRPr="00883F9D">
        <w:t>with natural (wild-type) infection. A first tetravalent dengue vaccine (chimeric Yellow Fever</w:t>
      </w:r>
      <w:r w:rsidR="00EF59B0">
        <w:t xml:space="preserve"> </w:t>
      </w:r>
      <w:r w:rsidRPr="00883F9D">
        <w:t xml:space="preserve">[YF] </w:t>
      </w:r>
      <w:proofErr w:type="gramStart"/>
      <w:r w:rsidRPr="00883F9D">
        <w:t>virus</w:t>
      </w:r>
      <w:proofErr w:type="gramEnd"/>
      <w:r w:rsidRPr="00883F9D">
        <w:t xml:space="preserve">-Dengue virus Tetravalent Dengue Vaccine, </w:t>
      </w:r>
      <w:proofErr w:type="spellStart"/>
      <w:r w:rsidRPr="00883F9D">
        <w:t>Dengvaxia</w:t>
      </w:r>
      <w:proofErr w:type="spellEnd"/>
      <w:r w:rsidRPr="00883F9D">
        <w:t>) has been approved since 2015</w:t>
      </w:r>
      <w:r w:rsidR="00C74EC2">
        <w:t xml:space="preserve"> </w:t>
      </w:r>
      <w:r w:rsidRPr="00883F9D">
        <w:t xml:space="preserve">in several Asian and Latin American countries as well as in the </w:t>
      </w:r>
      <w:r w:rsidR="00C74EC2">
        <w:t>United States of America (</w:t>
      </w:r>
      <w:r w:rsidRPr="00883F9D">
        <w:t>US</w:t>
      </w:r>
      <w:r w:rsidR="00C74EC2">
        <w:t>)</w:t>
      </w:r>
      <w:r w:rsidRPr="00883F9D">
        <w:t xml:space="preserve"> and European Union (EU).</w:t>
      </w:r>
      <w:r w:rsidR="00474DBE">
        <w:t xml:space="preserve"> </w:t>
      </w:r>
      <w:r w:rsidRPr="00883F9D">
        <w:t>This vaccine was initially approved for use in vaccine recipients ≥9 years of age because clinical</w:t>
      </w:r>
      <w:r w:rsidR="00DE25AC">
        <w:t xml:space="preserve"> </w:t>
      </w:r>
      <w:r w:rsidRPr="00883F9D">
        <w:t xml:space="preserve">data indicated an unfavourable benefit-risk profile for children </w:t>
      </w:r>
      <w:r w:rsidR="00DE25AC">
        <w:t xml:space="preserve">less than </w:t>
      </w:r>
      <w:r w:rsidRPr="00883F9D">
        <w:t>9 years of age. More recent</w:t>
      </w:r>
      <w:r w:rsidR="00DE25AC">
        <w:t xml:space="preserve"> </w:t>
      </w:r>
      <w:r w:rsidRPr="00883F9D">
        <w:t>analyses found that individuals who were dengue seronegative before vaccination had a higher</w:t>
      </w:r>
      <w:r w:rsidR="00DE25AC">
        <w:t xml:space="preserve"> </w:t>
      </w:r>
      <w:r w:rsidRPr="00883F9D">
        <w:t>risk of severe disease and/or being hospitalised when they were infected by dengue virus after</w:t>
      </w:r>
      <w:r w:rsidR="004E647B">
        <w:t xml:space="preserve"> </w:t>
      </w:r>
      <w:r w:rsidRPr="00883F9D">
        <w:t xml:space="preserve">vaccination with </w:t>
      </w:r>
      <w:proofErr w:type="spellStart"/>
      <w:r w:rsidRPr="00883F9D">
        <w:t>Dengvaxia</w:t>
      </w:r>
      <w:proofErr w:type="spellEnd"/>
      <w:r w:rsidRPr="00883F9D">
        <w:t xml:space="preserve"> than individuals who were already seropositive.</w:t>
      </w:r>
      <w:r w:rsidR="00226E2E">
        <w:rPr>
          <w:rStyle w:val="FootnoteReference"/>
        </w:rPr>
        <w:footnoteReference w:id="6"/>
      </w:r>
    </w:p>
    <w:p w14:paraId="3D4E3540" w14:textId="4EAA2EA6" w:rsidR="00883F9D" w:rsidRPr="00883F9D" w:rsidRDefault="00883F9D" w:rsidP="00883F9D">
      <w:r w:rsidRPr="00883F9D">
        <w:t>In a revised recommendation from April 2018, the Scientific Advisory Group of Experts (SAGE)</w:t>
      </w:r>
      <w:r w:rsidR="00F44345">
        <w:t xml:space="preserve"> </w:t>
      </w:r>
      <w:r w:rsidRPr="00883F9D">
        <w:t xml:space="preserve">on Immunisation concluded that for countries considering </w:t>
      </w:r>
      <w:proofErr w:type="spellStart"/>
      <w:r w:rsidRPr="00883F9D">
        <w:t>Dengvaxia</w:t>
      </w:r>
      <w:proofErr w:type="spellEnd"/>
      <w:r w:rsidRPr="00883F9D">
        <w:t xml:space="preserve"> vaccination as part of</w:t>
      </w:r>
      <w:r w:rsidR="00F44345">
        <w:t xml:space="preserve"> </w:t>
      </w:r>
      <w:r w:rsidRPr="00883F9D">
        <w:t xml:space="preserve">their dengue control program, a </w:t>
      </w:r>
      <w:r w:rsidR="002A4D8E">
        <w:t>‘</w:t>
      </w:r>
      <w:r w:rsidRPr="00883F9D">
        <w:t>pre-vaccination screening strategy</w:t>
      </w:r>
      <w:r w:rsidR="002A4D8E">
        <w:t>’</w:t>
      </w:r>
      <w:r w:rsidRPr="00883F9D">
        <w:t xml:space="preserve"> would be the preferred</w:t>
      </w:r>
      <w:r w:rsidR="00687F51">
        <w:t xml:space="preserve"> </w:t>
      </w:r>
      <w:r w:rsidRPr="00883F9D">
        <w:t>option, and only dengue-seropositive individuals should be vaccinated.</w:t>
      </w:r>
      <w:r w:rsidR="00687F51">
        <w:rPr>
          <w:rStyle w:val="FootnoteReference"/>
        </w:rPr>
        <w:footnoteReference w:id="7"/>
      </w:r>
      <w:r w:rsidRPr="00883F9D">
        <w:t xml:space="preserve"> This advice was echoed</w:t>
      </w:r>
      <w:r w:rsidR="00687F51">
        <w:t xml:space="preserve"> </w:t>
      </w:r>
      <w:r w:rsidRPr="00883F9D">
        <w:t>by the Australian Technical Advisory Group on Immunisation (ATAGI) in a statement provided</w:t>
      </w:r>
      <w:r w:rsidR="00687F51">
        <w:t xml:space="preserve"> </w:t>
      </w:r>
      <w:r w:rsidRPr="00883F9D">
        <w:t xml:space="preserve">in July 2019 regarding use of </w:t>
      </w:r>
      <w:proofErr w:type="spellStart"/>
      <w:r w:rsidRPr="00883F9D">
        <w:t>Dengvaxia</w:t>
      </w:r>
      <w:proofErr w:type="spellEnd"/>
      <w:r w:rsidRPr="00883F9D">
        <w:t xml:space="preserve"> for Australians.</w:t>
      </w:r>
      <w:r w:rsidR="00217AC9">
        <w:rPr>
          <w:rStyle w:val="FootnoteReference"/>
        </w:rPr>
        <w:footnoteReference w:id="8"/>
      </w:r>
    </w:p>
    <w:p w14:paraId="65649B30" w14:textId="7B71F99E" w:rsidR="00883F9D" w:rsidRPr="00883F9D" w:rsidRDefault="00883F9D" w:rsidP="00883F9D">
      <w:proofErr w:type="spellStart"/>
      <w:r w:rsidRPr="00883F9D">
        <w:t>Dengvaxia</w:t>
      </w:r>
      <w:proofErr w:type="spellEnd"/>
      <w:r w:rsidRPr="00883F9D">
        <w:t xml:space="preserve"> was registered on the ARTG on 20 July 2017. It was however, not marketed in</w:t>
      </w:r>
      <w:r w:rsidR="00AD3230">
        <w:t xml:space="preserve"> </w:t>
      </w:r>
      <w:r w:rsidRPr="00883F9D">
        <w:t>Australia and was only available via the Special Access Scheme, on a case-by-case basis. The use</w:t>
      </w:r>
      <w:r w:rsidR="00AD3230">
        <w:t xml:space="preserve"> </w:t>
      </w:r>
      <w:r w:rsidRPr="00883F9D">
        <w:t xml:space="preserve">of </w:t>
      </w:r>
      <w:proofErr w:type="spellStart"/>
      <w:r w:rsidRPr="00883F9D">
        <w:t>Dengvaxia</w:t>
      </w:r>
      <w:proofErr w:type="spellEnd"/>
      <w:r w:rsidRPr="00883F9D">
        <w:t xml:space="preserve"> in Australia has been limited with only 90 dose</w:t>
      </w:r>
      <w:r w:rsidR="0065403C">
        <w:t>s</w:t>
      </w:r>
      <w:r w:rsidRPr="00883F9D">
        <w:t xml:space="preserve"> imported up to December 2023.</w:t>
      </w:r>
      <w:r w:rsidR="00A201C7">
        <w:rPr>
          <w:rStyle w:val="FootnoteReference"/>
        </w:rPr>
        <w:footnoteReference w:id="9"/>
      </w:r>
      <w:r w:rsidR="00A201C7">
        <w:t xml:space="preserve"> </w:t>
      </w:r>
      <w:r w:rsidRPr="00883F9D">
        <w:t xml:space="preserve">Registration of </w:t>
      </w:r>
      <w:proofErr w:type="spellStart"/>
      <w:r w:rsidRPr="00883F9D">
        <w:t>Dengvaxia</w:t>
      </w:r>
      <w:proofErr w:type="spellEnd"/>
      <w:r w:rsidRPr="00883F9D">
        <w:t xml:space="preserve"> was cancelled on 17 December 2024 under Section 30(1)(c) of the</w:t>
      </w:r>
      <w:r w:rsidR="00A201C7">
        <w:t xml:space="preserve"> </w:t>
      </w:r>
      <w:r w:rsidRPr="00883F9D">
        <w:rPr>
          <w:iCs/>
        </w:rPr>
        <w:t>Therapeutic Goods Act 1989</w:t>
      </w:r>
      <w:r w:rsidRPr="00883F9D">
        <w:t>.</w:t>
      </w:r>
      <w:r w:rsidR="00DB2297">
        <w:rPr>
          <w:rStyle w:val="FootnoteReference"/>
        </w:rPr>
        <w:footnoteReference w:id="10"/>
      </w:r>
    </w:p>
    <w:p w14:paraId="37C47E09" w14:textId="14D3762D" w:rsidR="00CB6813" w:rsidRDefault="00CB6813" w:rsidP="00CB6813">
      <w:pPr>
        <w:pStyle w:val="Heading4"/>
      </w:pPr>
      <w:bookmarkStart w:id="20" w:name="_Toc232600095"/>
      <w:r>
        <w:t>C</w:t>
      </w:r>
      <w:r w:rsidRPr="00DE1344">
        <w:t>linical rational</w:t>
      </w:r>
      <w:r w:rsidR="0025785B">
        <w:t>e</w:t>
      </w:r>
      <w:bookmarkEnd w:id="20"/>
    </w:p>
    <w:p w14:paraId="7CFCD7D5" w14:textId="3419B80F" w:rsidR="00192418" w:rsidRPr="00192418" w:rsidRDefault="00192418" w:rsidP="00192418">
      <w:proofErr w:type="gramStart"/>
      <w:r w:rsidRPr="00192418">
        <w:t>In light of</w:t>
      </w:r>
      <w:proofErr w:type="gramEnd"/>
      <w:r w:rsidRPr="00192418">
        <w:t xml:space="preserve"> the prevailing epidemiology of dengue, lack of available antiviral treatments, and limitations with existing dengue vaccines, there remains an unmet public health need in Australia for a safe and effective vaccine against dengue infection.</w:t>
      </w:r>
      <w:r w:rsidR="00711D9D">
        <w:t xml:space="preserve"> </w:t>
      </w:r>
      <w:r w:rsidR="000E0886" w:rsidRPr="000E0886">
        <w:t xml:space="preserve">To address this unmet public health need, the Sponsor has developed a tetravalent vaccine that protects against dengue </w:t>
      </w:r>
      <w:r w:rsidR="000E0886" w:rsidRPr="000E0886">
        <w:lastRenderedPageBreak/>
        <w:t>irrespective of baseline dengue serostatus and that can be administered to children as young as 4 years of age.</w:t>
      </w:r>
    </w:p>
    <w:p w14:paraId="3974B49B" w14:textId="2DD71331" w:rsidR="004B086D" w:rsidRDefault="005C6316" w:rsidP="004B086D">
      <w:r w:rsidRPr="005C6316">
        <w:t>Q</w:t>
      </w:r>
      <w:r w:rsidR="008427D0">
        <w:t>denga</w:t>
      </w:r>
      <w:r w:rsidRPr="005C6316">
        <w:t xml:space="preserve"> contains live attenuated dengue viruses.</w:t>
      </w:r>
      <w:r>
        <w:t xml:space="preserve"> </w:t>
      </w:r>
      <w:r w:rsidR="004B086D" w:rsidRPr="004B086D">
        <w:t>The primary mechanism of action of Q</w:t>
      </w:r>
      <w:r w:rsidR="004B086D">
        <w:t>denga</w:t>
      </w:r>
      <w:r w:rsidR="004B086D" w:rsidRPr="004B086D">
        <w:t xml:space="preserve"> is to replicate locally and elicit </w:t>
      </w:r>
      <w:r w:rsidR="000E668B">
        <w:t>an immune response</w:t>
      </w:r>
      <w:r w:rsidR="004B086D" w:rsidRPr="004B086D">
        <w:t xml:space="preserve"> to</w:t>
      </w:r>
      <w:r w:rsidR="004B086D">
        <w:t xml:space="preserve"> </w:t>
      </w:r>
      <w:r w:rsidR="004B086D" w:rsidRPr="004B086D">
        <w:t>confer protection against dengue disease caused by any of the four dengue virus serotypes. Q</w:t>
      </w:r>
      <w:r w:rsidR="00AF1F56">
        <w:t xml:space="preserve">denga </w:t>
      </w:r>
      <w:r w:rsidR="004B086D" w:rsidRPr="004B086D">
        <w:t>activates multiple arms of the immune system, including binding antibodies, complement fixing</w:t>
      </w:r>
      <w:r w:rsidR="00AF1F56">
        <w:t xml:space="preserve"> </w:t>
      </w:r>
      <w:r w:rsidR="004B086D" w:rsidRPr="004B086D">
        <w:t>antibodies, functional antibodies to dengue non-structural protein 1 (NS1), and cell-mediated immune</w:t>
      </w:r>
      <w:r w:rsidR="00AF1F56">
        <w:t xml:space="preserve"> </w:t>
      </w:r>
      <w:r w:rsidR="004B086D" w:rsidRPr="004B086D">
        <w:t>responses (CD4+, CD8+, and natural killer cells).</w:t>
      </w:r>
    </w:p>
    <w:p w14:paraId="0D615854" w14:textId="77777777" w:rsidR="00324B33" w:rsidRPr="003F31A2" w:rsidRDefault="00324B33" w:rsidP="00324B33">
      <w:pPr>
        <w:pStyle w:val="Heading3"/>
      </w:pPr>
      <w:bookmarkStart w:id="21" w:name="_Toc103679291"/>
      <w:bookmarkStart w:id="22" w:name="_Toc232600096"/>
      <w:r>
        <w:t>Regulatory status</w:t>
      </w:r>
      <w:bookmarkEnd w:id="15"/>
      <w:bookmarkEnd w:id="16"/>
      <w:bookmarkEnd w:id="21"/>
      <w:bookmarkEnd w:id="22"/>
    </w:p>
    <w:p w14:paraId="72C889D6" w14:textId="7E200950" w:rsidR="0017005C" w:rsidRPr="00BD5DBD" w:rsidRDefault="0017005C" w:rsidP="00741AB9">
      <w:pPr>
        <w:pStyle w:val="Heading4"/>
      </w:pPr>
      <w:bookmarkStart w:id="23" w:name="_Toc232600097"/>
      <w:r w:rsidRPr="00BD5DBD">
        <w:t>Australian regulatory</w:t>
      </w:r>
      <w:r>
        <w:t xml:space="preserve"> sta</w:t>
      </w:r>
      <w:r w:rsidR="0025785B">
        <w:t>t</w:t>
      </w:r>
      <w:r>
        <w:t>us</w:t>
      </w:r>
      <w:bookmarkEnd w:id="23"/>
    </w:p>
    <w:p w14:paraId="6A8633FA" w14:textId="5034D00B" w:rsidR="00324B33" w:rsidRDefault="00324B33" w:rsidP="00324B33">
      <w:pPr>
        <w:rPr>
          <w:szCs w:val="22"/>
        </w:rPr>
      </w:pPr>
      <w:r w:rsidRPr="00BD5DBD">
        <w:rPr>
          <w:szCs w:val="22"/>
        </w:rPr>
        <w:t>This product is considered a new biological entity for Australian regulatory purposes</w:t>
      </w:r>
    </w:p>
    <w:p w14:paraId="546C1031" w14:textId="4EF98FA1" w:rsidR="0017005C" w:rsidRDefault="00131B1B" w:rsidP="0017005C">
      <w:pPr>
        <w:pStyle w:val="Heading4"/>
      </w:pPr>
      <w:bookmarkStart w:id="24" w:name="_Toc232600098"/>
      <w:r>
        <w:t xml:space="preserve">International </w:t>
      </w:r>
      <w:r w:rsidR="0017005C" w:rsidRPr="00BD5DBD">
        <w:t>regulatory</w:t>
      </w:r>
      <w:r w:rsidR="0017005C">
        <w:t xml:space="preserve"> status</w:t>
      </w:r>
      <w:bookmarkEnd w:id="24"/>
    </w:p>
    <w:p w14:paraId="7FDF4A0B" w14:textId="2E294188"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r>
        <w:rPr>
          <w:szCs w:val="22"/>
        </w:rPr>
        <w:t xml:space="preserve"> </w:t>
      </w:r>
    </w:p>
    <w:p w14:paraId="19B9E0AC" w14:textId="5F16A672" w:rsidR="00324B33" w:rsidRDefault="00324B33" w:rsidP="00324B33">
      <w:pPr>
        <w:pStyle w:val="TableTitle"/>
      </w:pPr>
      <w:bookmarkStart w:id="25" w:name="_Ref99705479"/>
      <w:r>
        <w:t xml:space="preserve">Table </w:t>
      </w:r>
      <w:r>
        <w:fldChar w:fldCharType="begin"/>
      </w:r>
      <w:r>
        <w:instrText>SEQ Table \* ARABIC</w:instrText>
      </w:r>
      <w:r>
        <w:fldChar w:fldCharType="separate"/>
      </w:r>
      <w:r w:rsidR="008B1CB5">
        <w:rPr>
          <w:noProof/>
        </w:rPr>
        <w:t>1</w:t>
      </w:r>
      <w:r>
        <w:fldChar w:fldCharType="end"/>
      </w:r>
      <w:bookmarkEnd w:id="25"/>
      <w:r w:rsidR="00C53395">
        <w:t>.</w:t>
      </w:r>
      <w:r>
        <w:t xml:space="preserve"> International regulatory status</w:t>
      </w:r>
      <w:r w:rsidR="00C53395">
        <w:t>.</w:t>
      </w:r>
    </w:p>
    <w:tbl>
      <w:tblPr>
        <w:tblStyle w:val="TableTGAblue2023"/>
        <w:tblW w:w="5082" w:type="pct"/>
        <w:tblLook w:val="04A0" w:firstRow="1" w:lastRow="0" w:firstColumn="1" w:lastColumn="0" w:noHBand="0" w:noVBand="1"/>
      </w:tblPr>
      <w:tblGrid>
        <w:gridCol w:w="1837"/>
        <w:gridCol w:w="1845"/>
        <w:gridCol w:w="2125"/>
        <w:gridCol w:w="3402"/>
      </w:tblGrid>
      <w:tr w:rsidR="00324B33" w:rsidRPr="00D01DDB" w14:paraId="405E5D78" w14:textId="16839333" w:rsidTr="00563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185B099B" w14:textId="7A4C0E6C" w:rsidR="00324B33" w:rsidRPr="00D01DDB" w:rsidRDefault="00324B33" w:rsidP="00324B33">
            <w:pPr>
              <w:rPr>
                <w:szCs w:val="22"/>
              </w:rPr>
            </w:pPr>
            <w:r w:rsidRPr="00D01DDB">
              <w:rPr>
                <w:szCs w:val="22"/>
              </w:rPr>
              <w:t>Region</w:t>
            </w:r>
          </w:p>
        </w:tc>
        <w:tc>
          <w:tcPr>
            <w:tcW w:w="1002"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54"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847"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563D3A">
        <w:tc>
          <w:tcPr>
            <w:cnfStyle w:val="001000000000" w:firstRow="0" w:lastRow="0" w:firstColumn="1" w:lastColumn="0" w:oddVBand="0" w:evenVBand="0" w:oddHBand="0" w:evenHBand="0" w:firstRowFirstColumn="0" w:firstRowLastColumn="0" w:lastRowFirstColumn="0" w:lastRowLastColumn="0"/>
            <w:tcW w:w="997" w:type="pct"/>
          </w:tcPr>
          <w:p w14:paraId="4C540DE5" w14:textId="46136637" w:rsidR="00324B33" w:rsidRPr="00D01DDB" w:rsidRDefault="002037E2" w:rsidP="00324B33">
            <w:pPr>
              <w:rPr>
                <w:szCs w:val="22"/>
              </w:rPr>
            </w:pPr>
            <w:r>
              <w:rPr>
                <w:szCs w:val="22"/>
              </w:rPr>
              <w:t>European medicines Agency (EMA)</w:t>
            </w:r>
          </w:p>
        </w:tc>
        <w:tc>
          <w:tcPr>
            <w:tcW w:w="1002" w:type="pct"/>
          </w:tcPr>
          <w:p w14:paraId="4FA5DDA9" w14:textId="5DFAFE75" w:rsidR="00324B33" w:rsidRPr="00D01DDB" w:rsidRDefault="002037E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3 </w:t>
            </w:r>
            <w:r w:rsidR="00A762DE">
              <w:rPr>
                <w:szCs w:val="22"/>
              </w:rPr>
              <w:t>M</w:t>
            </w:r>
            <w:r>
              <w:rPr>
                <w:szCs w:val="22"/>
              </w:rPr>
              <w:t>arch 2021</w:t>
            </w:r>
          </w:p>
        </w:tc>
        <w:tc>
          <w:tcPr>
            <w:tcW w:w="1154" w:type="pct"/>
          </w:tcPr>
          <w:p w14:paraId="29358393" w14:textId="395626E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A762DE">
              <w:rPr>
                <w:szCs w:val="22"/>
              </w:rPr>
              <w:t>5 December 2022</w:t>
            </w:r>
          </w:p>
        </w:tc>
        <w:tc>
          <w:tcPr>
            <w:tcW w:w="1847" w:type="pct"/>
          </w:tcPr>
          <w:p w14:paraId="05055674" w14:textId="6808D404" w:rsidR="00324B33" w:rsidRPr="00D01DDB" w:rsidRDefault="00A762DE" w:rsidP="00A2759B">
            <w:pPr>
              <w:cnfStyle w:val="000000000000" w:firstRow="0" w:lastRow="0" w:firstColumn="0" w:lastColumn="0" w:oddVBand="0" w:evenVBand="0" w:oddHBand="0" w:evenHBand="0" w:firstRowFirstColumn="0" w:firstRowLastColumn="0" w:lastRowFirstColumn="0" w:lastRowLastColumn="0"/>
              <w:rPr>
                <w:szCs w:val="22"/>
              </w:rPr>
            </w:pPr>
            <w:r w:rsidRPr="00A762DE">
              <w:rPr>
                <w:i/>
                <w:iCs/>
                <w:szCs w:val="22"/>
              </w:rPr>
              <w:t>Q</w:t>
            </w:r>
            <w:r w:rsidR="00BA7399">
              <w:rPr>
                <w:i/>
                <w:iCs/>
                <w:szCs w:val="22"/>
              </w:rPr>
              <w:t>denga</w:t>
            </w:r>
            <w:r w:rsidRPr="00A762DE">
              <w:rPr>
                <w:i/>
                <w:iCs/>
                <w:szCs w:val="22"/>
              </w:rPr>
              <w:t xml:space="preserve"> is indicated for the prevention of dengue disease in individuals from 4 years of age.</w:t>
            </w:r>
          </w:p>
        </w:tc>
      </w:tr>
      <w:tr w:rsidR="00324B33" w:rsidRPr="00D01DDB" w14:paraId="18B6E2AA" w14:textId="7783D66F" w:rsidTr="00563D3A">
        <w:tc>
          <w:tcPr>
            <w:cnfStyle w:val="001000000000" w:firstRow="0" w:lastRow="0" w:firstColumn="1" w:lastColumn="0" w:oddVBand="0" w:evenVBand="0" w:oddHBand="0" w:evenHBand="0" w:firstRowFirstColumn="0" w:firstRowLastColumn="0" w:lastRowFirstColumn="0" w:lastRowLastColumn="0"/>
            <w:tcW w:w="997" w:type="pct"/>
          </w:tcPr>
          <w:p w14:paraId="7F348960" w14:textId="7DBEF7ED" w:rsidR="00324B33" w:rsidRPr="00D01DDB" w:rsidRDefault="00E57AA5" w:rsidP="00324B33">
            <w:pPr>
              <w:rPr>
                <w:szCs w:val="22"/>
              </w:rPr>
            </w:pPr>
            <w:r>
              <w:rPr>
                <w:szCs w:val="22"/>
              </w:rPr>
              <w:t>United Kingdom</w:t>
            </w:r>
          </w:p>
        </w:tc>
        <w:tc>
          <w:tcPr>
            <w:tcW w:w="1002" w:type="pct"/>
          </w:tcPr>
          <w:p w14:paraId="1D871E57" w14:textId="681DE0BD" w:rsidR="00324B33" w:rsidRPr="00D01DDB" w:rsidRDefault="00E57AA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October 2022</w:t>
            </w:r>
          </w:p>
        </w:tc>
        <w:tc>
          <w:tcPr>
            <w:tcW w:w="1154" w:type="pct"/>
          </w:tcPr>
          <w:p w14:paraId="63A3A9D3" w14:textId="53B0466F" w:rsidR="00324B33" w:rsidRPr="00D01DDB" w:rsidRDefault="00E57AA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26 January 2023</w:t>
            </w:r>
          </w:p>
        </w:tc>
        <w:tc>
          <w:tcPr>
            <w:tcW w:w="1847" w:type="pct"/>
          </w:tcPr>
          <w:p w14:paraId="17C650B8" w14:textId="33D7FB6E" w:rsidR="00324B33" w:rsidRPr="00D01DDB" w:rsidRDefault="00A2759B" w:rsidP="00A2759B">
            <w:pPr>
              <w:cnfStyle w:val="000000000000" w:firstRow="0" w:lastRow="0" w:firstColumn="0" w:lastColumn="0" w:oddVBand="0" w:evenVBand="0" w:oddHBand="0" w:evenHBand="0" w:firstRowFirstColumn="0" w:firstRowLastColumn="0" w:lastRowFirstColumn="0" w:lastRowLastColumn="0"/>
              <w:rPr>
                <w:szCs w:val="22"/>
              </w:rPr>
            </w:pPr>
            <w:r w:rsidRPr="00A2759B">
              <w:rPr>
                <w:i/>
                <w:iCs/>
                <w:szCs w:val="22"/>
              </w:rPr>
              <w:t>Q</w:t>
            </w:r>
            <w:r w:rsidR="00BA7399">
              <w:rPr>
                <w:i/>
                <w:iCs/>
                <w:szCs w:val="22"/>
              </w:rPr>
              <w:t>denga</w:t>
            </w:r>
            <w:r w:rsidRPr="00A2759B">
              <w:rPr>
                <w:i/>
                <w:iCs/>
                <w:szCs w:val="22"/>
              </w:rPr>
              <w:t xml:space="preserve"> is indicated for the prevention of dengue disease in individuals from 4 years of age.</w:t>
            </w:r>
          </w:p>
        </w:tc>
      </w:tr>
      <w:tr w:rsidR="00FD67EE" w:rsidRPr="00D01DDB" w14:paraId="29D75FCD" w14:textId="77777777" w:rsidTr="00563D3A">
        <w:tc>
          <w:tcPr>
            <w:cnfStyle w:val="001000000000" w:firstRow="0" w:lastRow="0" w:firstColumn="1" w:lastColumn="0" w:oddVBand="0" w:evenVBand="0" w:oddHBand="0" w:evenHBand="0" w:firstRowFirstColumn="0" w:firstRowLastColumn="0" w:lastRowFirstColumn="0" w:lastRowLastColumn="0"/>
            <w:tcW w:w="997" w:type="pct"/>
          </w:tcPr>
          <w:p w14:paraId="4C736189" w14:textId="394F2E16" w:rsidR="00FD67EE" w:rsidRPr="00D01DDB" w:rsidRDefault="00A2759B" w:rsidP="00324B33">
            <w:pPr>
              <w:rPr>
                <w:szCs w:val="22"/>
              </w:rPr>
            </w:pPr>
            <w:r>
              <w:rPr>
                <w:szCs w:val="22"/>
              </w:rPr>
              <w:t>Switzerland</w:t>
            </w:r>
          </w:p>
        </w:tc>
        <w:tc>
          <w:tcPr>
            <w:tcW w:w="1002" w:type="pct"/>
          </w:tcPr>
          <w:p w14:paraId="0171A462" w14:textId="363DDE59" w:rsidR="00FD67EE" w:rsidRPr="00D01DDB" w:rsidRDefault="00A2759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April 2023</w:t>
            </w:r>
          </w:p>
        </w:tc>
        <w:tc>
          <w:tcPr>
            <w:tcW w:w="1154" w:type="pct"/>
          </w:tcPr>
          <w:p w14:paraId="7FBBEE62" w14:textId="4D0294F9" w:rsidR="00FD67EE" w:rsidRPr="00D01DDB" w:rsidRDefault="004808F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29 July 2024</w:t>
            </w:r>
          </w:p>
        </w:tc>
        <w:tc>
          <w:tcPr>
            <w:tcW w:w="1847" w:type="pct"/>
          </w:tcPr>
          <w:p w14:paraId="67B51AF0" w14:textId="65D0F735" w:rsidR="00FD67EE" w:rsidRPr="00D01DDB" w:rsidRDefault="004808F3" w:rsidP="00324B33">
            <w:pPr>
              <w:cnfStyle w:val="000000000000" w:firstRow="0" w:lastRow="0" w:firstColumn="0" w:lastColumn="0" w:oddVBand="0" w:evenVBand="0" w:oddHBand="0" w:evenHBand="0" w:firstRowFirstColumn="0" w:firstRowLastColumn="0" w:lastRowFirstColumn="0" w:lastRowLastColumn="0"/>
              <w:rPr>
                <w:szCs w:val="22"/>
              </w:rPr>
            </w:pPr>
            <w:r w:rsidRPr="00A2759B">
              <w:rPr>
                <w:i/>
                <w:iCs/>
                <w:szCs w:val="22"/>
              </w:rPr>
              <w:t>Q</w:t>
            </w:r>
            <w:r w:rsidR="00BA7399">
              <w:rPr>
                <w:i/>
                <w:iCs/>
                <w:szCs w:val="22"/>
              </w:rPr>
              <w:t>denga</w:t>
            </w:r>
            <w:r w:rsidRPr="00A2759B">
              <w:rPr>
                <w:i/>
                <w:iCs/>
                <w:szCs w:val="22"/>
              </w:rPr>
              <w:t xml:space="preserve"> is indicated for the prevention of dengue disease in individuals from 4 years of age.</w:t>
            </w:r>
          </w:p>
        </w:tc>
      </w:tr>
    </w:tbl>
    <w:p w14:paraId="6D92589C" w14:textId="09786CEF" w:rsidR="00324B33" w:rsidRDefault="00324B33" w:rsidP="00324B33">
      <w:pPr>
        <w:pStyle w:val="Heading2"/>
      </w:pPr>
      <w:bookmarkStart w:id="26" w:name="_Toc504480011"/>
      <w:bookmarkStart w:id="27" w:name="_Toc103679293"/>
      <w:bookmarkStart w:id="28" w:name="_Toc232600099"/>
      <w:r>
        <w:t>Registration timeline</w:t>
      </w:r>
      <w:bookmarkEnd w:id="26"/>
      <w:bookmarkEnd w:id="27"/>
      <w:bookmarkEnd w:id="28"/>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5263E729" w14:textId="3983E2FD" w:rsidR="005B02A2" w:rsidRPr="003C1192" w:rsidRDefault="00324B33" w:rsidP="00B15568">
      <w:pPr>
        <w:pStyle w:val="TableTitle"/>
        <w:rPr>
          <w:iCs/>
        </w:rPr>
      </w:pPr>
      <w:r w:rsidRPr="002C1232">
        <w:t xml:space="preserve">Table </w:t>
      </w:r>
      <w:r>
        <w:fldChar w:fldCharType="begin"/>
      </w:r>
      <w:r>
        <w:instrText>SEQ Table \* ARABIC</w:instrText>
      </w:r>
      <w:r>
        <w:fldChar w:fldCharType="separate"/>
      </w:r>
      <w:r w:rsidR="008B1CB5" w:rsidRPr="002C1232">
        <w:t>2</w:t>
      </w:r>
      <w:r>
        <w:fldChar w:fldCharType="end"/>
      </w:r>
      <w:r w:rsidR="00C53395">
        <w:t>.</w:t>
      </w:r>
      <w:r w:rsidRPr="002C1232">
        <w:t xml:space="preserve"> Timeline for Submission PM-202</w:t>
      </w:r>
      <w:r w:rsidR="00B15568">
        <w:t>5</w:t>
      </w:r>
      <w:r w:rsidRPr="002C1232">
        <w:t>-</w:t>
      </w:r>
      <w:r w:rsidR="00B15568">
        <w:t>00874</w:t>
      </w:r>
      <w:r w:rsidRPr="002C1232">
        <w:t>-1-</w:t>
      </w:r>
      <w:r w:rsidR="00B15568">
        <w:t>2</w:t>
      </w:r>
      <w:r w:rsidR="00C53395">
        <w:t>.</w:t>
      </w:r>
    </w:p>
    <w:tbl>
      <w:tblPr>
        <w:tblStyle w:val="TableTGAblue2023"/>
        <w:tblW w:w="9067" w:type="dxa"/>
        <w:tblLook w:val="04A0" w:firstRow="1" w:lastRow="0" w:firstColumn="1" w:lastColumn="0" w:noHBand="0" w:noVBand="1"/>
      </w:tblPr>
      <w:tblGrid>
        <w:gridCol w:w="6799"/>
        <w:gridCol w:w="2268"/>
      </w:tblGrid>
      <w:tr w:rsidR="00324B33" w:rsidRPr="00D01DDB" w14:paraId="6C59BE9C" w14:textId="77777777" w:rsidTr="00F04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F046E5">
        <w:tc>
          <w:tcPr>
            <w:cnfStyle w:val="001000000000" w:firstRow="0" w:lastRow="0" w:firstColumn="1" w:lastColumn="0" w:oddVBand="0" w:evenVBand="0" w:oddHBand="0" w:evenHBand="0" w:firstRowFirstColumn="0" w:firstRowLastColumn="0" w:lastRowFirstColumn="0" w:lastRowLastColumn="0"/>
            <w:tcW w:w="6799" w:type="dxa"/>
          </w:tcPr>
          <w:p w14:paraId="759D2A12" w14:textId="0D705F83" w:rsidR="00324B33" w:rsidRPr="00E679D1" w:rsidRDefault="00324B33" w:rsidP="00E679D1">
            <w:r w:rsidRPr="00E679D1">
              <w:t>Submission dossier accepted and first round evaluation commenced</w:t>
            </w:r>
          </w:p>
        </w:tc>
        <w:tc>
          <w:tcPr>
            <w:tcW w:w="2268" w:type="dxa"/>
          </w:tcPr>
          <w:p w14:paraId="2963D9D8" w14:textId="388D3D1F" w:rsidR="00324B33" w:rsidRPr="00D01DDB" w:rsidRDefault="00B44EA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April 2025</w:t>
            </w:r>
          </w:p>
        </w:tc>
      </w:tr>
      <w:tr w:rsidR="00803926" w:rsidRPr="00D01DDB" w14:paraId="16D13F79" w14:textId="77777777" w:rsidTr="00F046E5">
        <w:tc>
          <w:tcPr>
            <w:cnfStyle w:val="001000000000" w:firstRow="0" w:lastRow="0" w:firstColumn="1" w:lastColumn="0" w:oddVBand="0" w:evenVBand="0" w:oddHBand="0" w:evenHBand="0" w:firstRowFirstColumn="0" w:firstRowLastColumn="0" w:lastRowFirstColumn="0" w:lastRowLastColumn="0"/>
            <w:tcW w:w="6799"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268" w:type="dxa"/>
          </w:tcPr>
          <w:p w14:paraId="2E0BD403" w14:textId="30A49B42" w:rsidR="00803926" w:rsidRPr="00D01DDB" w:rsidRDefault="0037246D" w:rsidP="00324B33">
            <w:pPr>
              <w:cnfStyle w:val="000000000000" w:firstRow="0" w:lastRow="0" w:firstColumn="0" w:lastColumn="0" w:oddVBand="0" w:evenVBand="0" w:oddHBand="0" w:evenHBand="0" w:firstRowFirstColumn="0" w:firstRowLastColumn="0" w:lastRowFirstColumn="0" w:lastRowLastColumn="0"/>
              <w:rPr>
                <w:szCs w:val="22"/>
              </w:rPr>
            </w:pPr>
            <w:r w:rsidRPr="004B64D1">
              <w:rPr>
                <w:szCs w:val="22"/>
              </w:rPr>
              <w:t>14</w:t>
            </w:r>
            <w:r w:rsidR="00BC55B4" w:rsidRPr="004B64D1">
              <w:rPr>
                <w:szCs w:val="22"/>
              </w:rPr>
              <w:t xml:space="preserve"> January</w:t>
            </w:r>
            <w:r w:rsidR="00644559" w:rsidRPr="004B64D1">
              <w:rPr>
                <w:szCs w:val="22"/>
              </w:rPr>
              <w:t xml:space="preserve"> 2026</w:t>
            </w:r>
          </w:p>
        </w:tc>
      </w:tr>
      <w:tr w:rsidR="00324B33" w:rsidRPr="00D01DDB" w14:paraId="6E5D32FE" w14:textId="77777777" w:rsidTr="00F046E5">
        <w:tc>
          <w:tcPr>
            <w:cnfStyle w:val="001000000000" w:firstRow="0" w:lastRow="0" w:firstColumn="1" w:lastColumn="0" w:oddVBand="0" w:evenVBand="0" w:oddHBand="0" w:evenHBand="0" w:firstRowFirstColumn="0" w:firstRowLastColumn="0" w:lastRowFirstColumn="0" w:lastRowLastColumn="0"/>
            <w:tcW w:w="6799" w:type="dxa"/>
          </w:tcPr>
          <w:p w14:paraId="4E95C44C" w14:textId="7A91C710" w:rsidR="00324B33" w:rsidRPr="00E679D1" w:rsidRDefault="00324B33" w:rsidP="00E679D1">
            <w:r w:rsidRPr="00E679D1">
              <w:t>Registration decision (Outcome)</w:t>
            </w:r>
          </w:p>
        </w:tc>
        <w:tc>
          <w:tcPr>
            <w:tcW w:w="2268" w:type="dxa"/>
          </w:tcPr>
          <w:p w14:paraId="62987ABD" w14:textId="5DD94C69" w:rsidR="00324B33" w:rsidRPr="00D01DDB" w:rsidRDefault="006355E4" w:rsidP="00324B33">
            <w:pPr>
              <w:cnfStyle w:val="000000000000" w:firstRow="0" w:lastRow="0" w:firstColumn="0" w:lastColumn="0" w:oddVBand="0" w:evenVBand="0" w:oddHBand="0" w:evenHBand="0" w:firstRowFirstColumn="0" w:firstRowLastColumn="0" w:lastRowFirstColumn="0" w:lastRowLastColumn="0"/>
              <w:rPr>
                <w:szCs w:val="22"/>
              </w:rPr>
            </w:pPr>
            <w:r w:rsidRPr="006355E4">
              <w:rPr>
                <w:szCs w:val="22"/>
              </w:rPr>
              <w:t>31 March 2026</w:t>
            </w:r>
          </w:p>
        </w:tc>
      </w:tr>
      <w:tr w:rsidR="00324B33" w:rsidRPr="00D01DDB" w14:paraId="6DDCDDA4" w14:textId="77777777" w:rsidTr="00F046E5">
        <w:tc>
          <w:tcPr>
            <w:cnfStyle w:val="001000000000" w:firstRow="0" w:lastRow="0" w:firstColumn="1" w:lastColumn="0" w:oddVBand="0" w:evenVBand="0" w:oddHBand="0" w:evenHBand="0" w:firstRowFirstColumn="0" w:firstRowLastColumn="0" w:lastRowFirstColumn="0" w:lastRowLastColumn="0"/>
            <w:tcW w:w="6799" w:type="dxa"/>
          </w:tcPr>
          <w:p w14:paraId="192FD19D" w14:textId="3A0D1BCD" w:rsidR="00324B33" w:rsidRPr="00E679D1" w:rsidRDefault="0013132F" w:rsidP="007311B9">
            <w:pPr>
              <w:ind w:left="0"/>
            </w:pPr>
            <w:r w:rsidRPr="00E679D1">
              <w:lastRenderedPageBreak/>
              <w:t xml:space="preserve"> </w:t>
            </w:r>
            <w:r w:rsidR="00C00844">
              <w:t>R</w:t>
            </w:r>
            <w:r w:rsidRPr="00E679D1">
              <w:t xml:space="preserve">egistration </w:t>
            </w:r>
            <w:r w:rsidR="005C4B46" w:rsidRPr="00E679D1">
              <w:t xml:space="preserve">in </w:t>
            </w:r>
            <w:r w:rsidRPr="00E679D1">
              <w:t>the ARTG completed</w:t>
            </w:r>
          </w:p>
        </w:tc>
        <w:tc>
          <w:tcPr>
            <w:tcW w:w="2268" w:type="dxa"/>
          </w:tcPr>
          <w:p w14:paraId="5A8923FD" w14:textId="2D149319" w:rsidR="00324B33" w:rsidRPr="00D01DDB" w:rsidRDefault="006355E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April 2026</w:t>
            </w:r>
          </w:p>
        </w:tc>
      </w:tr>
      <w:tr w:rsidR="00324B33" w:rsidRPr="00D01DDB" w14:paraId="56D922E2" w14:textId="77777777" w:rsidTr="00F046E5">
        <w:tc>
          <w:tcPr>
            <w:cnfStyle w:val="001000000000" w:firstRow="0" w:lastRow="0" w:firstColumn="1" w:lastColumn="0" w:oddVBand="0" w:evenVBand="0" w:oddHBand="0" w:evenHBand="0" w:firstRowFirstColumn="0" w:firstRowLastColumn="0" w:lastRowFirstColumn="0" w:lastRowLastColumn="0"/>
            <w:tcW w:w="6799" w:type="dxa"/>
          </w:tcPr>
          <w:p w14:paraId="787FD8DD" w14:textId="0E0CF97F" w:rsidR="00324B33" w:rsidRPr="00E679D1" w:rsidRDefault="00324B33" w:rsidP="00E679D1">
            <w:r w:rsidRPr="00E679D1">
              <w:t>Number of working days from submission dossier acceptance to registration decision*</w:t>
            </w:r>
          </w:p>
        </w:tc>
        <w:tc>
          <w:tcPr>
            <w:tcW w:w="2268" w:type="dxa"/>
          </w:tcPr>
          <w:p w14:paraId="5BAF9FA1" w14:textId="50B2C4D0" w:rsidR="00324B33" w:rsidRPr="00D01DDB" w:rsidRDefault="00D45D6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185</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29" w:name="_Toc196046504"/>
      <w:bookmarkStart w:id="30" w:name="_Toc247691527"/>
      <w:bookmarkStart w:id="31" w:name="_Toc314842510"/>
      <w:bookmarkStart w:id="32" w:name="_Toc103679294"/>
      <w:bookmarkStart w:id="33" w:name="_Toc232600100"/>
      <w:r>
        <w:t xml:space="preserve">Assessment </w:t>
      </w:r>
      <w:r w:rsidR="00C22214" w:rsidRPr="00006FAB">
        <w:t>overview</w:t>
      </w:r>
      <w:bookmarkEnd w:id="33"/>
      <w:r w:rsidR="00C22214" w:rsidRPr="00006FAB">
        <w:t xml:space="preserve"> </w:t>
      </w:r>
      <w:bookmarkEnd w:id="29"/>
      <w:bookmarkEnd w:id="30"/>
      <w:bookmarkEnd w:id="31"/>
      <w:bookmarkEnd w:id="32"/>
    </w:p>
    <w:p w14:paraId="540151FC" w14:textId="77777777" w:rsidR="00C22214" w:rsidRPr="00BD5DBD" w:rsidRDefault="00C22214" w:rsidP="00BD5DBD">
      <w:pPr>
        <w:rPr>
          <w:szCs w:val="22"/>
        </w:rPr>
      </w:pPr>
      <w:bookmarkStart w:id="34" w:name="_Toc247691528"/>
      <w:bookmarkStart w:id="35" w:name="_Toc314842511"/>
      <w:r w:rsidRPr="00BD5DBD">
        <w:rPr>
          <w:szCs w:val="22"/>
        </w:rPr>
        <w:t>A summary of the TGA’s assessment for this submission is provided below.</w:t>
      </w:r>
    </w:p>
    <w:p w14:paraId="37F5A1C0" w14:textId="5D3D5FE0" w:rsidR="00C22214" w:rsidRDefault="00095C6A" w:rsidP="00C22214">
      <w:pPr>
        <w:pStyle w:val="Heading3"/>
      </w:pPr>
      <w:bookmarkStart w:id="36" w:name="_Toc103679295"/>
      <w:bookmarkStart w:id="37" w:name="_Toc232600101"/>
      <w:r>
        <w:t>Q</w:t>
      </w:r>
      <w:r w:rsidR="00C22214">
        <w:t>uality</w:t>
      </w:r>
      <w:bookmarkEnd w:id="34"/>
      <w:bookmarkEnd w:id="35"/>
      <w:bookmarkEnd w:id="36"/>
      <w:r w:rsidR="007E6443">
        <w:t xml:space="preserve"> evaluation</w:t>
      </w:r>
      <w:r>
        <w:t xml:space="preserve"> summary</w:t>
      </w:r>
      <w:bookmarkEnd w:id="37"/>
    </w:p>
    <w:p w14:paraId="4038951F" w14:textId="77777777" w:rsidR="00A02DDF" w:rsidRPr="00A02DDF" w:rsidRDefault="00A02DDF" w:rsidP="00A02DDF">
      <w:pPr>
        <w:rPr>
          <w:szCs w:val="22"/>
        </w:rPr>
      </w:pPr>
      <w:r w:rsidRPr="00A02DDF">
        <w:rPr>
          <w:szCs w:val="22"/>
        </w:rPr>
        <w:t>The dengue tetravalent vaccine drug product (DP) consists of four molecularly characterised serotypes: one attenuated serotype 2 virus strain and three recombinant virus strains expressing the surface antigens corresponding to dengue serotypes 1, 3 and 4, engineered into the attenuated serotype 2 backbone.</w:t>
      </w:r>
    </w:p>
    <w:p w14:paraId="7BD9EDAC" w14:textId="13FE9ED9" w:rsidR="00EE308F" w:rsidRDefault="00845D09" w:rsidP="00EE308F">
      <w:pPr>
        <w:rPr>
          <w:szCs w:val="22"/>
        </w:rPr>
      </w:pPr>
      <w:r>
        <w:rPr>
          <w:szCs w:val="22"/>
        </w:rPr>
        <w:t>Qdenga</w:t>
      </w:r>
      <w:r w:rsidR="00EE308F" w:rsidRPr="00EE308F">
        <w:rPr>
          <w:szCs w:val="22"/>
        </w:rPr>
        <w:t xml:space="preserve"> is presented as a composite pack containing a lyophilised powder for injection (1 dose) vial and a diluent (0.5 mL of 37 mM sodium chloride solution) presented in either a vial or pre-filled syringe (PFS). The lyophilised powder is a mixture of the four vaccine serotypes and excipients. Prior to administration, the lyophilised DP is reconstituted with the entire contents of the diluent. The recommended storage condition of the composite pack prior to reconstitution is at 2-8ᵒC (no freezing). </w:t>
      </w:r>
    </w:p>
    <w:p w14:paraId="797F59DC" w14:textId="70A30D21" w:rsidR="008E616F" w:rsidRDefault="00F2332D" w:rsidP="00F2332D">
      <w:pPr>
        <w:rPr>
          <w:szCs w:val="22"/>
        </w:rPr>
      </w:pPr>
      <w:r w:rsidRPr="00F2332D">
        <w:rPr>
          <w:szCs w:val="22"/>
        </w:rPr>
        <w:t xml:space="preserve">The shelf-life for the lyophilised </w:t>
      </w:r>
      <w:r w:rsidR="002567F0">
        <w:rPr>
          <w:szCs w:val="22"/>
        </w:rPr>
        <w:t>t</w:t>
      </w:r>
      <w:r w:rsidR="002567F0" w:rsidRPr="002567F0">
        <w:rPr>
          <w:szCs w:val="22"/>
        </w:rPr>
        <w:t xml:space="preserve">etravalent dengue vaccine </w:t>
      </w:r>
      <w:r w:rsidR="002567F0">
        <w:rPr>
          <w:szCs w:val="22"/>
        </w:rPr>
        <w:t>(</w:t>
      </w:r>
      <w:r w:rsidRPr="00F2332D">
        <w:rPr>
          <w:szCs w:val="22"/>
        </w:rPr>
        <w:t>TDV</w:t>
      </w:r>
      <w:r w:rsidR="002567F0">
        <w:rPr>
          <w:szCs w:val="22"/>
        </w:rPr>
        <w:t>)</w:t>
      </w:r>
      <w:r w:rsidRPr="00F2332D">
        <w:rPr>
          <w:szCs w:val="22"/>
        </w:rPr>
        <w:t xml:space="preserve"> DP is 24 month</w:t>
      </w:r>
      <w:r w:rsidR="00203914">
        <w:rPr>
          <w:szCs w:val="22"/>
        </w:rPr>
        <w:t>s</w:t>
      </w:r>
      <w:r w:rsidRPr="00F2332D">
        <w:rPr>
          <w:szCs w:val="22"/>
        </w:rPr>
        <w:t>.</w:t>
      </w:r>
    </w:p>
    <w:p w14:paraId="4939DE52" w14:textId="62EA11AA" w:rsidR="000B33C1" w:rsidRDefault="000B33C1" w:rsidP="000B33C1">
      <w:pPr>
        <w:rPr>
          <w:szCs w:val="22"/>
        </w:rPr>
      </w:pPr>
      <w:r w:rsidRPr="000B33C1">
        <w:rPr>
          <w:szCs w:val="22"/>
        </w:rPr>
        <w:t>After reconstitution with the solvent provided, Q</w:t>
      </w:r>
      <w:r w:rsidR="00D67EBA">
        <w:rPr>
          <w:szCs w:val="22"/>
        </w:rPr>
        <w:t>denga</w:t>
      </w:r>
      <w:r w:rsidRPr="000B33C1">
        <w:rPr>
          <w:szCs w:val="22"/>
        </w:rPr>
        <w:t xml:space="preserve"> should be used immediately.</w:t>
      </w:r>
      <w:r w:rsidR="00D67EBA">
        <w:rPr>
          <w:szCs w:val="22"/>
        </w:rPr>
        <w:t xml:space="preserve"> </w:t>
      </w:r>
      <w:r w:rsidRPr="000B33C1">
        <w:rPr>
          <w:szCs w:val="22"/>
        </w:rPr>
        <w:t xml:space="preserve">If not used immediately, </w:t>
      </w:r>
      <w:r w:rsidR="00D67EBA">
        <w:rPr>
          <w:szCs w:val="22"/>
        </w:rPr>
        <w:t>the recons</w:t>
      </w:r>
      <w:r w:rsidR="0057303C">
        <w:rPr>
          <w:szCs w:val="22"/>
        </w:rPr>
        <w:t xml:space="preserve">tituted </w:t>
      </w:r>
      <w:r w:rsidRPr="000B33C1">
        <w:rPr>
          <w:szCs w:val="22"/>
        </w:rPr>
        <w:t>Q</w:t>
      </w:r>
      <w:r w:rsidR="00D67EBA">
        <w:rPr>
          <w:szCs w:val="22"/>
        </w:rPr>
        <w:t>denga vaccine</w:t>
      </w:r>
      <w:r w:rsidRPr="000B33C1">
        <w:rPr>
          <w:szCs w:val="22"/>
        </w:rPr>
        <w:t xml:space="preserve"> must be used within 2 hours from reconstitution.</w:t>
      </w:r>
    </w:p>
    <w:p w14:paraId="6095F443" w14:textId="77777777" w:rsidR="008E616F" w:rsidRPr="008E616F" w:rsidRDefault="008E616F" w:rsidP="008E616F">
      <w:pPr>
        <w:rPr>
          <w:szCs w:val="22"/>
        </w:rPr>
      </w:pPr>
      <w:r w:rsidRPr="008E616F">
        <w:rPr>
          <w:szCs w:val="22"/>
        </w:rPr>
        <w:t>There are no significant issues identified from the Module 3 evaluation of the submitted data that would indicate the products should not be fully registered based on quality, or safety-related issues arising from the quality of the products. The manufacturing quality information submitted by the Sponsor supports the full registration of:</w:t>
      </w:r>
    </w:p>
    <w:p w14:paraId="73C89942" w14:textId="0D71E752" w:rsidR="008E616F" w:rsidRPr="008E616F" w:rsidRDefault="008E616F" w:rsidP="00F046E5">
      <w:pPr>
        <w:pStyle w:val="ListBullet"/>
      </w:pPr>
      <w:r w:rsidRPr="008E616F">
        <w:t>Q</w:t>
      </w:r>
      <w:r w:rsidR="00AB4E52">
        <w:t>denga</w:t>
      </w:r>
      <w:r w:rsidRPr="008E616F">
        <w:t xml:space="preserve"> dengue tetravalent vaccine (live, attenuated) powder (vial) &amp; solvent (vial) for injection </w:t>
      </w:r>
    </w:p>
    <w:p w14:paraId="1D49A1C1" w14:textId="0545AF34" w:rsidR="008E616F" w:rsidRPr="00EE308F" w:rsidRDefault="008E616F" w:rsidP="00F046E5">
      <w:pPr>
        <w:pStyle w:val="ListBullet"/>
      </w:pPr>
      <w:r w:rsidRPr="008E616F">
        <w:t>Q</w:t>
      </w:r>
      <w:r w:rsidR="00AB4E52">
        <w:t>denga</w:t>
      </w:r>
      <w:r w:rsidRPr="008E616F">
        <w:t xml:space="preserve"> dengue tetravalent vaccine (live, attenuated) powder (vial) &amp; solvent (PFS) for injection </w:t>
      </w:r>
    </w:p>
    <w:p w14:paraId="2BE90AAE" w14:textId="35796FD3" w:rsidR="00C22214" w:rsidRDefault="00C22214" w:rsidP="00C22214">
      <w:pPr>
        <w:pStyle w:val="Heading3"/>
      </w:pPr>
      <w:bookmarkStart w:id="38" w:name="_Toc314842512"/>
      <w:bookmarkStart w:id="39" w:name="_Toc103679296"/>
      <w:bookmarkStart w:id="40" w:name="_Toc232600102"/>
      <w:r>
        <w:t>Nonclinical</w:t>
      </w:r>
      <w:bookmarkEnd w:id="38"/>
      <w:bookmarkEnd w:id="39"/>
      <w:r w:rsidR="007E6443">
        <w:t xml:space="preserve"> evaluation</w:t>
      </w:r>
      <w:r w:rsidR="00095C6A">
        <w:t xml:space="preserve"> summary</w:t>
      </w:r>
      <w:bookmarkEnd w:id="40"/>
    </w:p>
    <w:p w14:paraId="51F75223" w14:textId="77777777" w:rsidR="002B4E2E" w:rsidRDefault="001A5D1C" w:rsidP="002B4E2E">
      <w:pPr>
        <w:rPr>
          <w:szCs w:val="22"/>
        </w:rPr>
      </w:pPr>
      <w:bookmarkStart w:id="41" w:name="_Toc247691530"/>
      <w:bookmarkStart w:id="42" w:name="_Toc314842513"/>
      <w:bookmarkStart w:id="43" w:name="_Toc103679297"/>
      <w:r w:rsidRPr="001A5D1C">
        <w:rPr>
          <w:szCs w:val="22"/>
        </w:rPr>
        <w:t xml:space="preserve">The nonclinical data in support of Qdenga consisted of immunogenicity, protective efficacy, neurovirulence, biodistribution, and repeat-dose toxicity studies in AG129 mice, one pharmacology study in non-human primates, and a reproductive toxicity study in rabbits. All safety studies were GLP-compliant. </w:t>
      </w:r>
    </w:p>
    <w:p w14:paraId="731095DC" w14:textId="77777777" w:rsidR="008E3AA8" w:rsidRDefault="002B4E2E" w:rsidP="008E3AA8">
      <w:pPr>
        <w:rPr>
          <w:szCs w:val="22"/>
        </w:rPr>
      </w:pPr>
      <w:r w:rsidRPr="002B4E2E">
        <w:rPr>
          <w:szCs w:val="22"/>
        </w:rPr>
        <w:t xml:space="preserve">TDV vaccine induced neutralising antibodies against all 4 serotypes in mice and monkeys. However, comparison of monovalent and tetravalent vaccine indicated interference between serotypes. Cell-mediated responses were not investigated in nonclinical studies. </w:t>
      </w:r>
    </w:p>
    <w:p w14:paraId="1C87139E" w14:textId="414AF11C" w:rsidR="008E3AA8" w:rsidRPr="008E3AA8" w:rsidRDefault="008E3AA8" w:rsidP="008E3AA8">
      <w:pPr>
        <w:rPr>
          <w:szCs w:val="22"/>
        </w:rPr>
      </w:pPr>
      <w:r w:rsidRPr="008E3AA8">
        <w:rPr>
          <w:szCs w:val="22"/>
        </w:rPr>
        <w:lastRenderedPageBreak/>
        <w:t xml:space="preserve">Nonclinical biodistribution, toxicity and neurovirulence studies in mice showed that the vaccine viruses are highly attenuated, with a transient minimal to slight inflammatory reaction at the injection site being the only finding. Viremia was low and transient, and no virus shedding was detected. Genetic stability studies indicated that reversion to virulence by back mutation or recombination is unlikely. </w:t>
      </w:r>
    </w:p>
    <w:p w14:paraId="358B81D1" w14:textId="16402E1E" w:rsidR="003844DD" w:rsidRPr="00210566" w:rsidRDefault="007738BA" w:rsidP="00CC69E1">
      <w:pPr>
        <w:rPr>
          <w:szCs w:val="22"/>
        </w:rPr>
      </w:pPr>
      <w:r w:rsidRPr="007738BA">
        <w:rPr>
          <w:szCs w:val="22"/>
        </w:rPr>
        <w:t xml:space="preserve">Reproductive toxicity studies in rabbits did not show any direct adverse effects on the foetus. Due to limitations of the models, a pregnancy category of B2 is recommended. TDV vaccine is contraindicated in pregnancy </w:t>
      </w:r>
      <w:r w:rsidR="003844DD" w:rsidRPr="00210566">
        <w:rPr>
          <w:szCs w:val="22"/>
        </w:rPr>
        <w:t>and breastfeeding. Women should avoid pregnancy for 1</w:t>
      </w:r>
      <w:r w:rsidR="003844DD">
        <w:rPr>
          <w:szCs w:val="22"/>
        </w:rPr>
        <w:t>-</w:t>
      </w:r>
      <w:r w:rsidR="003844DD" w:rsidRPr="00210566">
        <w:rPr>
          <w:szCs w:val="22"/>
        </w:rPr>
        <w:t xml:space="preserve">month post-vaccination, consistent with human viremia data and WHO guidance. </w:t>
      </w:r>
    </w:p>
    <w:p w14:paraId="1E98C27E" w14:textId="66900E70" w:rsidR="00210566" w:rsidRPr="00BD5DBD" w:rsidRDefault="00210566" w:rsidP="008804CF">
      <w:pPr>
        <w:rPr>
          <w:b/>
          <w:bCs/>
          <w:szCs w:val="22"/>
        </w:rPr>
      </w:pPr>
      <w:r w:rsidRPr="00210566">
        <w:rPr>
          <w:szCs w:val="22"/>
        </w:rPr>
        <w:t xml:space="preserve">There are no nonclinical objections to registration. </w:t>
      </w:r>
    </w:p>
    <w:p w14:paraId="35B580A5" w14:textId="40B226DC" w:rsidR="00C22214" w:rsidRDefault="00C22214" w:rsidP="008804CF">
      <w:pPr>
        <w:pStyle w:val="Heading3"/>
      </w:pPr>
      <w:bookmarkStart w:id="44" w:name="_Toc232600103"/>
      <w:r>
        <w:t>Clinical</w:t>
      </w:r>
      <w:bookmarkEnd w:id="41"/>
      <w:bookmarkEnd w:id="42"/>
      <w:bookmarkEnd w:id="43"/>
      <w:r w:rsidR="00095C6A">
        <w:t xml:space="preserve"> evaluation summary</w:t>
      </w:r>
      <w:bookmarkEnd w:id="44"/>
    </w:p>
    <w:p w14:paraId="364EC905" w14:textId="77777777" w:rsidR="00183709" w:rsidRPr="00183709" w:rsidRDefault="00183709" w:rsidP="00A5720E">
      <w:pPr>
        <w:pStyle w:val="Heading4"/>
      </w:pPr>
      <w:bookmarkStart w:id="45" w:name="_Toc232600104"/>
      <w:r w:rsidRPr="00183709">
        <w:t>Pharmacology</w:t>
      </w:r>
      <w:bookmarkEnd w:id="45"/>
    </w:p>
    <w:p w14:paraId="0782A15B" w14:textId="77777777" w:rsidR="00183709" w:rsidRPr="00183709" w:rsidRDefault="00183709" w:rsidP="00A5720E">
      <w:pPr>
        <w:pStyle w:val="Heading5"/>
      </w:pPr>
      <w:r w:rsidRPr="00183709">
        <w:t>Pharmacokinetics (PK)</w:t>
      </w:r>
    </w:p>
    <w:p w14:paraId="21C5AB01" w14:textId="2E929939" w:rsidR="00183709" w:rsidRDefault="00183709" w:rsidP="00183709">
      <w:r w:rsidRPr="00183709">
        <w:t>Clinical pharmacology trials, including pharmacokinetic trials, were not appropriate for this</w:t>
      </w:r>
      <w:r>
        <w:t xml:space="preserve"> </w:t>
      </w:r>
      <w:r w:rsidRPr="00183709">
        <w:t>vaccine and were therefore not performed. The absence of Pharmacokinetic studies is</w:t>
      </w:r>
      <w:r>
        <w:t xml:space="preserve"> </w:t>
      </w:r>
      <w:r w:rsidRPr="00183709">
        <w:t>considered acceptable. Pharmacokinetic studies are usually not required for vaccines per TGA</w:t>
      </w:r>
      <w:r w:rsidR="000C5C06">
        <w:t xml:space="preserve"> </w:t>
      </w:r>
      <w:r w:rsidRPr="00183709">
        <w:t>approved EMA guidance.</w:t>
      </w:r>
      <w:r w:rsidR="00E30A41">
        <w:rPr>
          <w:rStyle w:val="FootnoteReference"/>
        </w:rPr>
        <w:footnoteReference w:id="11"/>
      </w:r>
    </w:p>
    <w:p w14:paraId="3DB8213F" w14:textId="77777777" w:rsidR="00364CAD" w:rsidRPr="00364CAD" w:rsidRDefault="00364CAD" w:rsidP="00A5720E">
      <w:pPr>
        <w:pStyle w:val="Heading5"/>
      </w:pPr>
      <w:r w:rsidRPr="00364CAD">
        <w:t>Population PK data (</w:t>
      </w:r>
      <w:proofErr w:type="spellStart"/>
      <w:r w:rsidRPr="00364CAD">
        <w:t>popPK</w:t>
      </w:r>
      <w:proofErr w:type="spellEnd"/>
      <w:r w:rsidRPr="00364CAD">
        <w:t>)</w:t>
      </w:r>
    </w:p>
    <w:p w14:paraId="5BE03AEA" w14:textId="77777777" w:rsidR="00364CAD" w:rsidRPr="00364CAD" w:rsidRDefault="00364CAD" w:rsidP="00364CAD">
      <w:r w:rsidRPr="00364CAD">
        <w:t>Not applicable</w:t>
      </w:r>
    </w:p>
    <w:p w14:paraId="4440FDD2" w14:textId="77777777" w:rsidR="00364CAD" w:rsidRPr="00364CAD" w:rsidRDefault="00364CAD" w:rsidP="00A5720E">
      <w:pPr>
        <w:pStyle w:val="Heading5"/>
      </w:pPr>
      <w:r w:rsidRPr="00364CAD">
        <w:t>Pharmacodynamics (PD)</w:t>
      </w:r>
    </w:p>
    <w:p w14:paraId="2C66CB72" w14:textId="2DFF76F3" w:rsidR="00364CAD" w:rsidRPr="00364CAD" w:rsidRDefault="00364CAD" w:rsidP="00364CAD">
      <w:r w:rsidRPr="00364CAD">
        <w:t>The assessment of immunogenicity is considered a surrogate measure of the pharmacodynamic</w:t>
      </w:r>
      <w:r>
        <w:t xml:space="preserve"> </w:t>
      </w:r>
      <w:r w:rsidRPr="00364CAD">
        <w:t xml:space="preserve">effects of TDV. </w:t>
      </w:r>
      <w:r w:rsidR="000A2DE2">
        <w:t>A</w:t>
      </w:r>
      <w:r w:rsidR="00A628FF">
        <w:t>ccording to</w:t>
      </w:r>
      <w:r w:rsidRPr="00364CAD">
        <w:t xml:space="preserve"> WHO guidelines, the plaque-reduction neutralisation test (PRNT) is</w:t>
      </w:r>
      <w:r w:rsidR="000A2DE2">
        <w:t xml:space="preserve"> </w:t>
      </w:r>
      <w:r w:rsidRPr="00364CAD">
        <w:t>currently recognised as the assay of choice for measuring functional, dengue neutralising</w:t>
      </w:r>
      <w:r w:rsidR="000A2DE2">
        <w:t xml:space="preserve"> </w:t>
      </w:r>
      <w:r w:rsidRPr="00364CAD">
        <w:t>antibodies in human serum.</w:t>
      </w:r>
    </w:p>
    <w:p w14:paraId="3F590DE4" w14:textId="588D97B8" w:rsidR="00364CAD" w:rsidRPr="00364CAD" w:rsidRDefault="00364CAD" w:rsidP="00364CAD">
      <w:r w:rsidRPr="00364CAD">
        <w:t>A standardised and validated functional dengue microneutralization test (MNT) assay was used</w:t>
      </w:r>
      <w:r w:rsidR="00350D57">
        <w:t xml:space="preserve"> </w:t>
      </w:r>
      <w:r w:rsidRPr="00364CAD">
        <w:t>to quantify dengue virus-neutralising antibodies following vaccination with TDV. This assay was</w:t>
      </w:r>
      <w:r w:rsidR="00350D57">
        <w:t xml:space="preserve"> </w:t>
      </w:r>
      <w:r w:rsidRPr="00364CAD">
        <w:t>developed by the Sponsor in accordance with WHO PRNT guidance such that it was considered</w:t>
      </w:r>
      <w:r w:rsidR="00350D57">
        <w:t xml:space="preserve"> </w:t>
      </w:r>
      <w:r w:rsidRPr="00364CAD">
        <w:t>functionally equivalent to the PRNT assay. The MNT assays was initially validated for research</w:t>
      </w:r>
      <w:r w:rsidR="003D3145">
        <w:t xml:space="preserve"> </w:t>
      </w:r>
      <w:r w:rsidRPr="00364CAD">
        <w:t>purposes in the Phase 1 studies and Phase 2 study DEN-203. It was subsequently qualified for</w:t>
      </w:r>
      <w:r w:rsidR="00761D3C">
        <w:t xml:space="preserve"> </w:t>
      </w:r>
      <w:r w:rsidRPr="00364CAD">
        <w:t>use in Phase 2 studies DEN-106, DEN-204 and DEN-205 and validated for use in the Phase 3</w:t>
      </w:r>
      <w:r w:rsidR="00761D3C">
        <w:t xml:space="preserve"> </w:t>
      </w:r>
      <w:r w:rsidRPr="00364CAD">
        <w:t>studies. The Evaluator notes that the use of the MNT assay for quantification of dengue</w:t>
      </w:r>
      <w:r w:rsidR="00695D16">
        <w:t xml:space="preserve"> </w:t>
      </w:r>
      <w:r w:rsidRPr="00364CAD">
        <w:t>neutralising antibodies had also been accepted by the CHMP.</w:t>
      </w:r>
    </w:p>
    <w:p w14:paraId="242FCAA0" w14:textId="5671DA00" w:rsidR="00364CAD" w:rsidRPr="00364CAD" w:rsidRDefault="00364CAD" w:rsidP="00364CAD">
      <w:r w:rsidRPr="00364CAD">
        <w:t>The MNT assay was used during the entire clinical development of TDV and supported primary,</w:t>
      </w:r>
      <w:r w:rsidR="00227571">
        <w:t xml:space="preserve"> </w:t>
      </w:r>
      <w:r w:rsidRPr="00364CAD">
        <w:t>secondary and exploratory immunogenicity endpoints across all studies. Evaluation of the</w:t>
      </w:r>
      <w:r w:rsidR="00227571">
        <w:t xml:space="preserve"> </w:t>
      </w:r>
      <w:r w:rsidRPr="00364CAD">
        <w:t xml:space="preserve">neutralising antibody response by the MNT assay was based on quantifying </w:t>
      </w:r>
      <w:r w:rsidR="00D0119E">
        <w:t>g</w:t>
      </w:r>
      <w:r w:rsidR="00D0119E" w:rsidRPr="00D0119E">
        <w:t xml:space="preserve">eometric mean titre </w:t>
      </w:r>
      <w:r w:rsidR="00D0119E">
        <w:t>(</w:t>
      </w:r>
      <w:r w:rsidRPr="00364CAD">
        <w:t>GMTs</w:t>
      </w:r>
      <w:r w:rsidR="00D0119E">
        <w:t>)</w:t>
      </w:r>
      <w:r w:rsidRPr="00364CAD">
        <w:t xml:space="preserve"> of</w:t>
      </w:r>
      <w:r w:rsidR="00227571">
        <w:t xml:space="preserve"> </w:t>
      </w:r>
      <w:r w:rsidRPr="00364CAD">
        <w:t>neutralising antibodies against each of the four dengue serotypes as well as seropositivity and</w:t>
      </w:r>
      <w:r w:rsidR="00580C0F">
        <w:t xml:space="preserve"> </w:t>
      </w:r>
      <w:r w:rsidRPr="00364CAD">
        <w:t>seroconversion rates (for each dengue serotype and multiple serotypes) at multiple timepoints</w:t>
      </w:r>
      <w:r w:rsidR="00580C0F">
        <w:t xml:space="preserve"> </w:t>
      </w:r>
      <w:r w:rsidRPr="00364CAD">
        <w:t xml:space="preserve">after vaccination. The lower limit of quantification was established as 10 for </w:t>
      </w:r>
      <w:r w:rsidRPr="00364CAD">
        <w:lastRenderedPageBreak/>
        <w:t>all serotypes.</w:t>
      </w:r>
      <w:r w:rsidR="00580C0F">
        <w:t xml:space="preserve"> </w:t>
      </w:r>
      <w:r w:rsidRPr="00364CAD">
        <w:t xml:space="preserve">Subjects with antibody titres </w:t>
      </w:r>
      <w:r w:rsidRPr="00364CAD">
        <w:rPr>
          <w:rFonts w:hint="eastAsia"/>
        </w:rPr>
        <w:t>≥</w:t>
      </w:r>
      <w:r w:rsidRPr="00364CAD">
        <w:t>10 were considered seropositive. This approach is endorsed.</w:t>
      </w:r>
    </w:p>
    <w:p w14:paraId="261C01C2" w14:textId="1C48C7EB" w:rsidR="00364CAD" w:rsidRPr="00364CAD" w:rsidRDefault="00364CAD" w:rsidP="00364CAD">
      <w:r w:rsidRPr="00364CAD">
        <w:t>Across all the Phase 1 and 2 studies, all formulations of TDV were found to be immunogenic</w:t>
      </w:r>
      <w:r w:rsidR="007D345F">
        <w:t xml:space="preserve"> </w:t>
      </w:r>
      <w:r w:rsidRPr="00364CAD">
        <w:t>against all 4 dengue serotypes, regardless of baseline serostatus. GMTs to neutralising</w:t>
      </w:r>
      <w:r w:rsidR="007D345F">
        <w:t xml:space="preserve"> </w:t>
      </w:r>
      <w:r w:rsidRPr="00364CAD">
        <w:t>antibodies were consistently highest for DENV-2, and lowest for DENV-4. In the initial Phase 1</w:t>
      </w:r>
      <w:r w:rsidR="007D345F">
        <w:t xml:space="preserve"> </w:t>
      </w:r>
      <w:r w:rsidRPr="00364CAD">
        <w:t>studies DEN-101 and DEN-102, immune responses in healthy baseline seronegative subjects</w:t>
      </w:r>
      <w:r w:rsidR="007D345F">
        <w:t xml:space="preserve"> </w:t>
      </w:r>
      <w:r w:rsidRPr="00364CAD">
        <w:t xml:space="preserve">appeared to be higher in subjects who received </w:t>
      </w:r>
      <w:r w:rsidR="00AA1658">
        <w:t>high dose (</w:t>
      </w:r>
      <w:r w:rsidRPr="00364CAD">
        <w:t>HD</w:t>
      </w:r>
      <w:r w:rsidR="00AA1658">
        <w:t>)</w:t>
      </w:r>
      <w:r w:rsidRPr="00364CAD">
        <w:t xml:space="preserve"> TDV compared to </w:t>
      </w:r>
      <w:r w:rsidR="00AA1658">
        <w:t>low dose (</w:t>
      </w:r>
      <w:r w:rsidRPr="00364CAD">
        <w:t>LD</w:t>
      </w:r>
      <w:r w:rsidR="00AA1658">
        <w:t>)</w:t>
      </w:r>
      <w:r w:rsidRPr="00364CAD">
        <w:t xml:space="preserve"> TDV, especially against</w:t>
      </w:r>
      <w:r w:rsidR="007D345F">
        <w:t xml:space="preserve"> </w:t>
      </w:r>
      <w:r w:rsidRPr="00364CAD">
        <w:t>DENV-1 and DEV-2. Overall immune responses against DENV-3 and DENV-4 were generally</w:t>
      </w:r>
      <w:r w:rsidR="00C05E33">
        <w:t xml:space="preserve"> </w:t>
      </w:r>
      <w:r w:rsidRPr="00364CAD">
        <w:t>lower and varied between the doses and by routes of administration (SC or ID).</w:t>
      </w:r>
    </w:p>
    <w:p w14:paraId="13D9C344" w14:textId="419586D0" w:rsidR="00364CAD" w:rsidRPr="00364CAD" w:rsidRDefault="00364CAD" w:rsidP="00364CAD">
      <w:r w:rsidRPr="00364CAD">
        <w:t>The immunogenicity of LD TDV was subsequently explored in study DEN-103, where LD TDV</w:t>
      </w:r>
      <w:r w:rsidR="00AD04F7">
        <w:t xml:space="preserve"> </w:t>
      </w:r>
      <w:r w:rsidRPr="00364CAD">
        <w:t xml:space="preserve">was administered either intradermally using needle or a needle-free </w:t>
      </w:r>
      <w:proofErr w:type="spellStart"/>
      <w:r w:rsidRPr="00364CAD">
        <w:t>PharmaJet</w:t>
      </w:r>
      <w:proofErr w:type="spellEnd"/>
      <w:r w:rsidRPr="00364CAD">
        <w:t xml:space="preserve"> Injector in</w:t>
      </w:r>
      <w:r w:rsidR="00AD04F7">
        <w:t xml:space="preserve"> </w:t>
      </w:r>
      <w:r w:rsidRPr="00364CAD">
        <w:t>healthy adult subjects. Overall, two simultaneous injections of LD TDV induced higher GMTs to</w:t>
      </w:r>
      <w:r w:rsidR="00AA1658">
        <w:t xml:space="preserve"> </w:t>
      </w:r>
      <w:r w:rsidRPr="00364CAD">
        <w:t>neutralising antibodies against DENV-2 and had potential to improve seroconversion rates</w:t>
      </w:r>
      <w:r w:rsidR="00366FD1">
        <w:t xml:space="preserve"> </w:t>
      </w:r>
      <w:r w:rsidRPr="00364CAD">
        <w:t>against DENV-1 and DENV-2 when compared to single injection. The administration of a second</w:t>
      </w:r>
      <w:r w:rsidR="00A97B87">
        <w:t xml:space="preserve"> </w:t>
      </w:r>
      <w:r w:rsidRPr="00364CAD">
        <w:t>or third dose of LD TDV at Month 3 however, did not result in marked increase in GMT across</w:t>
      </w:r>
      <w:r w:rsidR="00A97B87">
        <w:t xml:space="preserve"> </w:t>
      </w:r>
      <w:r w:rsidRPr="00364CAD">
        <w:t>most dengue serotypes. The value of these findings</w:t>
      </w:r>
      <w:r w:rsidR="00733CEC">
        <w:t>,</w:t>
      </w:r>
      <w:r w:rsidRPr="00364CAD">
        <w:t xml:space="preserve"> however, are limited as the intradermal</w:t>
      </w:r>
      <w:r w:rsidR="00733CEC">
        <w:t xml:space="preserve"> </w:t>
      </w:r>
      <w:r w:rsidRPr="00364CAD">
        <w:t>route of administration was not pursed for further development given the higher local</w:t>
      </w:r>
      <w:r w:rsidR="00733CEC">
        <w:t xml:space="preserve"> </w:t>
      </w:r>
      <w:r w:rsidRPr="00364CAD">
        <w:t>reactogenicity seen with ID injection in prior studies.</w:t>
      </w:r>
    </w:p>
    <w:p w14:paraId="467FCBD0" w14:textId="7D3FF6B9" w:rsidR="00364CAD" w:rsidRDefault="00364CAD" w:rsidP="0083077F">
      <w:r w:rsidRPr="00364CAD">
        <w:t>Study DEN-104 subsequently evaluated the immunogenicity of different dose schedules and</w:t>
      </w:r>
      <w:r w:rsidR="006B7C01">
        <w:t xml:space="preserve"> </w:t>
      </w:r>
      <w:r w:rsidRPr="00364CAD">
        <w:t>formulations of HD TDV including HD2 TDV (containing higher content of TDV-4) when</w:t>
      </w:r>
      <w:r w:rsidR="006B7C01">
        <w:t xml:space="preserve"> </w:t>
      </w:r>
      <w:r w:rsidRPr="00364CAD">
        <w:t>administered SC in healthy baseline seronegative adults. Overall, a strong immune response was</w:t>
      </w:r>
      <w:r w:rsidR="00321397">
        <w:t xml:space="preserve"> </w:t>
      </w:r>
      <w:r w:rsidRPr="00364CAD">
        <w:t>elicited against DENV-2 following the first dose of either formulation. For HD TDV, no clinically</w:t>
      </w:r>
      <w:r w:rsidR="00321397">
        <w:t xml:space="preserve"> </w:t>
      </w:r>
      <w:r w:rsidRPr="00364CAD">
        <w:t>meaningful differences in GMTs against any of the serotypes was observed between the first</w:t>
      </w:r>
      <w:r w:rsidR="00321397">
        <w:t xml:space="preserve"> </w:t>
      </w:r>
      <w:r w:rsidRPr="00364CAD">
        <w:t>dose when administered as a single injection or 2 simultaneous injections. An additional dose of</w:t>
      </w:r>
      <w:r w:rsidR="00D10791">
        <w:t xml:space="preserve"> </w:t>
      </w:r>
      <w:r w:rsidRPr="00364CAD">
        <w:t>HD TDV administered at Month 3 did not result in marked increases in GMTs to any serotype.</w:t>
      </w:r>
      <w:r w:rsidR="00D10791">
        <w:t xml:space="preserve"> </w:t>
      </w:r>
      <w:r w:rsidRPr="00364CAD">
        <w:t>Increasing the DENV-4 content in HD2 TDV resulted in a small numerical increase in GMTs to</w:t>
      </w:r>
      <w:r w:rsidR="00D10791">
        <w:t xml:space="preserve"> </w:t>
      </w:r>
      <w:r w:rsidRPr="00364CAD">
        <w:t>DENV-4 compared to HD TDV, although the magnitude of the difference between the</w:t>
      </w:r>
      <w:r w:rsidR="00D10791">
        <w:t xml:space="preserve"> </w:t>
      </w:r>
      <w:r w:rsidRPr="00364CAD">
        <w:t>formulations was not considered clinically meaningful. Seroconversion rates against DENV-</w:t>
      </w:r>
      <w:proofErr w:type="gramStart"/>
      <w:r w:rsidRPr="00364CAD">
        <w:t>4</w:t>
      </w:r>
      <w:proofErr w:type="gramEnd"/>
      <w:r w:rsidR="0083077F">
        <w:t xml:space="preserve"> </w:t>
      </w:r>
      <w:r w:rsidR="0083077F" w:rsidRPr="0083077F">
        <w:t>however, were consistently higher for HD2 TDV than HD TDV at all timepoints, although no</w:t>
      </w:r>
      <w:r w:rsidR="0083077F">
        <w:t xml:space="preserve"> </w:t>
      </w:r>
      <w:r w:rsidR="0083077F" w:rsidRPr="0083077F">
        <w:t>dose effect was observed.</w:t>
      </w:r>
    </w:p>
    <w:p w14:paraId="61321A95" w14:textId="4F3D3D48" w:rsidR="00C20F98" w:rsidRPr="00C20F98" w:rsidRDefault="00C20F98" w:rsidP="00C20F98">
      <w:r w:rsidRPr="00C20F98">
        <w:t>Study DEN-203 was the first study to evaluate immunogenicity of HD TDV in both adult and</w:t>
      </w:r>
      <w:r>
        <w:t xml:space="preserve"> </w:t>
      </w:r>
      <w:r w:rsidRPr="00C20F98">
        <w:t>paediatric subjects. Additionally, subjects were recruited from regions endemic for dengue and</w:t>
      </w:r>
      <w:r>
        <w:t xml:space="preserve"> </w:t>
      </w:r>
      <w:r w:rsidRPr="00C20F98">
        <w:t>as such the study included both baseline seropositive and seronegative subjects. Based on data</w:t>
      </w:r>
      <w:r>
        <w:t xml:space="preserve"> </w:t>
      </w:r>
      <w:r w:rsidRPr="00C20F98">
        <w:t>from study DEN-104, HD TDV was administered SC as a 2-dose schedule 3 months apart.</w:t>
      </w:r>
      <w:r w:rsidR="005B2C81">
        <w:t xml:space="preserve"> </w:t>
      </w:r>
      <w:r w:rsidRPr="00C20F98">
        <w:t>Following the second dose, high seropositivity rates ≥ 95.5% were observed against DENV-1, -2,</w:t>
      </w:r>
      <w:r w:rsidR="005B2C81">
        <w:t xml:space="preserve"> </w:t>
      </w:r>
      <w:r w:rsidRPr="00C20F98">
        <w:t>and -3 whilst rates were comparatively lower against DENV-4 (≥72.7%) across all study groups.</w:t>
      </w:r>
      <w:r w:rsidR="005B2C81">
        <w:t xml:space="preserve"> </w:t>
      </w:r>
      <w:r w:rsidRPr="00C20F98">
        <w:t>Seropositivity rates persisted up to 36 months, with high rates against DENV-1 (≥94.4%) and</w:t>
      </w:r>
      <w:r w:rsidR="005B2C81">
        <w:t xml:space="preserve"> </w:t>
      </w:r>
      <w:r w:rsidRPr="00C20F98">
        <w:t>DENV-2 (≥95.2%). Against DENV-3, seropositivity rates up to 36 months were lower (≥77.8%)</w:t>
      </w:r>
      <w:r w:rsidR="005B2C81">
        <w:t xml:space="preserve"> </w:t>
      </w:r>
      <w:r w:rsidRPr="00C20F98">
        <w:t>and were even lower against DENV-4 (≥42.9%). In general</w:t>
      </w:r>
      <w:r w:rsidR="005B2C81">
        <w:t>,</w:t>
      </w:r>
      <w:r w:rsidRPr="00C20F98">
        <w:t xml:space="preserve"> seropositivity rates against each of</w:t>
      </w:r>
      <w:r w:rsidR="00BA224A">
        <w:t xml:space="preserve"> </w:t>
      </w:r>
      <w:r w:rsidRPr="00C20F98">
        <w:t>the dengue serotypes was higher for baseline seropositive subjects compared to baseline</w:t>
      </w:r>
      <w:r w:rsidR="00BA224A">
        <w:t xml:space="preserve"> </w:t>
      </w:r>
      <w:r w:rsidRPr="00C20F98">
        <w:t xml:space="preserve">seronegative subjects. </w:t>
      </w:r>
      <w:proofErr w:type="gramStart"/>
      <w:r w:rsidRPr="00C20F98">
        <w:t>In particular, seropositivity</w:t>
      </w:r>
      <w:proofErr w:type="gramEnd"/>
      <w:r w:rsidRPr="00C20F98">
        <w:t xml:space="preserve"> rates up to 36 months in baseline</w:t>
      </w:r>
      <w:r w:rsidR="00865AAC">
        <w:t xml:space="preserve"> </w:t>
      </w:r>
      <w:r w:rsidRPr="00C20F98">
        <w:t>seronegative subjects w</w:t>
      </w:r>
      <w:r w:rsidR="006310AA">
        <w:t>ere</w:t>
      </w:r>
      <w:r w:rsidRPr="00C20F98">
        <w:t xml:space="preserve"> low against DENV-3 (33.3%-100%) and DENV-4 (8.3%-40%).</w:t>
      </w:r>
    </w:p>
    <w:p w14:paraId="6C77A444" w14:textId="34FD88F3" w:rsidR="00C20F98" w:rsidRPr="00C20F98" w:rsidRDefault="00C20F98" w:rsidP="00C20F98">
      <w:r w:rsidRPr="00C20F98">
        <w:t>Studies DEN-204 and DEN-205 both evaluated the final lyophilized TDV formulation which</w:t>
      </w:r>
      <w:r w:rsidR="00865AAC">
        <w:t xml:space="preserve"> </w:t>
      </w:r>
      <w:r w:rsidRPr="00C20F98">
        <w:t>contained reduced levels of TDV-2 (relative to HD TDV). Study DEN-204 evaluated immune</w:t>
      </w:r>
      <w:r w:rsidR="00865AAC">
        <w:t xml:space="preserve"> </w:t>
      </w:r>
      <w:r w:rsidRPr="00C20F98">
        <w:t>responses to TDV using different dose schedules up to 18 months following completion of the</w:t>
      </w:r>
      <w:r w:rsidR="00865AAC">
        <w:t xml:space="preserve"> </w:t>
      </w:r>
      <w:r w:rsidRPr="00C20F98">
        <w:t>primary vaccination course. Overall, TDV induced an immunogenic response against all 4</w:t>
      </w:r>
      <w:r w:rsidR="003A46A0">
        <w:t xml:space="preserve"> </w:t>
      </w:r>
      <w:r w:rsidRPr="00C20F98">
        <w:t>dengue serotypes, with no marked differences in the GMTs to neutralising bodies between</w:t>
      </w:r>
      <w:r w:rsidR="003A46A0">
        <w:t xml:space="preserve"> </w:t>
      </w:r>
      <w:r w:rsidRPr="00C20F98">
        <w:t>different dose regimens up to Month 12. Subjects who received a booster dose at Month 12</w:t>
      </w:r>
      <w:r w:rsidR="003A46A0">
        <w:t xml:space="preserve"> </w:t>
      </w:r>
      <w:r w:rsidRPr="00C20F98">
        <w:lastRenderedPageBreak/>
        <w:t>however, were observed to have increases in GMTs to neutralising antibodies against DENV-1, -3 and -4, with this being more pronounced in baseline seronegative subjects. Tetravalent</w:t>
      </w:r>
      <w:r w:rsidR="0020111C">
        <w:t xml:space="preserve"> </w:t>
      </w:r>
      <w:r w:rsidRPr="00C20F98">
        <w:t>seropositivity rates increased from baseline following the first TDV vaccination and remained</w:t>
      </w:r>
      <w:r w:rsidR="0020111C">
        <w:t xml:space="preserve"> </w:t>
      </w:r>
      <w:r w:rsidRPr="00C20F98">
        <w:t>high and above baseline through to Month 18.</w:t>
      </w:r>
    </w:p>
    <w:p w14:paraId="4EA5CF70" w14:textId="7B64C619" w:rsidR="00C20F98" w:rsidRPr="00C20F98" w:rsidRDefault="00C20F98" w:rsidP="00C20F98">
      <w:r w:rsidRPr="00C20F98">
        <w:t>In study DEN-205, the immune response to a single dose of HD TDV was compared with TDV</w:t>
      </w:r>
      <w:r w:rsidR="00345ADE">
        <w:t xml:space="preserve"> </w:t>
      </w:r>
      <w:r w:rsidRPr="00C20F98">
        <w:t>(containing 10-fold lower viral content of TDV-2). As with study DEN-204, GMTs peaked at</w:t>
      </w:r>
      <w:r w:rsidR="00345ADE">
        <w:t xml:space="preserve"> </w:t>
      </w:r>
      <w:r w:rsidRPr="00C20F98">
        <w:t>Month 1 following the first dose with either formulation</w:t>
      </w:r>
      <w:r w:rsidR="006310AA">
        <w:t>,</w:t>
      </w:r>
      <w:r w:rsidRPr="00C20F98">
        <w:t xml:space="preserve"> </w:t>
      </w:r>
      <w:proofErr w:type="gramStart"/>
      <w:r w:rsidRPr="00C20F98">
        <w:t>and</w:t>
      </w:r>
      <w:proofErr w:type="gramEnd"/>
      <w:r w:rsidRPr="00C20F98">
        <w:t xml:space="preserve"> remained above baseline through</w:t>
      </w:r>
      <w:r w:rsidR="00345ADE">
        <w:t xml:space="preserve"> </w:t>
      </w:r>
      <w:r w:rsidRPr="00C20F98">
        <w:t>to Month 12. Overall GMTs between the two formulations were generally similar for each</w:t>
      </w:r>
      <w:r w:rsidR="00345ADE">
        <w:t xml:space="preserve"> </w:t>
      </w:r>
      <w:r w:rsidRPr="00C20F98">
        <w:t>serotype except for DENV-2, which was higher for HD TDV. Seropositivity rates similarly peaked</w:t>
      </w:r>
      <w:r w:rsidR="00345ADE">
        <w:t xml:space="preserve"> </w:t>
      </w:r>
      <w:r w:rsidRPr="00C20F98">
        <w:t>at Month 1 and remained elevated through to Month 12 with both formulations. Seropositivity</w:t>
      </w:r>
      <w:r w:rsidR="00345ADE">
        <w:t xml:space="preserve"> </w:t>
      </w:r>
      <w:r w:rsidRPr="00C20F98">
        <w:t>rates against DENV-2 were higher for HD TDV whilst against DENV-4, they were higher for TDV.</w:t>
      </w:r>
    </w:p>
    <w:p w14:paraId="1F72FA9D" w14:textId="4850CB6B" w:rsidR="0083077F" w:rsidRDefault="00C20F98" w:rsidP="00C20F98">
      <w:r w:rsidRPr="00C20F98">
        <w:t>Overall, TDV was able to elicit an immune response in the form of dengue neutralising</w:t>
      </w:r>
      <w:r w:rsidR="00345ADE">
        <w:t xml:space="preserve"> </w:t>
      </w:r>
      <w:r w:rsidRPr="00C20F98">
        <w:t>antibodies against each of the four dengue serotypes, irrespective of baseline serostatus. GMTs</w:t>
      </w:r>
      <w:r w:rsidR="00345ADE">
        <w:t xml:space="preserve"> </w:t>
      </w:r>
      <w:r w:rsidRPr="00C20F98">
        <w:t>to dengue neutralising antibodies and seropositivity rates increased from baseline to Month 1</w:t>
      </w:r>
      <w:r w:rsidR="00341D27">
        <w:t xml:space="preserve"> </w:t>
      </w:r>
      <w:r w:rsidRPr="00C20F98">
        <w:t>and remained well above baseline up to Month 18 regardless of dose schedule. Immune</w:t>
      </w:r>
      <w:r w:rsidR="00341D27">
        <w:t xml:space="preserve"> </w:t>
      </w:r>
      <w:r w:rsidRPr="00C20F98">
        <w:t>response was consistently highest against DENV-2 and lowest against DENV-4. Attenuation of</w:t>
      </w:r>
      <w:r w:rsidR="00341D27">
        <w:t xml:space="preserve"> </w:t>
      </w:r>
      <w:r w:rsidRPr="00C20F98">
        <w:t>the vital content of TDV-2 in the vaccine, leading to the final formulation of TDV was shown to</w:t>
      </w:r>
      <w:r w:rsidR="00341D27">
        <w:t xml:space="preserve"> </w:t>
      </w:r>
      <w:r w:rsidRPr="00C20F98">
        <w:t>lead to a more balanced immune response against all 4 serotypes compared to HD TDV. In</w:t>
      </w:r>
      <w:r w:rsidR="00341D27">
        <w:t xml:space="preserve"> </w:t>
      </w:r>
      <w:r w:rsidRPr="00C20F98">
        <w:t>general, the immune response was higher in baseline seropositive subjects than seronegative</w:t>
      </w:r>
      <w:r w:rsidR="00341D27">
        <w:t xml:space="preserve"> </w:t>
      </w:r>
      <w:r w:rsidRPr="00C20F98">
        <w:t>subjects.</w:t>
      </w:r>
    </w:p>
    <w:p w14:paraId="402AC73E" w14:textId="77777777" w:rsidR="006C419C" w:rsidRPr="006C419C" w:rsidRDefault="006C419C" w:rsidP="00A5720E">
      <w:pPr>
        <w:pStyle w:val="Heading4"/>
      </w:pPr>
      <w:bookmarkStart w:id="46" w:name="_Toc232600105"/>
      <w:r w:rsidRPr="006C419C">
        <w:t>Efficacy</w:t>
      </w:r>
      <w:bookmarkEnd w:id="46"/>
    </w:p>
    <w:p w14:paraId="53211181" w14:textId="442A7DAD" w:rsidR="006C419C" w:rsidRDefault="006C419C" w:rsidP="006C419C">
      <w:pPr>
        <w:rPr>
          <w:b/>
          <w:bCs/>
        </w:rPr>
      </w:pPr>
      <w:r w:rsidRPr="006C419C">
        <w:rPr>
          <w:b/>
          <w:bCs/>
        </w:rPr>
        <w:t>Final formulation and dose schedule</w:t>
      </w:r>
    </w:p>
    <w:p w14:paraId="68801795" w14:textId="2EC4DB84" w:rsidR="009B7FC8" w:rsidRPr="009B7FC8" w:rsidRDefault="00F6299A" w:rsidP="009B7FC8">
      <w:r w:rsidRPr="00F6299A">
        <w:t>Based on the results from the Phase 1 and 2 studies, the final formulation selected for the</w:t>
      </w:r>
      <w:r>
        <w:t xml:space="preserve"> </w:t>
      </w:r>
      <w:r w:rsidRPr="00F6299A">
        <w:t>pivotal Phase 3 study DEN-301 was that of a lyophilized TDV formulation containing a 10-fold</w:t>
      </w:r>
      <w:r>
        <w:t xml:space="preserve"> </w:t>
      </w:r>
      <w:r w:rsidRPr="00F6299A">
        <w:t xml:space="preserve">reduction in the TDV-2 viral content compared to the HD TDV formulation.  </w:t>
      </w:r>
      <w:r w:rsidR="009B7FC8" w:rsidRPr="009B7FC8">
        <w:t>The TDV vaccine has a 2-dose regimen, given 3 months apart and is administered</w:t>
      </w:r>
      <w:r w:rsidR="009B7FC8">
        <w:t xml:space="preserve"> </w:t>
      </w:r>
      <w:r w:rsidR="009B7FC8" w:rsidRPr="009B7FC8">
        <w:t>subcutaneously.</w:t>
      </w:r>
    </w:p>
    <w:p w14:paraId="03828DF6" w14:textId="5AB35F95" w:rsidR="009B7FC8" w:rsidRPr="009B7FC8" w:rsidRDefault="009B7FC8" w:rsidP="009B7FC8">
      <w:r w:rsidRPr="009B7FC8">
        <w:t>A total of 10 studies provided evaluable efficacy and immunogenicity data. Of these studies, only</w:t>
      </w:r>
      <w:r>
        <w:t xml:space="preserve"> </w:t>
      </w:r>
      <w:r w:rsidRPr="009B7FC8">
        <w:t>the pivotal study DEN-301 provided data on the protective efficacy of TDV in preventing</w:t>
      </w:r>
      <w:r>
        <w:t xml:space="preserve"> </w:t>
      </w:r>
      <w:r w:rsidRPr="009B7FC8">
        <w:t xml:space="preserve">virologically confirmed dengue (VCD) fever. </w:t>
      </w:r>
    </w:p>
    <w:p w14:paraId="428CD741" w14:textId="77777777" w:rsidR="009B7FC8" w:rsidRPr="009B7FC8" w:rsidRDefault="009B7FC8" w:rsidP="00A5720E">
      <w:pPr>
        <w:pStyle w:val="Heading5"/>
      </w:pPr>
      <w:r w:rsidRPr="009B7FC8">
        <w:t>Study ID DEN-301</w:t>
      </w:r>
    </w:p>
    <w:p w14:paraId="48D8D983" w14:textId="7B3E3749" w:rsidR="00921C46" w:rsidRPr="00921C46" w:rsidRDefault="00921C46" w:rsidP="006E5ECA">
      <w:pPr>
        <w:pStyle w:val="Heading6"/>
      </w:pPr>
      <w:r w:rsidRPr="00921C46">
        <w:t>Study design</w:t>
      </w:r>
      <w:r w:rsidR="006E5ECA">
        <w:t xml:space="preserve"> and</w:t>
      </w:r>
      <w:r w:rsidR="007D690B">
        <w:t xml:space="preserve"> objectives</w:t>
      </w:r>
      <w:r w:rsidRPr="00921C46">
        <w:t xml:space="preserve"> </w:t>
      </w:r>
    </w:p>
    <w:p w14:paraId="519B70FA" w14:textId="3FE6CC77" w:rsidR="006C419C" w:rsidRPr="00F6299A" w:rsidRDefault="009B7FC8" w:rsidP="009B7FC8">
      <w:r w:rsidRPr="009B7FC8">
        <w:t>This was a Phase 3, double-blind, randomised, placebo-controlled, 2-parallel group study. The</w:t>
      </w:r>
      <w:r>
        <w:t xml:space="preserve"> </w:t>
      </w:r>
      <w:r w:rsidRPr="009B7FC8">
        <w:t>study was comprised of 5 parts (Parts 1, 2, 3 for all subjects and Parts 4 and 5 for subjects</w:t>
      </w:r>
      <w:r>
        <w:t xml:space="preserve"> </w:t>
      </w:r>
      <w:r w:rsidRPr="009B7FC8">
        <w:t>participating in the booster phase) for the surveillance of febrile illness with potential dengue</w:t>
      </w:r>
      <w:r>
        <w:t xml:space="preserve"> </w:t>
      </w:r>
      <w:r w:rsidRPr="009B7FC8">
        <w:t>aetiology in subjects aged 4 to 16 living in endemic regions</w:t>
      </w:r>
      <w:r w:rsidR="00452A9D">
        <w:t xml:space="preserve"> (Figure 1)</w:t>
      </w:r>
      <w:r w:rsidRPr="009B7FC8">
        <w:t>.</w:t>
      </w:r>
    </w:p>
    <w:p w14:paraId="1E0E821C" w14:textId="4BD92927" w:rsidR="00C50987" w:rsidRPr="00C50987" w:rsidRDefault="00C50987" w:rsidP="00C50987">
      <w:pPr>
        <w:rPr>
          <w:b/>
          <w:bCs/>
        </w:rPr>
      </w:pPr>
      <w:r w:rsidRPr="00C50987">
        <w:rPr>
          <w:b/>
          <w:bCs/>
        </w:rPr>
        <w:t>Part 1, 2 and 3</w:t>
      </w:r>
    </w:p>
    <w:p w14:paraId="23FF8221" w14:textId="77777777" w:rsidR="00F37872" w:rsidRDefault="00C50987" w:rsidP="00C50987">
      <w:r w:rsidRPr="00C50987">
        <w:t>Part 1 was designed to evaluate the primary objective of efficacy of the vaccine in preventing</w:t>
      </w:r>
      <w:r w:rsidR="00492E42">
        <w:t xml:space="preserve"> </w:t>
      </w:r>
      <w:r w:rsidRPr="00C50987">
        <w:t>virologically confirmed dengue (VCD) fever induced by any dengue serotype. Part 1 formed the</w:t>
      </w:r>
      <w:r w:rsidR="00492E42">
        <w:t xml:space="preserve"> </w:t>
      </w:r>
      <w:r w:rsidRPr="00C50987">
        <w:t>primary analysis period, comprising a 15-month period and lasting until 12 months post-second</w:t>
      </w:r>
      <w:r w:rsidR="00492E42">
        <w:t xml:space="preserve"> </w:t>
      </w:r>
      <w:r w:rsidRPr="00C50987">
        <w:t>dose. This part commenced on the day of vaccination and ended once both of the following</w:t>
      </w:r>
      <w:r w:rsidR="00492E42">
        <w:t xml:space="preserve"> </w:t>
      </w:r>
      <w:r w:rsidRPr="00C50987">
        <w:t xml:space="preserve">criteria had been met: </w:t>
      </w:r>
    </w:p>
    <w:p w14:paraId="7A1DB8B4" w14:textId="77777777" w:rsidR="005711C9" w:rsidRPr="00F046E5" w:rsidRDefault="00C50987" w:rsidP="00F046E5">
      <w:pPr>
        <w:pStyle w:val="Numberbullet0"/>
      </w:pPr>
      <w:r w:rsidRPr="00F046E5">
        <w:t xml:space="preserve">120 cases of confirmed dengue fever; and </w:t>
      </w:r>
    </w:p>
    <w:p w14:paraId="5DA28B00" w14:textId="06BF75FA" w:rsidR="00F37872" w:rsidRPr="00F046E5" w:rsidRDefault="00C50987" w:rsidP="00F046E5">
      <w:pPr>
        <w:pStyle w:val="Numberbullet0"/>
      </w:pPr>
      <w:r w:rsidRPr="00F046E5">
        <w:t>the minimum duration</w:t>
      </w:r>
      <w:r w:rsidR="00F37872" w:rsidRPr="00F046E5">
        <w:t xml:space="preserve"> </w:t>
      </w:r>
      <w:r w:rsidRPr="00F046E5">
        <w:t xml:space="preserve">of subject follow-up reached 12 months post-second vaccination. </w:t>
      </w:r>
    </w:p>
    <w:p w14:paraId="2AEC22D5" w14:textId="63AC3E3A" w:rsidR="00C50987" w:rsidRPr="00C50987" w:rsidRDefault="00956261" w:rsidP="00C50987">
      <w:r w:rsidRPr="00C50987">
        <w:lastRenderedPageBreak/>
        <w:t>To</w:t>
      </w:r>
      <w:r w:rsidR="00C50987" w:rsidRPr="00C50987">
        <w:t xml:space="preserve"> maintain consistent</w:t>
      </w:r>
      <w:r>
        <w:t xml:space="preserve"> </w:t>
      </w:r>
      <w:r w:rsidR="00C50987" w:rsidRPr="00C50987">
        <w:t>duration of follow-up after the second vaccination, the end of Part 1 was defined individually for</w:t>
      </w:r>
      <w:r>
        <w:t xml:space="preserve"> </w:t>
      </w:r>
      <w:r w:rsidR="00C50987" w:rsidRPr="00C50987">
        <w:t>each subject. Virologically confirmed cases in Part 1 counted towards the primary efficacy</w:t>
      </w:r>
      <w:r>
        <w:t xml:space="preserve"> </w:t>
      </w:r>
      <w:r w:rsidR="00C50987" w:rsidRPr="00C50987">
        <w:t>objective if they occurred at least 30 days post-second vaccination.</w:t>
      </w:r>
    </w:p>
    <w:p w14:paraId="5DDAA15A" w14:textId="595E72F3" w:rsidR="00C50987" w:rsidRPr="00C50987" w:rsidRDefault="00C50987" w:rsidP="00C50987">
      <w:r w:rsidRPr="00C50987">
        <w:t>Part 2 provided extended follow-up data for the assessment of vaccine efficacy (VE) against</w:t>
      </w:r>
      <w:r w:rsidR="00956261">
        <w:t xml:space="preserve"> </w:t>
      </w:r>
      <w:r w:rsidRPr="00C50987">
        <w:t>hospitalisation due to VCD fever. This part comprised 6 months of additional active surveillance</w:t>
      </w:r>
      <w:r w:rsidR="00F82080">
        <w:t xml:space="preserve"> </w:t>
      </w:r>
      <w:r w:rsidRPr="00C50987">
        <w:t>for each subject following the completion of Part 1. Virologically confirmed cases in Parts 1 and</w:t>
      </w:r>
      <w:r w:rsidR="00F82080">
        <w:t xml:space="preserve"> </w:t>
      </w:r>
      <w:r w:rsidRPr="00C50987">
        <w:t>2 contributed towards the secondary efficacy objectives.</w:t>
      </w:r>
    </w:p>
    <w:p w14:paraId="121C67C2" w14:textId="5E2E0A56" w:rsidR="00C50987" w:rsidRPr="00C50987" w:rsidRDefault="00C50987" w:rsidP="00C50987">
      <w:r w:rsidRPr="00C50987">
        <w:t xml:space="preserve">Part 3 was undertaken </w:t>
      </w:r>
      <w:r w:rsidR="1D345473">
        <w:t xml:space="preserve">as </w:t>
      </w:r>
      <w:r w:rsidRPr="00C50987">
        <w:t>long-term follow-up for</w:t>
      </w:r>
      <w:r w:rsidR="003170CC">
        <w:t xml:space="preserve"> </w:t>
      </w:r>
      <w:r w:rsidRPr="00C50987">
        <w:t>evaluation of safety. It comprised a period of modified active surveillance in all subjects</w:t>
      </w:r>
      <w:r w:rsidR="003170CC">
        <w:t xml:space="preserve"> </w:t>
      </w:r>
      <w:r w:rsidRPr="00C50987">
        <w:t>following completion of Part 2 and lasted approximately 2.5 to 3 years per subject.</w:t>
      </w:r>
    </w:p>
    <w:p w14:paraId="743352F0" w14:textId="4BB7193B" w:rsidR="0083077F" w:rsidRDefault="00C50987" w:rsidP="00C50987">
      <w:r w:rsidRPr="00C50987">
        <w:t>In total, subjects were followed for at least 36 months after the completion of Part 1 (at least 6</w:t>
      </w:r>
      <w:r w:rsidR="003170CC">
        <w:t xml:space="preserve"> </w:t>
      </w:r>
      <w:r w:rsidRPr="00C50987">
        <w:t>months in Part 2 and 2.5-3 years in Part 3). At between 4-4.5 years post-dose 2 in Part 3, the</w:t>
      </w:r>
      <w:r w:rsidR="003170CC">
        <w:t xml:space="preserve"> </w:t>
      </w:r>
      <w:r w:rsidRPr="00C50987">
        <w:t>parent(s)/guardian of per-protocol set (PPS) subjects aged 4-11 years at the time of</w:t>
      </w:r>
      <w:r w:rsidR="003170CC">
        <w:t xml:space="preserve"> </w:t>
      </w:r>
      <w:r w:rsidRPr="00C50987">
        <w:t>randomisation on Day 1 (Month 0) were asked to allow their child to receive the booster dose of</w:t>
      </w:r>
      <w:r w:rsidR="00D972EC">
        <w:t xml:space="preserve"> </w:t>
      </w:r>
      <w:r w:rsidRPr="00C50987">
        <w:t>TDV or placebo.</w:t>
      </w:r>
    </w:p>
    <w:p w14:paraId="7D895FB6" w14:textId="5B7B9B46" w:rsidR="00AE319D" w:rsidRDefault="00AE319D" w:rsidP="00F046E5">
      <w:pPr>
        <w:pStyle w:val="FigureTitle"/>
      </w:pPr>
      <w:r w:rsidRPr="00AE319D">
        <w:t>Figure</w:t>
      </w:r>
      <w:r>
        <w:t xml:space="preserve"> 1</w:t>
      </w:r>
      <w:r w:rsidRPr="00452A9D">
        <w:t>. Schematic for study DEN-301.</w:t>
      </w:r>
    </w:p>
    <w:p w14:paraId="12911A5D" w14:textId="77777777" w:rsidR="00F046E5" w:rsidRDefault="00EA65DC" w:rsidP="00F046E5">
      <w:r>
        <w:rPr>
          <w:noProof/>
        </w:rPr>
        <w:drawing>
          <wp:inline distT="0" distB="0" distL="0" distR="0" wp14:anchorId="7E68A2E4" wp14:editId="0F3DEDF5">
            <wp:extent cx="5601185" cy="2491956"/>
            <wp:effectExtent l="0" t="0" r="0" b="3810"/>
            <wp:docPr id="53853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31651" name=""/>
                    <pic:cNvPicPr/>
                  </pic:nvPicPr>
                  <pic:blipFill>
                    <a:blip r:embed="rId22"/>
                    <a:stretch>
                      <a:fillRect/>
                    </a:stretch>
                  </pic:blipFill>
                  <pic:spPr>
                    <a:xfrm>
                      <a:off x="0" y="0"/>
                      <a:ext cx="5601185" cy="2491956"/>
                    </a:xfrm>
                    <a:prstGeom prst="rect">
                      <a:avLst/>
                    </a:prstGeom>
                  </pic:spPr>
                </pic:pic>
              </a:graphicData>
            </a:graphic>
          </wp:inline>
        </w:drawing>
      </w:r>
    </w:p>
    <w:p w14:paraId="52BB4CEF" w14:textId="353A2458" w:rsidR="009D427D" w:rsidRPr="00EA65DC" w:rsidRDefault="009D427D" w:rsidP="00F046E5">
      <w:pPr>
        <w:pStyle w:val="FigureDescription"/>
      </w:pPr>
      <w:r w:rsidRPr="009D427D">
        <w:t>Abbreviations: N, total number of subjects.</w:t>
      </w:r>
    </w:p>
    <w:p w14:paraId="2E5FC55C" w14:textId="2857C725" w:rsidR="006974A5" w:rsidRPr="006974A5" w:rsidRDefault="006974A5" w:rsidP="006974A5">
      <w:pPr>
        <w:rPr>
          <w:b/>
          <w:bCs/>
        </w:rPr>
      </w:pPr>
      <w:r w:rsidRPr="006974A5">
        <w:rPr>
          <w:b/>
          <w:bCs/>
        </w:rPr>
        <w:t>Part 4 and 5</w:t>
      </w:r>
    </w:p>
    <w:p w14:paraId="1FC91809" w14:textId="00E71187" w:rsidR="006974A5" w:rsidRPr="006974A5" w:rsidRDefault="006974A5" w:rsidP="006974A5">
      <w:r w:rsidRPr="006974A5">
        <w:t>Parts 4 and 5 involved periods of modified active surveillance for exploratory efficacy,</w:t>
      </w:r>
      <w:r w:rsidR="00C67A94">
        <w:t xml:space="preserve"> </w:t>
      </w:r>
      <w:r w:rsidRPr="006974A5">
        <w:t>immunogenicity, and safety analyses post-booster vaccination. Only subjects from the PPS who</w:t>
      </w:r>
      <w:r w:rsidR="00C67A94">
        <w:t xml:space="preserve"> </w:t>
      </w:r>
      <w:r w:rsidRPr="006974A5">
        <w:t>were aged 4 to 11 years at the time of randomisation on Day 1 (Month 0) in Part 1 were eligible</w:t>
      </w:r>
      <w:r w:rsidR="00C67A94">
        <w:t xml:space="preserve"> </w:t>
      </w:r>
      <w:r w:rsidRPr="006974A5">
        <w:t>for the booster phase of the study. Subjects who participated in the booster phase were not re</w:t>
      </w:r>
      <w:r w:rsidR="00484206">
        <w:t>-</w:t>
      </w:r>
      <w:r w:rsidRPr="006974A5">
        <w:t>randomised</w:t>
      </w:r>
      <w:r w:rsidR="00484206">
        <w:t xml:space="preserve"> </w:t>
      </w:r>
      <w:r w:rsidRPr="006974A5">
        <w:t>but instead received a single dose of TDV or placebo, according to their assigned</w:t>
      </w:r>
      <w:r w:rsidR="00484206">
        <w:t xml:space="preserve"> </w:t>
      </w:r>
      <w:r w:rsidRPr="006974A5">
        <w:t>group in Part 1. The date of booster vaccination was referred to as Day 1b (Month 0b).</w:t>
      </w:r>
    </w:p>
    <w:p w14:paraId="06AA9EBA" w14:textId="3A912529" w:rsidR="006974A5" w:rsidRPr="006974A5" w:rsidRDefault="006974A5" w:rsidP="006974A5">
      <w:r w:rsidRPr="006974A5">
        <w:t>Part 4 lasted a minimum of 13 months for each subject and Part 5 lasted a further 1 year for</w:t>
      </w:r>
      <w:r w:rsidR="00484206">
        <w:t xml:space="preserve"> </w:t>
      </w:r>
      <w:r w:rsidRPr="006974A5">
        <w:t>each subject following the completion of Part 4. Modified active surveillance methodology was</w:t>
      </w:r>
      <w:r w:rsidR="00484206">
        <w:t xml:space="preserve"> </w:t>
      </w:r>
      <w:r w:rsidRPr="006974A5">
        <w:t>identical to that used in Part 3.</w:t>
      </w:r>
    </w:p>
    <w:p w14:paraId="64D577E5" w14:textId="77777777" w:rsidR="006974A5" w:rsidRPr="006974A5" w:rsidRDefault="006974A5" w:rsidP="006974A5">
      <w:pPr>
        <w:rPr>
          <w:b/>
          <w:bCs/>
        </w:rPr>
      </w:pPr>
      <w:r w:rsidRPr="006974A5">
        <w:rPr>
          <w:b/>
          <w:bCs/>
        </w:rPr>
        <w:t>Objectives</w:t>
      </w:r>
    </w:p>
    <w:p w14:paraId="6C658439" w14:textId="77777777" w:rsidR="006974A5" w:rsidRPr="006974A5" w:rsidRDefault="006974A5" w:rsidP="006974A5">
      <w:pPr>
        <w:rPr>
          <w:b/>
          <w:bCs/>
          <w:i/>
          <w:iCs/>
        </w:rPr>
      </w:pPr>
      <w:r w:rsidRPr="006974A5">
        <w:rPr>
          <w:b/>
          <w:bCs/>
          <w:i/>
          <w:iCs/>
        </w:rPr>
        <w:t>Primary objective</w:t>
      </w:r>
    </w:p>
    <w:p w14:paraId="2E96432B" w14:textId="1D0A80E0" w:rsidR="006974A5" w:rsidRPr="006974A5" w:rsidRDefault="006974A5" w:rsidP="006974A5">
      <w:r w:rsidRPr="006974A5">
        <w:t>To evaluate the efficacy of 2 doses of TDV in preventing symptomatic dengue fever of any</w:t>
      </w:r>
      <w:r w:rsidR="00A63A52">
        <w:t xml:space="preserve"> </w:t>
      </w:r>
      <w:r w:rsidRPr="006974A5">
        <w:t>severity and due to any of the 4 dengue virus serotypes in 4–16-year-old subjects.</w:t>
      </w:r>
    </w:p>
    <w:p w14:paraId="559B9B57" w14:textId="77777777" w:rsidR="006974A5" w:rsidRPr="006974A5" w:rsidRDefault="006974A5" w:rsidP="006974A5">
      <w:pPr>
        <w:rPr>
          <w:b/>
          <w:bCs/>
          <w:i/>
          <w:iCs/>
        </w:rPr>
      </w:pPr>
      <w:r w:rsidRPr="006974A5">
        <w:rPr>
          <w:b/>
          <w:bCs/>
          <w:i/>
          <w:iCs/>
        </w:rPr>
        <w:lastRenderedPageBreak/>
        <w:t>Secondary objectives</w:t>
      </w:r>
    </w:p>
    <w:p w14:paraId="4DA346D3" w14:textId="77777777" w:rsidR="006974A5" w:rsidRPr="006974A5" w:rsidRDefault="006974A5" w:rsidP="006974A5">
      <w:pPr>
        <w:rPr>
          <w:i/>
          <w:iCs/>
        </w:rPr>
      </w:pPr>
      <w:r w:rsidRPr="006974A5">
        <w:rPr>
          <w:i/>
          <w:iCs/>
        </w:rPr>
        <w:t>Efficacy</w:t>
      </w:r>
    </w:p>
    <w:p w14:paraId="0BE0EDEA" w14:textId="77777777" w:rsidR="006974A5" w:rsidRPr="006974A5" w:rsidRDefault="006974A5" w:rsidP="004511E6">
      <w:pPr>
        <w:pStyle w:val="ListBullet"/>
        <w:numPr>
          <w:ilvl w:val="0"/>
          <w:numId w:val="0"/>
        </w:numPr>
        <w:ind w:left="360" w:hanging="360"/>
      </w:pPr>
      <w:r w:rsidRPr="006974A5">
        <w:t>Assessed post-second vaccination</w:t>
      </w:r>
    </w:p>
    <w:p w14:paraId="4AD80738" w14:textId="77777777" w:rsidR="00095C48" w:rsidRDefault="006974A5" w:rsidP="00F046E5">
      <w:pPr>
        <w:pStyle w:val="ListBullet"/>
      </w:pPr>
      <w:r w:rsidRPr="006974A5">
        <w:t>To assess the efficacy of TDV in preventing symptomatic dengue fever of any severity</w:t>
      </w:r>
      <w:r w:rsidR="00095C48">
        <w:t xml:space="preserve"> </w:t>
      </w:r>
      <w:r w:rsidRPr="006974A5">
        <w:t>induced by individual dengue serotypes.</w:t>
      </w:r>
      <w:r w:rsidR="00095C48">
        <w:t xml:space="preserve"> </w:t>
      </w:r>
    </w:p>
    <w:p w14:paraId="1EBFB88C" w14:textId="77777777" w:rsidR="00095C48" w:rsidRDefault="006974A5" w:rsidP="00F046E5">
      <w:pPr>
        <w:pStyle w:val="ListBullet"/>
      </w:pPr>
      <w:r w:rsidRPr="006974A5">
        <w:t>To assess the efficacy of TDV in preventing symptomatic dengue fever of any severity by</w:t>
      </w:r>
      <w:r w:rsidR="00095C48">
        <w:t xml:space="preserve"> </w:t>
      </w:r>
      <w:r w:rsidRPr="006974A5">
        <w:t>dengue exposure status at baseline.</w:t>
      </w:r>
      <w:r w:rsidR="00095C48">
        <w:t xml:space="preserve"> </w:t>
      </w:r>
    </w:p>
    <w:p w14:paraId="63C15F53" w14:textId="77777777" w:rsidR="00095C48" w:rsidRDefault="006974A5" w:rsidP="00F046E5">
      <w:pPr>
        <w:pStyle w:val="ListBullet"/>
      </w:pPr>
      <w:r w:rsidRPr="006974A5">
        <w:t>To assess the efficacy of TDV in preventing hospitalisation due to VCD fever.</w:t>
      </w:r>
      <w:r w:rsidR="00095C48">
        <w:t xml:space="preserve"> </w:t>
      </w:r>
    </w:p>
    <w:p w14:paraId="0B20AAEA" w14:textId="796C0850" w:rsidR="006974A5" w:rsidRPr="006974A5" w:rsidRDefault="006974A5" w:rsidP="00F046E5">
      <w:pPr>
        <w:pStyle w:val="ListBullet"/>
      </w:pPr>
      <w:r w:rsidRPr="006974A5">
        <w:t>To assess the efficacy of TDV in preventing severe dengue induced by any dengue</w:t>
      </w:r>
      <w:r w:rsidR="00095C48">
        <w:t xml:space="preserve"> </w:t>
      </w:r>
      <w:r w:rsidRPr="006974A5">
        <w:t>serotype.</w:t>
      </w:r>
    </w:p>
    <w:p w14:paraId="7F49880E" w14:textId="77777777" w:rsidR="006974A5" w:rsidRPr="006974A5" w:rsidRDefault="006974A5" w:rsidP="006974A5">
      <w:pPr>
        <w:rPr>
          <w:i/>
          <w:iCs/>
        </w:rPr>
      </w:pPr>
      <w:r w:rsidRPr="006974A5">
        <w:rPr>
          <w:i/>
          <w:iCs/>
        </w:rPr>
        <w:t>Immunogenicity</w:t>
      </w:r>
    </w:p>
    <w:p w14:paraId="42F57201" w14:textId="0689762E" w:rsidR="006974A5" w:rsidRPr="006974A5" w:rsidRDefault="006974A5" w:rsidP="00F046E5">
      <w:pPr>
        <w:pStyle w:val="ListBullet"/>
      </w:pPr>
      <w:r w:rsidRPr="006974A5">
        <w:t>To assess the immunogenicity of TDV in a subset of subjects (N = 4000).</w:t>
      </w:r>
    </w:p>
    <w:p w14:paraId="5D236003" w14:textId="77777777" w:rsidR="006974A5" w:rsidRPr="006974A5" w:rsidRDefault="006974A5" w:rsidP="006974A5">
      <w:pPr>
        <w:rPr>
          <w:b/>
          <w:bCs/>
        </w:rPr>
      </w:pPr>
      <w:r w:rsidRPr="006974A5">
        <w:rPr>
          <w:b/>
          <w:bCs/>
        </w:rPr>
        <w:t>Inclusion criteria</w:t>
      </w:r>
    </w:p>
    <w:p w14:paraId="31273027" w14:textId="77777777" w:rsidR="006974A5" w:rsidRPr="006974A5" w:rsidRDefault="006974A5" w:rsidP="006974A5">
      <w:r w:rsidRPr="006974A5">
        <w:t>Subjects were eligible for the study if they met the following key criteria:</w:t>
      </w:r>
    </w:p>
    <w:p w14:paraId="2524947B" w14:textId="77777777" w:rsidR="008F78C1" w:rsidRDefault="006974A5" w:rsidP="00F046E5">
      <w:pPr>
        <w:pStyle w:val="ListBullet"/>
      </w:pPr>
      <w:r w:rsidRPr="006974A5">
        <w:t>The subject was aged 4 to 16 years inclusive, at the time of randomisation.</w:t>
      </w:r>
      <w:r w:rsidR="008F78C1">
        <w:t xml:space="preserve"> </w:t>
      </w:r>
    </w:p>
    <w:p w14:paraId="250684F8" w14:textId="78C91D7A" w:rsidR="006974A5" w:rsidRPr="006974A5" w:rsidRDefault="006974A5" w:rsidP="00F046E5">
      <w:pPr>
        <w:pStyle w:val="ListBullet"/>
      </w:pPr>
      <w:r w:rsidRPr="006974A5">
        <w:t>Individuals who were in good health at the time of entry into the study as determined by</w:t>
      </w:r>
      <w:r w:rsidR="008F78C1">
        <w:t xml:space="preserve"> </w:t>
      </w:r>
      <w:r w:rsidRPr="006974A5">
        <w:t>medical history, physical examination, and clinical judgment of the investigator.</w:t>
      </w:r>
    </w:p>
    <w:p w14:paraId="0627EBE0" w14:textId="43424A3E" w:rsidR="006974A5" w:rsidRPr="006974A5" w:rsidRDefault="006974A5" w:rsidP="006974A5">
      <w:pPr>
        <w:rPr>
          <w:i/>
          <w:iCs/>
        </w:rPr>
      </w:pPr>
      <w:r w:rsidRPr="006974A5">
        <w:rPr>
          <w:i/>
          <w:iCs/>
        </w:rPr>
        <w:t>Parts 4 and 5 (</w:t>
      </w:r>
      <w:r w:rsidR="00F046E5">
        <w:rPr>
          <w:i/>
          <w:iCs/>
        </w:rPr>
        <w:t>b</w:t>
      </w:r>
      <w:r w:rsidRPr="006974A5">
        <w:rPr>
          <w:i/>
          <w:iCs/>
        </w:rPr>
        <w:t>ooster phase)</w:t>
      </w:r>
    </w:p>
    <w:p w14:paraId="44909251" w14:textId="77777777" w:rsidR="006974A5" w:rsidRPr="006974A5" w:rsidRDefault="006974A5" w:rsidP="006974A5">
      <w:r w:rsidRPr="006974A5">
        <w:t>Subjects were eligible for the booster phase if they met the following key criteria:</w:t>
      </w:r>
    </w:p>
    <w:p w14:paraId="5DF45E07" w14:textId="6EB94548" w:rsidR="00DD4BAA" w:rsidRDefault="006974A5" w:rsidP="00F046E5">
      <w:pPr>
        <w:pStyle w:val="ListBullet"/>
      </w:pPr>
      <w:r w:rsidRPr="006974A5">
        <w:t>The subjects w</w:t>
      </w:r>
      <w:r w:rsidR="00DD4BAA">
        <w:t>ere</w:t>
      </w:r>
      <w:r w:rsidRPr="006974A5">
        <w:t xml:space="preserve"> included in the per-protocol set (PPS) for Parts 1-3 of the study.</w:t>
      </w:r>
      <w:r w:rsidR="00DD4BAA">
        <w:t xml:space="preserve"> </w:t>
      </w:r>
    </w:p>
    <w:p w14:paraId="29A65AA0" w14:textId="743986C6" w:rsidR="006974A5" w:rsidRPr="006974A5" w:rsidRDefault="006974A5" w:rsidP="00F046E5">
      <w:pPr>
        <w:pStyle w:val="ListBullet"/>
      </w:pPr>
      <w:r w:rsidRPr="006974A5">
        <w:t>The subject was aged 4 to 11 years at the time of randomisation.</w:t>
      </w:r>
    </w:p>
    <w:p w14:paraId="6DEF6F7C" w14:textId="77777777" w:rsidR="006974A5" w:rsidRPr="006974A5" w:rsidRDefault="006974A5" w:rsidP="006974A5">
      <w:pPr>
        <w:rPr>
          <w:b/>
          <w:bCs/>
        </w:rPr>
      </w:pPr>
      <w:r w:rsidRPr="006974A5">
        <w:rPr>
          <w:b/>
          <w:bCs/>
        </w:rPr>
        <w:t>Exclusion criteria</w:t>
      </w:r>
    </w:p>
    <w:p w14:paraId="1594CD34" w14:textId="77777777" w:rsidR="006974A5" w:rsidRPr="006974A5" w:rsidRDefault="006974A5" w:rsidP="006974A5">
      <w:r w:rsidRPr="006974A5">
        <w:t>Subjects who met any of the following key criteria were not eligible for entry (all parts):</w:t>
      </w:r>
    </w:p>
    <w:p w14:paraId="16713AEB" w14:textId="77777777" w:rsidR="00E2301B" w:rsidRDefault="006974A5" w:rsidP="00F046E5">
      <w:pPr>
        <w:pStyle w:val="ListBullet"/>
      </w:pPr>
      <w:r w:rsidRPr="006974A5">
        <w:t>Febrile illness (temperature ≥38°C) or moderate or severe acute illness or infection at</w:t>
      </w:r>
      <w:r w:rsidR="00E2301B">
        <w:t xml:space="preserve"> </w:t>
      </w:r>
      <w:r w:rsidRPr="006974A5">
        <w:t>the time of randomisation.</w:t>
      </w:r>
      <w:r w:rsidR="00E2301B">
        <w:t xml:space="preserve"> </w:t>
      </w:r>
    </w:p>
    <w:p w14:paraId="12F3204B" w14:textId="5424DDCE" w:rsidR="004A58C8" w:rsidRPr="004A58C8" w:rsidRDefault="00E2301B" w:rsidP="00F046E5">
      <w:pPr>
        <w:pStyle w:val="ListBullet"/>
      </w:pPr>
      <w:r>
        <w:t>H</w:t>
      </w:r>
      <w:r w:rsidR="006974A5" w:rsidRPr="006974A5">
        <w:t>istory or any illness that, in the opinion of the investigator, could have interfered with</w:t>
      </w:r>
      <w:r w:rsidR="00382E49">
        <w:t xml:space="preserve"> </w:t>
      </w:r>
      <w:r w:rsidR="006974A5" w:rsidRPr="006974A5">
        <w:t>the results of the study or pose an additional risk to the subject due to participation in</w:t>
      </w:r>
      <w:r w:rsidR="004A58C8" w:rsidRPr="00382E49">
        <w:rPr>
          <w:rFonts w:cs="Cambria"/>
          <w:szCs w:val="22"/>
        </w:rPr>
        <w:t xml:space="preserve"> </w:t>
      </w:r>
      <w:r w:rsidR="004A58C8" w:rsidRPr="004A58C8">
        <w:t>the study, including but not limited to the following key conditions: known</w:t>
      </w:r>
      <w:r w:rsidR="00382E49">
        <w:t xml:space="preserve"> </w:t>
      </w:r>
      <w:r w:rsidR="004A58C8" w:rsidRPr="004A58C8">
        <w:t>hypersensitivity/allergy to any vaccine components; female subjects (post-menarche)</w:t>
      </w:r>
      <w:r w:rsidR="00382E49">
        <w:t xml:space="preserve"> </w:t>
      </w:r>
      <w:r w:rsidR="004A58C8" w:rsidRPr="004A58C8">
        <w:t>who were pregnant or breastfeeding; serious chronic or progressive diseases per the</w:t>
      </w:r>
      <w:r w:rsidR="00382E49">
        <w:t xml:space="preserve"> </w:t>
      </w:r>
      <w:r w:rsidR="004A58C8" w:rsidRPr="004A58C8">
        <w:t>judgement of the investigator (including neoplasm, cardiac, renal, or hepatic disease,</w:t>
      </w:r>
      <w:r w:rsidR="00382E49">
        <w:t xml:space="preserve"> </w:t>
      </w:r>
      <w:r w:rsidR="004A58C8" w:rsidRPr="004A58C8">
        <w:t>neurological or seizure disorder, insulin-dependent diabetes, Guillain-Barré Syndrome;</w:t>
      </w:r>
      <w:r w:rsidR="00382E49">
        <w:t xml:space="preserve"> </w:t>
      </w:r>
      <w:r w:rsidR="004A58C8" w:rsidRPr="004A58C8">
        <w:t>and known to suspected immune function impairment.</w:t>
      </w:r>
    </w:p>
    <w:p w14:paraId="1EEFB9C4" w14:textId="604065A6" w:rsidR="004A58C8" w:rsidRPr="004A58C8" w:rsidRDefault="004A58C8" w:rsidP="00F046E5">
      <w:pPr>
        <w:pStyle w:val="ListBullet"/>
      </w:pPr>
      <w:r w:rsidRPr="004A58C8">
        <w:t>Receipt of any other vaccine within 14 days (for inactivated vaccines) or 28 days (for live</w:t>
      </w:r>
      <w:r w:rsidR="00382E49">
        <w:t xml:space="preserve"> </w:t>
      </w:r>
      <w:r w:rsidRPr="004A58C8">
        <w:t>vaccines) prior to Day 1 (Month 0) or planning to receive any vaccine within 28 days after Day 1</w:t>
      </w:r>
      <w:r w:rsidR="00382E49">
        <w:t xml:space="preserve"> </w:t>
      </w:r>
      <w:r w:rsidRPr="004A58C8">
        <w:t>(Month 0).</w:t>
      </w:r>
    </w:p>
    <w:p w14:paraId="4E89510B" w14:textId="77777777" w:rsidR="006D3EE2" w:rsidRPr="006D3EE2" w:rsidRDefault="006D3EE2" w:rsidP="00585F56">
      <w:pPr>
        <w:pStyle w:val="Heading6"/>
      </w:pPr>
      <w:r w:rsidRPr="006D3EE2">
        <w:t>Study treatments</w:t>
      </w:r>
    </w:p>
    <w:p w14:paraId="55B97212" w14:textId="5B9DFC9D" w:rsidR="004A58C8" w:rsidRPr="004A58C8" w:rsidRDefault="004A58C8" w:rsidP="004A58C8">
      <w:r w:rsidRPr="004A58C8">
        <w:t>The investigational vaccine was lyophilized TDV provided in single-use 2 mL glass vials and</w:t>
      </w:r>
      <w:r w:rsidR="00EA35F7">
        <w:t xml:space="preserve"> </w:t>
      </w:r>
      <w:r w:rsidRPr="004A58C8">
        <w:t>reconstituted by adding 0.7 mL diluent to facilitate withdrawal of 1 dose (0.5 mL) for SC</w:t>
      </w:r>
      <w:r w:rsidR="00EA35F7">
        <w:t xml:space="preserve"> </w:t>
      </w:r>
      <w:r w:rsidRPr="004A58C8">
        <w:t>injection. All products were labelled and</w:t>
      </w:r>
      <w:r w:rsidR="00717FB7">
        <w:t xml:space="preserve"> </w:t>
      </w:r>
      <w:r w:rsidRPr="004A58C8">
        <w:t>packaged according to applicable regulatory requirements.</w:t>
      </w:r>
    </w:p>
    <w:p w14:paraId="51FEF4B2" w14:textId="16D8E178" w:rsidR="004A58C8" w:rsidRPr="004A58C8" w:rsidRDefault="004A58C8" w:rsidP="004A58C8">
      <w:r w:rsidRPr="004A58C8">
        <w:lastRenderedPageBreak/>
        <w:t xml:space="preserve">The dosing schedule comprised of a single dose of </w:t>
      </w:r>
      <w:proofErr w:type="gramStart"/>
      <w:r w:rsidRPr="004A58C8">
        <w:t>TDV</w:t>
      </w:r>
      <w:proofErr w:type="gramEnd"/>
      <w:r w:rsidRPr="004A58C8">
        <w:t xml:space="preserve"> or placebo administered on Day 1</w:t>
      </w:r>
      <w:r w:rsidR="00CB3EF3">
        <w:t xml:space="preserve"> </w:t>
      </w:r>
      <w:r w:rsidRPr="004A58C8">
        <w:t>(Month 0) and Day 90 (Month 3). For Part 4, a single booster dose of TDV or placebo was</w:t>
      </w:r>
      <w:r w:rsidR="00CB3EF3">
        <w:t xml:space="preserve"> </w:t>
      </w:r>
      <w:r w:rsidRPr="004A58C8">
        <w:t>administered on Day 1b (Month 0b). All injections were administered into the upper arm via SC</w:t>
      </w:r>
      <w:r w:rsidR="00CB3EF3">
        <w:t xml:space="preserve"> </w:t>
      </w:r>
      <w:r w:rsidRPr="004A58C8">
        <w:t>injection.</w:t>
      </w:r>
    </w:p>
    <w:p w14:paraId="6CF31B78" w14:textId="77777777" w:rsidR="001E13AE" w:rsidRPr="001E13AE" w:rsidRDefault="001E13AE" w:rsidP="0034213C">
      <w:pPr>
        <w:pStyle w:val="Heading6"/>
      </w:pPr>
      <w:r w:rsidRPr="001E13AE">
        <w:t>Efficacy variables and outcomes</w:t>
      </w:r>
    </w:p>
    <w:p w14:paraId="3CFE26E8" w14:textId="1B2994FC" w:rsidR="004A58C8" w:rsidRPr="004A58C8" w:rsidRDefault="004A58C8" w:rsidP="004A58C8">
      <w:pPr>
        <w:rPr>
          <w:b/>
          <w:bCs/>
        </w:rPr>
      </w:pPr>
      <w:r w:rsidRPr="004A58C8">
        <w:rPr>
          <w:b/>
          <w:bCs/>
        </w:rPr>
        <w:t>Primary endpoint</w:t>
      </w:r>
    </w:p>
    <w:p w14:paraId="19696740" w14:textId="08E9122E" w:rsidR="004A58C8" w:rsidRPr="004A58C8" w:rsidRDefault="004A58C8" w:rsidP="004A58C8">
      <w:r w:rsidRPr="004A58C8">
        <w:t>Vaccine efficacy</w:t>
      </w:r>
      <w:r w:rsidR="008617D9">
        <w:t xml:space="preserve"> (VE)</w:t>
      </w:r>
      <w:r w:rsidRPr="004A58C8">
        <w:t xml:space="preserve"> of 2 doses of TDV in preventing VCD fever induced by any dengue serotype</w:t>
      </w:r>
      <w:r w:rsidR="008617D9">
        <w:t xml:space="preserve"> </w:t>
      </w:r>
      <w:r w:rsidRPr="004A58C8">
        <w:t>occurring from 30 days post-second vaccination (Day 120 [Month 4]) until the end of Part 1. VE</w:t>
      </w:r>
      <w:r w:rsidR="008617D9">
        <w:t xml:space="preserve"> </w:t>
      </w:r>
      <w:r w:rsidRPr="004A58C8">
        <w:t>was defined as 1 - (</w:t>
      </w:r>
      <w:proofErr w:type="spellStart"/>
      <w:r w:rsidRPr="004A58C8">
        <w:t>λV</w:t>
      </w:r>
      <w:proofErr w:type="spellEnd"/>
      <w:r w:rsidRPr="004A58C8">
        <w:t>/</w:t>
      </w:r>
      <w:proofErr w:type="spellStart"/>
      <w:r w:rsidRPr="004A58C8">
        <w:t>λC</w:t>
      </w:r>
      <w:proofErr w:type="spellEnd"/>
      <w:r w:rsidRPr="004A58C8">
        <w:t xml:space="preserve">) (where </w:t>
      </w:r>
      <w:proofErr w:type="spellStart"/>
      <w:r w:rsidRPr="004A58C8">
        <w:t>λV</w:t>
      </w:r>
      <w:proofErr w:type="spellEnd"/>
      <w:r w:rsidRPr="004A58C8">
        <w:t xml:space="preserve"> and </w:t>
      </w:r>
      <w:proofErr w:type="spellStart"/>
      <w:r w:rsidRPr="004A58C8">
        <w:t>λC</w:t>
      </w:r>
      <w:proofErr w:type="spellEnd"/>
      <w:r w:rsidRPr="004A58C8">
        <w:t xml:space="preserve"> denote the hazard rates for the TDV and placebo</w:t>
      </w:r>
      <w:r w:rsidR="008617D9">
        <w:t xml:space="preserve"> </w:t>
      </w:r>
      <w:r w:rsidRPr="004A58C8">
        <w:t>arms, respectively).</w:t>
      </w:r>
    </w:p>
    <w:p w14:paraId="7BAAC8AE" w14:textId="77777777" w:rsidR="004A58C8" w:rsidRPr="004A58C8" w:rsidRDefault="004A58C8" w:rsidP="004A58C8">
      <w:pPr>
        <w:rPr>
          <w:b/>
          <w:bCs/>
        </w:rPr>
      </w:pPr>
      <w:r w:rsidRPr="004A58C8">
        <w:rPr>
          <w:b/>
          <w:bCs/>
        </w:rPr>
        <w:t>Secondary endpoints</w:t>
      </w:r>
    </w:p>
    <w:p w14:paraId="61E1B185" w14:textId="77777777" w:rsidR="004A58C8" w:rsidRPr="004A58C8" w:rsidRDefault="004A58C8" w:rsidP="004A58C8">
      <w:pPr>
        <w:rPr>
          <w:i/>
          <w:iCs/>
        </w:rPr>
      </w:pPr>
      <w:r w:rsidRPr="004A58C8">
        <w:rPr>
          <w:i/>
          <w:iCs/>
        </w:rPr>
        <w:t>Efficacy</w:t>
      </w:r>
    </w:p>
    <w:p w14:paraId="2A643454" w14:textId="77777777" w:rsidR="004A58C8" w:rsidRPr="00FA4593" w:rsidRDefault="004A58C8" w:rsidP="00FA4593">
      <w:pPr>
        <w:pStyle w:val="ListBullet"/>
      </w:pPr>
      <w:r w:rsidRPr="00FA4593">
        <w:t>Key secondary efficacy endpoint</w:t>
      </w:r>
    </w:p>
    <w:p w14:paraId="06A339BC" w14:textId="3316726A" w:rsidR="004A58C8" w:rsidRPr="004A58C8" w:rsidRDefault="004A58C8" w:rsidP="00FA4593">
      <w:pPr>
        <w:ind w:left="360"/>
      </w:pPr>
      <w:r w:rsidRPr="004A58C8">
        <w:t>Vaccine efficacy of 2 doses of TDV in preventing hospitalisation due to VCD fever induced by any</w:t>
      </w:r>
      <w:r w:rsidR="00742152">
        <w:t xml:space="preserve"> </w:t>
      </w:r>
      <w:r w:rsidRPr="004A58C8">
        <w:t>dengue serotype from 30 days post-second vaccination (Day 120</w:t>
      </w:r>
      <w:r w:rsidR="009C09FE">
        <w:t>-</w:t>
      </w:r>
      <w:r w:rsidRPr="004A58C8">
        <w:t>Month 4) until the end of</w:t>
      </w:r>
      <w:r w:rsidR="00742152">
        <w:t xml:space="preserve"> </w:t>
      </w:r>
      <w:r w:rsidRPr="004A58C8">
        <w:t xml:space="preserve">Part </w:t>
      </w:r>
      <w:r w:rsidR="009C09FE">
        <w:t>2</w:t>
      </w:r>
      <w:r w:rsidRPr="004A58C8">
        <w:t>.</w:t>
      </w:r>
    </w:p>
    <w:p w14:paraId="3EEAA5DB" w14:textId="77777777" w:rsidR="004A58C8" w:rsidRPr="00FA4593" w:rsidRDefault="004A58C8" w:rsidP="00FA4593">
      <w:pPr>
        <w:pStyle w:val="ListBullet"/>
      </w:pPr>
      <w:r w:rsidRPr="00FA4593">
        <w:t>Additional secondary efficacy endpoints</w:t>
      </w:r>
    </w:p>
    <w:p w14:paraId="2C2641B3" w14:textId="3F19421B" w:rsidR="004A58C8" w:rsidRPr="004A58C8" w:rsidRDefault="004A58C8" w:rsidP="008E3121">
      <w:pPr>
        <w:pStyle w:val="ListBullet2"/>
      </w:pPr>
      <w:r w:rsidRPr="004A58C8">
        <w:t>Vaccine efficacy of 2 doses of TDV in preventing VCD fever induced by each dengue</w:t>
      </w:r>
      <w:r w:rsidR="00E46F03">
        <w:t xml:space="preserve"> </w:t>
      </w:r>
      <w:r w:rsidRPr="004A58C8">
        <w:t>serotype from 30 days post-second vaccination (Day 120 [Month 4]) until the end of</w:t>
      </w:r>
      <w:r w:rsidR="00256F58">
        <w:t xml:space="preserve"> </w:t>
      </w:r>
      <w:r w:rsidRPr="004A58C8">
        <w:t>Part 2.</w:t>
      </w:r>
    </w:p>
    <w:p w14:paraId="1D1D79F8" w14:textId="5B48AAC3" w:rsidR="004A58C8" w:rsidRPr="004A58C8" w:rsidRDefault="004A58C8" w:rsidP="008E3121">
      <w:pPr>
        <w:pStyle w:val="ListBullet2"/>
      </w:pPr>
      <w:r w:rsidRPr="004A58C8">
        <w:t>Vaccine efficacy of 2 doses of TDV in preventing VCD fever induced by any dengue</w:t>
      </w:r>
      <w:r w:rsidR="00256F58">
        <w:t xml:space="preserve"> </w:t>
      </w:r>
      <w:r w:rsidRPr="004A58C8">
        <w:t>serotype from 30 days post-second vaccination (Day 120 [Month 4]) until the end of</w:t>
      </w:r>
      <w:r w:rsidR="005407A3">
        <w:t xml:space="preserve"> </w:t>
      </w:r>
      <w:r w:rsidRPr="004A58C8">
        <w:t xml:space="preserve">Part 2 in </w:t>
      </w:r>
      <w:proofErr w:type="gramStart"/>
      <w:r w:rsidRPr="004A58C8">
        <w:t>subjects</w:t>
      </w:r>
      <w:proofErr w:type="gramEnd"/>
      <w:r w:rsidRPr="004A58C8">
        <w:t xml:space="preserve"> dengue seronegative at baseline.</w:t>
      </w:r>
    </w:p>
    <w:p w14:paraId="26642C99" w14:textId="2570E0A9" w:rsidR="004A58C8" w:rsidRPr="004A58C8" w:rsidRDefault="004A58C8" w:rsidP="008E3121">
      <w:pPr>
        <w:pStyle w:val="ListBullet2"/>
      </w:pPr>
      <w:r w:rsidRPr="004A58C8">
        <w:t>Vaccine efficacy of 2 doses of TDV in preventing VCD fever induced by any dengue</w:t>
      </w:r>
      <w:r w:rsidR="0077464B">
        <w:t xml:space="preserve"> </w:t>
      </w:r>
      <w:r w:rsidRPr="004A58C8">
        <w:t>serotype from 30 days post-second vaccination (Day 120 [Month 4]) until the end of</w:t>
      </w:r>
      <w:r w:rsidR="0077464B">
        <w:t xml:space="preserve"> </w:t>
      </w:r>
      <w:r w:rsidRPr="004A58C8">
        <w:t xml:space="preserve">Part 2 in </w:t>
      </w:r>
      <w:proofErr w:type="gramStart"/>
      <w:r w:rsidRPr="004A58C8">
        <w:t>subjects</w:t>
      </w:r>
      <w:proofErr w:type="gramEnd"/>
      <w:r w:rsidRPr="004A58C8">
        <w:t xml:space="preserve"> dengue seropositive at baseline.</w:t>
      </w:r>
    </w:p>
    <w:p w14:paraId="1BE6C903" w14:textId="5C74AEDD" w:rsidR="004A58C8" w:rsidRPr="004A58C8" w:rsidRDefault="004A58C8" w:rsidP="008E3121">
      <w:pPr>
        <w:pStyle w:val="ListBullet2"/>
      </w:pPr>
      <w:r w:rsidRPr="004A58C8">
        <w:t>Vaccine efficacy of 2 doses of TDV in preventing severe VCD fever induced by any</w:t>
      </w:r>
      <w:r w:rsidR="0077464B">
        <w:t xml:space="preserve"> </w:t>
      </w:r>
      <w:r w:rsidRPr="004A58C8">
        <w:t>dengue serotype from 30 days post-second vaccination (Day 120 [Month 4]) until the</w:t>
      </w:r>
      <w:r w:rsidR="0077464B">
        <w:t xml:space="preserve"> </w:t>
      </w:r>
      <w:r w:rsidRPr="004A58C8">
        <w:t>end of Part 2.</w:t>
      </w:r>
    </w:p>
    <w:p w14:paraId="7FBA26FE" w14:textId="77777777" w:rsidR="004A58C8" w:rsidRPr="004A58C8" w:rsidRDefault="004A58C8" w:rsidP="004A58C8">
      <w:pPr>
        <w:rPr>
          <w:i/>
          <w:iCs/>
        </w:rPr>
      </w:pPr>
      <w:r w:rsidRPr="004A58C8">
        <w:rPr>
          <w:i/>
          <w:iCs/>
        </w:rPr>
        <w:t>Immunogenicity</w:t>
      </w:r>
    </w:p>
    <w:p w14:paraId="4D3781E7" w14:textId="2376D33D" w:rsidR="00AE319D" w:rsidRPr="00FA4593" w:rsidRDefault="004A58C8" w:rsidP="002E5BCC">
      <w:pPr>
        <w:pStyle w:val="ListBullet"/>
      </w:pPr>
      <w:r w:rsidRPr="00FA4593">
        <w:t>Subset (post-first and post-second vaccinations)</w:t>
      </w:r>
    </w:p>
    <w:p w14:paraId="2246F00A" w14:textId="1C7C0324" w:rsidR="00B732AF" w:rsidRPr="00B732AF" w:rsidRDefault="00B732AF" w:rsidP="008E3121">
      <w:pPr>
        <w:pStyle w:val="ListBullet2"/>
      </w:pPr>
      <w:r w:rsidRPr="00B732AF">
        <w:t>Seropositivity rate (% of seropositive subjects) for each of the 4 dengue serotypes at</w:t>
      </w:r>
      <w:r w:rsidR="00600F86">
        <w:t xml:space="preserve"> </w:t>
      </w:r>
      <w:r w:rsidRPr="00B732AF">
        <w:t>pre-vaccination on Day 1 (Month 0), post-first vaccination on Day 30 (Month 1), pre</w:t>
      </w:r>
      <w:r w:rsidR="002E5BCC">
        <w:t>-</w:t>
      </w:r>
      <w:r w:rsidRPr="00B732AF">
        <w:t>vaccination</w:t>
      </w:r>
      <w:r w:rsidR="002E5BCC">
        <w:t xml:space="preserve"> </w:t>
      </w:r>
      <w:r w:rsidRPr="00B732AF">
        <w:t>on Day 90 (Month 3); post-second vaccination at Day 120 (Month 4), Day</w:t>
      </w:r>
      <w:r w:rsidR="002E5BCC">
        <w:t xml:space="preserve"> </w:t>
      </w:r>
      <w:r w:rsidRPr="00B732AF">
        <w:t>270 (Month 9), Day 450 (Month 15), and then annually.</w:t>
      </w:r>
    </w:p>
    <w:p w14:paraId="2BCD5C3F" w14:textId="522A99C1" w:rsidR="00B732AF" w:rsidRPr="00B732AF" w:rsidRDefault="00B732AF" w:rsidP="008E3121">
      <w:pPr>
        <w:pStyle w:val="ListBullet2"/>
      </w:pPr>
      <w:r w:rsidRPr="00B732AF">
        <w:t>Seropositivity rate (% of seropositive subjects) for any 1 (monovalent), 2 (bivalent), 3</w:t>
      </w:r>
      <w:r w:rsidR="002E5BCC">
        <w:t xml:space="preserve"> </w:t>
      </w:r>
      <w:r w:rsidRPr="00B732AF">
        <w:t>(trivalent), and 4 (tetravalent) dengue serotypes, as well as at least bivalent</w:t>
      </w:r>
      <w:r w:rsidR="002E5BCC">
        <w:t xml:space="preserve"> </w:t>
      </w:r>
      <w:r w:rsidRPr="00B732AF">
        <w:t>(seropositive for ≥2 dengue serotypes) and at least trivalent (seropositive for ≥3 dengue</w:t>
      </w:r>
      <w:r w:rsidR="002E5BCC">
        <w:t xml:space="preserve"> </w:t>
      </w:r>
      <w:r w:rsidRPr="00B732AF">
        <w:t>serotypes) at pre-vaccination on Day 1 (Month 0), post-first vaccination on Day 30</w:t>
      </w:r>
      <w:r w:rsidR="002E5BCC">
        <w:t xml:space="preserve"> </w:t>
      </w:r>
      <w:r w:rsidRPr="00B732AF">
        <w:t>(Month 1), pre-vaccination on Day 90 (Month 3), post-second vaccination on Day 120</w:t>
      </w:r>
      <w:r w:rsidR="002E5BCC">
        <w:t xml:space="preserve"> </w:t>
      </w:r>
      <w:r w:rsidRPr="00B732AF">
        <w:t>(Month 4), Day 270 (Month 9), Day 450 (Month 15), and then annually.</w:t>
      </w:r>
    </w:p>
    <w:p w14:paraId="7E0973E7" w14:textId="10A8A9F6" w:rsidR="00B732AF" w:rsidRDefault="00B732AF" w:rsidP="008E3121">
      <w:pPr>
        <w:pStyle w:val="ListBullet2"/>
      </w:pPr>
      <w:r w:rsidRPr="00B732AF">
        <w:t>GMTs of neutralising antibodies for each dengue serotype at pre-vaccination on Day 1</w:t>
      </w:r>
      <w:r w:rsidR="002E5BCC">
        <w:t xml:space="preserve"> </w:t>
      </w:r>
      <w:r w:rsidRPr="00B732AF">
        <w:t>(Month 0), post-first vaccination on Day 30 (Month 1), pre-vaccination on Day 90</w:t>
      </w:r>
      <w:r w:rsidR="002E5BCC">
        <w:t xml:space="preserve"> </w:t>
      </w:r>
      <w:r w:rsidRPr="00B732AF">
        <w:lastRenderedPageBreak/>
        <w:t>(Month 3); post-second vaccination at Day 120 (Month 4), Day 270 (Month 9), Day 450</w:t>
      </w:r>
      <w:r w:rsidR="002E5BCC">
        <w:t xml:space="preserve"> </w:t>
      </w:r>
      <w:r w:rsidRPr="00B732AF">
        <w:t>(Month 15), and then annually.</w:t>
      </w:r>
    </w:p>
    <w:p w14:paraId="0AD54A1D" w14:textId="77777777" w:rsidR="00714DB1" w:rsidRPr="005632DC" w:rsidRDefault="00714DB1" w:rsidP="00714DB1">
      <w:pPr>
        <w:pStyle w:val="Heading6"/>
      </w:pPr>
      <w:r w:rsidRPr="005632DC">
        <w:t xml:space="preserve">Participant flow </w:t>
      </w:r>
    </w:p>
    <w:p w14:paraId="208E8B4A" w14:textId="17986875" w:rsidR="00137522" w:rsidRDefault="0071121F" w:rsidP="0071121F">
      <w:pPr>
        <w:rPr>
          <w:lang w:eastAsia="ja-JP"/>
        </w:rPr>
      </w:pPr>
      <w:r w:rsidRPr="0071121F">
        <w:rPr>
          <w:lang w:eastAsia="ja-JP"/>
        </w:rPr>
        <w:t xml:space="preserve">Overall, 20,099 subjects were randomised to the study, with approximately a 2:1 ratio receiving TDV (N=13,401) and placebo (N=6698). This ratio was also maintained across age groups and regions. </w:t>
      </w:r>
      <w:r w:rsidR="00137522">
        <w:rPr>
          <w:lang w:eastAsia="ja-JP"/>
        </w:rPr>
        <w:t xml:space="preserve">The disposition of subjects to the end of Part 2 for efficacy and immunogenicity analyses is presented in Figure 2. </w:t>
      </w:r>
    </w:p>
    <w:p w14:paraId="2C0D3D3C" w14:textId="77777777" w:rsidR="00F046E5" w:rsidRDefault="00984995" w:rsidP="004538A4">
      <w:pPr>
        <w:pStyle w:val="FigureTitle"/>
      </w:pPr>
      <w:r w:rsidRPr="00F12DF5">
        <w:t>Figure</w:t>
      </w:r>
      <w:r w:rsidR="00452A9D">
        <w:t xml:space="preserve"> 2.</w:t>
      </w:r>
      <w:r w:rsidRPr="00F12DF5">
        <w:t xml:space="preserve"> Subject disposition to end of Part 2 for efficacy and immunogenicity analyses (All subjects) – Study DEN-301</w:t>
      </w:r>
      <w:r w:rsidR="00452A9D">
        <w:t>.</w:t>
      </w:r>
    </w:p>
    <w:p w14:paraId="086B6A43" w14:textId="4AEAC826" w:rsidR="00984995" w:rsidRDefault="00F12DF5" w:rsidP="00F046E5">
      <w:r>
        <w:rPr>
          <w:noProof/>
        </w:rPr>
        <w:drawing>
          <wp:inline distT="0" distB="0" distL="0" distR="0" wp14:anchorId="6DC64EC0" wp14:editId="3983102E">
            <wp:extent cx="5400675" cy="4595495"/>
            <wp:effectExtent l="0" t="0" r="9525" b="0"/>
            <wp:docPr id="385283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5178" cy="4616345"/>
                    </a:xfrm>
                    <a:prstGeom prst="rect">
                      <a:avLst/>
                    </a:prstGeom>
                    <a:noFill/>
                  </pic:spPr>
                </pic:pic>
              </a:graphicData>
            </a:graphic>
          </wp:inline>
        </w:drawing>
      </w:r>
    </w:p>
    <w:p w14:paraId="652DE370" w14:textId="082E087D" w:rsidR="004538A4" w:rsidRPr="004538A4" w:rsidRDefault="004538A4" w:rsidP="004538A4">
      <w:pPr>
        <w:pStyle w:val="Heading6"/>
        <w:rPr>
          <w:rFonts w:eastAsia="Cambria"/>
        </w:rPr>
      </w:pPr>
      <w:bookmarkStart w:id="47" w:name="_Ref199864590"/>
      <w:r>
        <w:t>B</w:t>
      </w:r>
      <w:r w:rsidRPr="004538A4">
        <w:rPr>
          <w:rFonts w:eastAsia="Cambria"/>
        </w:rPr>
        <w:t>aseline data</w:t>
      </w:r>
      <w:bookmarkEnd w:id="47"/>
    </w:p>
    <w:p w14:paraId="1870E265" w14:textId="6B0F5998" w:rsidR="00984995" w:rsidRDefault="004D5CFF" w:rsidP="004D5CFF">
      <w:r w:rsidRPr="004D5CFF">
        <w:fldChar w:fldCharType="begin"/>
      </w:r>
      <w:r w:rsidRPr="004D5CFF">
        <w:instrText xml:space="preserve"> REF _Ref199163630 \h  \* MERGEFORMAT </w:instrText>
      </w:r>
      <w:r w:rsidRPr="004D5CFF">
        <w:fldChar w:fldCharType="separate"/>
      </w:r>
      <w:r w:rsidRPr="004D5CFF">
        <w:t>Table 3</w:t>
      </w:r>
      <w:r w:rsidRPr="004D5CFF">
        <w:fldChar w:fldCharType="end"/>
      </w:r>
      <w:r w:rsidRPr="004D5CFF">
        <w:t xml:space="preserve"> summarises the demographic and baseline characteristics of subjects in the PPS. No important differences were noted between the placebo and TDV groups.</w:t>
      </w:r>
    </w:p>
    <w:p w14:paraId="29EC936F" w14:textId="77777777" w:rsidR="00803058" w:rsidRDefault="009C19D9" w:rsidP="007C2471">
      <w:pPr>
        <w:pStyle w:val="TableTitle"/>
        <w:spacing w:before="0" w:after="0"/>
        <w:rPr>
          <w:lang w:val="en-US"/>
        </w:rPr>
      </w:pPr>
      <w:r w:rsidRPr="009C19D9">
        <w:rPr>
          <w:lang w:val="en-US"/>
        </w:rPr>
        <w:lastRenderedPageBreak/>
        <w:t>Table</w:t>
      </w:r>
      <w:r w:rsidR="00AE685E">
        <w:rPr>
          <w:lang w:val="en-US"/>
        </w:rPr>
        <w:t xml:space="preserve"> 3</w:t>
      </w:r>
      <w:r w:rsidRPr="009C19D9">
        <w:rPr>
          <w:lang w:val="en-US"/>
        </w:rPr>
        <w:t>. Demographic and baseline characteristics (PPS) – Study DEN-301</w:t>
      </w:r>
      <w:r w:rsidR="00AE685E">
        <w:rPr>
          <w:lang w:val="en-US"/>
        </w:rPr>
        <w:t>.</w:t>
      </w:r>
    </w:p>
    <w:p w14:paraId="117841F9" w14:textId="1693CF1A" w:rsidR="00803058" w:rsidRDefault="00803058" w:rsidP="00F046E5">
      <w:pPr>
        <w:rPr>
          <w:lang w:val="en-US"/>
        </w:rPr>
      </w:pPr>
      <w:r w:rsidRPr="000F68B4">
        <w:rPr>
          <w:noProof/>
          <w:lang w:eastAsia="ja-JP"/>
        </w:rPr>
        <w:drawing>
          <wp:inline distT="0" distB="0" distL="0" distR="0" wp14:anchorId="3F7CD30A" wp14:editId="68071BF9">
            <wp:extent cx="5457825" cy="5945196"/>
            <wp:effectExtent l="0" t="0" r="0" b="0"/>
            <wp:docPr id="150518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8340" name=""/>
                    <pic:cNvPicPr/>
                  </pic:nvPicPr>
                  <pic:blipFill>
                    <a:blip r:embed="rId24"/>
                    <a:stretch>
                      <a:fillRect/>
                    </a:stretch>
                  </pic:blipFill>
                  <pic:spPr>
                    <a:xfrm>
                      <a:off x="0" y="0"/>
                      <a:ext cx="5463198" cy="5951048"/>
                    </a:xfrm>
                    <a:prstGeom prst="rect">
                      <a:avLst/>
                    </a:prstGeom>
                  </pic:spPr>
                </pic:pic>
              </a:graphicData>
            </a:graphic>
          </wp:inline>
        </w:drawing>
      </w:r>
    </w:p>
    <w:p w14:paraId="548513DA" w14:textId="5FBFB444" w:rsidR="00DD0FFB" w:rsidRDefault="00E611B0" w:rsidP="00F046E5">
      <w:pPr>
        <w:pStyle w:val="TableDescription"/>
        <w:rPr>
          <w:lang w:val="en-US"/>
        </w:rPr>
      </w:pPr>
      <w:r w:rsidRPr="00E611B0">
        <w:rPr>
          <w:lang w:val="en-US"/>
        </w:rPr>
        <w:t>Abbreviations: BMI, body mass index; eCRF, electronic case report form; max, maximum; min, minimum; n, number of subjects; SD, standard deviation; TDV, tetravalent dengue vaccine candidate.</w:t>
      </w:r>
    </w:p>
    <w:p w14:paraId="2547766F" w14:textId="2DD45451" w:rsidR="00E611B0" w:rsidRDefault="00E611B0" w:rsidP="00F046E5">
      <w:pPr>
        <w:pStyle w:val="TableDescription"/>
        <w:rPr>
          <w:lang w:val="en-US"/>
        </w:rPr>
      </w:pPr>
      <w:r w:rsidRPr="00E611B0">
        <w:rPr>
          <w:lang w:val="en-US"/>
        </w:rPr>
        <w:t>Due to limited check-box options for “Race” on the eCRF, investigators mostly chose “American Indian/Alaskan Native”</w:t>
      </w:r>
      <w:r w:rsidR="007C2471">
        <w:rPr>
          <w:lang w:val="en-US"/>
        </w:rPr>
        <w:t xml:space="preserve"> t</w:t>
      </w:r>
      <w:r w:rsidRPr="00E611B0">
        <w:rPr>
          <w:lang w:val="en-US"/>
        </w:rPr>
        <w:t>o describe the race of subjects in Latin America.</w:t>
      </w:r>
    </w:p>
    <w:p w14:paraId="1FF0FB87" w14:textId="7BE3DEB4" w:rsidR="004150BC" w:rsidRPr="004150BC" w:rsidRDefault="004150BC" w:rsidP="004150BC">
      <w:pPr>
        <w:rPr>
          <w:lang w:val="en-US"/>
        </w:rPr>
      </w:pPr>
      <w:r w:rsidRPr="005D546A">
        <w:rPr>
          <w:lang w:val="en-US"/>
        </w:rPr>
        <w:t>Overall, 72.3% of subjects</w:t>
      </w:r>
      <w:r w:rsidRPr="004150BC">
        <w:rPr>
          <w:lang w:val="en-US"/>
        </w:rPr>
        <w:t xml:space="preserve"> were seropositive and 27.7% were seronegative at baseline with no</w:t>
      </w:r>
      <w:r w:rsidR="005E4F4B">
        <w:rPr>
          <w:lang w:val="en-US"/>
        </w:rPr>
        <w:t xml:space="preserve"> </w:t>
      </w:r>
      <w:r w:rsidRPr="004150BC">
        <w:rPr>
          <w:lang w:val="en-US"/>
        </w:rPr>
        <w:t xml:space="preserve">difference between the placebo and TDV groups. Likewise, no marked differences were noted in the baseline seropositivity rate to each dengue serotype between the study groups. The overall baseline seropositivity was higher for DENV-2 (70.3%) compared to the other serotypes (DENV-1 [65.0%]; DENV-3 [62.8%]; DENV-4 [63.6%]). </w:t>
      </w:r>
      <w:proofErr w:type="gramStart"/>
      <w:r w:rsidRPr="004150BC">
        <w:rPr>
          <w:lang w:val="en-US"/>
        </w:rPr>
        <w:t>The majority of</w:t>
      </w:r>
      <w:proofErr w:type="gramEnd"/>
      <w:r w:rsidRPr="004150BC">
        <w:rPr>
          <w:lang w:val="en-US"/>
        </w:rPr>
        <w:t xml:space="preserve"> subjects were seropositive to multiple serotypes at baseline (63.0% at least trivalent and 60.3% tetravalent).</w:t>
      </w:r>
    </w:p>
    <w:p w14:paraId="7AEE1F50" w14:textId="77777777" w:rsidR="004150BC" w:rsidRDefault="004150BC" w:rsidP="004150BC">
      <w:pPr>
        <w:rPr>
          <w:lang w:val="en-US"/>
        </w:rPr>
      </w:pPr>
      <w:r w:rsidRPr="004150BC">
        <w:rPr>
          <w:lang w:val="en-US"/>
        </w:rPr>
        <w:t>Overall baseline seropositivity rates by region was slightly higher in the Asia Pacific (74.2%) compared to Latin America (70.7%). Within regions, there were no important differences in baseline seropositivity rates between placebo and TDV. The highest seropositivity rates in the Asia Pacific region were reported in the Philippines (87.6%) and in Latin America were reported in the Dominican Republic (97.2%).</w:t>
      </w:r>
    </w:p>
    <w:p w14:paraId="1A70F012" w14:textId="77777777" w:rsidR="004B584D" w:rsidRPr="004B584D" w:rsidRDefault="004B584D" w:rsidP="00C06F40">
      <w:pPr>
        <w:pStyle w:val="Heading6"/>
        <w:rPr>
          <w:lang w:val="en-US"/>
        </w:rPr>
      </w:pPr>
      <w:r w:rsidRPr="004B584D">
        <w:rPr>
          <w:lang w:val="en-US"/>
        </w:rPr>
        <w:lastRenderedPageBreak/>
        <w:t>Results for the primary efficacy outcome</w:t>
      </w:r>
    </w:p>
    <w:p w14:paraId="79B6A7B2" w14:textId="47B5E47A" w:rsidR="004B584D" w:rsidRPr="004B584D" w:rsidRDefault="004B584D" w:rsidP="004B584D">
      <w:pPr>
        <w:rPr>
          <w:b/>
          <w:bCs/>
          <w:lang w:val="en-US"/>
        </w:rPr>
      </w:pPr>
      <w:r w:rsidRPr="004B584D">
        <w:rPr>
          <w:b/>
          <w:bCs/>
          <w:lang w:val="en-US"/>
        </w:rPr>
        <w:t>Primary endpoint</w:t>
      </w:r>
    </w:p>
    <w:p w14:paraId="6F4C4A9A" w14:textId="77777777" w:rsidR="004B584D" w:rsidRPr="004B584D" w:rsidRDefault="004B584D" w:rsidP="004B584D">
      <w:pPr>
        <w:rPr>
          <w:i/>
          <w:lang w:val="en-US"/>
        </w:rPr>
      </w:pPr>
      <w:r w:rsidRPr="004B584D">
        <w:rPr>
          <w:i/>
          <w:lang w:val="en-US"/>
        </w:rPr>
        <w:t>VE of TDV in preventing VCD from 30 days post-second vaccination to end of Part 1</w:t>
      </w:r>
    </w:p>
    <w:p w14:paraId="5CD6E85C" w14:textId="72A2280C" w:rsidR="004B584D" w:rsidRPr="004B584D" w:rsidRDefault="004B584D" w:rsidP="004B584D">
      <w:pPr>
        <w:rPr>
          <w:lang w:val="en-US"/>
        </w:rPr>
      </w:pPr>
      <w:r w:rsidRPr="004B584D">
        <w:rPr>
          <w:lang w:val="en-US"/>
        </w:rPr>
        <w:t>The rates of VCD fever from 30 days post-second vaccination to the end of Part 1 were 2.4% in the placebo group and 0.5% in the TDV groups, with an associated VE of 80.2% (95% CI: 73.3, 85.3; p&lt;0.001)</w:t>
      </w:r>
      <w:r w:rsidR="00426E56">
        <w:rPr>
          <w:lang w:val="en-US"/>
        </w:rPr>
        <w:t xml:space="preserve"> (Table 4)</w:t>
      </w:r>
      <w:r w:rsidRPr="004B584D">
        <w:rPr>
          <w:lang w:val="en-US"/>
        </w:rPr>
        <w:t>. As the lower bound of the 2-sided 95% CI for VE was above 25%, the primary efficacy objective was therefore considered to have been met.</w:t>
      </w:r>
    </w:p>
    <w:p w14:paraId="1E547729" w14:textId="77777777" w:rsidR="00F046E5" w:rsidRDefault="00103C30" w:rsidP="002608D8">
      <w:pPr>
        <w:pStyle w:val="TableTitle"/>
        <w:rPr>
          <w:lang w:val="en-US"/>
        </w:rPr>
      </w:pPr>
      <w:r w:rsidRPr="00103C30">
        <w:rPr>
          <w:lang w:val="en-US"/>
        </w:rPr>
        <w:t>Table</w:t>
      </w:r>
      <w:r w:rsidR="00060CB4">
        <w:rPr>
          <w:lang w:val="en-US"/>
        </w:rPr>
        <w:t xml:space="preserve"> 4</w:t>
      </w:r>
      <w:r w:rsidRPr="00103C30">
        <w:rPr>
          <w:lang w:val="en-US"/>
        </w:rPr>
        <w:t>. Vaccine efficacy of TDV in preventing VCD fever induced by any dengue serotype from 30 days post-second vaccination to end of Part 1 (PPS) – Study DEN-301</w:t>
      </w:r>
      <w:r w:rsidR="00426E56">
        <w:rPr>
          <w:lang w:val="en-US"/>
        </w:rPr>
        <w:t>.</w:t>
      </w:r>
    </w:p>
    <w:p w14:paraId="2BF48AC3" w14:textId="77777777" w:rsidR="00F046E5" w:rsidRDefault="002608D8" w:rsidP="00F046E5">
      <w:pPr>
        <w:rPr>
          <w:sz w:val="16"/>
          <w:szCs w:val="16"/>
          <w:lang w:val="en-US"/>
        </w:rPr>
      </w:pPr>
      <w:r w:rsidRPr="002D7582">
        <w:rPr>
          <w:noProof/>
          <w:lang w:eastAsia="ja-JP"/>
        </w:rPr>
        <w:drawing>
          <wp:inline distT="0" distB="0" distL="0" distR="0" wp14:anchorId="237C8A8E" wp14:editId="1CB66046">
            <wp:extent cx="5534025" cy="2279581"/>
            <wp:effectExtent l="0" t="0" r="0" b="6985"/>
            <wp:docPr id="1811427046"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27046" name="Picture 1" descr="A white sheet with black text&#10;&#10;AI-generated content may be incorrect."/>
                    <pic:cNvPicPr/>
                  </pic:nvPicPr>
                  <pic:blipFill>
                    <a:blip r:embed="rId25"/>
                    <a:stretch>
                      <a:fillRect/>
                    </a:stretch>
                  </pic:blipFill>
                  <pic:spPr>
                    <a:xfrm>
                      <a:off x="0" y="0"/>
                      <a:ext cx="5549095" cy="2285789"/>
                    </a:xfrm>
                    <a:prstGeom prst="rect">
                      <a:avLst/>
                    </a:prstGeom>
                  </pic:spPr>
                </pic:pic>
              </a:graphicData>
            </a:graphic>
          </wp:inline>
        </w:drawing>
      </w:r>
    </w:p>
    <w:p w14:paraId="001689B3" w14:textId="4CEFF0C5" w:rsidR="00DD0FFB" w:rsidRPr="002608D8" w:rsidRDefault="00DD0FFB" w:rsidP="00F046E5">
      <w:pPr>
        <w:pStyle w:val="TableDescription"/>
        <w:rPr>
          <w:lang w:val="en-US"/>
        </w:rPr>
      </w:pPr>
      <w:r w:rsidRPr="002608D8">
        <w:rPr>
          <w:lang w:val="en-US"/>
        </w:rPr>
        <w:t>Abbreviations: TDV, tetravalent dengue vaccine candidate; VCD, virologically confirmed dengue. (a) Number of VCD fever cases per 100 person-years.</w:t>
      </w:r>
    </w:p>
    <w:p w14:paraId="182938E7" w14:textId="117422B2" w:rsidR="005B5ED2" w:rsidRPr="005B5ED2" w:rsidRDefault="005B5ED2" w:rsidP="005B5ED2">
      <w:pPr>
        <w:rPr>
          <w:lang w:val="en-US"/>
        </w:rPr>
      </w:pPr>
      <w:r w:rsidRPr="005B5ED2">
        <w:rPr>
          <w:lang w:val="en-US"/>
        </w:rPr>
        <w:t>Sensitivity analysis of the primary endpoint (analysis based on the FAS; analysis using exact 95% CIs calculated as described by Breslow &amp; Day; and analysis in which cases of VCD fever were observed at any time post-second vaccination) all yielded consistent findings to that of the primary analysis</w:t>
      </w:r>
      <w:r w:rsidR="004E3255">
        <w:rPr>
          <w:lang w:val="en-US"/>
        </w:rPr>
        <w:t>.</w:t>
      </w:r>
    </w:p>
    <w:p w14:paraId="0078AC52" w14:textId="353CFCAF" w:rsidR="005B5ED2" w:rsidRPr="005B5ED2" w:rsidRDefault="006D4524" w:rsidP="005B5ED2">
      <w:pPr>
        <w:rPr>
          <w:lang w:val="en-US"/>
        </w:rPr>
      </w:pPr>
      <w:r>
        <w:rPr>
          <w:lang w:val="en-US"/>
        </w:rPr>
        <w:t>F</w:t>
      </w:r>
      <w:r w:rsidR="005B5ED2" w:rsidRPr="005B5ED2">
        <w:rPr>
          <w:lang w:val="en-US"/>
        </w:rPr>
        <w:t xml:space="preserve">igure </w:t>
      </w:r>
      <w:r>
        <w:rPr>
          <w:lang w:val="en-US"/>
        </w:rPr>
        <w:t xml:space="preserve">3 </w:t>
      </w:r>
      <w:r w:rsidR="005B5ED2" w:rsidRPr="005B5ED2">
        <w:rPr>
          <w:lang w:val="en-US"/>
        </w:rPr>
        <w:t>graphically represents the cumulative incidence of VCD over time during Part 1.</w:t>
      </w:r>
    </w:p>
    <w:p w14:paraId="5C13E0E6" w14:textId="77777777" w:rsidR="00F046E5" w:rsidRDefault="00171234" w:rsidP="00150ADD">
      <w:pPr>
        <w:pStyle w:val="FigureTitle"/>
        <w:rPr>
          <w:lang w:val="en-US"/>
        </w:rPr>
      </w:pPr>
      <w:r w:rsidRPr="00171234">
        <w:rPr>
          <w:lang w:val="en-US"/>
        </w:rPr>
        <w:t>Figure</w:t>
      </w:r>
      <w:r w:rsidR="00540032">
        <w:rPr>
          <w:lang w:val="en-US"/>
        </w:rPr>
        <w:t xml:space="preserve"> 3</w:t>
      </w:r>
      <w:r w:rsidRPr="00171234">
        <w:rPr>
          <w:lang w:val="en-US"/>
        </w:rPr>
        <w:t>. Cumulative incidence of VCD fever over time until end of Part 1 (PPS) – Study DEN-301</w:t>
      </w:r>
      <w:r w:rsidR="003753F3">
        <w:rPr>
          <w:lang w:val="en-US"/>
        </w:rPr>
        <w:t>.</w:t>
      </w:r>
    </w:p>
    <w:p w14:paraId="572BFB30" w14:textId="45AEC04B" w:rsidR="0067167F" w:rsidRPr="00171234" w:rsidRDefault="0067167F" w:rsidP="00F046E5">
      <w:pPr>
        <w:rPr>
          <w:b/>
          <w:bCs/>
          <w:lang w:val="en-US"/>
        </w:rPr>
      </w:pPr>
      <w:r w:rsidRPr="0077187E">
        <w:rPr>
          <w:noProof/>
          <w:lang w:eastAsia="ja-JP"/>
        </w:rPr>
        <w:drawing>
          <wp:inline distT="0" distB="0" distL="0" distR="0" wp14:anchorId="641F16E0" wp14:editId="77E4D63B">
            <wp:extent cx="5143500" cy="2343009"/>
            <wp:effectExtent l="0" t="0" r="0" b="635"/>
            <wp:docPr id="1950481003" name="Picture 1" descr="A graph showing the growt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81003" name="Picture 1" descr="A graph showing the growth of a number of people&#10;&#10;AI-generated content may be incorrect."/>
                    <pic:cNvPicPr/>
                  </pic:nvPicPr>
                  <pic:blipFill>
                    <a:blip r:embed="rId26">
                      <a:extLst>
                        <a:ext uri="{BEBA8EAE-BF5A-486C-A8C5-ECC9F3942E4B}">
                          <a14:imgProps xmlns:a14="http://schemas.microsoft.com/office/drawing/2010/main">
                            <a14:imgLayer r:embed="rId27">
                              <a14:imgEffect>
                                <a14:saturation sat="200000"/>
                              </a14:imgEffect>
                            </a14:imgLayer>
                          </a14:imgProps>
                        </a:ext>
                      </a:extLst>
                    </a:blip>
                    <a:stretch>
                      <a:fillRect/>
                    </a:stretch>
                  </pic:blipFill>
                  <pic:spPr>
                    <a:xfrm>
                      <a:off x="0" y="0"/>
                      <a:ext cx="5193510" cy="2365790"/>
                    </a:xfrm>
                    <a:prstGeom prst="rect">
                      <a:avLst/>
                    </a:prstGeom>
                  </pic:spPr>
                </pic:pic>
              </a:graphicData>
            </a:graphic>
          </wp:inline>
        </w:drawing>
      </w:r>
    </w:p>
    <w:p w14:paraId="09E73173" w14:textId="31F32B01" w:rsidR="002849BC" w:rsidRPr="002849BC" w:rsidRDefault="002849BC" w:rsidP="00F046E5">
      <w:pPr>
        <w:pStyle w:val="FigureDescription"/>
        <w:rPr>
          <w:lang w:val="en-US"/>
        </w:rPr>
      </w:pPr>
      <w:r w:rsidRPr="002849BC">
        <w:rPr>
          <w:lang w:val="en-US"/>
        </w:rPr>
        <w:t>Abbreviations: CI, (95%) confidence interval; VCD, virologically confirmed dengue.</w:t>
      </w:r>
      <w:r>
        <w:rPr>
          <w:lang w:val="en-US"/>
        </w:rPr>
        <w:t xml:space="preserve"> </w:t>
      </w:r>
      <w:r w:rsidRPr="002849BC">
        <w:rPr>
          <w:lang w:val="en-US"/>
        </w:rPr>
        <w:t>The number of subjects at risk per study group and time point are shown below the graph.</w:t>
      </w:r>
    </w:p>
    <w:p w14:paraId="6E9A00AE" w14:textId="77777777" w:rsidR="00F046E5" w:rsidRDefault="00F046E5" w:rsidP="00A14128">
      <w:pPr>
        <w:rPr>
          <w:b/>
          <w:bCs/>
          <w:lang w:val="en-US"/>
        </w:rPr>
      </w:pPr>
    </w:p>
    <w:p w14:paraId="326D861F" w14:textId="20FB9543" w:rsidR="00A14128" w:rsidRPr="00AA27EB" w:rsidRDefault="00A14128" w:rsidP="00A14128">
      <w:pPr>
        <w:rPr>
          <w:b/>
          <w:bCs/>
          <w:lang w:val="en-US"/>
        </w:rPr>
      </w:pPr>
      <w:r w:rsidRPr="00AA27EB">
        <w:rPr>
          <w:b/>
          <w:bCs/>
          <w:lang w:val="en-US"/>
        </w:rPr>
        <w:lastRenderedPageBreak/>
        <w:t>Key secondary efficacy endpoint</w:t>
      </w:r>
    </w:p>
    <w:p w14:paraId="2EBF30A0" w14:textId="77777777" w:rsidR="00A14128" w:rsidRPr="00A14128" w:rsidRDefault="00A14128" w:rsidP="00A14128">
      <w:pPr>
        <w:rPr>
          <w:i/>
          <w:lang w:val="en-US"/>
        </w:rPr>
      </w:pPr>
      <w:r w:rsidRPr="00A14128">
        <w:rPr>
          <w:i/>
          <w:lang w:val="en-US"/>
        </w:rPr>
        <w:t xml:space="preserve">VE of TDV in preventing </w:t>
      </w:r>
      <w:proofErr w:type="spellStart"/>
      <w:r w:rsidRPr="00A14128">
        <w:rPr>
          <w:i/>
          <w:lang w:val="en-US"/>
        </w:rPr>
        <w:t>hospitalisation</w:t>
      </w:r>
      <w:proofErr w:type="spellEnd"/>
      <w:r w:rsidRPr="00A14128">
        <w:rPr>
          <w:i/>
          <w:lang w:val="en-US"/>
        </w:rPr>
        <w:t xml:space="preserve"> due to VCD from 30 days post-second vaccination to end of Part 2</w:t>
      </w:r>
    </w:p>
    <w:p w14:paraId="77B92A09" w14:textId="22153AA0" w:rsidR="00A14128" w:rsidRPr="00A14128" w:rsidRDefault="00A14128" w:rsidP="00A14128">
      <w:pPr>
        <w:rPr>
          <w:lang w:val="en-US"/>
        </w:rPr>
      </w:pPr>
      <w:r w:rsidRPr="00A14128">
        <w:rPr>
          <w:lang w:val="en-US"/>
        </w:rPr>
        <w:t xml:space="preserve">As statistical significance was reached for the primary endpoint, the key secondary endpoint was subsequently tested for in a hierarchical manner, with results </w:t>
      </w:r>
      <w:proofErr w:type="spellStart"/>
      <w:r w:rsidRPr="00A14128">
        <w:rPr>
          <w:lang w:val="en-US"/>
        </w:rPr>
        <w:t>summarised</w:t>
      </w:r>
      <w:proofErr w:type="spellEnd"/>
      <w:r w:rsidRPr="00A14128">
        <w:rPr>
          <w:lang w:val="en-US"/>
        </w:rPr>
        <w:t xml:space="preserve"> in</w:t>
      </w:r>
      <w:r w:rsidR="001E46A8">
        <w:rPr>
          <w:lang w:val="en-US"/>
        </w:rPr>
        <w:t xml:space="preserve"> Table 5. Th</w:t>
      </w:r>
      <w:r w:rsidRPr="00A14128">
        <w:rPr>
          <w:lang w:val="en-US"/>
        </w:rPr>
        <w:t xml:space="preserve">e rates of </w:t>
      </w:r>
      <w:proofErr w:type="spellStart"/>
      <w:r w:rsidRPr="00A14128">
        <w:rPr>
          <w:lang w:val="en-US"/>
        </w:rPr>
        <w:t>hospitalisation</w:t>
      </w:r>
      <w:proofErr w:type="spellEnd"/>
      <w:r w:rsidRPr="00A14128">
        <w:rPr>
          <w:lang w:val="en-US"/>
        </w:rPr>
        <w:t xml:space="preserve"> due to VCD fever from 30 days post-second vaccination to 18 months post-second vaccination (i.e. until the end of Part 2) was 1.0% in the placebo group and 0.1% in the TDV group, giving a VE estimate of 90.4% (95% CI: 82.6, 94.7; p&lt;0.001). The key secondary objective was therefore met as the lower bound of the 2-sided 95% CI for VE was above 0%.</w:t>
      </w:r>
    </w:p>
    <w:p w14:paraId="4D66C2B3" w14:textId="77777777" w:rsidR="00F046E5" w:rsidRDefault="00FA55C2" w:rsidP="00BA3BF6">
      <w:pPr>
        <w:pStyle w:val="TableTitle"/>
        <w:rPr>
          <w:lang w:val="en-US"/>
        </w:rPr>
      </w:pPr>
      <w:r w:rsidRPr="00FA55C2">
        <w:rPr>
          <w:lang w:val="en-US"/>
        </w:rPr>
        <w:t>Table</w:t>
      </w:r>
      <w:r w:rsidR="001E46A8">
        <w:rPr>
          <w:lang w:val="en-US"/>
        </w:rPr>
        <w:t xml:space="preserve"> 5</w:t>
      </w:r>
      <w:r w:rsidRPr="00FA55C2">
        <w:rPr>
          <w:lang w:val="en-US"/>
        </w:rPr>
        <w:t xml:space="preserve">. Vaccine efficacy of TDV in preventing </w:t>
      </w:r>
      <w:proofErr w:type="spellStart"/>
      <w:r w:rsidRPr="00FA55C2">
        <w:rPr>
          <w:lang w:val="en-US"/>
        </w:rPr>
        <w:t>hospitalisation</w:t>
      </w:r>
      <w:proofErr w:type="spellEnd"/>
      <w:r w:rsidRPr="00FA55C2">
        <w:rPr>
          <w:lang w:val="en-US"/>
        </w:rPr>
        <w:t xml:space="preserve"> due to VCD fever induced by any dengue serotype from 30 days post-second vaccination to end of Part 2 (PPS) – Study DEN-301</w:t>
      </w:r>
      <w:r w:rsidR="003753F3">
        <w:rPr>
          <w:lang w:val="en-US"/>
        </w:rPr>
        <w:t>.</w:t>
      </w:r>
    </w:p>
    <w:p w14:paraId="5FB1DAB5" w14:textId="25190F25" w:rsidR="00BE2CE3" w:rsidRDefault="00BE2CE3" w:rsidP="00F046E5">
      <w:pPr>
        <w:rPr>
          <w:lang w:val="en-US"/>
        </w:rPr>
      </w:pPr>
      <w:r w:rsidRPr="00934F03">
        <w:rPr>
          <w:noProof/>
        </w:rPr>
        <w:drawing>
          <wp:inline distT="0" distB="0" distL="0" distR="0" wp14:anchorId="7E1B590D" wp14:editId="5D68517D">
            <wp:extent cx="5486400" cy="2247199"/>
            <wp:effectExtent l="0" t="0" r="0" b="1270"/>
            <wp:docPr id="516812461"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12461" name="Picture 1" descr="A white sheet with black text&#10;&#10;AI-generated content may be incorrect."/>
                    <pic:cNvPicPr/>
                  </pic:nvPicPr>
                  <pic:blipFill>
                    <a:blip r:embed="rId28"/>
                    <a:stretch>
                      <a:fillRect/>
                    </a:stretch>
                  </pic:blipFill>
                  <pic:spPr>
                    <a:xfrm>
                      <a:off x="0" y="0"/>
                      <a:ext cx="5492591" cy="2249735"/>
                    </a:xfrm>
                    <a:prstGeom prst="rect">
                      <a:avLst/>
                    </a:prstGeom>
                  </pic:spPr>
                </pic:pic>
              </a:graphicData>
            </a:graphic>
          </wp:inline>
        </w:drawing>
      </w:r>
    </w:p>
    <w:p w14:paraId="1CC982D3" w14:textId="08991B45" w:rsidR="00C35221" w:rsidRPr="00C35221" w:rsidRDefault="00C35221" w:rsidP="00F046E5">
      <w:pPr>
        <w:pStyle w:val="TableDescription"/>
        <w:rPr>
          <w:lang w:val="en-US"/>
        </w:rPr>
      </w:pPr>
      <w:r w:rsidRPr="00C35221">
        <w:rPr>
          <w:lang w:val="en-US"/>
        </w:rPr>
        <w:t>Abbreviations: TDV, tetravalent dengue vaccine candidate; VCD, virologically confirmed dengue.</w:t>
      </w:r>
      <w:r>
        <w:rPr>
          <w:lang w:val="en-US"/>
        </w:rPr>
        <w:t xml:space="preserve"> </w:t>
      </w:r>
      <w:r w:rsidRPr="00C35221">
        <w:rPr>
          <w:lang w:val="en-US"/>
        </w:rPr>
        <w:t>(a) Number of VCD fever cases per 100 person-years.</w:t>
      </w:r>
    </w:p>
    <w:p w14:paraId="1635D42F" w14:textId="2C902676" w:rsidR="004525A0" w:rsidRPr="004525A0" w:rsidRDefault="009D0DDD" w:rsidP="00C52723">
      <w:pPr>
        <w:rPr>
          <w:lang w:val="en-US"/>
        </w:rPr>
      </w:pPr>
      <w:r>
        <w:rPr>
          <w:lang w:val="en-US"/>
        </w:rPr>
        <w:t>F</w:t>
      </w:r>
      <w:r w:rsidR="004525A0" w:rsidRPr="004525A0">
        <w:rPr>
          <w:lang w:val="en-US"/>
        </w:rPr>
        <w:t>igure</w:t>
      </w:r>
      <w:r>
        <w:rPr>
          <w:lang w:val="en-US"/>
        </w:rPr>
        <w:t xml:space="preserve"> 4</w:t>
      </w:r>
      <w:r w:rsidR="004525A0" w:rsidRPr="004525A0">
        <w:rPr>
          <w:lang w:val="en-US"/>
        </w:rPr>
        <w:t xml:space="preserve"> graphically represents the cumulative incidence of </w:t>
      </w:r>
      <w:proofErr w:type="spellStart"/>
      <w:r w:rsidR="004525A0" w:rsidRPr="004525A0">
        <w:rPr>
          <w:lang w:val="en-US"/>
        </w:rPr>
        <w:t>hospitalised</w:t>
      </w:r>
      <w:proofErr w:type="spellEnd"/>
      <w:r w:rsidR="004525A0" w:rsidRPr="004525A0">
        <w:rPr>
          <w:lang w:val="en-US"/>
        </w:rPr>
        <w:t xml:space="preserve"> VCD over time to the end of Part 2.</w:t>
      </w:r>
    </w:p>
    <w:p w14:paraId="6869D2D9" w14:textId="77777777" w:rsidR="00F046E5" w:rsidRDefault="004525A0" w:rsidP="00C52723">
      <w:pPr>
        <w:pStyle w:val="FigureTitle"/>
        <w:rPr>
          <w:lang w:val="en-US"/>
        </w:rPr>
      </w:pPr>
      <w:r w:rsidRPr="004525A0">
        <w:rPr>
          <w:lang w:val="en-US"/>
        </w:rPr>
        <w:t xml:space="preserve">Figure </w:t>
      </w:r>
      <w:r w:rsidR="00F37154">
        <w:rPr>
          <w:lang w:val="en-US"/>
        </w:rPr>
        <w:t>4</w:t>
      </w:r>
      <w:r w:rsidRPr="004525A0">
        <w:rPr>
          <w:lang w:val="en-US"/>
        </w:rPr>
        <w:t xml:space="preserve">. Cumulative incidence of </w:t>
      </w:r>
      <w:proofErr w:type="spellStart"/>
      <w:r w:rsidRPr="004525A0">
        <w:rPr>
          <w:lang w:val="en-US"/>
        </w:rPr>
        <w:t>hospitalised</w:t>
      </w:r>
      <w:proofErr w:type="spellEnd"/>
      <w:r w:rsidRPr="004525A0">
        <w:rPr>
          <w:lang w:val="en-US"/>
        </w:rPr>
        <w:t xml:space="preserve"> VCD fever over time until end of Part 2 (PPS) – Study DEN-301</w:t>
      </w:r>
      <w:r w:rsidR="00F37154">
        <w:rPr>
          <w:lang w:val="en-US"/>
        </w:rPr>
        <w:t>.</w:t>
      </w:r>
    </w:p>
    <w:p w14:paraId="24E3061D" w14:textId="2B57F54A" w:rsidR="003D3E5C" w:rsidRDefault="003D3E5C" w:rsidP="00F046E5">
      <w:pPr>
        <w:rPr>
          <w:lang w:val="en-US"/>
        </w:rPr>
      </w:pPr>
      <w:r w:rsidRPr="00934F03">
        <w:rPr>
          <w:noProof/>
        </w:rPr>
        <w:drawing>
          <wp:inline distT="0" distB="0" distL="0" distR="0" wp14:anchorId="0829836C" wp14:editId="4467CBFE">
            <wp:extent cx="5343525" cy="2530863"/>
            <wp:effectExtent l="0" t="0" r="0" b="3175"/>
            <wp:docPr id="42985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54072" name=""/>
                    <pic:cNvPicPr/>
                  </pic:nvPicPr>
                  <pic:blipFill>
                    <a:blip r:embed="rId29"/>
                    <a:stretch>
                      <a:fillRect/>
                    </a:stretch>
                  </pic:blipFill>
                  <pic:spPr>
                    <a:xfrm>
                      <a:off x="0" y="0"/>
                      <a:ext cx="5355186" cy="2536386"/>
                    </a:xfrm>
                    <a:prstGeom prst="rect">
                      <a:avLst/>
                    </a:prstGeom>
                  </pic:spPr>
                </pic:pic>
              </a:graphicData>
            </a:graphic>
          </wp:inline>
        </w:drawing>
      </w:r>
    </w:p>
    <w:p w14:paraId="3D73DCEA" w14:textId="2E824286" w:rsidR="004525A0" w:rsidRDefault="005647FE" w:rsidP="00F046E5">
      <w:pPr>
        <w:pStyle w:val="FigureDescription"/>
        <w:rPr>
          <w:lang w:val="en-US"/>
        </w:rPr>
      </w:pPr>
      <w:r w:rsidRPr="005647FE">
        <w:rPr>
          <w:lang w:val="en-US"/>
        </w:rPr>
        <w:t>Abbreviations: CI, (95%) confidence interval; VCD, virologically confirmed dengue.</w:t>
      </w:r>
      <w:r>
        <w:rPr>
          <w:lang w:val="en-US"/>
        </w:rPr>
        <w:t xml:space="preserve"> </w:t>
      </w:r>
      <w:r w:rsidRPr="005647FE">
        <w:rPr>
          <w:lang w:val="en-US"/>
        </w:rPr>
        <w:t>The number of subjects at risk per study group and time point are shown below the graph</w:t>
      </w:r>
      <w:r>
        <w:rPr>
          <w:lang w:val="en-US"/>
        </w:rPr>
        <w:t>.</w:t>
      </w:r>
    </w:p>
    <w:p w14:paraId="71284E7C" w14:textId="77777777" w:rsidR="00F046E5" w:rsidRDefault="00F046E5" w:rsidP="002119DD">
      <w:pPr>
        <w:pStyle w:val="ListBullet"/>
        <w:numPr>
          <w:ilvl w:val="0"/>
          <w:numId w:val="0"/>
        </w:numPr>
        <w:ind w:left="360" w:hanging="360"/>
        <w:rPr>
          <w:i/>
          <w:lang w:val="en-US"/>
        </w:rPr>
      </w:pPr>
    </w:p>
    <w:p w14:paraId="290B1E19" w14:textId="060B0E17" w:rsidR="004525A0" w:rsidRPr="004525A0" w:rsidRDefault="004525A0" w:rsidP="002119DD">
      <w:pPr>
        <w:pStyle w:val="ListBullet"/>
        <w:numPr>
          <w:ilvl w:val="0"/>
          <w:numId w:val="0"/>
        </w:numPr>
        <w:ind w:left="360" w:hanging="360"/>
        <w:rPr>
          <w:i/>
          <w:lang w:val="en-US"/>
        </w:rPr>
      </w:pPr>
      <w:r w:rsidRPr="004525A0">
        <w:rPr>
          <w:i/>
          <w:lang w:val="en-US"/>
        </w:rPr>
        <w:lastRenderedPageBreak/>
        <w:t>Vaccine efficacy by age group</w:t>
      </w:r>
    </w:p>
    <w:p w14:paraId="2A8E5FE7" w14:textId="018C0354" w:rsidR="004525A0" w:rsidRDefault="004525A0" w:rsidP="002119DD">
      <w:pPr>
        <w:rPr>
          <w:lang w:val="en-US"/>
        </w:rPr>
      </w:pPr>
      <w:r w:rsidRPr="004525A0">
        <w:rPr>
          <w:lang w:val="en-US"/>
        </w:rPr>
        <w:t xml:space="preserve">Forest plots of VE for the corresponding cumulative timeframe are provided in </w:t>
      </w:r>
      <w:r w:rsidR="0063428F">
        <w:rPr>
          <w:lang w:val="en-US"/>
        </w:rPr>
        <w:t>F</w:t>
      </w:r>
      <w:r w:rsidRPr="004525A0">
        <w:rPr>
          <w:lang w:val="en-US"/>
        </w:rPr>
        <w:t>igure</w:t>
      </w:r>
      <w:r w:rsidR="0063428F">
        <w:rPr>
          <w:lang w:val="en-US"/>
        </w:rPr>
        <w:t xml:space="preserve"> 5</w:t>
      </w:r>
      <w:r w:rsidRPr="004525A0">
        <w:rPr>
          <w:lang w:val="en-US"/>
        </w:rPr>
        <w:t xml:space="preserve"> below.</w:t>
      </w:r>
    </w:p>
    <w:p w14:paraId="3301EAF3" w14:textId="46B64CFD" w:rsidR="004525A0" w:rsidRPr="004525A0" w:rsidRDefault="004525A0" w:rsidP="002119DD">
      <w:pPr>
        <w:pStyle w:val="FigureTitle"/>
        <w:rPr>
          <w:lang w:val="en-US"/>
        </w:rPr>
      </w:pPr>
      <w:r w:rsidRPr="004525A0">
        <w:rPr>
          <w:lang w:val="en-US"/>
        </w:rPr>
        <w:t>Figure</w:t>
      </w:r>
      <w:r w:rsidR="00C66478">
        <w:rPr>
          <w:lang w:val="en-US"/>
        </w:rPr>
        <w:t xml:space="preserve"> 5</w:t>
      </w:r>
      <w:r w:rsidRPr="004525A0">
        <w:rPr>
          <w:lang w:val="en-US"/>
        </w:rPr>
        <w:t>. Forest plot of vaccine efficacy for virologically confirmed dengue from 30 days to 54 months post-second vaccination by age group (PPS) – Study DEN-301</w:t>
      </w:r>
      <w:r w:rsidR="0020337D">
        <w:rPr>
          <w:lang w:val="en-US"/>
        </w:rPr>
        <w:t>.</w:t>
      </w:r>
    </w:p>
    <w:p w14:paraId="3AD22E01" w14:textId="00539DA1" w:rsidR="00C66478" w:rsidRDefault="00F046E5" w:rsidP="00F046E5">
      <w:pPr>
        <w:rPr>
          <w:lang w:val="en-US"/>
        </w:rPr>
      </w:pPr>
      <w:r>
        <w:rPr>
          <w:noProof/>
          <w:lang w:val="en-US"/>
        </w:rPr>
        <w:drawing>
          <wp:inline distT="0" distB="0" distL="0" distR="0" wp14:anchorId="22B11C34" wp14:editId="0E557AC5">
            <wp:extent cx="5346700" cy="3706495"/>
            <wp:effectExtent l="0" t="0" r="6350" b="8255"/>
            <wp:docPr id="74340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6700" cy="3706495"/>
                    </a:xfrm>
                    <a:prstGeom prst="rect">
                      <a:avLst/>
                    </a:prstGeom>
                    <a:noFill/>
                  </pic:spPr>
                </pic:pic>
              </a:graphicData>
            </a:graphic>
          </wp:inline>
        </w:drawing>
      </w:r>
    </w:p>
    <w:p w14:paraId="640A28A6" w14:textId="77777777" w:rsidR="005029BC" w:rsidRPr="005029BC" w:rsidRDefault="005029BC" w:rsidP="00F046E5">
      <w:pPr>
        <w:pStyle w:val="FigureDescription"/>
        <w:rPr>
          <w:lang w:val="en-US"/>
        </w:rPr>
      </w:pPr>
      <w:r w:rsidRPr="005029BC">
        <w:rPr>
          <w:lang w:val="en-US"/>
        </w:rPr>
        <w:t>A</w:t>
      </w:r>
      <w:r w:rsidR="00C66478" w:rsidRPr="005029BC">
        <w:rPr>
          <w:lang w:val="en-US"/>
        </w:rPr>
        <w:t>bbreviations: CI, confidence interval; n, number of subjects with VCD fever; N, total number of evaluable subjects; VCD, virologically confirmed dengue; VE, vaccine efficacy.</w:t>
      </w:r>
    </w:p>
    <w:p w14:paraId="74C65120" w14:textId="77777777" w:rsidR="00C66478" w:rsidRPr="005029BC" w:rsidRDefault="00C66478" w:rsidP="005029BC">
      <w:pPr>
        <w:spacing w:after="0"/>
        <w:rPr>
          <w:sz w:val="16"/>
          <w:szCs w:val="16"/>
          <w:lang w:val="en-US"/>
        </w:rPr>
      </w:pPr>
      <w:r w:rsidRPr="005029BC">
        <w:rPr>
          <w:sz w:val="16"/>
          <w:szCs w:val="16"/>
          <w:lang w:val="en-US"/>
        </w:rPr>
        <w:t>(a) VE was defined as 1 - (</w:t>
      </w:r>
      <w:proofErr w:type="spellStart"/>
      <w:r w:rsidRPr="005029BC">
        <w:rPr>
          <w:sz w:val="16"/>
          <w:szCs w:val="16"/>
          <w:lang w:val="en-US"/>
        </w:rPr>
        <w:t>λV</w:t>
      </w:r>
      <w:proofErr w:type="spellEnd"/>
      <w:r w:rsidRPr="005029BC">
        <w:rPr>
          <w:sz w:val="16"/>
          <w:szCs w:val="16"/>
          <w:lang w:val="en-US"/>
        </w:rPr>
        <w:t>/</w:t>
      </w:r>
      <w:proofErr w:type="spellStart"/>
      <w:r w:rsidRPr="005029BC">
        <w:rPr>
          <w:sz w:val="16"/>
          <w:szCs w:val="16"/>
          <w:lang w:val="en-US"/>
        </w:rPr>
        <w:t>λC</w:t>
      </w:r>
      <w:proofErr w:type="spellEnd"/>
      <w:r w:rsidRPr="005029BC">
        <w:rPr>
          <w:sz w:val="16"/>
          <w:szCs w:val="16"/>
          <w:lang w:val="en-US"/>
        </w:rPr>
        <w:t xml:space="preserve">), where </w:t>
      </w:r>
      <w:proofErr w:type="spellStart"/>
      <w:r w:rsidRPr="005029BC">
        <w:rPr>
          <w:sz w:val="16"/>
          <w:szCs w:val="16"/>
          <w:lang w:val="en-US"/>
        </w:rPr>
        <w:t>λV</w:t>
      </w:r>
      <w:proofErr w:type="spellEnd"/>
      <w:r w:rsidRPr="005029BC">
        <w:rPr>
          <w:sz w:val="16"/>
          <w:szCs w:val="16"/>
          <w:lang w:val="en-US"/>
        </w:rPr>
        <w:t xml:space="preserve"> and </w:t>
      </w:r>
      <w:proofErr w:type="spellStart"/>
      <w:r w:rsidRPr="005029BC">
        <w:rPr>
          <w:sz w:val="16"/>
          <w:szCs w:val="16"/>
          <w:lang w:val="en-US"/>
        </w:rPr>
        <w:t>λC</w:t>
      </w:r>
      <w:proofErr w:type="spellEnd"/>
      <w:r w:rsidRPr="005029BC">
        <w:rPr>
          <w:sz w:val="16"/>
          <w:szCs w:val="16"/>
          <w:lang w:val="en-US"/>
        </w:rPr>
        <w:t xml:space="preserve"> denote the hazard rates for developing VCD fever for the TDV and placebo arms, respectively.</w:t>
      </w:r>
    </w:p>
    <w:p w14:paraId="361024C0" w14:textId="1C064E20" w:rsidR="004525A0" w:rsidRPr="004525A0" w:rsidRDefault="004525A0" w:rsidP="00DF3276">
      <w:pPr>
        <w:pStyle w:val="Heading5"/>
        <w:rPr>
          <w:rFonts w:eastAsia="Cambria"/>
          <w:lang w:val="en-US"/>
        </w:rPr>
      </w:pPr>
      <w:r w:rsidRPr="004525A0">
        <w:rPr>
          <w:rFonts w:eastAsia="Cambria"/>
          <w:lang w:val="en-US"/>
        </w:rPr>
        <w:t xml:space="preserve">Other </w:t>
      </w:r>
      <w:r w:rsidR="4DA4F3AB" w:rsidRPr="116AF0CC">
        <w:rPr>
          <w:rFonts w:eastAsia="Cambria"/>
          <w:lang w:val="en-US"/>
        </w:rPr>
        <w:t xml:space="preserve">Phase 2 and 3 </w:t>
      </w:r>
      <w:r w:rsidR="00F046E5">
        <w:rPr>
          <w:rFonts w:eastAsia="Cambria"/>
          <w:lang w:val="en-US"/>
        </w:rPr>
        <w:t>s</w:t>
      </w:r>
      <w:r w:rsidR="0050557E" w:rsidRPr="004525A0">
        <w:rPr>
          <w:rFonts w:eastAsia="Cambria"/>
          <w:lang w:val="en-US"/>
        </w:rPr>
        <w:t>tudies</w:t>
      </w:r>
    </w:p>
    <w:p w14:paraId="22FC82FC" w14:textId="2061628E" w:rsidR="00E64CAB" w:rsidRDefault="004525A0" w:rsidP="00B85F08">
      <w:pPr>
        <w:rPr>
          <w:lang w:val="en-US"/>
        </w:rPr>
      </w:pPr>
      <w:r w:rsidRPr="004525A0">
        <w:rPr>
          <w:lang w:val="en-US"/>
        </w:rPr>
        <w:t xml:space="preserve">In addition to the pivotal study DEN-301, the Sponsor provided 9 additional Phase 2 and 3 studies which assessed the immunogenicity of TDV when administered as </w:t>
      </w:r>
      <w:proofErr w:type="gramStart"/>
      <w:r w:rsidRPr="004525A0">
        <w:rPr>
          <w:lang w:val="en-US"/>
        </w:rPr>
        <w:t>a 2-dose schedule given 3 months</w:t>
      </w:r>
      <w:proofErr w:type="gramEnd"/>
      <w:r w:rsidRPr="004525A0">
        <w:rPr>
          <w:lang w:val="en-US"/>
        </w:rPr>
        <w:t xml:space="preserve"> apart. Across the 9 studies, immunogenicity was assessed in a total of 3887 subjects, of which 2796 were from endemic regions and 1081 were from non-endemic regions. </w:t>
      </w:r>
    </w:p>
    <w:p w14:paraId="1E9D6FEC" w14:textId="11C2B6C5" w:rsidR="004525A0" w:rsidRPr="004525A0" w:rsidRDefault="004525A0" w:rsidP="00B85F08">
      <w:pPr>
        <w:rPr>
          <w:lang w:val="en-US"/>
        </w:rPr>
      </w:pPr>
      <w:r w:rsidRPr="004525A0">
        <w:rPr>
          <w:lang w:val="en-US"/>
        </w:rPr>
        <w:t xml:space="preserve">Studies conducted in endemic regions included DEN-301, DEN-313, and DEN-204. </w:t>
      </w:r>
      <w:r w:rsidRPr="00C129FF">
        <w:rPr>
          <w:lang w:val="de-DE"/>
        </w:rPr>
        <w:t xml:space="preserve">Studies conducted in non-endemic regions included studies DEN-304, DEN-307, DEN-315, DEN-305, DEN-314 and DEN-210. </w:t>
      </w:r>
      <w:r w:rsidRPr="004525A0">
        <w:rPr>
          <w:lang w:val="en-US"/>
        </w:rPr>
        <w:t>In all studies, immunogenicity to TDV was assessed through analysis of</w:t>
      </w:r>
      <w:r w:rsidR="00B85F08">
        <w:rPr>
          <w:lang w:val="en-US"/>
        </w:rPr>
        <w:t xml:space="preserve"> </w:t>
      </w:r>
      <w:r w:rsidRPr="004525A0">
        <w:rPr>
          <w:lang w:val="en-US"/>
        </w:rPr>
        <w:t xml:space="preserve">GMT of dengue </w:t>
      </w:r>
      <w:proofErr w:type="spellStart"/>
      <w:r w:rsidRPr="004525A0">
        <w:rPr>
          <w:lang w:val="en-US"/>
        </w:rPr>
        <w:t>neutralising</w:t>
      </w:r>
      <w:proofErr w:type="spellEnd"/>
      <w:r w:rsidRPr="004525A0">
        <w:rPr>
          <w:lang w:val="en-US"/>
        </w:rPr>
        <w:t xml:space="preserve"> antibodies (using the validated MNT50 assay) and seropositivity rates against all 4 dengue serotypes. Dengue </w:t>
      </w:r>
      <w:proofErr w:type="spellStart"/>
      <w:r w:rsidRPr="004525A0">
        <w:rPr>
          <w:lang w:val="en-US"/>
        </w:rPr>
        <w:t>neutralising</w:t>
      </w:r>
      <w:proofErr w:type="spellEnd"/>
      <w:r w:rsidRPr="004525A0">
        <w:rPr>
          <w:lang w:val="en-US"/>
        </w:rPr>
        <w:t xml:space="preserve"> antibodies have been generally accepted as the immune response endpoint for dengue vaccine trials. However, although TDV elicits tetravalent </w:t>
      </w:r>
      <w:proofErr w:type="spellStart"/>
      <w:r w:rsidRPr="004525A0">
        <w:rPr>
          <w:lang w:val="en-US"/>
        </w:rPr>
        <w:t>neutralising</w:t>
      </w:r>
      <w:proofErr w:type="spellEnd"/>
      <w:r w:rsidRPr="004525A0">
        <w:rPr>
          <w:lang w:val="en-US"/>
        </w:rPr>
        <w:t xml:space="preserve"> antibodies as demonstrated in the Phase 1 and 2 studies, to date a definitive correlate of protection has yet to be determined.</w:t>
      </w:r>
    </w:p>
    <w:p w14:paraId="18DB6E2E" w14:textId="77777777" w:rsidR="004525A0" w:rsidRPr="004525A0" w:rsidRDefault="004525A0" w:rsidP="00DF3276">
      <w:pPr>
        <w:pStyle w:val="Heading5"/>
        <w:rPr>
          <w:rFonts w:eastAsia="Cambria"/>
          <w:lang w:val="en-US"/>
        </w:rPr>
      </w:pPr>
      <w:proofErr w:type="spellStart"/>
      <w:r w:rsidRPr="004525A0">
        <w:rPr>
          <w:rFonts w:eastAsia="Cambria"/>
          <w:lang w:val="en-US"/>
        </w:rPr>
        <w:t>Immunobridging</w:t>
      </w:r>
      <w:proofErr w:type="spellEnd"/>
      <w:r w:rsidRPr="004525A0">
        <w:rPr>
          <w:rFonts w:eastAsia="Cambria"/>
          <w:lang w:val="en-US"/>
        </w:rPr>
        <w:t xml:space="preserve"> analysis</w:t>
      </w:r>
    </w:p>
    <w:p w14:paraId="6FF11CBA" w14:textId="116414C9" w:rsidR="004525A0" w:rsidRPr="004525A0" w:rsidRDefault="004525A0" w:rsidP="006706CA">
      <w:pPr>
        <w:rPr>
          <w:lang w:val="en-US"/>
        </w:rPr>
      </w:pPr>
      <w:r w:rsidRPr="004525A0">
        <w:rPr>
          <w:lang w:val="en-US"/>
        </w:rPr>
        <w:t xml:space="preserve">The proposed therapeutic indication being sought is for the prevention of dengue disease caused by any dengue virus serotype in individuals from 4 years of age. </w:t>
      </w:r>
      <w:r w:rsidR="00F528C0">
        <w:rPr>
          <w:lang w:val="en-US"/>
        </w:rPr>
        <w:t>E</w:t>
      </w:r>
      <w:r w:rsidR="00AA64F4">
        <w:rPr>
          <w:lang w:val="en-US"/>
        </w:rPr>
        <w:t>vidence</w:t>
      </w:r>
      <w:r w:rsidRPr="004525A0">
        <w:rPr>
          <w:lang w:val="en-US"/>
        </w:rPr>
        <w:t xml:space="preserve"> of the efficacy and immunogenicity data was derived from pivotal study DEN-301 </w:t>
      </w:r>
      <w:r w:rsidR="00AA64F4">
        <w:rPr>
          <w:lang w:val="en-US"/>
        </w:rPr>
        <w:t>that was conducted</w:t>
      </w:r>
      <w:r w:rsidRPr="004525A0">
        <w:rPr>
          <w:lang w:val="en-US"/>
        </w:rPr>
        <w:t xml:space="preserve"> in subjects </w:t>
      </w:r>
      <w:r w:rsidRPr="004525A0">
        <w:rPr>
          <w:lang w:val="en-US"/>
        </w:rPr>
        <w:lastRenderedPageBreak/>
        <w:t xml:space="preserve">aged 4 to 16 years in endemic regions. As previously noted, no other studies evaluated the protective efficacy of TDV. An </w:t>
      </w:r>
      <w:proofErr w:type="spellStart"/>
      <w:r w:rsidR="00DB09A7">
        <w:rPr>
          <w:lang w:val="en-US"/>
        </w:rPr>
        <w:t>immunobridging</w:t>
      </w:r>
      <w:proofErr w:type="spellEnd"/>
      <w:r w:rsidR="00DB09A7">
        <w:rPr>
          <w:lang w:val="en-US"/>
        </w:rPr>
        <w:t xml:space="preserve"> </w:t>
      </w:r>
      <w:r w:rsidRPr="004525A0">
        <w:rPr>
          <w:lang w:val="en-US"/>
        </w:rPr>
        <w:t>analysis was therefore performed</w:t>
      </w:r>
      <w:r w:rsidR="00510302">
        <w:rPr>
          <w:lang w:val="en-US"/>
        </w:rPr>
        <w:t xml:space="preserve"> </w:t>
      </w:r>
      <w:r w:rsidRPr="004525A0">
        <w:rPr>
          <w:lang w:val="en-US"/>
        </w:rPr>
        <w:t>by the Sponsor to allow for extrapolation of efficacy data from study DEN-301 to</w:t>
      </w:r>
      <w:r w:rsidR="00A70BDF">
        <w:rPr>
          <w:lang w:val="en-US"/>
        </w:rPr>
        <w:t xml:space="preserve"> p</w:t>
      </w:r>
      <w:r w:rsidR="00AE2C41">
        <w:rPr>
          <w:lang w:val="en-US"/>
        </w:rPr>
        <w:t>eople</w:t>
      </w:r>
      <w:r w:rsidR="00A70BDF">
        <w:rPr>
          <w:lang w:val="en-US"/>
        </w:rPr>
        <w:t xml:space="preserve"> </w:t>
      </w:r>
      <w:r w:rsidRPr="004525A0">
        <w:rPr>
          <w:lang w:val="en-US"/>
        </w:rPr>
        <w:t xml:space="preserve">aged </w:t>
      </w:r>
      <w:r w:rsidR="007B13D2">
        <w:rPr>
          <w:lang w:val="en-US"/>
        </w:rPr>
        <w:t>&lt;</w:t>
      </w:r>
      <w:r w:rsidRPr="004525A0">
        <w:rPr>
          <w:lang w:val="en-US"/>
        </w:rPr>
        <w:t>16 to 60 years.</w:t>
      </w:r>
    </w:p>
    <w:p w14:paraId="5412BCEF" w14:textId="65F67BAB" w:rsidR="004525A0" w:rsidRPr="004525A0" w:rsidRDefault="004525A0" w:rsidP="006706CA">
      <w:pPr>
        <w:rPr>
          <w:rFonts w:eastAsia="Cambria" w:cs="Times New Roman"/>
          <w:color w:val="000000" w:themeColor="text1"/>
          <w:lang w:val="en-US"/>
        </w:rPr>
      </w:pPr>
      <w:r w:rsidRPr="004525A0">
        <w:rPr>
          <w:lang w:val="en-US"/>
        </w:rPr>
        <w:t xml:space="preserve">Primary </w:t>
      </w:r>
      <w:proofErr w:type="spellStart"/>
      <w:r w:rsidRPr="004525A0">
        <w:rPr>
          <w:lang w:val="en-US"/>
        </w:rPr>
        <w:t>immunobridging</w:t>
      </w:r>
      <w:proofErr w:type="spellEnd"/>
      <w:r w:rsidRPr="004525A0">
        <w:rPr>
          <w:lang w:val="en-US"/>
        </w:rPr>
        <w:t xml:space="preserve"> analysis was based on demonstration of similar levels of immune response in baseline seronegative subjects from study DEN-301 (aged 4-16 years from endemic regions) and study DEN-304 (aged 18-60 years from non-endemic regions) at the 1 and 6 month post-second vaccine timepoints. Analysis was restricted to baseline seronegative subjects to </w:t>
      </w:r>
      <w:proofErr w:type="spellStart"/>
      <w:r w:rsidRPr="004525A0">
        <w:rPr>
          <w:lang w:val="en-US"/>
        </w:rPr>
        <w:t>minimise</w:t>
      </w:r>
      <w:proofErr w:type="spellEnd"/>
      <w:r w:rsidRPr="004525A0">
        <w:rPr>
          <w:lang w:val="en-US"/>
        </w:rPr>
        <w:t xml:space="preserve"> the confounding effect of previous dengue exposure on immune response and thus ensure the two populations were comparable in all factors except for age.</w:t>
      </w:r>
      <w:r w:rsidR="006706CA">
        <w:rPr>
          <w:lang w:val="en-US"/>
        </w:rPr>
        <w:t xml:space="preserve"> </w:t>
      </w:r>
      <w:r w:rsidRPr="004525A0">
        <w:rPr>
          <w:rFonts w:eastAsia="Cambria" w:cs="Times New Roman"/>
          <w:color w:val="000000" w:themeColor="text1"/>
          <w:lang w:val="en-US"/>
        </w:rPr>
        <w:t xml:space="preserve">Immunogenicity endpoints included GMTs of </w:t>
      </w:r>
      <w:proofErr w:type="spellStart"/>
      <w:r w:rsidRPr="004525A0">
        <w:rPr>
          <w:rFonts w:eastAsia="Cambria" w:cs="Times New Roman"/>
          <w:color w:val="000000" w:themeColor="text1"/>
          <w:lang w:val="en-US"/>
        </w:rPr>
        <w:t>neutralising</w:t>
      </w:r>
      <w:proofErr w:type="spellEnd"/>
      <w:r w:rsidRPr="004525A0">
        <w:rPr>
          <w:rFonts w:eastAsia="Cambria" w:cs="Times New Roman"/>
          <w:color w:val="000000" w:themeColor="text1"/>
          <w:lang w:val="en-US"/>
        </w:rPr>
        <w:t xml:space="preserve"> antibodies (measured by MNT50) and seropositivity (defined as reciprocal </w:t>
      </w:r>
      <w:proofErr w:type="spellStart"/>
      <w:r w:rsidRPr="004525A0">
        <w:rPr>
          <w:rFonts w:eastAsia="Cambria" w:cs="Times New Roman"/>
          <w:color w:val="000000" w:themeColor="text1"/>
          <w:lang w:val="en-US"/>
        </w:rPr>
        <w:t>neutralising</w:t>
      </w:r>
      <w:proofErr w:type="spellEnd"/>
      <w:r w:rsidRPr="004525A0">
        <w:rPr>
          <w:rFonts w:eastAsia="Cambria" w:cs="Times New Roman"/>
          <w:color w:val="000000" w:themeColor="text1"/>
          <w:lang w:val="en-US"/>
        </w:rPr>
        <w:t xml:space="preserve"> MNT50 </w:t>
      </w:r>
      <w:proofErr w:type="spellStart"/>
      <w:r w:rsidRPr="004525A0">
        <w:rPr>
          <w:rFonts w:eastAsia="Cambria" w:cs="Times New Roman"/>
          <w:color w:val="000000" w:themeColor="text1"/>
          <w:lang w:val="en-US"/>
        </w:rPr>
        <w:t>titre</w:t>
      </w:r>
      <w:proofErr w:type="spellEnd"/>
      <w:r w:rsidRPr="004525A0">
        <w:rPr>
          <w:rFonts w:eastAsia="Cambria" w:cs="Times New Roman"/>
          <w:color w:val="000000" w:themeColor="text1"/>
          <w:lang w:val="en-US"/>
        </w:rPr>
        <w:t xml:space="preserve"> ≥10) rates for each of the 4 dengue serotypes.</w:t>
      </w:r>
    </w:p>
    <w:p w14:paraId="52C7EFF4" w14:textId="6B5028D8" w:rsidR="004525A0" w:rsidRPr="004525A0" w:rsidRDefault="004525A0" w:rsidP="006706CA">
      <w:pPr>
        <w:rPr>
          <w:rFonts w:eastAsia="Cambria" w:cs="Times New Roman"/>
          <w:color w:val="000000" w:themeColor="text1"/>
          <w:lang w:val="en-US"/>
        </w:rPr>
      </w:pPr>
      <w:r w:rsidRPr="004525A0">
        <w:rPr>
          <w:rFonts w:eastAsia="Cambria" w:cs="Times New Roman"/>
          <w:color w:val="000000" w:themeColor="text1"/>
          <w:lang w:val="en-US"/>
        </w:rPr>
        <w:t xml:space="preserve">In general, seropositivity rates tended to be slightly lower for the adult population than the </w:t>
      </w:r>
      <w:proofErr w:type="spellStart"/>
      <w:r w:rsidRPr="004525A0">
        <w:rPr>
          <w:rFonts w:eastAsia="Cambria" w:cs="Times New Roman"/>
          <w:color w:val="000000" w:themeColor="text1"/>
          <w:lang w:val="en-US"/>
        </w:rPr>
        <w:t>paediatric</w:t>
      </w:r>
      <w:proofErr w:type="spellEnd"/>
      <w:r w:rsidRPr="004525A0">
        <w:rPr>
          <w:rFonts w:eastAsia="Cambria" w:cs="Times New Roman"/>
          <w:color w:val="000000" w:themeColor="text1"/>
          <w:lang w:val="en-US"/>
        </w:rPr>
        <w:t xml:space="preserve"> population at most timepoints and against most dengue serotypes. For baseline seronegative subjects, seropositivity rates in both age groups to any dengue serotypes were</w:t>
      </w:r>
      <w:r w:rsidR="006706CA">
        <w:rPr>
          <w:rFonts w:eastAsia="Cambria" w:cs="Times New Roman"/>
          <w:color w:val="000000" w:themeColor="text1"/>
          <w:lang w:val="en-US"/>
        </w:rPr>
        <w:t xml:space="preserve"> </w:t>
      </w:r>
      <w:r w:rsidRPr="004525A0">
        <w:rPr>
          <w:rFonts w:eastAsia="Cambria" w:cs="Times New Roman"/>
          <w:color w:val="000000" w:themeColor="text1"/>
          <w:lang w:val="en-US"/>
        </w:rPr>
        <w:t xml:space="preserve">≥96.7% at Month 4 and ≥92.1% at Month 9. At least trivalent and tetravalent seropositivity rates at Month 4 in </w:t>
      </w:r>
      <w:proofErr w:type="spellStart"/>
      <w:r w:rsidRPr="004525A0">
        <w:rPr>
          <w:rFonts w:eastAsia="Cambria" w:cs="Times New Roman"/>
          <w:color w:val="000000" w:themeColor="text1"/>
          <w:lang w:val="en-US"/>
        </w:rPr>
        <w:t>paediatric</w:t>
      </w:r>
      <w:proofErr w:type="spellEnd"/>
      <w:r w:rsidRPr="004525A0">
        <w:rPr>
          <w:rFonts w:eastAsia="Cambria" w:cs="Times New Roman"/>
          <w:color w:val="000000" w:themeColor="text1"/>
          <w:lang w:val="en-US"/>
        </w:rPr>
        <w:t xml:space="preserve"> subjects were 99.8% and 99.5%, respectively, whilst for adults they were 97.3% and 95.6% respectively. </w:t>
      </w:r>
      <w:proofErr w:type="gramStart"/>
      <w:r w:rsidRPr="004525A0">
        <w:rPr>
          <w:rFonts w:eastAsia="Cambria" w:cs="Times New Roman"/>
          <w:color w:val="000000" w:themeColor="text1"/>
          <w:lang w:val="en-US"/>
        </w:rPr>
        <w:t>At</w:t>
      </w:r>
      <w:proofErr w:type="gramEnd"/>
      <w:r w:rsidRPr="004525A0">
        <w:rPr>
          <w:rFonts w:eastAsia="Cambria" w:cs="Times New Roman"/>
          <w:color w:val="000000" w:themeColor="text1"/>
          <w:lang w:val="en-US"/>
        </w:rPr>
        <w:t xml:space="preserve"> Month 9, these proportions were slightly lower for both age groups: 97.5% and 91.3%, among </w:t>
      </w:r>
      <w:proofErr w:type="spellStart"/>
      <w:r w:rsidRPr="004525A0">
        <w:rPr>
          <w:rFonts w:eastAsia="Cambria" w:cs="Times New Roman"/>
          <w:color w:val="000000" w:themeColor="text1"/>
          <w:lang w:val="en-US"/>
        </w:rPr>
        <w:t>paediatric</w:t>
      </w:r>
      <w:proofErr w:type="spellEnd"/>
      <w:r w:rsidRPr="004525A0">
        <w:rPr>
          <w:rFonts w:eastAsia="Cambria" w:cs="Times New Roman"/>
          <w:color w:val="000000" w:themeColor="text1"/>
          <w:lang w:val="en-US"/>
        </w:rPr>
        <w:t xml:space="preserve"> subjects and 94.1% and 85.1%, among adult subjects. Seropositivity rates for all subjects (irrespective of baseline serostatus) w</w:t>
      </w:r>
      <w:r w:rsidR="00F61087">
        <w:rPr>
          <w:rFonts w:eastAsia="Cambria" w:cs="Times New Roman"/>
          <w:color w:val="000000" w:themeColor="text1"/>
          <w:lang w:val="en-US"/>
        </w:rPr>
        <w:t>ere</w:t>
      </w:r>
      <w:r w:rsidRPr="004525A0">
        <w:rPr>
          <w:rFonts w:eastAsia="Cambria" w:cs="Times New Roman"/>
          <w:color w:val="000000" w:themeColor="text1"/>
          <w:lang w:val="en-US"/>
        </w:rPr>
        <w:t xml:space="preserve"> </w:t>
      </w:r>
      <w:proofErr w:type="gramStart"/>
      <w:r w:rsidRPr="004525A0">
        <w:rPr>
          <w:rFonts w:eastAsia="Cambria" w:cs="Times New Roman"/>
          <w:color w:val="000000" w:themeColor="text1"/>
          <w:lang w:val="en-US"/>
        </w:rPr>
        <w:t>similar to</w:t>
      </w:r>
      <w:proofErr w:type="gramEnd"/>
      <w:r w:rsidRPr="004525A0">
        <w:rPr>
          <w:rFonts w:eastAsia="Cambria" w:cs="Times New Roman"/>
          <w:color w:val="000000" w:themeColor="text1"/>
          <w:lang w:val="en-US"/>
        </w:rPr>
        <w:t xml:space="preserve"> that of baseline </w:t>
      </w:r>
      <w:proofErr w:type="gramStart"/>
      <w:r w:rsidRPr="004525A0">
        <w:rPr>
          <w:rFonts w:eastAsia="Cambria" w:cs="Times New Roman"/>
          <w:color w:val="000000" w:themeColor="text1"/>
          <w:lang w:val="en-US"/>
        </w:rPr>
        <w:t>seronegative subjects</w:t>
      </w:r>
      <w:proofErr w:type="gramEnd"/>
      <w:r w:rsidRPr="004525A0">
        <w:rPr>
          <w:rFonts w:eastAsia="Cambria" w:cs="Times New Roman"/>
          <w:color w:val="000000" w:themeColor="text1"/>
          <w:lang w:val="en-US"/>
        </w:rPr>
        <w:t>.</w:t>
      </w:r>
    </w:p>
    <w:p w14:paraId="1FB411CC" w14:textId="77777777" w:rsidR="006C3D27" w:rsidRPr="006C3D27" w:rsidRDefault="006C3D27" w:rsidP="006C3D27">
      <w:pPr>
        <w:pStyle w:val="Heading4"/>
        <w:rPr>
          <w:lang w:val="en-US"/>
        </w:rPr>
      </w:pPr>
      <w:bookmarkStart w:id="48" w:name="_Toc232600106"/>
      <w:r w:rsidRPr="006C3D27">
        <w:rPr>
          <w:lang w:val="en-US"/>
        </w:rPr>
        <w:t>Safety</w:t>
      </w:r>
      <w:bookmarkEnd w:id="48"/>
    </w:p>
    <w:p w14:paraId="039E3655" w14:textId="77777777" w:rsidR="006D1028" w:rsidRPr="006D1028" w:rsidRDefault="006D1028" w:rsidP="006D1028">
      <w:pPr>
        <w:rPr>
          <w:rFonts w:eastAsia="Cambria" w:cs="Times New Roman"/>
          <w:color w:val="000000" w:themeColor="text1"/>
          <w:lang w:val="en-US"/>
        </w:rPr>
      </w:pPr>
      <w:r w:rsidRPr="006D1028">
        <w:rPr>
          <w:rFonts w:eastAsia="Cambria" w:cs="Times New Roman"/>
          <w:color w:val="000000" w:themeColor="text1"/>
          <w:lang w:val="en-US"/>
        </w:rPr>
        <w:t>A total of 19 studies (8 Phase 3 studies, 6 Phase 2 studies, and 5 phase 1 studies) comprising 28,187 subjects from dengue-endemic and non-endemic regions, covering an age range from 1.5 to 60 years provided data for safety evaluation of TDV.</w:t>
      </w:r>
    </w:p>
    <w:p w14:paraId="6796FD6B" w14:textId="77777777" w:rsidR="006D1028" w:rsidRPr="006D1028" w:rsidRDefault="006D1028" w:rsidP="008B06DD">
      <w:pPr>
        <w:pStyle w:val="Heading5"/>
        <w:rPr>
          <w:rFonts w:eastAsia="Cambria"/>
          <w:lang w:val="en-US"/>
        </w:rPr>
      </w:pPr>
      <w:r w:rsidRPr="006D1028">
        <w:rPr>
          <w:rFonts w:eastAsia="Cambria"/>
          <w:lang w:val="en-US"/>
        </w:rPr>
        <w:t>Solicited AEs</w:t>
      </w:r>
    </w:p>
    <w:p w14:paraId="2684E7F6" w14:textId="77777777" w:rsidR="006D1028" w:rsidRPr="006D1028" w:rsidRDefault="006D1028" w:rsidP="006D1028">
      <w:pPr>
        <w:rPr>
          <w:rFonts w:eastAsia="Cambria" w:cs="Times New Roman"/>
          <w:color w:val="000000" w:themeColor="text1"/>
          <w:lang w:val="en-US"/>
        </w:rPr>
      </w:pPr>
      <w:r w:rsidRPr="006D1028">
        <w:rPr>
          <w:rFonts w:eastAsia="Cambria" w:cs="Times New Roman"/>
          <w:color w:val="000000" w:themeColor="text1"/>
          <w:lang w:val="en-US"/>
        </w:rPr>
        <w:t>In the target population, the overall incidence of solicited local AEs and solicited systemic AEs after any vaccination were consistently higher in the TDV group than the placebo group. For both groups, the incidence of solicited AEs was generally lower after the second vaccine dose than the first dose.</w:t>
      </w:r>
    </w:p>
    <w:p w14:paraId="53C38608" w14:textId="77777777" w:rsidR="006D1028" w:rsidRPr="006D1028" w:rsidRDefault="006D1028" w:rsidP="006D1028">
      <w:pPr>
        <w:rPr>
          <w:rFonts w:eastAsia="Cambria" w:cs="Times New Roman"/>
          <w:color w:val="000000" w:themeColor="text1"/>
          <w:lang w:val="en-US"/>
        </w:rPr>
      </w:pPr>
      <w:r w:rsidRPr="006D1028">
        <w:rPr>
          <w:rFonts w:eastAsia="Cambria" w:cs="Times New Roman"/>
          <w:color w:val="000000" w:themeColor="text1"/>
          <w:lang w:val="en-US"/>
        </w:rPr>
        <w:t>The higher incidence of solicited local AEs in the TDV group was largely attributed to the higher frequency of mild injection site pain (41.8% for TDV vs 25.4% for placebo). The incidence of other injection site reactions (erythema and swelling) occurred at much lower frequencies in both groups but remained higher for TDV relative to placebo. Overall, most solicited local AEs were of mild or moderate severity, had a median onset time of 1 day and resolved within 1 to 3 days.</w:t>
      </w:r>
    </w:p>
    <w:p w14:paraId="25520266" w14:textId="1BF7E33E" w:rsidR="006D1028" w:rsidRPr="006D1028" w:rsidRDefault="006D1028" w:rsidP="006D1028">
      <w:pPr>
        <w:rPr>
          <w:rFonts w:eastAsia="Cambria" w:cs="Times New Roman"/>
          <w:color w:val="000000" w:themeColor="text1"/>
          <w:lang w:val="en-US"/>
        </w:rPr>
      </w:pPr>
      <w:r w:rsidRPr="006D1028">
        <w:rPr>
          <w:rFonts w:eastAsia="Cambria" w:cs="Times New Roman"/>
          <w:color w:val="000000" w:themeColor="text1"/>
          <w:lang w:val="en-US"/>
        </w:rPr>
        <w:t>The incidence of solicited systemic AEs in the target population was numerically higher for TDV than placebo (46.1% and 40.1%), although this difference was much less than that of solicited local AEs. The most frequently reported solicited systemic AE were headache, myalgia and asthenia, with all occurring</w:t>
      </w:r>
      <w:r w:rsidR="00FA5CAA">
        <w:rPr>
          <w:rFonts w:eastAsia="Cambria" w:cs="Times New Roman"/>
          <w:color w:val="000000" w:themeColor="text1"/>
          <w:lang w:val="en-US"/>
        </w:rPr>
        <w:t xml:space="preserve"> at</w:t>
      </w:r>
      <w:r w:rsidRPr="006D1028">
        <w:rPr>
          <w:rFonts w:eastAsia="Cambria" w:cs="Times New Roman"/>
          <w:color w:val="000000" w:themeColor="text1"/>
          <w:lang w:val="en-US"/>
        </w:rPr>
        <w:t xml:space="preserve"> a slightly higher incidences for TDV than placebo. In comparison,</w:t>
      </w:r>
      <w:r w:rsidR="005C5219">
        <w:rPr>
          <w:rFonts w:eastAsia="Cambria" w:cs="Times New Roman"/>
          <w:color w:val="000000" w:themeColor="text1"/>
          <w:lang w:val="en-US"/>
        </w:rPr>
        <w:t xml:space="preserve"> </w:t>
      </w:r>
      <w:r w:rsidRPr="006D1028">
        <w:rPr>
          <w:rFonts w:eastAsia="Cambria" w:cs="Times New Roman"/>
          <w:color w:val="000000" w:themeColor="text1"/>
          <w:lang w:val="en-US"/>
        </w:rPr>
        <w:t>incidence of fever (≥38°C) was lower for TDV than placebo (8.9% vs 10.5%). Overall, most solicited systemic AEs were of mild severity, with a slightly higher incidence of severe systemic AEs for TDV than placebo (4.1% vs 3.5%). The median onset of solicited systemic events was 1 day in both groups, with median durations of 3 days for TDV and 2 days for placebo.</w:t>
      </w:r>
    </w:p>
    <w:p w14:paraId="5632BC39" w14:textId="77777777" w:rsidR="006D1028" w:rsidRPr="006D1028" w:rsidRDefault="006D1028" w:rsidP="008B06DD">
      <w:pPr>
        <w:pStyle w:val="Heading5"/>
        <w:rPr>
          <w:rFonts w:eastAsia="Cambria"/>
          <w:lang w:val="en-US"/>
        </w:rPr>
      </w:pPr>
      <w:r w:rsidRPr="006D1028">
        <w:rPr>
          <w:rFonts w:eastAsia="Cambria"/>
          <w:lang w:val="en-US"/>
        </w:rPr>
        <w:lastRenderedPageBreak/>
        <w:t>Unsolicited AEs</w:t>
      </w:r>
    </w:p>
    <w:p w14:paraId="736BC73F" w14:textId="77777777" w:rsidR="006D1028" w:rsidRPr="006D1028" w:rsidRDefault="006D1028" w:rsidP="006D1028">
      <w:pPr>
        <w:rPr>
          <w:rFonts w:eastAsia="Cambria" w:cs="Times New Roman"/>
          <w:color w:val="000000" w:themeColor="text1"/>
          <w:lang w:val="en-US"/>
        </w:rPr>
      </w:pPr>
      <w:r w:rsidRPr="006D1028">
        <w:rPr>
          <w:rFonts w:eastAsia="Cambria" w:cs="Times New Roman"/>
          <w:color w:val="000000" w:themeColor="text1"/>
          <w:lang w:val="en-US"/>
        </w:rPr>
        <w:t xml:space="preserve">For unsolicited AEs up to 28 days after any vaccination in the target population, no clinically important differences were identified between TDV and placebo. Most unsolicited AEs were of mild or moderate severity. There were few severe unsolicited AEs in either study group (0.5% for TDV and 0.2% for placebo). </w:t>
      </w:r>
      <w:proofErr w:type="gramStart"/>
      <w:r w:rsidRPr="006D1028">
        <w:rPr>
          <w:rFonts w:eastAsia="Cambria" w:cs="Times New Roman"/>
          <w:color w:val="000000" w:themeColor="text1"/>
          <w:lang w:val="en-US"/>
        </w:rPr>
        <w:t>The majority of</w:t>
      </w:r>
      <w:proofErr w:type="gramEnd"/>
      <w:r w:rsidRPr="006D1028">
        <w:rPr>
          <w:rFonts w:eastAsia="Cambria" w:cs="Times New Roman"/>
          <w:color w:val="000000" w:themeColor="text1"/>
          <w:lang w:val="en-US"/>
        </w:rPr>
        <w:t xml:space="preserve"> unsolicited AEs were not considered treatment-related within the target population and </w:t>
      </w:r>
      <w:proofErr w:type="spellStart"/>
      <w:r w:rsidRPr="006D1028">
        <w:rPr>
          <w:rFonts w:eastAsia="Cambria" w:cs="Times New Roman"/>
          <w:color w:val="000000" w:themeColor="text1"/>
          <w:lang w:val="en-US"/>
        </w:rPr>
        <w:t>paediatric</w:t>
      </w:r>
      <w:proofErr w:type="spellEnd"/>
      <w:r w:rsidRPr="006D1028">
        <w:rPr>
          <w:rFonts w:eastAsia="Cambria" w:cs="Times New Roman"/>
          <w:color w:val="000000" w:themeColor="text1"/>
          <w:lang w:val="en-US"/>
        </w:rPr>
        <w:t xml:space="preserve"> population. In the adult population however, there was a higher incidence of treatment related unsolicited AEs in the TDV group than the placebo group (9.6% vs 4.6%), that was largely attributed to the increased frequency of mild injection site reaction in the TDV group.</w:t>
      </w:r>
    </w:p>
    <w:p w14:paraId="08C7B559" w14:textId="77777777" w:rsidR="006D1028" w:rsidRPr="006D1028" w:rsidRDefault="006D1028" w:rsidP="006D1028">
      <w:pPr>
        <w:rPr>
          <w:rFonts w:eastAsia="Cambria" w:cs="Times New Roman"/>
          <w:color w:val="000000" w:themeColor="text1"/>
          <w:lang w:val="en-US"/>
        </w:rPr>
      </w:pPr>
      <w:r w:rsidRPr="006D1028">
        <w:rPr>
          <w:rFonts w:eastAsia="Cambria" w:cs="Times New Roman"/>
          <w:color w:val="000000" w:themeColor="text1"/>
          <w:lang w:val="en-US"/>
        </w:rPr>
        <w:t>There were no significant differences in the incidence of any MAAEs between TDV and placebo groups in subjects aged from 12 to 60 years.</w:t>
      </w:r>
    </w:p>
    <w:p w14:paraId="7084DBBD" w14:textId="108B14A5" w:rsidR="006D1028" w:rsidRPr="006D1028" w:rsidRDefault="006D1028" w:rsidP="006D1028">
      <w:pPr>
        <w:rPr>
          <w:rFonts w:eastAsia="Cambria" w:cs="Times New Roman"/>
          <w:color w:val="000000" w:themeColor="text1"/>
          <w:lang w:val="en-US"/>
        </w:rPr>
      </w:pPr>
      <w:r w:rsidRPr="006D1028">
        <w:rPr>
          <w:rFonts w:eastAsia="Cambria" w:cs="Times New Roman"/>
          <w:color w:val="000000" w:themeColor="text1"/>
          <w:lang w:val="en-US"/>
        </w:rPr>
        <w:t xml:space="preserve">In the target population (4 to 60 years), the overall incidence of SAEs was lower in the TDV group than the placebo group (7.99% vs 9.64%). Overall, no causal link could be established between administration of TDV and any specific SAE. Across all studies, </w:t>
      </w:r>
      <w:r w:rsidR="00FA5CAA" w:rsidRPr="006D1028">
        <w:rPr>
          <w:rFonts w:eastAsia="Cambria" w:cs="Times New Roman"/>
          <w:color w:val="000000" w:themeColor="text1"/>
          <w:lang w:val="en-US"/>
        </w:rPr>
        <w:t>there were a total</w:t>
      </w:r>
      <w:r w:rsidRPr="006D1028">
        <w:rPr>
          <w:rFonts w:eastAsia="Cambria" w:cs="Times New Roman"/>
          <w:color w:val="000000" w:themeColor="text1"/>
          <w:lang w:val="en-US"/>
        </w:rPr>
        <w:t xml:space="preserve"> of 27 deaths (18 subjects who received TDV and 9 subjects who received placebo). No deaths were considered related to </w:t>
      </w:r>
      <w:r w:rsidR="00FB11B2">
        <w:rPr>
          <w:rFonts w:eastAsia="Cambria" w:cs="Times New Roman"/>
          <w:color w:val="000000" w:themeColor="text1"/>
          <w:lang w:val="en-US"/>
        </w:rPr>
        <w:t>TDV</w:t>
      </w:r>
      <w:r w:rsidRPr="006D1028">
        <w:rPr>
          <w:rFonts w:eastAsia="Cambria" w:cs="Times New Roman"/>
          <w:color w:val="000000" w:themeColor="text1"/>
          <w:lang w:val="en-US"/>
        </w:rPr>
        <w:t>.</w:t>
      </w:r>
    </w:p>
    <w:p w14:paraId="33EEDBA5" w14:textId="77777777" w:rsidR="006D1028" w:rsidRPr="006D1028" w:rsidRDefault="006D1028" w:rsidP="006D1028">
      <w:pPr>
        <w:rPr>
          <w:rFonts w:eastAsia="Cambria" w:cs="Times New Roman"/>
          <w:color w:val="000000" w:themeColor="text1"/>
          <w:lang w:val="en-US"/>
        </w:rPr>
      </w:pPr>
      <w:r w:rsidRPr="006D1028">
        <w:rPr>
          <w:rFonts w:eastAsia="Cambria" w:cs="Times New Roman"/>
          <w:color w:val="000000" w:themeColor="text1"/>
          <w:lang w:val="en-US"/>
        </w:rPr>
        <w:t>The overall incidence of AEs leading to vaccine/study discontinuation were low (&lt; 0.2%) and comparable between TDV and placebo. There were few treatments related AEs leading to vaccine/study discontinuation (&lt;0.1%) in both groups.</w:t>
      </w:r>
    </w:p>
    <w:p w14:paraId="6D6D17B0" w14:textId="4C1B85F0" w:rsidR="006D1028" w:rsidRPr="006D1028" w:rsidRDefault="006D1028" w:rsidP="006D1028">
      <w:pPr>
        <w:rPr>
          <w:rFonts w:eastAsia="Cambria" w:cs="Times New Roman"/>
          <w:color w:val="000000" w:themeColor="text1"/>
          <w:lang w:val="en-US"/>
        </w:rPr>
      </w:pPr>
      <w:r w:rsidRPr="006D1028">
        <w:rPr>
          <w:rFonts w:eastAsia="Cambria" w:cs="Times New Roman"/>
          <w:color w:val="000000" w:themeColor="text1"/>
          <w:lang w:val="en-US"/>
        </w:rPr>
        <w:t xml:space="preserve">Evaluation of VCD fever including </w:t>
      </w:r>
      <w:proofErr w:type="spellStart"/>
      <w:r w:rsidRPr="006D1028">
        <w:rPr>
          <w:rFonts w:eastAsia="Cambria" w:cs="Times New Roman"/>
          <w:color w:val="000000" w:themeColor="text1"/>
          <w:lang w:val="en-US"/>
        </w:rPr>
        <w:t>hospitalised</w:t>
      </w:r>
      <w:proofErr w:type="spellEnd"/>
      <w:r w:rsidRPr="006D1028">
        <w:rPr>
          <w:rFonts w:eastAsia="Cambria" w:cs="Times New Roman"/>
          <w:color w:val="000000" w:themeColor="text1"/>
          <w:lang w:val="en-US"/>
        </w:rPr>
        <w:t xml:space="preserve"> VCD cases and severe forms of dengue was primarily derived from pivotal study DEN-301 which examined these parameters up to 54 months post-second vaccination (also as efficacy outcomes). The </w:t>
      </w:r>
      <w:r w:rsidR="00C36179">
        <w:rPr>
          <w:rFonts w:eastAsia="Cambria" w:cs="Times New Roman"/>
          <w:color w:val="000000" w:themeColor="text1"/>
          <w:lang w:val="en-US"/>
        </w:rPr>
        <w:t xml:space="preserve">overall </w:t>
      </w:r>
      <w:r w:rsidRPr="006D1028">
        <w:rPr>
          <w:rFonts w:eastAsia="Cambria" w:cs="Times New Roman"/>
          <w:color w:val="000000" w:themeColor="text1"/>
          <w:lang w:val="en-US"/>
        </w:rPr>
        <w:t>incidence of VCD for any dengue serotype was significantly lower for TDV than placebo (3.30% vs 8.18%), with a corresponding RR of 0.40. These findings were similarly reflected in baseline seropositive subjects (RR: 0.38) and in baseline seronegative subjects (RR: 0.47).</w:t>
      </w:r>
    </w:p>
    <w:p w14:paraId="2858B006" w14:textId="51C7F4B5" w:rsidR="00C22214" w:rsidRDefault="00C22214" w:rsidP="00C22214">
      <w:pPr>
        <w:pStyle w:val="Heading3"/>
        <w:rPr>
          <w:lang w:eastAsia="en-AU"/>
        </w:rPr>
      </w:pPr>
      <w:bookmarkStart w:id="49" w:name="_Toc314842514"/>
      <w:bookmarkStart w:id="50" w:name="_Toc103679298"/>
      <w:bookmarkStart w:id="51" w:name="_Toc232600107"/>
      <w:r>
        <w:rPr>
          <w:lang w:eastAsia="en-AU"/>
        </w:rPr>
        <w:t>Risk management plan</w:t>
      </w:r>
      <w:bookmarkEnd w:id="49"/>
      <w:bookmarkEnd w:id="50"/>
      <w:bookmarkEnd w:id="51"/>
    </w:p>
    <w:p w14:paraId="4440C844" w14:textId="77777777" w:rsidR="00E65AC7" w:rsidRPr="00E65AC7" w:rsidRDefault="00E65AC7" w:rsidP="00E65AC7">
      <w:pPr>
        <w:rPr>
          <w:lang w:val="en-US"/>
        </w:rPr>
      </w:pPr>
      <w:bookmarkStart w:id="52" w:name="_Toc247691531"/>
      <w:bookmarkStart w:id="53" w:name="_Toc314842515"/>
      <w:r w:rsidRPr="00E65AC7">
        <w:rPr>
          <w:lang w:val="en-US"/>
        </w:rPr>
        <w:t>Takeda Pharmaceuticals Australia Pty Ltd has submitted EU-RMP version 3.0 (date 11 October 2024; DLP 29 February 2024) and ASA version 1.1 (date 6 November 2025) in support of this application.</w:t>
      </w:r>
    </w:p>
    <w:p w14:paraId="39F3CD1D" w14:textId="3CCC32AA" w:rsidR="0072003B" w:rsidRPr="00BD5DBD" w:rsidRDefault="00E65AC7" w:rsidP="00C22214">
      <w:pPr>
        <w:rPr>
          <w:szCs w:val="22"/>
        </w:rPr>
      </w:pPr>
      <w:r w:rsidRPr="00E65AC7">
        <w:rPr>
          <w:lang w:val="en-US"/>
        </w:rPr>
        <w:t xml:space="preserve">The proposed summary of safety concerns and their associated risk monitoring and mitigation strategies are </w:t>
      </w:r>
      <w:proofErr w:type="spellStart"/>
      <w:r w:rsidRPr="00E65AC7">
        <w:rPr>
          <w:lang w:val="en-US"/>
        </w:rPr>
        <w:t>summarised</w:t>
      </w:r>
      <w:proofErr w:type="spellEnd"/>
      <w:r w:rsidRPr="00E65AC7">
        <w:rPr>
          <w:lang w:val="en-US"/>
        </w:rPr>
        <w:t xml:space="preserve"> below</w:t>
      </w:r>
      <w:r w:rsidR="004627E9">
        <w:rPr>
          <w:lang w:val="en-US"/>
        </w:rPr>
        <w:t xml:space="preserve"> in Table </w:t>
      </w:r>
      <w:r w:rsidR="00B779E9">
        <w:rPr>
          <w:lang w:val="en-US"/>
        </w:rPr>
        <w:t xml:space="preserve">6. </w:t>
      </w:r>
      <w:r w:rsidR="0072003B" w:rsidRPr="00BD5DBD">
        <w:rPr>
          <w:szCs w:val="22"/>
        </w:rPr>
        <w:t>The TGA</w:t>
      </w:r>
      <w:r w:rsidR="00C07551" w:rsidRPr="00BD5DBD">
        <w:rPr>
          <w:szCs w:val="22"/>
        </w:rPr>
        <w:t xml:space="preserve"> may</w:t>
      </w:r>
      <w:r w:rsidR="0072003B" w:rsidRPr="00BD5DBD">
        <w:rPr>
          <w:szCs w:val="22"/>
        </w:rPr>
        <w:t xml:space="preserve"> request an updated RMP at any stage of a product's life</w:t>
      </w:r>
      <w:r w:rsidR="00E42649">
        <w:rPr>
          <w:szCs w:val="22"/>
        </w:rPr>
        <w:t xml:space="preserve"> </w:t>
      </w:r>
      <w:r w:rsidR="0072003B" w:rsidRPr="00BD5DBD">
        <w:rPr>
          <w:szCs w:val="22"/>
        </w:rPr>
        <w:t>cycle, during both the pre-approval and post-approval phases.</w:t>
      </w:r>
    </w:p>
    <w:p w14:paraId="56B51A93" w14:textId="725BBEA3" w:rsidR="006A277A" w:rsidRDefault="00C22214" w:rsidP="00C22214">
      <w:pPr>
        <w:pStyle w:val="TableTitle"/>
      </w:pPr>
      <w:bookmarkStart w:id="54" w:name="_Ref97629131"/>
      <w:r>
        <w:t xml:space="preserve">Table </w:t>
      </w:r>
      <w:bookmarkEnd w:id="54"/>
      <w:r w:rsidR="00B779E9">
        <w:t>6</w:t>
      </w:r>
      <w:r w:rsidR="003753F3">
        <w:t>.</w:t>
      </w:r>
      <w:r>
        <w:t xml:space="preserve"> Summary of safety concerns</w:t>
      </w:r>
      <w:r w:rsidR="003753F3">
        <w:t>.</w:t>
      </w:r>
    </w:p>
    <w:tbl>
      <w:tblPr>
        <w:tblStyle w:val="TableTGAblue2023"/>
        <w:tblW w:w="9469" w:type="dxa"/>
        <w:tblLayout w:type="fixed"/>
        <w:tblLook w:val="04A0" w:firstRow="1" w:lastRow="0" w:firstColumn="1" w:lastColumn="0" w:noHBand="0" w:noVBand="1"/>
      </w:tblPr>
      <w:tblGrid>
        <w:gridCol w:w="1555"/>
        <w:gridCol w:w="3260"/>
        <w:gridCol w:w="1134"/>
        <w:gridCol w:w="1276"/>
        <w:gridCol w:w="992"/>
        <w:gridCol w:w="1252"/>
      </w:tblGrid>
      <w:tr w:rsidR="007E5D14" w:rsidRPr="009D7EE6" w14:paraId="6D7113EB" w14:textId="77777777" w:rsidTr="00B95319">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815" w:type="dxa"/>
            <w:gridSpan w:val="2"/>
            <w:vMerge w:val="restart"/>
          </w:tcPr>
          <w:p w14:paraId="0DE1859A" w14:textId="77777777" w:rsidR="007E5D14" w:rsidRPr="009D7EE6" w:rsidRDefault="007E5D14" w:rsidP="00F046E5">
            <w:pPr>
              <w:rPr>
                <w:b w:val="0"/>
              </w:rPr>
            </w:pPr>
            <w:r w:rsidRPr="009D7EE6">
              <w:t>Summary of safety concerns</w:t>
            </w:r>
          </w:p>
        </w:tc>
        <w:tc>
          <w:tcPr>
            <w:tcW w:w="2410" w:type="dxa"/>
            <w:gridSpan w:val="2"/>
          </w:tcPr>
          <w:p w14:paraId="1FCF199F" w14:textId="77777777" w:rsidR="007E5D14" w:rsidRPr="009D7EE6" w:rsidRDefault="007E5D14" w:rsidP="00F046E5">
            <w:pPr>
              <w:cnfStyle w:val="100000000000" w:firstRow="1" w:lastRow="0" w:firstColumn="0" w:lastColumn="0" w:oddVBand="0" w:evenVBand="0" w:oddHBand="0" w:evenHBand="0" w:firstRowFirstColumn="0" w:firstRowLastColumn="0" w:lastRowFirstColumn="0" w:lastRowLastColumn="0"/>
              <w:rPr>
                <w:b w:val="0"/>
                <w:sz w:val="18"/>
              </w:rPr>
            </w:pPr>
            <w:r w:rsidRPr="009D7EE6">
              <w:rPr>
                <w:sz w:val="18"/>
              </w:rPr>
              <w:t>Pharmacovigilance</w:t>
            </w:r>
          </w:p>
        </w:tc>
        <w:tc>
          <w:tcPr>
            <w:tcW w:w="2244" w:type="dxa"/>
            <w:gridSpan w:val="2"/>
          </w:tcPr>
          <w:p w14:paraId="6716B6D6" w14:textId="77777777" w:rsidR="007E5D14" w:rsidRPr="009D7EE6" w:rsidRDefault="007E5D14" w:rsidP="00F046E5">
            <w:pPr>
              <w:cnfStyle w:val="100000000000" w:firstRow="1" w:lastRow="0" w:firstColumn="0" w:lastColumn="0" w:oddVBand="0" w:evenVBand="0" w:oddHBand="0" w:evenHBand="0" w:firstRowFirstColumn="0" w:firstRowLastColumn="0" w:lastRowFirstColumn="0" w:lastRowLastColumn="0"/>
              <w:rPr>
                <w:b w:val="0"/>
                <w:sz w:val="18"/>
              </w:rPr>
            </w:pPr>
            <w:r w:rsidRPr="009D7EE6">
              <w:rPr>
                <w:sz w:val="18"/>
              </w:rPr>
              <w:t>Risk Minimisation</w:t>
            </w:r>
          </w:p>
        </w:tc>
      </w:tr>
      <w:tr w:rsidR="007E5D14" w:rsidRPr="009D7EE6" w14:paraId="43417D0F" w14:textId="77777777" w:rsidTr="004B0D4B">
        <w:trPr>
          <w:trHeight w:val="150"/>
        </w:trPr>
        <w:tc>
          <w:tcPr>
            <w:cnfStyle w:val="001000000000" w:firstRow="0" w:lastRow="0" w:firstColumn="1" w:lastColumn="0" w:oddVBand="0" w:evenVBand="0" w:oddHBand="0" w:evenHBand="0" w:firstRowFirstColumn="0" w:firstRowLastColumn="0" w:lastRowFirstColumn="0" w:lastRowLastColumn="0"/>
            <w:tcW w:w="4815" w:type="dxa"/>
            <w:gridSpan w:val="2"/>
            <w:vMerge/>
          </w:tcPr>
          <w:p w14:paraId="261618F5" w14:textId="77777777" w:rsidR="007E5D14" w:rsidRPr="009D7EE6" w:rsidRDefault="007E5D14" w:rsidP="00F046E5"/>
        </w:tc>
        <w:tc>
          <w:tcPr>
            <w:tcW w:w="1134" w:type="dxa"/>
          </w:tcPr>
          <w:p w14:paraId="38C828C6"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rPr>
                <w:sz w:val="18"/>
              </w:rPr>
            </w:pPr>
            <w:r w:rsidRPr="009D7EE6">
              <w:rPr>
                <w:sz w:val="18"/>
              </w:rPr>
              <w:t>Routine</w:t>
            </w:r>
          </w:p>
        </w:tc>
        <w:tc>
          <w:tcPr>
            <w:tcW w:w="1276" w:type="dxa"/>
          </w:tcPr>
          <w:p w14:paraId="71D10F7D"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rPr>
                <w:sz w:val="18"/>
              </w:rPr>
            </w:pPr>
            <w:r w:rsidRPr="009D7EE6">
              <w:rPr>
                <w:sz w:val="18"/>
              </w:rPr>
              <w:t>Additional</w:t>
            </w:r>
          </w:p>
        </w:tc>
        <w:tc>
          <w:tcPr>
            <w:tcW w:w="992" w:type="dxa"/>
          </w:tcPr>
          <w:p w14:paraId="7C4C2D43"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rPr>
                <w:sz w:val="18"/>
              </w:rPr>
            </w:pPr>
            <w:r w:rsidRPr="009D7EE6">
              <w:rPr>
                <w:sz w:val="18"/>
              </w:rPr>
              <w:t>Routine</w:t>
            </w:r>
          </w:p>
        </w:tc>
        <w:tc>
          <w:tcPr>
            <w:tcW w:w="1252" w:type="dxa"/>
          </w:tcPr>
          <w:p w14:paraId="1171511D"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rPr>
                <w:sz w:val="18"/>
              </w:rPr>
            </w:pPr>
            <w:r w:rsidRPr="009D7EE6">
              <w:rPr>
                <w:sz w:val="18"/>
              </w:rPr>
              <w:t>Additional</w:t>
            </w:r>
          </w:p>
        </w:tc>
      </w:tr>
      <w:tr w:rsidR="007E5D14" w:rsidRPr="009D7EE6" w14:paraId="64758193" w14:textId="77777777" w:rsidTr="004B0D4B">
        <w:trPr>
          <w:trHeight w:val="137"/>
        </w:trPr>
        <w:tc>
          <w:tcPr>
            <w:cnfStyle w:val="001000000000" w:firstRow="0" w:lastRow="0" w:firstColumn="1" w:lastColumn="0" w:oddVBand="0" w:evenVBand="0" w:oddHBand="0" w:evenHBand="0" w:firstRowFirstColumn="0" w:firstRowLastColumn="0" w:lastRowFirstColumn="0" w:lastRowLastColumn="0"/>
            <w:tcW w:w="1555" w:type="dxa"/>
          </w:tcPr>
          <w:p w14:paraId="426772C7" w14:textId="77777777" w:rsidR="007E5D14" w:rsidRPr="009D7EE6" w:rsidRDefault="007E5D14" w:rsidP="00F046E5">
            <w:r w:rsidRPr="009D7EE6">
              <w:t>Important identified risks</w:t>
            </w:r>
          </w:p>
        </w:tc>
        <w:tc>
          <w:tcPr>
            <w:tcW w:w="3260" w:type="dxa"/>
          </w:tcPr>
          <w:p w14:paraId="15AB1D54"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None</w:t>
            </w:r>
          </w:p>
        </w:tc>
        <w:tc>
          <w:tcPr>
            <w:tcW w:w="1134" w:type="dxa"/>
          </w:tcPr>
          <w:p w14:paraId="6090DB9B"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c>
          <w:tcPr>
            <w:tcW w:w="1276" w:type="dxa"/>
          </w:tcPr>
          <w:p w14:paraId="3045BD13"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c>
          <w:tcPr>
            <w:tcW w:w="992" w:type="dxa"/>
          </w:tcPr>
          <w:p w14:paraId="7E734DBA"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c>
          <w:tcPr>
            <w:tcW w:w="1252" w:type="dxa"/>
          </w:tcPr>
          <w:p w14:paraId="2879D1E2"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r>
      <w:tr w:rsidR="007E5D14" w:rsidRPr="009D7EE6" w14:paraId="121C0037" w14:textId="77777777" w:rsidTr="004B0D4B">
        <w:trPr>
          <w:trHeight w:val="159"/>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0AF8C045" w14:textId="77777777" w:rsidR="007E5D14" w:rsidRPr="009D7EE6" w:rsidRDefault="007E5D14" w:rsidP="00F046E5">
            <w:r w:rsidRPr="009D7EE6">
              <w:t>Important potential risks</w:t>
            </w:r>
          </w:p>
        </w:tc>
        <w:tc>
          <w:tcPr>
            <w:tcW w:w="3260" w:type="dxa"/>
          </w:tcPr>
          <w:p w14:paraId="03F4BEB5"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Dengue disease due to waning protection against dengue over time.</w:t>
            </w:r>
          </w:p>
        </w:tc>
        <w:tc>
          <w:tcPr>
            <w:tcW w:w="1134" w:type="dxa"/>
          </w:tcPr>
          <w:p w14:paraId="5F44DC9A"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r w:rsidRPr="009D7EE6">
              <w:rPr>
                <w:rFonts w:asciiTheme="majorHAnsi" w:hAnsiTheme="majorHAnsi"/>
                <w:szCs w:val="20"/>
              </w:rPr>
              <w:t>‡</w:t>
            </w:r>
          </w:p>
        </w:tc>
        <w:tc>
          <w:tcPr>
            <w:tcW w:w="1276" w:type="dxa"/>
          </w:tcPr>
          <w:p w14:paraId="6FCFD848"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r w:rsidRPr="009D7EE6">
              <w:t>*†</w:t>
            </w:r>
          </w:p>
        </w:tc>
        <w:tc>
          <w:tcPr>
            <w:tcW w:w="992" w:type="dxa"/>
          </w:tcPr>
          <w:p w14:paraId="13A94848"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p>
        </w:tc>
        <w:tc>
          <w:tcPr>
            <w:tcW w:w="1252" w:type="dxa"/>
          </w:tcPr>
          <w:p w14:paraId="6046AB06"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r>
      <w:tr w:rsidR="007E5D14" w:rsidRPr="009D7EE6" w14:paraId="26FE50B2" w14:textId="77777777" w:rsidTr="0079637C">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5740FB32" w14:textId="77777777" w:rsidR="007E5D14" w:rsidRPr="009D7EE6" w:rsidRDefault="007E5D14" w:rsidP="00F046E5"/>
        </w:tc>
        <w:tc>
          <w:tcPr>
            <w:tcW w:w="3260" w:type="dxa"/>
          </w:tcPr>
          <w:p w14:paraId="72F1965C" w14:textId="5D1CA854"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Severe and/or hospitali</w:t>
            </w:r>
            <w:r w:rsidR="00D60743">
              <w:t>s</w:t>
            </w:r>
            <w:r w:rsidRPr="009D7EE6">
              <w:t>ed dengue following vaccination caused by dengue virus serotype 3 or 4 in individuals not previously infected by dengue virus.</w:t>
            </w:r>
          </w:p>
        </w:tc>
        <w:tc>
          <w:tcPr>
            <w:tcW w:w="1134" w:type="dxa"/>
          </w:tcPr>
          <w:p w14:paraId="39224886"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r w:rsidRPr="009D7EE6">
              <w:rPr>
                <w:rFonts w:asciiTheme="majorHAnsi" w:hAnsiTheme="majorHAnsi"/>
                <w:szCs w:val="20"/>
              </w:rPr>
              <w:t>‡</w:t>
            </w:r>
          </w:p>
        </w:tc>
        <w:tc>
          <w:tcPr>
            <w:tcW w:w="1276" w:type="dxa"/>
          </w:tcPr>
          <w:p w14:paraId="73451551"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r w:rsidRPr="009D7EE6">
              <w:t>*†</w:t>
            </w:r>
          </w:p>
        </w:tc>
        <w:tc>
          <w:tcPr>
            <w:tcW w:w="992" w:type="dxa"/>
          </w:tcPr>
          <w:p w14:paraId="3C4FC00F"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p>
        </w:tc>
        <w:tc>
          <w:tcPr>
            <w:tcW w:w="1252" w:type="dxa"/>
          </w:tcPr>
          <w:p w14:paraId="5A87CE33"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r>
      <w:tr w:rsidR="007E5D14" w:rsidRPr="009D7EE6" w14:paraId="67D601E2" w14:textId="77777777" w:rsidTr="004B0D4B">
        <w:trPr>
          <w:trHeight w:val="178"/>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056A9229" w14:textId="77777777" w:rsidR="007E5D14" w:rsidRPr="009D7EE6" w:rsidRDefault="007E5D14" w:rsidP="00F046E5">
            <w:r w:rsidRPr="009D7EE6">
              <w:t>Missing information</w:t>
            </w:r>
          </w:p>
        </w:tc>
        <w:tc>
          <w:tcPr>
            <w:tcW w:w="3260" w:type="dxa"/>
          </w:tcPr>
          <w:p w14:paraId="6475EC09"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Safety profile of inadvertent use in pregnant or lactating women</w:t>
            </w:r>
          </w:p>
        </w:tc>
        <w:tc>
          <w:tcPr>
            <w:tcW w:w="1134" w:type="dxa"/>
          </w:tcPr>
          <w:p w14:paraId="1AECF781"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r w:rsidRPr="009D7EE6">
              <w:rPr>
                <w:rFonts w:asciiTheme="majorHAnsi" w:hAnsiTheme="majorHAnsi"/>
                <w:szCs w:val="20"/>
              </w:rPr>
              <w:t>‡</w:t>
            </w:r>
          </w:p>
        </w:tc>
        <w:tc>
          <w:tcPr>
            <w:tcW w:w="1276" w:type="dxa"/>
          </w:tcPr>
          <w:p w14:paraId="0FDFC85D"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c>
          <w:tcPr>
            <w:tcW w:w="992" w:type="dxa"/>
          </w:tcPr>
          <w:p w14:paraId="1716499E"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p>
        </w:tc>
        <w:tc>
          <w:tcPr>
            <w:tcW w:w="1252" w:type="dxa"/>
          </w:tcPr>
          <w:p w14:paraId="4D12DDDB"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r>
      <w:tr w:rsidR="007E5D14" w:rsidRPr="009D7EE6" w14:paraId="34F409AD" w14:textId="77777777" w:rsidTr="004B0D4B">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18132773" w14:textId="77777777" w:rsidR="007E5D14" w:rsidRPr="009D7EE6" w:rsidRDefault="007E5D14" w:rsidP="00F046E5"/>
        </w:tc>
        <w:tc>
          <w:tcPr>
            <w:tcW w:w="3260" w:type="dxa"/>
          </w:tcPr>
          <w:p w14:paraId="31DD3348"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Safety and immunogenicity in immunocompromised individuals</w:t>
            </w:r>
          </w:p>
        </w:tc>
        <w:tc>
          <w:tcPr>
            <w:tcW w:w="1134" w:type="dxa"/>
          </w:tcPr>
          <w:p w14:paraId="0E051618"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r w:rsidRPr="009D7EE6">
              <w:rPr>
                <w:rFonts w:asciiTheme="majorHAnsi" w:hAnsiTheme="majorHAnsi"/>
                <w:szCs w:val="20"/>
              </w:rPr>
              <w:t>‡</w:t>
            </w:r>
          </w:p>
        </w:tc>
        <w:tc>
          <w:tcPr>
            <w:tcW w:w="1276" w:type="dxa"/>
          </w:tcPr>
          <w:p w14:paraId="742D4E63"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c>
          <w:tcPr>
            <w:tcW w:w="992" w:type="dxa"/>
          </w:tcPr>
          <w:p w14:paraId="09252A99"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p>
        </w:tc>
        <w:tc>
          <w:tcPr>
            <w:tcW w:w="1252" w:type="dxa"/>
          </w:tcPr>
          <w:p w14:paraId="71DFE228"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r>
      <w:tr w:rsidR="007E5D14" w:rsidRPr="009D7EE6" w14:paraId="0675D378" w14:textId="77777777" w:rsidTr="004B0D4B">
        <w:trPr>
          <w:trHeight w:val="140"/>
        </w:trPr>
        <w:tc>
          <w:tcPr>
            <w:cnfStyle w:val="001000000000" w:firstRow="0" w:lastRow="0" w:firstColumn="1" w:lastColumn="0" w:oddVBand="0" w:evenVBand="0" w:oddHBand="0" w:evenHBand="0" w:firstRowFirstColumn="0" w:firstRowLastColumn="0" w:lastRowFirstColumn="0" w:lastRowLastColumn="0"/>
            <w:tcW w:w="1555" w:type="dxa"/>
            <w:vMerge/>
          </w:tcPr>
          <w:p w14:paraId="1123F01E" w14:textId="77777777" w:rsidR="007E5D14" w:rsidRPr="009D7EE6" w:rsidRDefault="007E5D14" w:rsidP="00F046E5"/>
        </w:tc>
        <w:tc>
          <w:tcPr>
            <w:tcW w:w="3260" w:type="dxa"/>
          </w:tcPr>
          <w:p w14:paraId="2ABF6034"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Safety and immunogenicity of concomitant administration with other vaccines, other than Hepatitis A virus (HAV), Yellow fever (YF) and Human Papilloma Virus (HPV) vaccines</w:t>
            </w:r>
          </w:p>
        </w:tc>
        <w:tc>
          <w:tcPr>
            <w:tcW w:w="1134" w:type="dxa"/>
          </w:tcPr>
          <w:p w14:paraId="0ADA724D"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r w:rsidRPr="009D7EE6">
              <w:rPr>
                <w:rFonts w:asciiTheme="majorHAnsi" w:hAnsiTheme="majorHAnsi"/>
                <w:szCs w:val="20"/>
              </w:rPr>
              <w:t>‡</w:t>
            </w:r>
          </w:p>
        </w:tc>
        <w:tc>
          <w:tcPr>
            <w:tcW w:w="1276" w:type="dxa"/>
          </w:tcPr>
          <w:p w14:paraId="795FAB6B"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c>
          <w:tcPr>
            <w:tcW w:w="992" w:type="dxa"/>
          </w:tcPr>
          <w:p w14:paraId="66401198"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p>
        </w:tc>
        <w:tc>
          <w:tcPr>
            <w:tcW w:w="1252" w:type="dxa"/>
          </w:tcPr>
          <w:p w14:paraId="42EFD972"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r>
      <w:tr w:rsidR="007E5D14" w:rsidRPr="009D7EE6" w14:paraId="4B63C555" w14:textId="77777777" w:rsidTr="004B0D4B">
        <w:trPr>
          <w:trHeight w:val="140"/>
        </w:trPr>
        <w:tc>
          <w:tcPr>
            <w:cnfStyle w:val="001000000000" w:firstRow="0" w:lastRow="0" w:firstColumn="1" w:lastColumn="0" w:oddVBand="0" w:evenVBand="0" w:oddHBand="0" w:evenHBand="0" w:firstRowFirstColumn="0" w:firstRowLastColumn="0" w:lastRowFirstColumn="0" w:lastRowLastColumn="0"/>
            <w:tcW w:w="1555" w:type="dxa"/>
            <w:vMerge/>
          </w:tcPr>
          <w:p w14:paraId="713E4907" w14:textId="77777777" w:rsidR="007E5D14" w:rsidRPr="009D7EE6" w:rsidRDefault="007E5D14" w:rsidP="00F046E5"/>
        </w:tc>
        <w:tc>
          <w:tcPr>
            <w:tcW w:w="3260" w:type="dxa"/>
          </w:tcPr>
          <w:p w14:paraId="7D8498B6"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Safety and reactogenicity of a booster dose</w:t>
            </w:r>
          </w:p>
        </w:tc>
        <w:tc>
          <w:tcPr>
            <w:tcW w:w="1134" w:type="dxa"/>
          </w:tcPr>
          <w:p w14:paraId="62E37208"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p>
        </w:tc>
        <w:tc>
          <w:tcPr>
            <w:tcW w:w="1276" w:type="dxa"/>
          </w:tcPr>
          <w:p w14:paraId="4A9A76BF"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r w:rsidRPr="009D7EE6">
              <w:t>*†</w:t>
            </w:r>
          </w:p>
        </w:tc>
        <w:tc>
          <w:tcPr>
            <w:tcW w:w="992" w:type="dxa"/>
          </w:tcPr>
          <w:p w14:paraId="22CA4F10"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rPr>
                <w:rFonts w:ascii="Wingdings" w:eastAsia="Wingdings" w:hAnsi="Wingdings" w:cs="Wingdings"/>
              </w:rPr>
              <w:t>ü</w:t>
            </w:r>
          </w:p>
        </w:tc>
        <w:tc>
          <w:tcPr>
            <w:tcW w:w="1252" w:type="dxa"/>
          </w:tcPr>
          <w:p w14:paraId="4647CBD7" w14:textId="77777777" w:rsidR="007E5D14" w:rsidRPr="009D7EE6" w:rsidRDefault="007E5D14" w:rsidP="00F046E5">
            <w:pPr>
              <w:cnfStyle w:val="000000000000" w:firstRow="0" w:lastRow="0" w:firstColumn="0" w:lastColumn="0" w:oddVBand="0" w:evenVBand="0" w:oddHBand="0" w:evenHBand="0" w:firstRowFirstColumn="0" w:firstRowLastColumn="0" w:lastRowFirstColumn="0" w:lastRowLastColumn="0"/>
            </w:pPr>
            <w:r w:rsidRPr="009D7EE6">
              <w:t>–</w:t>
            </w:r>
          </w:p>
        </w:tc>
      </w:tr>
    </w:tbl>
    <w:p w14:paraId="2FC35529" w14:textId="77777777" w:rsidR="009A5373" w:rsidRPr="009A5373" w:rsidRDefault="009A5373" w:rsidP="00F046E5">
      <w:pPr>
        <w:pStyle w:val="TableDescription"/>
      </w:pPr>
      <w:r w:rsidRPr="009A5373">
        <w:t>* Efficacy, Safety and Immunogenicity of TDV in Trial DEN-301 (Part 4 and 5)</w:t>
      </w:r>
    </w:p>
    <w:p w14:paraId="73A6CD26" w14:textId="77777777" w:rsidR="009A5373" w:rsidRPr="009A5373" w:rsidRDefault="009A5373" w:rsidP="00F046E5">
      <w:pPr>
        <w:pStyle w:val="TableDescription"/>
      </w:pPr>
      <w:r w:rsidRPr="009A5373">
        <w:t>† Long-term safety and antibody persistence of TDV and the impact of a booster dose (Trial DEN-303)</w:t>
      </w:r>
    </w:p>
    <w:p w14:paraId="0FEB6027" w14:textId="6119210A" w:rsidR="007E5D14" w:rsidRPr="009A5373" w:rsidRDefault="009A5373" w:rsidP="00F046E5">
      <w:pPr>
        <w:pStyle w:val="TableDescription"/>
      </w:pPr>
      <w:r w:rsidRPr="009A5373">
        <w:t>‡ Cumulative review</w:t>
      </w:r>
    </w:p>
    <w:p w14:paraId="6688A224" w14:textId="77777777" w:rsidR="001F26E2" w:rsidRPr="00C26DF6" w:rsidRDefault="001F26E2" w:rsidP="00F046E5">
      <w:r w:rsidRPr="00C26DF6">
        <w:t>The</w:t>
      </w:r>
      <w:r w:rsidRPr="00C26DF6">
        <w:rPr>
          <w:spacing w:val="-4"/>
        </w:rPr>
        <w:t xml:space="preserve"> </w:t>
      </w:r>
      <w:r w:rsidRPr="00C26DF6">
        <w:t>summary</w:t>
      </w:r>
      <w:r w:rsidRPr="00C26DF6">
        <w:rPr>
          <w:spacing w:val="-2"/>
        </w:rPr>
        <w:t xml:space="preserve"> </w:t>
      </w:r>
      <w:r w:rsidRPr="00C26DF6">
        <w:t>of</w:t>
      </w:r>
      <w:r w:rsidRPr="00C26DF6">
        <w:rPr>
          <w:spacing w:val="-4"/>
        </w:rPr>
        <w:t xml:space="preserve"> </w:t>
      </w:r>
      <w:r w:rsidRPr="00C26DF6">
        <w:t>safety</w:t>
      </w:r>
      <w:r w:rsidRPr="00C26DF6">
        <w:rPr>
          <w:spacing w:val="-2"/>
        </w:rPr>
        <w:t xml:space="preserve"> </w:t>
      </w:r>
      <w:r w:rsidRPr="00C26DF6">
        <w:t>concerns</w:t>
      </w:r>
      <w:r w:rsidRPr="00C26DF6">
        <w:rPr>
          <w:spacing w:val="-1"/>
        </w:rPr>
        <w:t xml:space="preserve"> </w:t>
      </w:r>
      <w:r w:rsidRPr="00C26DF6">
        <w:t>proposed</w:t>
      </w:r>
      <w:r w:rsidRPr="00C26DF6">
        <w:rPr>
          <w:spacing w:val="-1"/>
        </w:rPr>
        <w:t xml:space="preserve"> </w:t>
      </w:r>
      <w:r w:rsidRPr="00C26DF6">
        <w:t>in</w:t>
      </w:r>
      <w:r w:rsidRPr="00C26DF6">
        <w:rPr>
          <w:spacing w:val="-2"/>
        </w:rPr>
        <w:t xml:space="preserve"> </w:t>
      </w:r>
      <w:r w:rsidRPr="00C26DF6">
        <w:t>the</w:t>
      </w:r>
      <w:r w:rsidRPr="00C26DF6">
        <w:rPr>
          <w:spacing w:val="-1"/>
        </w:rPr>
        <w:t xml:space="preserve"> </w:t>
      </w:r>
      <w:r w:rsidRPr="00C26DF6">
        <w:t>ASA</w:t>
      </w:r>
      <w:r w:rsidRPr="00C26DF6">
        <w:rPr>
          <w:spacing w:val="-2"/>
        </w:rPr>
        <w:t xml:space="preserve"> </w:t>
      </w:r>
      <w:r w:rsidRPr="00C26DF6">
        <w:t>align</w:t>
      </w:r>
      <w:r w:rsidRPr="00C26DF6">
        <w:rPr>
          <w:spacing w:val="-2"/>
        </w:rPr>
        <w:t xml:space="preserve"> </w:t>
      </w:r>
      <w:r w:rsidRPr="00C26DF6">
        <w:t>with</w:t>
      </w:r>
      <w:r w:rsidRPr="00C26DF6">
        <w:rPr>
          <w:spacing w:val="-1"/>
        </w:rPr>
        <w:t xml:space="preserve"> </w:t>
      </w:r>
      <w:r w:rsidRPr="00C26DF6">
        <w:t>the</w:t>
      </w:r>
      <w:r w:rsidRPr="00C26DF6">
        <w:rPr>
          <w:spacing w:val="-1"/>
        </w:rPr>
        <w:t xml:space="preserve"> </w:t>
      </w:r>
      <w:r w:rsidRPr="00C26DF6">
        <w:t>EU-RMP</w:t>
      </w:r>
      <w:r w:rsidRPr="00C26DF6">
        <w:rPr>
          <w:spacing w:val="-5"/>
        </w:rPr>
        <w:t xml:space="preserve"> </w:t>
      </w:r>
      <w:r w:rsidRPr="00C26DF6">
        <w:t>and</w:t>
      </w:r>
      <w:r w:rsidRPr="00C26DF6">
        <w:rPr>
          <w:spacing w:val="-2"/>
        </w:rPr>
        <w:t xml:space="preserve"> </w:t>
      </w:r>
      <w:r w:rsidRPr="00C26DF6">
        <w:t>is</w:t>
      </w:r>
      <w:r w:rsidRPr="00C26DF6">
        <w:rPr>
          <w:spacing w:val="-3"/>
        </w:rPr>
        <w:t xml:space="preserve"> </w:t>
      </w:r>
      <w:r w:rsidRPr="00C26DF6">
        <w:t>considered acceptable from an RMP perspective.</w:t>
      </w:r>
    </w:p>
    <w:p w14:paraId="22C13D42" w14:textId="29C139B5" w:rsidR="001F26E2" w:rsidRPr="00C26DF6" w:rsidRDefault="001F26E2" w:rsidP="00F046E5">
      <w:r w:rsidRPr="00C26DF6">
        <w:t>The sponsor has proposed routine pharmacovigilance for all safety concerns, including cumulative reviews to address several safety concerns. Additional pharmacovigilance has been proposed for the important potential risks of Dengue disease due to waning protection against dengue</w:t>
      </w:r>
      <w:r w:rsidRPr="00C26DF6">
        <w:rPr>
          <w:spacing w:val="-3"/>
        </w:rPr>
        <w:t xml:space="preserve"> </w:t>
      </w:r>
      <w:r w:rsidRPr="00C26DF6">
        <w:t>over</w:t>
      </w:r>
      <w:r w:rsidRPr="00C26DF6">
        <w:rPr>
          <w:spacing w:val="-2"/>
        </w:rPr>
        <w:t xml:space="preserve"> </w:t>
      </w:r>
      <w:r w:rsidRPr="00C26DF6">
        <w:t>time,</w:t>
      </w:r>
      <w:r w:rsidRPr="00C26DF6">
        <w:rPr>
          <w:spacing w:val="-3"/>
        </w:rPr>
        <w:t xml:space="preserve"> </w:t>
      </w:r>
      <w:r w:rsidR="00C26DF6">
        <w:t>s</w:t>
      </w:r>
      <w:r w:rsidRPr="00C26DF6">
        <w:t>evere</w:t>
      </w:r>
      <w:r w:rsidRPr="00C26DF6">
        <w:rPr>
          <w:spacing w:val="-3"/>
        </w:rPr>
        <w:t xml:space="preserve"> </w:t>
      </w:r>
      <w:r w:rsidRPr="00C26DF6">
        <w:t>and/or</w:t>
      </w:r>
      <w:r w:rsidRPr="00C26DF6">
        <w:rPr>
          <w:spacing w:val="-4"/>
        </w:rPr>
        <w:t xml:space="preserve"> </w:t>
      </w:r>
      <w:r w:rsidR="00CF44E2" w:rsidRPr="00C26DF6">
        <w:t>hospitali</w:t>
      </w:r>
      <w:r w:rsidR="00CF44E2">
        <w:t>s</w:t>
      </w:r>
      <w:r w:rsidR="00CF44E2" w:rsidRPr="00C26DF6">
        <w:t>ed</w:t>
      </w:r>
      <w:r w:rsidR="00CF44E2" w:rsidRPr="00C26DF6">
        <w:rPr>
          <w:spacing w:val="-3"/>
        </w:rPr>
        <w:t xml:space="preserve"> </w:t>
      </w:r>
      <w:r w:rsidRPr="00C26DF6">
        <w:t>dengue</w:t>
      </w:r>
      <w:r w:rsidRPr="00C26DF6">
        <w:rPr>
          <w:spacing w:val="-5"/>
        </w:rPr>
        <w:t xml:space="preserve"> </w:t>
      </w:r>
      <w:r w:rsidRPr="00C26DF6">
        <w:t>following</w:t>
      </w:r>
      <w:r w:rsidRPr="00C26DF6">
        <w:rPr>
          <w:spacing w:val="-4"/>
        </w:rPr>
        <w:t xml:space="preserve"> </w:t>
      </w:r>
      <w:r w:rsidRPr="00C26DF6">
        <w:t>vaccination</w:t>
      </w:r>
      <w:r w:rsidRPr="00C26DF6">
        <w:rPr>
          <w:spacing w:val="-3"/>
        </w:rPr>
        <w:t xml:space="preserve"> </w:t>
      </w:r>
      <w:r w:rsidRPr="00C26DF6">
        <w:t>caused</w:t>
      </w:r>
      <w:r w:rsidRPr="00C26DF6">
        <w:rPr>
          <w:spacing w:val="-3"/>
        </w:rPr>
        <w:t xml:space="preserve"> </w:t>
      </w:r>
      <w:r w:rsidRPr="00C26DF6">
        <w:t>by</w:t>
      </w:r>
      <w:r w:rsidRPr="00C26DF6">
        <w:rPr>
          <w:spacing w:val="-3"/>
        </w:rPr>
        <w:t xml:space="preserve"> </w:t>
      </w:r>
      <w:r w:rsidRPr="00C26DF6">
        <w:t>dengue</w:t>
      </w:r>
      <w:r w:rsidRPr="00C26DF6">
        <w:rPr>
          <w:spacing w:val="-3"/>
        </w:rPr>
        <w:t xml:space="preserve"> </w:t>
      </w:r>
      <w:r w:rsidRPr="00C26DF6">
        <w:t>virus serotype 3 or 4 in individuals not previously infected by dengue virus</w:t>
      </w:r>
      <w:r w:rsidR="004136E8">
        <w:t>,</w:t>
      </w:r>
      <w:r w:rsidRPr="00C26DF6">
        <w:t xml:space="preserve"> and missing information </w:t>
      </w:r>
      <w:r w:rsidR="00725B7E">
        <w:t>including s</w:t>
      </w:r>
      <w:r w:rsidRPr="00C26DF6">
        <w:t>afety and reactogenicity of a booster dose. The pharmacovigilance plan is acceptable from an RMP perspective.</w:t>
      </w:r>
    </w:p>
    <w:p w14:paraId="726CA334" w14:textId="77777777" w:rsidR="006C002E" w:rsidRDefault="001F26E2" w:rsidP="00F046E5">
      <w:r>
        <w:t>The</w:t>
      </w:r>
      <w:r>
        <w:rPr>
          <w:spacing w:val="-5"/>
        </w:rPr>
        <w:t xml:space="preserve"> </w:t>
      </w:r>
      <w:r>
        <w:t>sponsor</w:t>
      </w:r>
      <w:r>
        <w:rPr>
          <w:spacing w:val="-2"/>
        </w:rPr>
        <w:t xml:space="preserve"> </w:t>
      </w:r>
      <w:r>
        <w:t>has</w:t>
      </w:r>
      <w:r>
        <w:rPr>
          <w:spacing w:val="-2"/>
        </w:rPr>
        <w:t xml:space="preserve"> </w:t>
      </w:r>
      <w:r>
        <w:t>only</w:t>
      </w:r>
      <w:r>
        <w:rPr>
          <w:spacing w:val="-3"/>
        </w:rPr>
        <w:t xml:space="preserve"> </w:t>
      </w:r>
      <w:r>
        <w:t>proposed</w:t>
      </w:r>
      <w:r>
        <w:rPr>
          <w:spacing w:val="-2"/>
        </w:rPr>
        <w:t xml:space="preserve"> </w:t>
      </w:r>
      <w:r>
        <w:t>routine</w:t>
      </w:r>
      <w:r>
        <w:rPr>
          <w:spacing w:val="-2"/>
        </w:rPr>
        <w:t xml:space="preserve"> </w:t>
      </w:r>
      <w:r>
        <w:t>risk</w:t>
      </w:r>
      <w:r>
        <w:rPr>
          <w:spacing w:val="-4"/>
        </w:rPr>
        <w:t xml:space="preserve"> </w:t>
      </w:r>
      <w:r>
        <w:t>minimisation</w:t>
      </w:r>
      <w:r>
        <w:rPr>
          <w:spacing w:val="-3"/>
        </w:rPr>
        <w:t xml:space="preserve"> </w:t>
      </w:r>
      <w:r>
        <w:t>activities.</w:t>
      </w:r>
      <w:r>
        <w:rPr>
          <w:spacing w:val="-2"/>
        </w:rPr>
        <w:t xml:space="preserve"> </w:t>
      </w:r>
      <w:r>
        <w:t>The</w:t>
      </w:r>
      <w:r>
        <w:rPr>
          <w:spacing w:val="-2"/>
        </w:rPr>
        <w:t xml:space="preserve"> </w:t>
      </w:r>
      <w:r>
        <w:t>risk</w:t>
      </w:r>
      <w:r>
        <w:rPr>
          <w:spacing w:val="-6"/>
        </w:rPr>
        <w:t xml:space="preserve"> </w:t>
      </w:r>
      <w:r>
        <w:t>minimisation</w:t>
      </w:r>
      <w:r>
        <w:rPr>
          <w:spacing w:val="-3"/>
        </w:rPr>
        <w:t xml:space="preserve"> </w:t>
      </w:r>
      <w:r>
        <w:t>plan proposed in the ASA is acceptable from an RMP perspective.</w:t>
      </w:r>
      <w:r w:rsidR="006C002E">
        <w:t xml:space="preserve"> </w:t>
      </w:r>
      <w:bookmarkStart w:id="55" w:name="_Toc103679299"/>
    </w:p>
    <w:p w14:paraId="456C7934" w14:textId="16EDF7BE" w:rsidR="00FA1BC9" w:rsidRDefault="00FA1BC9" w:rsidP="00F046E5">
      <w:r w:rsidRPr="00BD5DBD">
        <w:t>The TGA may request an updated RMP at any stage of a product's life</w:t>
      </w:r>
      <w:r w:rsidR="00393D30">
        <w:t xml:space="preserve"> </w:t>
      </w:r>
      <w:r w:rsidRPr="00BD5DBD">
        <w:t xml:space="preserve">cycle, during both the pre-approval and post-approval phases. Further information regarding the TGA’s risk management approach can be found in </w:t>
      </w:r>
      <w:hyperlink r:id="rId31" w:history="1">
        <w:r w:rsidRPr="00BD5DBD">
          <w:rPr>
            <w:rStyle w:val="Hyperlink"/>
          </w:rPr>
          <w:t>risk management plans for medicines and biologicals</w:t>
        </w:r>
      </w:hyperlink>
      <w:r w:rsidRPr="00BD5DBD">
        <w:t xml:space="preserve"> and </w:t>
      </w:r>
      <w:hyperlink r:id="rId32" w:history="1">
        <w:r w:rsidRPr="00BD5DBD">
          <w:rPr>
            <w:rStyle w:val="Hyperlink"/>
          </w:rPr>
          <w:t>the TGA's risk management approach</w:t>
        </w:r>
      </w:hyperlink>
      <w:r w:rsidRPr="00BD5DBD">
        <w:t xml:space="preserve">. Information on the </w:t>
      </w:r>
      <w:hyperlink r:id="rId33" w:history="1">
        <w:r w:rsidRPr="00BD5DBD">
          <w:rPr>
            <w:rStyle w:val="Hyperlink"/>
          </w:rPr>
          <w:t>Australia</w:t>
        </w:r>
        <w:r w:rsidR="00C57CEA">
          <w:rPr>
            <w:rStyle w:val="Hyperlink"/>
          </w:rPr>
          <w:t>-</w:t>
        </w:r>
        <w:r w:rsidRPr="00BD5DBD">
          <w:rPr>
            <w:rStyle w:val="Hyperlink"/>
          </w:rPr>
          <w:t>specific annex</w:t>
        </w:r>
      </w:hyperlink>
      <w:r w:rsidRPr="00BD5DBD">
        <w:t xml:space="preserve"> (</w:t>
      </w:r>
      <w:hyperlink r:id="rId34" w:history="1">
        <w:r w:rsidRPr="00BD5DBD">
          <w:rPr>
            <w:rStyle w:val="Hyperlink"/>
          </w:rPr>
          <w:t>ASA</w:t>
        </w:r>
      </w:hyperlink>
      <w:r w:rsidRPr="00BD5DBD">
        <w:t>) can be found on the TGA website.</w:t>
      </w:r>
    </w:p>
    <w:p w14:paraId="74A4F87F" w14:textId="77777777" w:rsidR="00C22214" w:rsidRDefault="00C22214" w:rsidP="00C22214">
      <w:pPr>
        <w:pStyle w:val="Heading3"/>
      </w:pPr>
      <w:bookmarkStart w:id="56" w:name="_Toc232600108"/>
      <w:r>
        <w:lastRenderedPageBreak/>
        <w:t>Risk-benefit analysis</w:t>
      </w:r>
      <w:bookmarkEnd w:id="52"/>
      <w:bookmarkEnd w:id="53"/>
      <w:bookmarkEnd w:id="55"/>
      <w:bookmarkEnd w:id="56"/>
    </w:p>
    <w:p w14:paraId="77DE2655" w14:textId="77777777" w:rsidR="00C22214" w:rsidRDefault="00C22214" w:rsidP="00C22214">
      <w:pPr>
        <w:pStyle w:val="Heading4"/>
      </w:pPr>
      <w:bookmarkStart w:id="57" w:name="_Toc98931932"/>
      <w:bookmarkStart w:id="58" w:name="_Toc232600109"/>
      <w:r>
        <w:t>Delegate’s considerations</w:t>
      </w:r>
      <w:bookmarkEnd w:id="57"/>
      <w:bookmarkEnd w:id="58"/>
    </w:p>
    <w:p w14:paraId="02B619E5" w14:textId="3239BE02" w:rsidR="007E218C" w:rsidRPr="007E218C" w:rsidRDefault="007E218C" w:rsidP="007E218C">
      <w:pPr>
        <w:rPr>
          <w:bCs/>
          <w:lang w:val="en-US"/>
        </w:rPr>
      </w:pPr>
      <w:r w:rsidRPr="007E218C">
        <w:rPr>
          <w:b/>
          <w:bCs/>
          <w:lang w:val="en-US"/>
        </w:rPr>
        <w:t>Quality</w:t>
      </w:r>
    </w:p>
    <w:p w14:paraId="1F0C21D6" w14:textId="0E7F3472" w:rsidR="007E218C" w:rsidRPr="007E218C" w:rsidRDefault="007E218C" w:rsidP="007E218C">
      <w:pPr>
        <w:rPr>
          <w:lang w:val="en-US"/>
        </w:rPr>
      </w:pPr>
      <w:r w:rsidRPr="007E218C">
        <w:rPr>
          <w:lang w:val="en-US"/>
        </w:rPr>
        <w:t>The evaluator has recommended that Q</w:t>
      </w:r>
      <w:r w:rsidR="00947070">
        <w:rPr>
          <w:lang w:val="en-US"/>
        </w:rPr>
        <w:t>denga</w:t>
      </w:r>
      <w:r w:rsidRPr="007E218C">
        <w:rPr>
          <w:lang w:val="en-US"/>
        </w:rPr>
        <w:t xml:space="preserve"> is suitable for registration regarding</w:t>
      </w:r>
      <w:r w:rsidR="00947070">
        <w:rPr>
          <w:lang w:val="en-US"/>
        </w:rPr>
        <w:t xml:space="preserve"> </w:t>
      </w:r>
      <w:r w:rsidRPr="007E218C">
        <w:rPr>
          <w:lang w:val="en-US"/>
        </w:rPr>
        <w:t>manufacturing quality.</w:t>
      </w:r>
    </w:p>
    <w:p w14:paraId="2F7AD8B3" w14:textId="3A971EC0" w:rsidR="007E218C" w:rsidRPr="007E218C" w:rsidRDefault="007E218C" w:rsidP="007E218C">
      <w:pPr>
        <w:rPr>
          <w:bCs/>
          <w:lang w:val="en-US"/>
        </w:rPr>
      </w:pPr>
      <w:r w:rsidRPr="007E218C">
        <w:rPr>
          <w:b/>
          <w:bCs/>
          <w:lang w:val="en-US"/>
        </w:rPr>
        <w:t>Efficacy</w:t>
      </w:r>
    </w:p>
    <w:p w14:paraId="16D82039" w14:textId="1D0761B7" w:rsidR="007E218C" w:rsidRPr="007E218C" w:rsidRDefault="000B4229" w:rsidP="007E218C">
      <w:pPr>
        <w:rPr>
          <w:lang w:val="en-US"/>
        </w:rPr>
      </w:pPr>
      <w:r>
        <w:rPr>
          <w:lang w:val="en-US"/>
        </w:rPr>
        <w:t xml:space="preserve">The </w:t>
      </w:r>
      <w:r w:rsidRPr="007E218C">
        <w:rPr>
          <w:lang w:val="en-US"/>
        </w:rPr>
        <w:t>pivotal Phase 3 study</w:t>
      </w:r>
      <w:r>
        <w:rPr>
          <w:lang w:val="en-US"/>
        </w:rPr>
        <w:t xml:space="preserve"> </w:t>
      </w:r>
      <w:r w:rsidRPr="007E218C">
        <w:rPr>
          <w:lang w:val="en-US"/>
        </w:rPr>
        <w:t>DEN-301</w:t>
      </w:r>
      <w:r w:rsidR="003F1451">
        <w:rPr>
          <w:lang w:val="en-US"/>
        </w:rPr>
        <w:t xml:space="preserve"> </w:t>
      </w:r>
      <w:r w:rsidR="007E218C" w:rsidRPr="007E218C">
        <w:rPr>
          <w:lang w:val="en-US"/>
        </w:rPr>
        <w:t>is the primary source of data that informs the clinical efficacy of TDV. This was the sole study to assess the protective efficacy of TDV in preventing virologically confirmed dengue fever of any serotype in comparison to a placebo. The additional studies that were submitted with this application provided supportive data regarding immunogenicity.</w:t>
      </w:r>
    </w:p>
    <w:p w14:paraId="7C58F256" w14:textId="77777777" w:rsidR="007E218C" w:rsidRPr="007E218C" w:rsidRDefault="007E218C" w:rsidP="007E218C">
      <w:pPr>
        <w:rPr>
          <w:lang w:val="en-US"/>
        </w:rPr>
      </w:pPr>
      <w:r w:rsidRPr="007E218C">
        <w:rPr>
          <w:lang w:val="en-US"/>
        </w:rPr>
        <w:t xml:space="preserve">Overall, the rationale and evidence provided to support the formulation development and choice of dose schedule </w:t>
      </w:r>
      <w:proofErr w:type="gramStart"/>
      <w:r w:rsidRPr="007E218C">
        <w:rPr>
          <w:lang w:val="en-US"/>
        </w:rPr>
        <w:t>is considered to be</w:t>
      </w:r>
      <w:proofErr w:type="gramEnd"/>
      <w:r w:rsidRPr="007E218C">
        <w:rPr>
          <w:lang w:val="en-US"/>
        </w:rPr>
        <w:t xml:space="preserve"> acceptable.</w:t>
      </w:r>
    </w:p>
    <w:p w14:paraId="7D6E7101" w14:textId="75275423" w:rsidR="007E218C" w:rsidRPr="007E218C" w:rsidRDefault="007E218C" w:rsidP="007E218C">
      <w:pPr>
        <w:rPr>
          <w:lang w:val="en-US"/>
        </w:rPr>
      </w:pPr>
      <w:r w:rsidRPr="007E218C">
        <w:rPr>
          <w:lang w:val="en-US"/>
        </w:rPr>
        <w:t xml:space="preserve">The </w:t>
      </w:r>
      <w:r w:rsidR="008A0F62">
        <w:rPr>
          <w:lang w:val="en-US"/>
        </w:rPr>
        <w:t>v</w:t>
      </w:r>
      <w:r w:rsidRPr="007E218C">
        <w:rPr>
          <w:lang w:val="en-US"/>
        </w:rPr>
        <w:t xml:space="preserve">accine efficacy (VE) of TDV in preventing </w:t>
      </w:r>
      <w:r w:rsidR="008A0F62">
        <w:rPr>
          <w:lang w:val="en-US"/>
        </w:rPr>
        <w:t>v</w:t>
      </w:r>
      <w:r w:rsidRPr="007E218C">
        <w:rPr>
          <w:lang w:val="en-US"/>
        </w:rPr>
        <w:t xml:space="preserve">irologically confirmed dengue </w:t>
      </w:r>
      <w:r w:rsidR="008A0F62" w:rsidRPr="007E218C">
        <w:rPr>
          <w:lang w:val="en-US"/>
        </w:rPr>
        <w:t xml:space="preserve">(VCD) </w:t>
      </w:r>
      <w:r w:rsidRPr="007E218C">
        <w:rPr>
          <w:lang w:val="en-US"/>
        </w:rPr>
        <w:t xml:space="preserve">from any dengue serotype from 30 days to 12 months post-second vaccination was 80.2% for the primary efficacy endpoint (95% CI: 73.3, 85.3). The VE of TDV in preventing </w:t>
      </w:r>
      <w:proofErr w:type="spellStart"/>
      <w:r w:rsidRPr="007E218C">
        <w:rPr>
          <w:lang w:val="en-US"/>
        </w:rPr>
        <w:t>hospitalisation</w:t>
      </w:r>
      <w:proofErr w:type="spellEnd"/>
      <w:r w:rsidRPr="007E218C">
        <w:rPr>
          <w:lang w:val="en-US"/>
        </w:rPr>
        <w:t xml:space="preserve"> due to VCD</w:t>
      </w:r>
      <w:r w:rsidR="00E33578">
        <w:rPr>
          <w:lang w:val="en-US"/>
        </w:rPr>
        <w:t xml:space="preserve"> </w:t>
      </w:r>
      <w:r w:rsidRPr="007E218C">
        <w:rPr>
          <w:lang w:val="en-US"/>
        </w:rPr>
        <w:t xml:space="preserve">fever from any dengue serotype from 30 days to 18 months post-second vaccination was 90.4% (95% CI: 82.6, 94.7) for the key secondary endpoint. The primary and key secondary efficacy endpoints were both met. The long-term vaccine efficacy of TDV against VCD fever overall and </w:t>
      </w:r>
      <w:proofErr w:type="spellStart"/>
      <w:r w:rsidRPr="007E218C">
        <w:rPr>
          <w:lang w:val="en-US"/>
        </w:rPr>
        <w:t>hospitalised</w:t>
      </w:r>
      <w:proofErr w:type="spellEnd"/>
      <w:r w:rsidRPr="007E218C">
        <w:rPr>
          <w:lang w:val="en-US"/>
        </w:rPr>
        <w:t xml:space="preserve"> VCD is supported by the results of the primary and secondary analysis. Despite the evidence suggesting a general decline in efficacy over time, VE was able to be observed up to 54 months after the second vaccination.</w:t>
      </w:r>
    </w:p>
    <w:p w14:paraId="10F23418" w14:textId="0A77AE07" w:rsidR="007E218C" w:rsidRPr="007E218C" w:rsidRDefault="007E218C" w:rsidP="007E218C">
      <w:pPr>
        <w:rPr>
          <w:lang w:val="en-US"/>
        </w:rPr>
      </w:pPr>
      <w:r w:rsidRPr="007E218C">
        <w:rPr>
          <w:lang w:val="en-US"/>
        </w:rPr>
        <w:t xml:space="preserve">The immune response data in baseline seronegative subjects from study DEN-301 (702 subjects aged 4-16 years from endemic regions) and study DEN-304 (379 subjects aged 18-60 years from non-endemic regions) were compared in a post-hoc </w:t>
      </w:r>
      <w:proofErr w:type="spellStart"/>
      <w:r w:rsidRPr="007E218C">
        <w:rPr>
          <w:lang w:val="en-US"/>
        </w:rPr>
        <w:t>immunobridging</w:t>
      </w:r>
      <w:proofErr w:type="spellEnd"/>
      <w:r w:rsidRPr="007E218C">
        <w:rPr>
          <w:lang w:val="en-US"/>
        </w:rPr>
        <w:t xml:space="preserve"> analysis. At one month after the second TDV vaccine dose, the immune response of </w:t>
      </w:r>
      <w:proofErr w:type="spellStart"/>
      <w:r w:rsidRPr="007E218C">
        <w:rPr>
          <w:lang w:val="en-US"/>
        </w:rPr>
        <w:t>paediatric</w:t>
      </w:r>
      <w:proofErr w:type="spellEnd"/>
      <w:r w:rsidRPr="007E218C">
        <w:rPr>
          <w:lang w:val="en-US"/>
        </w:rPr>
        <w:t xml:space="preserve"> subjects was non-inferior to that of adult subjects against DENV-1, -2, and -4. However, this threshold was only marginally not met for DENV-3. Against all dengue serotypes, the non-inferiority criterion was satisfied six months after the second TDV vaccine dose. The </w:t>
      </w:r>
      <w:proofErr w:type="spellStart"/>
      <w:r w:rsidRPr="007E218C">
        <w:rPr>
          <w:lang w:val="en-US"/>
        </w:rPr>
        <w:t>immunobridging</w:t>
      </w:r>
      <w:proofErr w:type="spellEnd"/>
      <w:r w:rsidRPr="007E218C">
        <w:rPr>
          <w:lang w:val="en-US"/>
        </w:rPr>
        <w:t xml:space="preserve"> analysis's results, in general, provide support to the extrapolation of evidence regarding the efficacy of TDV in the prevention of dengue disease caused by any dengue virus serotype in individuals aged 4-60</w:t>
      </w:r>
      <w:r w:rsidR="00781E21">
        <w:rPr>
          <w:lang w:val="en-US"/>
        </w:rPr>
        <w:t xml:space="preserve"> years</w:t>
      </w:r>
      <w:r w:rsidRPr="007E218C">
        <w:rPr>
          <w:lang w:val="en-US"/>
        </w:rPr>
        <w:t>.</w:t>
      </w:r>
    </w:p>
    <w:p w14:paraId="36C53298" w14:textId="7383BDA1" w:rsidR="007E218C" w:rsidRPr="007E218C" w:rsidRDefault="007E218C" w:rsidP="007E218C">
      <w:pPr>
        <w:rPr>
          <w:b/>
          <w:bCs/>
          <w:lang w:val="en-US"/>
        </w:rPr>
      </w:pPr>
      <w:r w:rsidRPr="007E218C">
        <w:rPr>
          <w:b/>
          <w:bCs/>
          <w:lang w:val="en-US"/>
        </w:rPr>
        <w:t>Safety</w:t>
      </w:r>
    </w:p>
    <w:p w14:paraId="6DDF91A1" w14:textId="3302843A" w:rsidR="00636584" w:rsidRDefault="007E218C" w:rsidP="00296FA7">
      <w:pPr>
        <w:rPr>
          <w:lang w:val="en-US"/>
        </w:rPr>
      </w:pPr>
      <w:r w:rsidRPr="007E218C">
        <w:rPr>
          <w:lang w:val="en-US"/>
        </w:rPr>
        <w:t>Q</w:t>
      </w:r>
      <w:r w:rsidR="00950754">
        <w:rPr>
          <w:lang w:val="en-US"/>
        </w:rPr>
        <w:t>denga</w:t>
      </w:r>
      <w:r w:rsidRPr="007E218C">
        <w:rPr>
          <w:lang w:val="en-US"/>
        </w:rPr>
        <w:t xml:space="preserve"> is generally well tolerated from a safety perspective, with no significant safety concerns identified for up to 4.5 years following primary vaccination in the clinical studies or post-marketing data to date.</w:t>
      </w:r>
      <w:bookmarkStart w:id="59" w:name="_Toc98931933"/>
    </w:p>
    <w:p w14:paraId="3916F296" w14:textId="58A5DB6C" w:rsidR="00C22214" w:rsidRDefault="00C22214" w:rsidP="00636584">
      <w:pPr>
        <w:pStyle w:val="Heading4"/>
      </w:pPr>
      <w:bookmarkStart w:id="60" w:name="_Toc232600110"/>
      <w:r w:rsidRPr="00D23139">
        <w:t>Proposed action</w:t>
      </w:r>
      <w:bookmarkEnd w:id="59"/>
      <w:bookmarkEnd w:id="60"/>
    </w:p>
    <w:p w14:paraId="637FE549" w14:textId="3CE2C0EF" w:rsidR="00BF3FE9" w:rsidRPr="00BF3FE9" w:rsidRDefault="00BF3FE9" w:rsidP="00BF3FE9">
      <w:pPr>
        <w:rPr>
          <w:lang w:val="en-US"/>
        </w:rPr>
      </w:pPr>
      <w:bookmarkStart w:id="61" w:name="_Toc247691532"/>
      <w:bookmarkStart w:id="62" w:name="_Toc314842516"/>
      <w:r w:rsidRPr="00BF3FE9">
        <w:rPr>
          <w:lang w:val="en-US"/>
        </w:rPr>
        <w:t>Overall, based on the review of data on quality, safety and efficacy, the Delegate considers that the benefit-risk balance of Q</w:t>
      </w:r>
      <w:r w:rsidR="00950754">
        <w:rPr>
          <w:lang w:val="en-US"/>
        </w:rPr>
        <w:t>denga</w:t>
      </w:r>
      <w:r w:rsidRPr="00BF3FE9">
        <w:rPr>
          <w:lang w:val="en-US"/>
        </w:rPr>
        <w:t xml:space="preserve"> (dengue tetravalent vaccine (live, attenuated)) is </w:t>
      </w:r>
      <w:proofErr w:type="spellStart"/>
      <w:r w:rsidRPr="00BF3FE9">
        <w:rPr>
          <w:lang w:val="en-US"/>
        </w:rPr>
        <w:t>favourable</w:t>
      </w:r>
      <w:proofErr w:type="spellEnd"/>
      <w:r w:rsidRPr="00BF3FE9">
        <w:rPr>
          <w:lang w:val="en-US"/>
        </w:rPr>
        <w:t xml:space="preserve"> in the following indication:</w:t>
      </w:r>
    </w:p>
    <w:p w14:paraId="3C8C106A" w14:textId="17C1DBE9" w:rsidR="00BF3FE9" w:rsidRPr="00C0593C" w:rsidRDefault="00BF3FE9" w:rsidP="00C0593C">
      <w:pPr>
        <w:ind w:left="720"/>
        <w:rPr>
          <w:i/>
          <w:iCs/>
          <w:lang w:val="en-US"/>
        </w:rPr>
      </w:pPr>
      <w:r w:rsidRPr="00C0593C">
        <w:rPr>
          <w:i/>
          <w:iCs/>
          <w:lang w:val="en-US"/>
        </w:rPr>
        <w:t>Q</w:t>
      </w:r>
      <w:r w:rsidR="00950754">
        <w:rPr>
          <w:i/>
          <w:iCs/>
          <w:lang w:val="en-US"/>
        </w:rPr>
        <w:t>denga</w:t>
      </w:r>
      <w:r w:rsidRPr="00C0593C">
        <w:rPr>
          <w:i/>
          <w:iCs/>
          <w:lang w:val="en-US"/>
        </w:rPr>
        <w:t xml:space="preserve"> is indicated for the prevention of dengue disease in individuals from 4 years of age. The use of this vaccine should be in accordance with official recommendations.</w:t>
      </w:r>
    </w:p>
    <w:p w14:paraId="307F236C" w14:textId="7FD19BD3" w:rsidR="00C22214" w:rsidRPr="002E238E" w:rsidRDefault="0046285C" w:rsidP="00C22214">
      <w:pPr>
        <w:pStyle w:val="Heading2"/>
      </w:pPr>
      <w:bookmarkStart w:id="63" w:name="_Toc103679300"/>
      <w:bookmarkStart w:id="64" w:name="_Toc232600111"/>
      <w:r>
        <w:lastRenderedPageBreak/>
        <w:t>Assessment</w:t>
      </w:r>
      <w:r w:rsidR="00190853">
        <w:t xml:space="preserve"> </w:t>
      </w:r>
      <w:r>
        <w:t>o</w:t>
      </w:r>
      <w:r w:rsidR="00C22214">
        <w:t>utcome</w:t>
      </w:r>
      <w:bookmarkEnd w:id="61"/>
      <w:bookmarkEnd w:id="62"/>
      <w:bookmarkEnd w:id="63"/>
      <w:bookmarkEnd w:id="64"/>
    </w:p>
    <w:p w14:paraId="20A537BB" w14:textId="77777777" w:rsidR="005B59B8" w:rsidRDefault="00C22214" w:rsidP="00477CE1">
      <w:r w:rsidRPr="0017005C">
        <w:t xml:space="preserve">Based on a review of quality, safety, and efficacy, the TGA </w:t>
      </w:r>
      <w:r w:rsidR="00B46DFB">
        <w:t>decided to</w:t>
      </w:r>
      <w:r w:rsidRPr="0017005C">
        <w:t xml:space="preserve"> regist</w:t>
      </w:r>
      <w:r w:rsidR="00B46DFB">
        <w:t>er</w:t>
      </w:r>
      <w:r w:rsidR="005B59B8">
        <w:t xml:space="preserve">: </w:t>
      </w:r>
    </w:p>
    <w:p w14:paraId="060E2929" w14:textId="1B1099BB" w:rsidR="00F74754" w:rsidRDefault="005B59B8" w:rsidP="008E3121">
      <w:pPr>
        <w:pStyle w:val="ListBullet"/>
      </w:pPr>
      <w:r w:rsidRPr="005B59B8">
        <w:t xml:space="preserve">484846 </w:t>
      </w:r>
      <w:r>
        <w:t>–</w:t>
      </w:r>
      <w:r w:rsidRPr="005B59B8">
        <w:t xml:space="preserve"> Q</w:t>
      </w:r>
      <w:r>
        <w:t>denga (</w:t>
      </w:r>
      <w:r w:rsidRPr="005B59B8">
        <w:t>dengue tetravalent vaccine (live, attenuated) dengue virus</w:t>
      </w:r>
      <w:r w:rsidR="00F74754">
        <w:t xml:space="preserve"> </w:t>
      </w:r>
      <w:r w:rsidRPr="005B59B8">
        <w:t>serotypes 1, 2, 3, and 4</w:t>
      </w:r>
      <w:r>
        <w:t>)</w:t>
      </w:r>
      <w:r w:rsidRPr="005B59B8">
        <w:t>, powder (vial) &amp; solvent (vial) for injectio</w:t>
      </w:r>
      <w:r w:rsidR="00F74754">
        <w:t>n</w:t>
      </w:r>
    </w:p>
    <w:p w14:paraId="4EF22939" w14:textId="7778B49B" w:rsidR="00C22214" w:rsidRDefault="005B59B8" w:rsidP="008E3121">
      <w:pPr>
        <w:pStyle w:val="ListBullet"/>
      </w:pPr>
      <w:r w:rsidRPr="005B59B8">
        <w:t>506646 - Q</w:t>
      </w:r>
      <w:r w:rsidR="006C7951">
        <w:t>denga</w:t>
      </w:r>
      <w:r w:rsidRPr="005B59B8">
        <w:t xml:space="preserve"> </w:t>
      </w:r>
      <w:r w:rsidR="00F74754">
        <w:t>(</w:t>
      </w:r>
      <w:r w:rsidRPr="005B59B8">
        <w:t>dengue tetravalent vaccine (live, attenuated) dengue virus</w:t>
      </w:r>
      <w:r w:rsidR="00F74754">
        <w:t xml:space="preserve"> </w:t>
      </w:r>
      <w:r w:rsidRPr="005B59B8">
        <w:t>serotypes 1, 2, 3, and 4</w:t>
      </w:r>
      <w:r w:rsidR="00F74754">
        <w:t>)</w:t>
      </w:r>
      <w:r w:rsidRPr="005B59B8">
        <w:t>, powder (vial) &amp; solvent (PFS) for injection</w:t>
      </w:r>
    </w:p>
    <w:p w14:paraId="3805DEBD" w14:textId="363C21B1" w:rsidR="003B6B9D" w:rsidRDefault="003B6B9D" w:rsidP="003B6B9D">
      <w:pPr>
        <w:pStyle w:val="ListBullet"/>
        <w:numPr>
          <w:ilvl w:val="0"/>
          <w:numId w:val="0"/>
        </w:numPr>
      </w:pPr>
      <w:r w:rsidRPr="003B6B9D">
        <w:t>indicated for</w:t>
      </w:r>
      <w:r w:rsidR="006C7951">
        <w:t xml:space="preserve">: </w:t>
      </w:r>
    </w:p>
    <w:p w14:paraId="76E8A76F" w14:textId="4DF1E175" w:rsidR="0070156B" w:rsidRPr="0070156B" w:rsidRDefault="0070156B" w:rsidP="0070156B">
      <w:pPr>
        <w:ind w:left="720"/>
        <w:rPr>
          <w:i/>
          <w:iCs/>
        </w:rPr>
      </w:pPr>
      <w:r w:rsidRPr="0070156B">
        <w:rPr>
          <w:i/>
          <w:iCs/>
        </w:rPr>
        <w:t>Q</w:t>
      </w:r>
      <w:r w:rsidR="00950754">
        <w:rPr>
          <w:i/>
          <w:iCs/>
        </w:rPr>
        <w:t>denga</w:t>
      </w:r>
      <w:r w:rsidRPr="0070156B">
        <w:rPr>
          <w:i/>
          <w:iCs/>
        </w:rPr>
        <w:t xml:space="preserve"> is indicated for the prevention of dengue disease in individuals from 4 years of</w:t>
      </w:r>
    </w:p>
    <w:p w14:paraId="566C3805" w14:textId="77777777" w:rsidR="0070156B" w:rsidRPr="0070156B" w:rsidRDefault="0070156B" w:rsidP="0070156B">
      <w:pPr>
        <w:ind w:left="720"/>
        <w:rPr>
          <w:i/>
          <w:iCs/>
        </w:rPr>
      </w:pPr>
      <w:r w:rsidRPr="0070156B">
        <w:rPr>
          <w:i/>
          <w:iCs/>
        </w:rPr>
        <w:t>age.</w:t>
      </w:r>
    </w:p>
    <w:p w14:paraId="2DCAFF62" w14:textId="10AE0AD6" w:rsidR="0070156B" w:rsidRPr="0070156B" w:rsidRDefault="0070156B" w:rsidP="0070156B">
      <w:pPr>
        <w:ind w:left="720"/>
        <w:rPr>
          <w:i/>
          <w:iCs/>
        </w:rPr>
      </w:pPr>
      <w:r w:rsidRPr="0070156B">
        <w:rPr>
          <w:i/>
          <w:iCs/>
        </w:rPr>
        <w:t>The use of this vaccine should be in accordance with official recommendations.</w:t>
      </w:r>
    </w:p>
    <w:p w14:paraId="0D732DA4" w14:textId="74882685" w:rsidR="00854D98" w:rsidRPr="00D23139" w:rsidRDefault="00854D98" w:rsidP="00B30BA4">
      <w:pPr>
        <w:pStyle w:val="Heading3"/>
      </w:pPr>
      <w:bookmarkStart w:id="65" w:name="_Toc103679301"/>
      <w:bookmarkStart w:id="66" w:name="_Toc232600112"/>
      <w:r w:rsidRPr="00D23139">
        <w:t>Specific conditions of registration</w:t>
      </w:r>
      <w:bookmarkEnd w:id="66"/>
      <w:r w:rsidRPr="00D23139">
        <w:t xml:space="preserve"> </w:t>
      </w:r>
      <w:bookmarkEnd w:id="65"/>
    </w:p>
    <w:p w14:paraId="25E3CBE1" w14:textId="3FDDB2B7" w:rsidR="00050088" w:rsidRPr="00050088" w:rsidRDefault="00050088" w:rsidP="008E3121">
      <w:pPr>
        <w:pStyle w:val="ListBullet"/>
      </w:pPr>
      <w:r w:rsidRPr="00050088">
        <w:t>Q</w:t>
      </w:r>
      <w:r w:rsidR="00950754">
        <w:t>denga</w:t>
      </w:r>
      <w:r w:rsidRPr="00050088">
        <w:t xml:space="preserve"> (dengue tetravalent vaccine (live, attenuated)) is to be included in the Black</w:t>
      </w:r>
      <w:r w:rsidR="006F37A6">
        <w:t xml:space="preserve"> </w:t>
      </w:r>
      <w:r w:rsidRPr="00050088">
        <w:t>Triangle Scheme. The PI and CMI for Q</w:t>
      </w:r>
      <w:r w:rsidR="006F37A6">
        <w:t>denga</w:t>
      </w:r>
      <w:r w:rsidRPr="00050088">
        <w:t xml:space="preserve"> must include the black triangle symbol</w:t>
      </w:r>
      <w:r w:rsidR="006F37A6">
        <w:t xml:space="preserve"> </w:t>
      </w:r>
      <w:r w:rsidRPr="00050088">
        <w:t>and mandatory accompanying text for five years, which starts from the date of first</w:t>
      </w:r>
      <w:r w:rsidR="006F37A6">
        <w:t xml:space="preserve"> </w:t>
      </w:r>
      <w:r w:rsidRPr="00050088">
        <w:t>supply of the product.</w:t>
      </w:r>
    </w:p>
    <w:p w14:paraId="6A185476" w14:textId="27E02174" w:rsidR="00050088" w:rsidRPr="00050088" w:rsidRDefault="00050088" w:rsidP="008E3121">
      <w:pPr>
        <w:pStyle w:val="ListBullet"/>
      </w:pPr>
      <w:r w:rsidRPr="00050088">
        <w:t xml:space="preserve">The Qdenga EU-Risk Management Plan (RMP) version 3.0 </w:t>
      </w:r>
      <w:r w:rsidR="006F37A6">
        <w:t>(</w:t>
      </w:r>
      <w:r w:rsidRPr="00050088">
        <w:t>dated 11 October 2024,</w:t>
      </w:r>
      <w:r w:rsidR="006F37A6">
        <w:t xml:space="preserve"> </w:t>
      </w:r>
      <w:r w:rsidRPr="00050088">
        <w:t>data lock point 29 February 2024), with Australia-Specific Annex (ASA) version 1.1</w:t>
      </w:r>
      <w:r w:rsidR="006F37A6">
        <w:t xml:space="preserve"> (</w:t>
      </w:r>
      <w:r w:rsidRPr="00050088">
        <w:t>dated 06 November 2025), included with submission PM-2025-00874-1-2 and any</w:t>
      </w:r>
      <w:r w:rsidR="006F37A6">
        <w:t xml:space="preserve"> </w:t>
      </w:r>
      <w:r w:rsidRPr="00050088">
        <w:t>subsequent revisions, as agreed with the TGA will be implemented in Australia.</w:t>
      </w:r>
    </w:p>
    <w:p w14:paraId="3D8130AB" w14:textId="77777777" w:rsidR="0052500A" w:rsidRDefault="00050088" w:rsidP="008E3121">
      <w:pPr>
        <w:pStyle w:val="ListBullet"/>
      </w:pPr>
      <w:r w:rsidRPr="00050088">
        <w:t>An obligatory component of risk management plans is routine pharmacovigilance.</w:t>
      </w:r>
      <w:r w:rsidR="003E4B42">
        <w:t xml:space="preserve"> </w:t>
      </w:r>
      <w:r w:rsidRPr="00050088">
        <w:t>Routine pharmacovigilance includes the submission of periodic safety update reports</w:t>
      </w:r>
      <w:r w:rsidR="003E4B42">
        <w:t xml:space="preserve"> </w:t>
      </w:r>
      <w:r w:rsidRPr="00050088">
        <w:t>(PSURs).</w:t>
      </w:r>
      <w:r w:rsidR="003E4B42">
        <w:t xml:space="preserve"> </w:t>
      </w:r>
    </w:p>
    <w:p w14:paraId="7090FC94" w14:textId="77777777" w:rsidR="0007201D" w:rsidRDefault="00050088" w:rsidP="0007201D">
      <w:pPr>
        <w:pStyle w:val="ListBullet"/>
        <w:numPr>
          <w:ilvl w:val="0"/>
          <w:numId w:val="0"/>
        </w:numPr>
        <w:ind w:left="360"/>
      </w:pPr>
      <w:r w:rsidRPr="00050088">
        <w:t>Reports are to be provided in line with the current published list of EU reference dates</w:t>
      </w:r>
      <w:r w:rsidR="0052500A">
        <w:t xml:space="preserve"> </w:t>
      </w:r>
      <w:r w:rsidRPr="00050088">
        <w:t>and frequency of submission of PSURs until the period covered by such reports is not</w:t>
      </w:r>
      <w:r w:rsidR="000B4229">
        <w:t xml:space="preserve"> </w:t>
      </w:r>
      <w:r w:rsidRPr="00050088">
        <w:t>less than three years from the date of this approval letter. Each report must be</w:t>
      </w:r>
      <w:r w:rsidR="000B4229">
        <w:t xml:space="preserve"> </w:t>
      </w:r>
      <w:r w:rsidRPr="00050088">
        <w:t>submitted within ninety calendar days of the data lock point for that report.</w:t>
      </w:r>
      <w:r w:rsidR="0007201D">
        <w:t xml:space="preserve"> </w:t>
      </w:r>
    </w:p>
    <w:p w14:paraId="5DA5C15A" w14:textId="4E872246" w:rsidR="00050088" w:rsidRPr="00050088" w:rsidRDefault="00050088" w:rsidP="00C5786B">
      <w:pPr>
        <w:pStyle w:val="ListBullet"/>
        <w:numPr>
          <w:ilvl w:val="0"/>
          <w:numId w:val="0"/>
        </w:numPr>
        <w:ind w:left="360"/>
      </w:pPr>
      <w:r w:rsidRPr="00050088">
        <w:t>The reports are to at least meet the requirements for PSURs as described in the</w:t>
      </w:r>
      <w:r w:rsidR="0007201D">
        <w:t xml:space="preserve"> </w:t>
      </w:r>
      <w:r w:rsidRPr="00050088">
        <w:t>European Medicines Agency’s Guideline on good pharmacovigilance practices (GVP)</w:t>
      </w:r>
      <w:r w:rsidR="0007201D">
        <w:t xml:space="preserve"> </w:t>
      </w:r>
      <w:r w:rsidRPr="00050088">
        <w:t>Module VII-periodic safety update report (Rev 1), Part VII.B Structures and processes.</w:t>
      </w:r>
      <w:r w:rsidR="00C5786B">
        <w:t xml:space="preserve"> </w:t>
      </w:r>
      <w:r w:rsidRPr="00050088">
        <w:t>Note that submission of a PSUR does not constitute an application to vary the</w:t>
      </w:r>
      <w:r w:rsidR="00C5786B">
        <w:t xml:space="preserve"> </w:t>
      </w:r>
      <w:r w:rsidRPr="00050088">
        <w:t>registration.</w:t>
      </w:r>
    </w:p>
    <w:p w14:paraId="21DBB287" w14:textId="77777777" w:rsidR="00600087" w:rsidRPr="00600087" w:rsidRDefault="00050088" w:rsidP="00C5786B">
      <w:pPr>
        <w:pStyle w:val="ListBullet"/>
      </w:pPr>
      <w:r w:rsidRPr="00050088">
        <w:rPr>
          <w:b/>
          <w:bCs/>
        </w:rPr>
        <w:t>GMP clearance for listed manufacturers</w:t>
      </w:r>
    </w:p>
    <w:p w14:paraId="2BB163D0" w14:textId="501DD06D" w:rsidR="00050088" w:rsidRPr="00050088" w:rsidRDefault="00050088" w:rsidP="00600087">
      <w:pPr>
        <w:pStyle w:val="ListBullet"/>
        <w:numPr>
          <w:ilvl w:val="0"/>
          <w:numId w:val="0"/>
        </w:numPr>
        <w:ind w:left="360"/>
      </w:pPr>
      <w:r w:rsidRPr="00050088">
        <w:t>All relevant manufacturing sites require</w:t>
      </w:r>
      <w:r w:rsidR="00600087">
        <w:t xml:space="preserve"> </w:t>
      </w:r>
      <w:r w:rsidRPr="00050088">
        <w:t>approved and current GMP Clearances prior to Australian supply. A commitment is</w:t>
      </w:r>
      <w:r w:rsidR="00600087">
        <w:t xml:space="preserve"> </w:t>
      </w:r>
      <w:r w:rsidRPr="00050088">
        <w:t>required from the Sponsor that they maintain the validity of all manufacturer GMP</w:t>
      </w:r>
      <w:r w:rsidR="00600087">
        <w:t xml:space="preserve"> </w:t>
      </w:r>
      <w:r w:rsidRPr="00050088">
        <w:t>Clearances for the duration of product supply to Australia. Additionally, that adherence</w:t>
      </w:r>
      <w:r w:rsidR="00600087">
        <w:t xml:space="preserve"> </w:t>
      </w:r>
      <w:r w:rsidRPr="00050088">
        <w:t>to the conditions of GMP Clearance approval is upheld.</w:t>
      </w:r>
    </w:p>
    <w:p w14:paraId="4F4EE087" w14:textId="48DD25E9" w:rsidR="00050088" w:rsidRPr="00600087" w:rsidRDefault="53EC5DBC" w:rsidP="00600087">
      <w:pPr>
        <w:pStyle w:val="ListBullet"/>
        <w:rPr>
          <w:b/>
          <w:bCs/>
        </w:rPr>
      </w:pPr>
      <w:r w:rsidRPr="20354C9F">
        <w:rPr>
          <w:b/>
          <w:bCs/>
        </w:rPr>
        <w:t xml:space="preserve">Batch </w:t>
      </w:r>
      <w:r w:rsidR="00F046E5" w:rsidRPr="20354C9F">
        <w:rPr>
          <w:b/>
          <w:bCs/>
        </w:rPr>
        <w:t>release testing and com</w:t>
      </w:r>
      <w:r w:rsidRPr="20354C9F">
        <w:rPr>
          <w:b/>
          <w:bCs/>
        </w:rPr>
        <w:t>pliance</w:t>
      </w:r>
    </w:p>
    <w:p w14:paraId="20087D34" w14:textId="77777777" w:rsidR="00050088" w:rsidRPr="00050088" w:rsidRDefault="00050088" w:rsidP="00B34818">
      <w:pPr>
        <w:ind w:left="360"/>
      </w:pPr>
      <w:r w:rsidRPr="00050088">
        <w:t>It is a condition of registration that all independent manufacturing batches of:</w:t>
      </w:r>
    </w:p>
    <w:p w14:paraId="29E9162F" w14:textId="57F8FBA9" w:rsidR="00050088" w:rsidRPr="00050088" w:rsidRDefault="00050088" w:rsidP="008E3121">
      <w:pPr>
        <w:pStyle w:val="ListBullet2"/>
      </w:pPr>
      <w:r w:rsidRPr="00050088">
        <w:t>Q</w:t>
      </w:r>
      <w:r w:rsidR="00950754">
        <w:t>denga</w:t>
      </w:r>
      <w:r w:rsidRPr="00050088">
        <w:t xml:space="preserve"> dengue tetravalent vaccine (live, attenuated) powder (vial) &amp; solvent</w:t>
      </w:r>
      <w:r w:rsidR="00ED50F1">
        <w:t xml:space="preserve"> </w:t>
      </w:r>
      <w:r w:rsidRPr="00050088">
        <w:t>(vial) for injection [ARTG 484846]; and</w:t>
      </w:r>
    </w:p>
    <w:p w14:paraId="4B4016AA" w14:textId="27887407" w:rsidR="00050088" w:rsidRPr="00050088" w:rsidRDefault="00050088" w:rsidP="008E3121">
      <w:pPr>
        <w:pStyle w:val="ListBullet2"/>
      </w:pPr>
      <w:r w:rsidRPr="00050088">
        <w:t>Q</w:t>
      </w:r>
      <w:r w:rsidR="00950754">
        <w:t>denga</w:t>
      </w:r>
      <w:r w:rsidRPr="00050088">
        <w:t xml:space="preserve"> dengue tetravalent vaccine (live, attenuated) powder (vial) &amp; solvent</w:t>
      </w:r>
      <w:r w:rsidR="00ED50F1">
        <w:t xml:space="preserve"> </w:t>
      </w:r>
      <w:r w:rsidRPr="00050088">
        <w:t>(PFS) for injection [ARTG 506646]</w:t>
      </w:r>
    </w:p>
    <w:p w14:paraId="36E4C87B" w14:textId="110FB482" w:rsidR="00050088" w:rsidRPr="00050088" w:rsidRDefault="00050088" w:rsidP="00050088">
      <w:r w:rsidRPr="00050088">
        <w:lastRenderedPageBreak/>
        <w:t>vaccines imported into Australia are not released for sale until samples and the</w:t>
      </w:r>
      <w:r w:rsidR="00831EBE">
        <w:t xml:space="preserve"> </w:t>
      </w:r>
      <w:r w:rsidRPr="00050088">
        <w:t>manufacturer’s release data have been assessed and you have received notification</w:t>
      </w:r>
      <w:r w:rsidR="00831EBE">
        <w:t xml:space="preserve"> </w:t>
      </w:r>
      <w:r w:rsidRPr="00050088">
        <w:t>acknowledging release from the Laboratories Branch, TGA.</w:t>
      </w:r>
    </w:p>
    <w:p w14:paraId="51CDA97E" w14:textId="6259820A" w:rsidR="00050088" w:rsidRPr="00050088" w:rsidRDefault="00050088" w:rsidP="00050088">
      <w:r w:rsidRPr="00050088">
        <w:t>For each independent batch of the product imported into Australia, the Sponsor must</w:t>
      </w:r>
      <w:r w:rsidR="005E6ADC">
        <w:t xml:space="preserve"> </w:t>
      </w:r>
      <w:r w:rsidRPr="00050088">
        <w:t>supply the following:</w:t>
      </w:r>
    </w:p>
    <w:p w14:paraId="59EC1C45" w14:textId="1A2765A9" w:rsidR="00050088" w:rsidRPr="00050088" w:rsidRDefault="00050088" w:rsidP="00F046E5">
      <w:pPr>
        <w:pStyle w:val="ListBullet"/>
      </w:pPr>
      <w:r w:rsidRPr="00050088">
        <w:t xml:space="preserve">A completed Request for Release Form, available from </w:t>
      </w:r>
      <w:hyperlink r:id="rId35" w:history="1">
        <w:r w:rsidR="005E6ADC" w:rsidRPr="00822FE2">
          <w:rPr>
            <w:rStyle w:val="Hyperlink"/>
          </w:rPr>
          <w:t>vaccines@health.gov.au</w:t>
        </w:r>
      </w:hyperlink>
      <w:r w:rsidR="005E6ADC">
        <w:t xml:space="preserve"> </w:t>
      </w:r>
    </w:p>
    <w:p w14:paraId="31EF8BC8" w14:textId="71090B09" w:rsidR="00050088" w:rsidRPr="00050088" w:rsidRDefault="00050088" w:rsidP="00F046E5">
      <w:pPr>
        <w:pStyle w:val="ListBullet"/>
      </w:pPr>
      <w:r w:rsidRPr="00050088">
        <w:t>Complete summary protocols for manufacture and QC, including all steps in</w:t>
      </w:r>
      <w:r w:rsidR="00211F32">
        <w:t xml:space="preserve"> </w:t>
      </w:r>
      <w:r w:rsidRPr="00050088">
        <w:t>production in the agreed format.</w:t>
      </w:r>
    </w:p>
    <w:p w14:paraId="4BE17AE5" w14:textId="08331048" w:rsidR="00050088" w:rsidRPr="00050088" w:rsidRDefault="00050088" w:rsidP="00F046E5">
      <w:pPr>
        <w:pStyle w:val="ListBullet"/>
      </w:pPr>
      <w:r w:rsidRPr="00050088">
        <w:t>At least 3 (three) vials or PFS (Samples) of each manufacturing batch of Q</w:t>
      </w:r>
      <w:r w:rsidR="00BA233C">
        <w:t xml:space="preserve">denga </w:t>
      </w:r>
      <w:r w:rsidRPr="00050088">
        <w:t>dengue tetravalent vaccine (live, attenuated) with the Australian approved labels,</w:t>
      </w:r>
      <w:r w:rsidR="008A6FD6">
        <w:t xml:space="preserve"> </w:t>
      </w:r>
      <w:r w:rsidRPr="00050088">
        <w:t>PI and packaging (unless an exemption to supply these has been granted)</w:t>
      </w:r>
      <w:r w:rsidR="008A6FD6">
        <w:t xml:space="preserve"> </w:t>
      </w:r>
      <w:r w:rsidRPr="00050088">
        <w:t>representative of all batches of product seeking distribution in Australia.</w:t>
      </w:r>
    </w:p>
    <w:p w14:paraId="61E0D4C5" w14:textId="7163002A" w:rsidR="00050088" w:rsidRPr="00050088" w:rsidRDefault="00050088" w:rsidP="00F046E5">
      <w:pPr>
        <w:pStyle w:val="ListBullet"/>
      </w:pPr>
      <w:r w:rsidRPr="00050088">
        <w:t>At least 1 (one) vial or PFS (Sample) of any further consignments of a</w:t>
      </w:r>
      <w:r w:rsidR="008A6FD6">
        <w:t xml:space="preserve"> </w:t>
      </w:r>
      <w:r w:rsidRPr="00050088">
        <w:t>manufacturing batch of Q</w:t>
      </w:r>
      <w:r w:rsidR="008A6FD6">
        <w:t>denga</w:t>
      </w:r>
      <w:r w:rsidRPr="00050088">
        <w:t xml:space="preserve"> dengue tetravalent vaccine (live, attenuated)</w:t>
      </w:r>
      <w:r w:rsidR="008A6FD6">
        <w:t xml:space="preserve"> </w:t>
      </w:r>
      <w:r w:rsidRPr="00050088">
        <w:t>with the Australian approved labels, PI and packaging (unless an exemption to</w:t>
      </w:r>
      <w:r w:rsidR="00BF4F76">
        <w:t xml:space="preserve"> </w:t>
      </w:r>
      <w:r w:rsidRPr="00050088">
        <w:t xml:space="preserve">supply these has been granted). Further </w:t>
      </w:r>
      <w:r w:rsidR="00BF4F76">
        <w:t>c</w:t>
      </w:r>
      <w:r w:rsidRPr="00050088">
        <w:t>onsignments cover batches previously</w:t>
      </w:r>
      <w:r w:rsidR="00BF4F76">
        <w:t xml:space="preserve"> </w:t>
      </w:r>
      <w:r w:rsidRPr="00050088">
        <w:t>supplied to TGA for the purposes of batch release testing but are seeking to be</w:t>
      </w:r>
      <w:r w:rsidR="003D3DBE">
        <w:t xml:space="preserve"> </w:t>
      </w:r>
      <w:r w:rsidRPr="00050088">
        <w:t>supplied again.</w:t>
      </w:r>
    </w:p>
    <w:p w14:paraId="74256187" w14:textId="361FC8AC" w:rsidR="00050088" w:rsidRPr="00050088" w:rsidRDefault="00050088" w:rsidP="00F046E5">
      <w:pPr>
        <w:pStyle w:val="ListBullet"/>
      </w:pPr>
      <w:r w:rsidRPr="00050088">
        <w:t>If the manufacturing batch has been released in Europe or United Kingdom a copy</w:t>
      </w:r>
      <w:r w:rsidR="003D3DBE">
        <w:t xml:space="preserve"> </w:t>
      </w:r>
      <w:r w:rsidRPr="00050088">
        <w:t>of the EU Official Control Authority Batch Release (OCABR) certificate (or</w:t>
      </w:r>
      <w:r w:rsidR="003D3DBE">
        <w:t xml:space="preserve"> </w:t>
      </w:r>
      <w:r w:rsidRPr="00050088">
        <w:t>equivalent from the UK) must be provided.</w:t>
      </w:r>
    </w:p>
    <w:p w14:paraId="0C234E9C" w14:textId="07A20F49" w:rsidR="00050088" w:rsidRPr="00050088" w:rsidRDefault="00050088" w:rsidP="00F046E5">
      <w:pPr>
        <w:pStyle w:val="ListBullet"/>
      </w:pPr>
      <w:r w:rsidRPr="00050088">
        <w:t>Any reagents, reference material and standards required to undertake testing, as</w:t>
      </w:r>
      <w:r w:rsidR="0034170B">
        <w:t xml:space="preserve"> </w:t>
      </w:r>
      <w:r w:rsidRPr="00050088">
        <w:t>requested by Laboratories Branch, TGA.</w:t>
      </w:r>
    </w:p>
    <w:p w14:paraId="6751A870" w14:textId="57BDAD64" w:rsidR="00050088" w:rsidRPr="00050088" w:rsidRDefault="00050088" w:rsidP="00050088">
      <w:r w:rsidRPr="00050088">
        <w:t>Sponsors must provide all requested Samples and data in sufficient time (at least 5</w:t>
      </w:r>
      <w:r w:rsidR="0034170B">
        <w:t xml:space="preserve"> </w:t>
      </w:r>
      <w:r w:rsidRPr="00050088">
        <w:t>(five) business days) prior to any distribution date to allow the TGA to perform testing</w:t>
      </w:r>
      <w:r w:rsidR="0034170B">
        <w:t xml:space="preserve"> </w:t>
      </w:r>
      <w:r w:rsidRPr="00050088">
        <w:t>and review. Distribution of each batch of vaccine is conditional upon fulfilment of these</w:t>
      </w:r>
      <w:r w:rsidR="00B9760D">
        <w:t xml:space="preserve"> </w:t>
      </w:r>
      <w:r w:rsidRPr="00050088">
        <w:t>conditions and receipt of a letter from the Laboratories Branch acknowledging release.</w:t>
      </w:r>
    </w:p>
    <w:p w14:paraId="3849AD4C" w14:textId="1C2DC538" w:rsidR="00050088" w:rsidRPr="00050088" w:rsidRDefault="00050088" w:rsidP="00050088">
      <w:r w:rsidRPr="00050088">
        <w:t>Samples and data should be forwarded to the Biotherapeutics Section, Laboratories</w:t>
      </w:r>
      <w:r w:rsidR="00B9760D">
        <w:t xml:space="preserve"> </w:t>
      </w:r>
      <w:r w:rsidRPr="00050088">
        <w:t>Branch before release of each batch and with sufficient lead time to allow for</w:t>
      </w:r>
      <w:r w:rsidR="00B9760D">
        <w:t xml:space="preserve"> </w:t>
      </w:r>
      <w:r w:rsidRPr="00050088">
        <w:t>Laboratories Branch testing. The address for courier delivery is:</w:t>
      </w:r>
    </w:p>
    <w:p w14:paraId="7D8A0F8D" w14:textId="7C2CA917" w:rsidR="00050088" w:rsidRPr="00050088" w:rsidRDefault="00050088" w:rsidP="00B9760D">
      <w:pPr>
        <w:spacing w:after="0" w:line="240" w:lineRule="auto"/>
        <w:ind w:left="720"/>
        <w:rPr>
          <w:b/>
          <w:bCs/>
        </w:rPr>
      </w:pPr>
      <w:r w:rsidRPr="00050088">
        <w:rPr>
          <w:b/>
          <w:bCs/>
        </w:rPr>
        <w:t>ATTN: Batch Release Coordinator</w:t>
      </w:r>
    </w:p>
    <w:p w14:paraId="34839759" w14:textId="701C97D9" w:rsidR="00050088" w:rsidRPr="00050088" w:rsidRDefault="00050088" w:rsidP="00B9760D">
      <w:pPr>
        <w:spacing w:after="0" w:line="240" w:lineRule="auto"/>
        <w:ind w:left="720"/>
      </w:pPr>
      <w:r w:rsidRPr="00050088">
        <w:t>Batch Release Unit</w:t>
      </w:r>
    </w:p>
    <w:p w14:paraId="37520660" w14:textId="062677C0" w:rsidR="00050088" w:rsidRPr="00050088" w:rsidRDefault="00050088" w:rsidP="00B9760D">
      <w:pPr>
        <w:spacing w:after="0" w:line="240" w:lineRule="auto"/>
        <w:ind w:left="720"/>
      </w:pPr>
      <w:r w:rsidRPr="00050088">
        <w:t>TGA Laboratories Branch</w:t>
      </w:r>
    </w:p>
    <w:p w14:paraId="60CB70EE" w14:textId="22001FB4" w:rsidR="00050088" w:rsidRPr="00050088" w:rsidRDefault="00050088" w:rsidP="00B9760D">
      <w:pPr>
        <w:spacing w:after="0" w:line="240" w:lineRule="auto"/>
        <w:ind w:left="720"/>
      </w:pPr>
      <w:r w:rsidRPr="00050088">
        <w:t>1 Tindal Lane</w:t>
      </w:r>
    </w:p>
    <w:p w14:paraId="312E1430" w14:textId="4A3F9999" w:rsidR="00D03D11" w:rsidRDefault="00050088" w:rsidP="00D03D11">
      <w:pPr>
        <w:spacing w:after="0" w:line="240" w:lineRule="auto"/>
        <w:ind w:left="720"/>
      </w:pPr>
      <w:r w:rsidRPr="00050088">
        <w:t>Canberra Airport, ACT 2609</w:t>
      </w:r>
    </w:p>
    <w:p w14:paraId="1E61C20A" w14:textId="04F469E9" w:rsidR="00D03D11" w:rsidRDefault="00D03D11" w:rsidP="00D03D11">
      <w:pPr>
        <w:spacing w:after="0" w:line="240" w:lineRule="auto"/>
        <w:ind w:left="720"/>
      </w:pPr>
    </w:p>
    <w:p w14:paraId="7EDBE2CC" w14:textId="79579CFA" w:rsidR="00050088" w:rsidRPr="00050088" w:rsidRDefault="00050088" w:rsidP="00D03D11">
      <w:pPr>
        <w:spacing w:after="0" w:line="240" w:lineRule="auto"/>
      </w:pPr>
      <w:r w:rsidRPr="00050088">
        <w:t>The shipments (including reagents) to TGA are the responsibility of the Australian</w:t>
      </w:r>
      <w:r w:rsidR="000C0231">
        <w:t xml:space="preserve"> </w:t>
      </w:r>
      <w:r w:rsidRPr="00050088">
        <w:t>Sponsor/Agent who will be required to facilitate the import and customs clearance</w:t>
      </w:r>
      <w:r w:rsidR="000C0231">
        <w:t xml:space="preserve"> </w:t>
      </w:r>
      <w:r w:rsidRPr="00050088">
        <w:t>process.</w:t>
      </w:r>
    </w:p>
    <w:p w14:paraId="5498B587" w14:textId="6CEE5883" w:rsidR="00050088" w:rsidRPr="000C0231" w:rsidRDefault="00050088" w:rsidP="000C0231">
      <w:pPr>
        <w:pStyle w:val="ListBullet"/>
        <w:rPr>
          <w:b/>
          <w:bCs/>
        </w:rPr>
      </w:pPr>
      <w:r w:rsidRPr="000C0231">
        <w:rPr>
          <w:b/>
          <w:bCs/>
        </w:rPr>
        <w:t>Certified Product Details</w:t>
      </w:r>
    </w:p>
    <w:p w14:paraId="2B1D18DB" w14:textId="78DE46CB" w:rsidR="00050088" w:rsidRPr="00F73346" w:rsidRDefault="53EC5DBC" w:rsidP="00050088">
      <w:r>
        <w:t>An electronic copy of the Certified Product Details (CPD) as described in Guidance 7:</w:t>
      </w:r>
      <w:r w:rsidR="41B3FFEE">
        <w:t xml:space="preserve"> </w:t>
      </w:r>
      <w:r>
        <w:t>Certified Product Details of the Australian Regulatory Guidelines for Prescription</w:t>
      </w:r>
      <w:r w:rsidR="41B3FFEE">
        <w:t xml:space="preserve"> </w:t>
      </w:r>
      <w:r>
        <w:t xml:space="preserve">Medicines (ARGPM) </w:t>
      </w:r>
      <w:hyperlink r:id="rId36">
        <w:r w:rsidR="41B3FFEE" w:rsidRPr="20354C9F">
          <w:rPr>
            <w:rStyle w:val="Hyperlink"/>
          </w:rPr>
          <w:t>https://www.tga.gov.au/guidance-7-certified-product-details</w:t>
        </w:r>
      </w:hyperlink>
      <w:r w:rsidR="41B3FFEE">
        <w:t xml:space="preserve"> </w:t>
      </w:r>
      <w:r>
        <w:t>should be provided upon registration of the therapeutic good. In addition, an updated</w:t>
      </w:r>
      <w:r w:rsidR="41B3FFEE">
        <w:t xml:space="preserve"> </w:t>
      </w:r>
      <w:r>
        <w:t>CPD, for the above products incorporating the approved changes is to be provided within</w:t>
      </w:r>
      <w:r w:rsidR="41B3FFEE">
        <w:t xml:space="preserve"> </w:t>
      </w:r>
      <w:r>
        <w:t>one month of the date of approval letter. A template for preparation of CPD for biological</w:t>
      </w:r>
      <w:r w:rsidR="41B3FFEE">
        <w:t xml:space="preserve"> </w:t>
      </w:r>
      <w:r>
        <w:t>prescription medicines and Vaccines can be obtained from the TGA website</w:t>
      </w:r>
      <w:r w:rsidR="41B3FFEE">
        <w:t xml:space="preserve"> </w:t>
      </w:r>
      <w:hyperlink r:id="rId37">
        <w:r w:rsidR="0321B573" w:rsidRPr="20354C9F">
          <w:rPr>
            <w:rStyle w:val="Hyperlink"/>
          </w:rPr>
          <w:t>https://www.tga.gov.au/form/certified-product-details-cpd-biological-prescriptionmedicines</w:t>
        </w:r>
      </w:hyperlink>
      <w:r w:rsidR="0321B573">
        <w:t xml:space="preserve">. </w:t>
      </w:r>
      <w:r>
        <w:t xml:space="preserve">The CPD should be sent as a </w:t>
      </w:r>
      <w:r w:rsidRPr="20354C9F">
        <w:rPr>
          <w:b/>
          <w:bCs/>
        </w:rPr>
        <w:t xml:space="preserve">single bookmarked PDF </w:t>
      </w:r>
      <w:r>
        <w:lastRenderedPageBreak/>
        <w:t>document to</w:t>
      </w:r>
      <w:r w:rsidR="0321B573">
        <w:t xml:space="preserve"> </w:t>
      </w:r>
      <w:hyperlink r:id="rId38">
        <w:r w:rsidR="0321B573" w:rsidRPr="20354C9F">
          <w:rPr>
            <w:rStyle w:val="Hyperlink"/>
          </w:rPr>
          <w:t>Vaccines@health.gov.au</w:t>
        </w:r>
      </w:hyperlink>
      <w:r w:rsidR="0321B573">
        <w:t xml:space="preserve"> </w:t>
      </w:r>
      <w:r>
        <w:t xml:space="preserve"> as soon as possible after registration/approval of the product or</w:t>
      </w:r>
      <w:r w:rsidR="0321B573">
        <w:t xml:space="preserve"> </w:t>
      </w:r>
      <w:r>
        <w:t>any subsequent changes as indicated above.</w:t>
      </w:r>
    </w:p>
    <w:p w14:paraId="0F9C1952" w14:textId="6CA64D18" w:rsidR="00BA657C" w:rsidRPr="00BA657C" w:rsidRDefault="00B30BA4" w:rsidP="00092BFF">
      <w:pPr>
        <w:pStyle w:val="Heading3"/>
      </w:pPr>
      <w:bookmarkStart w:id="67" w:name="_Toc196738290"/>
      <w:bookmarkStart w:id="68" w:name="_Toc232600113"/>
      <w:r>
        <w:t xml:space="preserve">Product </w:t>
      </w:r>
      <w:r w:rsidR="00BA657C" w:rsidRPr="00BA657C">
        <w:t>and Consumer Medicine Information</w:t>
      </w:r>
      <w:bookmarkEnd w:id="68"/>
      <w:r w:rsidR="00BA657C" w:rsidRPr="00BA657C">
        <w:t xml:space="preserve"> </w:t>
      </w:r>
      <w:bookmarkEnd w:id="67"/>
    </w:p>
    <w:p w14:paraId="40740B65" w14:textId="3B7629B9" w:rsidR="00C22214" w:rsidRPr="008B4DA3" w:rsidRDefault="004D0933" w:rsidP="003D52A9">
      <w:bookmarkStart w:id="69" w:name="_Hlk200021736"/>
      <w:r w:rsidRPr="004D0933">
        <w:t xml:space="preserve">For the most recent Product Information (PI) and Consumer Medicine Information (CMI), please refer to the TGA </w:t>
      </w:r>
      <w:hyperlink r:id="rId39" w:history="1">
        <w:r w:rsidRPr="004D0933">
          <w:rPr>
            <w:rStyle w:val="Hyperlink"/>
          </w:rPr>
          <w:t>PI/CMI search facility.</w:t>
        </w:r>
      </w:hyperlink>
      <w:bookmarkEnd w:id="69"/>
    </w:p>
    <w:p w14:paraId="53357BF3" w14:textId="276457B5" w:rsidR="00C22214" w:rsidRDefault="00C22214" w:rsidP="00C22214">
      <w:pPr>
        <w:rPr>
          <w:lang w:eastAsia="ja-JP"/>
        </w:rPr>
        <w:sectPr w:rsidR="00C22214" w:rsidSect="007452E8">
          <w:headerReference w:type="default" r:id="rId40"/>
          <w:footerReference w:type="default" r:id="rId4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3"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4"/>
      <w:footerReference w:type="first" r:id="rId4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991D4" w14:textId="77777777" w:rsidR="00935BFB" w:rsidRDefault="00935BFB" w:rsidP="00F02AEC">
      <w:pPr>
        <w:spacing w:after="0" w:line="240" w:lineRule="auto"/>
      </w:pPr>
      <w:r>
        <w:separator/>
      </w:r>
    </w:p>
  </w:endnote>
  <w:endnote w:type="continuationSeparator" w:id="0">
    <w:p w14:paraId="7BCE8F3C" w14:textId="77777777" w:rsidR="00935BFB" w:rsidRDefault="00935BFB"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69DDA65C" w:rsidR="007452E8" w:rsidRPr="004A3084" w:rsidRDefault="007452E8" w:rsidP="00AE28D2">
          <w:pPr>
            <w:pStyle w:val="Footer"/>
          </w:pPr>
          <w:r w:rsidRPr="00487162">
            <w:t>AusPA</w:t>
          </w:r>
          <w:r>
            <w:t xml:space="preserve">R - </w:t>
          </w:r>
          <w:r w:rsidR="00C40904">
            <w:t>Qdenga</w:t>
          </w:r>
          <w:r>
            <w:t xml:space="preserve"> -</w:t>
          </w:r>
          <w:r w:rsidRPr="00460036">
            <w:t xml:space="preserve"> </w:t>
          </w:r>
          <w:r w:rsidR="0045137A" w:rsidRPr="0045137A">
            <w:t>dengue tetravalent vaccine (live, attenuated)</w:t>
          </w:r>
          <w:r w:rsidR="008C754C">
            <w:t>-</w:t>
          </w:r>
          <w:r>
            <w:t xml:space="preserve"> </w:t>
          </w:r>
          <w:r w:rsidR="0045137A" w:rsidRPr="0045137A">
            <w:t>Takeda Pharmaceuticals Australia Pty Ltd</w:t>
          </w:r>
          <w:r>
            <w:t xml:space="preserve"> - </w:t>
          </w:r>
          <w:r w:rsidR="00C40904" w:rsidRPr="00621F45">
            <w:t>PM-2025-00874-1-2</w:t>
          </w:r>
          <w:r w:rsidR="00F706F3">
            <w:t xml:space="preserve"> Final 2</w:t>
          </w:r>
          <w:r w:rsidR="006256E9">
            <w:t xml:space="preserve"> June</w:t>
          </w:r>
          <w:r w:rsidR="00F706F3">
            <w:t xml:space="preserve"> 2026. </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A6A98" w14:textId="77777777" w:rsidR="00935BFB" w:rsidRDefault="00935BFB" w:rsidP="00F02AEC">
      <w:pPr>
        <w:spacing w:after="0" w:line="240" w:lineRule="auto"/>
      </w:pPr>
      <w:r>
        <w:separator/>
      </w:r>
    </w:p>
  </w:footnote>
  <w:footnote w:type="continuationSeparator" w:id="0">
    <w:p w14:paraId="405EB29A" w14:textId="77777777" w:rsidR="00935BFB" w:rsidRDefault="00935BFB"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3C908ED0" w14:textId="2328CE3E" w:rsidR="00776A1D" w:rsidRDefault="00776A1D" w:rsidP="00E32BDA">
      <w:pPr>
        <w:pStyle w:val="FootnoteText"/>
        <w:spacing w:line="120" w:lineRule="atLeast"/>
      </w:pPr>
      <w:r>
        <w:rPr>
          <w:rStyle w:val="FootnoteReference"/>
        </w:rPr>
        <w:footnoteRef/>
      </w:r>
      <w:r>
        <w:t xml:space="preserve"> </w:t>
      </w:r>
      <w:r w:rsidRPr="00621F45">
        <w:t>World Health Organization (WHO). Dengue and Severe Dengue Fact Sheet. 2022. Accessed July 22, 2025.</w:t>
      </w:r>
      <w:r w:rsidR="009751C3">
        <w:t xml:space="preserve"> </w:t>
      </w:r>
      <w:hyperlink r:id="rId1" w:history="1">
        <w:r w:rsidR="00A87A98" w:rsidRPr="00776A1D">
          <w:rPr>
            <w:rStyle w:val="Hyperlink"/>
          </w:rPr>
          <w:t>https://www.who.int/news-room/fact-sheets/detail/dengue-and-severe-dengue</w:t>
        </w:r>
      </w:hyperlink>
      <w:r w:rsidR="00A87A98">
        <w:t xml:space="preserve"> </w:t>
      </w:r>
    </w:p>
  </w:footnote>
  <w:footnote w:id="3">
    <w:p w14:paraId="54897CAC" w14:textId="3A990549" w:rsidR="000B7C29" w:rsidRDefault="000B7C29" w:rsidP="00E32BDA">
      <w:pPr>
        <w:pStyle w:val="FootnoteText"/>
        <w:spacing w:line="120" w:lineRule="atLeast"/>
      </w:pPr>
      <w:r>
        <w:rPr>
          <w:rStyle w:val="FootnoteReference"/>
        </w:rPr>
        <w:footnoteRef/>
      </w:r>
      <w:r>
        <w:t xml:space="preserve"> </w:t>
      </w:r>
      <w:r w:rsidRPr="00621F45">
        <w:t xml:space="preserve">Messina JP, Brady OJ, Scott TW, Zou C, Pigott DM, Duda KA, et al. </w:t>
      </w:r>
      <w:r w:rsidR="00F83EF3">
        <w:t xml:space="preserve">(2014) </w:t>
      </w:r>
      <w:r w:rsidRPr="00621F45">
        <w:t>Global spread of dengue virus types: mapping the 70</w:t>
      </w:r>
      <w:r w:rsidR="00A87A98">
        <w:t>-</w:t>
      </w:r>
      <w:r w:rsidRPr="00621F45">
        <w:t>year history.</w:t>
      </w:r>
      <w:r w:rsidR="00256506">
        <w:t xml:space="preserve"> </w:t>
      </w:r>
      <w:r w:rsidR="00534668" w:rsidRPr="00534668">
        <w:t>Trends in Microbiology.</w:t>
      </w:r>
      <w:r w:rsidR="00F83EF3">
        <w:t xml:space="preserve"> M</w:t>
      </w:r>
      <w:r w:rsidR="00534668" w:rsidRPr="00534668">
        <w:t xml:space="preserve">ar;22(3):138-146. </w:t>
      </w:r>
      <w:r w:rsidR="003A0458" w:rsidRPr="003A0458">
        <w:t xml:space="preserve"> </w:t>
      </w:r>
      <w:hyperlink r:id="rId2" w:history="1">
        <w:r w:rsidR="003A0458" w:rsidRPr="00A9097C">
          <w:rPr>
            <w:rStyle w:val="Hyperlink"/>
          </w:rPr>
          <w:t>https://doi.org/10.1016/j.tim.2013.12.011</w:t>
        </w:r>
      </w:hyperlink>
      <w:r w:rsidR="003A0458">
        <w:t xml:space="preserve"> </w:t>
      </w:r>
    </w:p>
  </w:footnote>
  <w:footnote w:id="4">
    <w:p w14:paraId="5220BAD4" w14:textId="4C0E582E" w:rsidR="009D6E89" w:rsidRDefault="009D6E89" w:rsidP="00E32BDA">
      <w:pPr>
        <w:pStyle w:val="FootnoteText"/>
        <w:spacing w:line="120" w:lineRule="atLeast"/>
      </w:pPr>
      <w:r>
        <w:rPr>
          <w:rStyle w:val="FootnoteReference"/>
        </w:rPr>
        <w:footnoteRef/>
      </w:r>
      <w:r>
        <w:t xml:space="preserve"> </w:t>
      </w:r>
      <w:r w:rsidR="00315AF7" w:rsidRPr="00315AF7">
        <w:t>Guo, C., Zhou, Z., Wen, Z., Liu, Y., Zeng, C., Xiao, D., Ou, M., Han, Y., Huang, S., Liu, D., Ye, X., Zou, X., Wu, J., Wang, H., Zeng, E. Y., Jing, C., &amp; Yang, G. (2017). Global Epidemiology of Dengue Outbreaks in 1990-2015: A Systematic Review and Meta-Analysis. </w:t>
      </w:r>
      <w:r w:rsidR="00315AF7" w:rsidRPr="00315AF7">
        <w:rPr>
          <w:i/>
          <w:iCs/>
        </w:rPr>
        <w:t>Frontiers in cellular and infection microbiology</w:t>
      </w:r>
      <w:r w:rsidR="00315AF7" w:rsidRPr="00315AF7">
        <w:t>, </w:t>
      </w:r>
      <w:r w:rsidR="00315AF7" w:rsidRPr="00315AF7">
        <w:rPr>
          <w:i/>
          <w:iCs/>
        </w:rPr>
        <w:t>7</w:t>
      </w:r>
      <w:r w:rsidR="00315AF7" w:rsidRPr="00315AF7">
        <w:t xml:space="preserve">, 317. </w:t>
      </w:r>
      <w:hyperlink r:id="rId3" w:history="1">
        <w:r w:rsidR="007557C0" w:rsidRPr="00A9097C">
          <w:rPr>
            <w:rStyle w:val="Hyperlink"/>
          </w:rPr>
          <w:t>https://doi.org/10.3389/fcimb.2017.00317</w:t>
        </w:r>
      </w:hyperlink>
      <w:r w:rsidR="007557C0">
        <w:t xml:space="preserve"> </w:t>
      </w:r>
    </w:p>
  </w:footnote>
  <w:footnote w:id="5">
    <w:p w14:paraId="41645BA3" w14:textId="78BA40AA" w:rsidR="00E00099" w:rsidRDefault="00E00099" w:rsidP="00E32BDA">
      <w:pPr>
        <w:pStyle w:val="FootnoteText"/>
        <w:spacing w:line="120" w:lineRule="atLeast"/>
      </w:pPr>
      <w:r>
        <w:rPr>
          <w:rStyle w:val="FootnoteReference"/>
        </w:rPr>
        <w:footnoteRef/>
      </w:r>
      <w:r>
        <w:t xml:space="preserve"> </w:t>
      </w:r>
      <w:r w:rsidRPr="00621F45">
        <w:t xml:space="preserve">Sohail A, Anders KL, McGuinness SL, Leder K. </w:t>
      </w:r>
      <w:r w:rsidR="006A1C76">
        <w:t>(</w:t>
      </w:r>
      <w:r w:rsidR="00A25E42">
        <w:t xml:space="preserve">2024) </w:t>
      </w:r>
      <w:r w:rsidRPr="00621F45">
        <w:t xml:space="preserve">The epidemiology of imported and locally acquired dengue in Australia, 2012-2022. </w:t>
      </w:r>
      <w:proofErr w:type="spellStart"/>
      <w:r w:rsidRPr="00621F45">
        <w:t>JTravel</w:t>
      </w:r>
      <w:proofErr w:type="spellEnd"/>
      <w:r w:rsidRPr="00621F45">
        <w:t xml:space="preserve"> Med. 31(2</w:t>
      </w:r>
      <w:proofErr w:type="gramStart"/>
      <w:r w:rsidRPr="00621F45">
        <w:t>):taae</w:t>
      </w:r>
      <w:proofErr w:type="gramEnd"/>
      <w:r w:rsidRPr="00621F45">
        <w:t>014.</w:t>
      </w:r>
      <w:r w:rsidR="006A1C76" w:rsidRPr="006A1C76">
        <w:t xml:space="preserve"> </w:t>
      </w:r>
      <w:hyperlink r:id="rId4" w:history="1">
        <w:r w:rsidR="006A1C76" w:rsidRPr="00A9097C">
          <w:rPr>
            <w:rStyle w:val="Hyperlink"/>
          </w:rPr>
          <w:t>https://doi.org/10.1093/jtm/taae014</w:t>
        </w:r>
      </w:hyperlink>
      <w:r w:rsidR="006A1C76">
        <w:t xml:space="preserve"> </w:t>
      </w:r>
    </w:p>
  </w:footnote>
  <w:footnote w:id="6">
    <w:p w14:paraId="51D917B0" w14:textId="759C96BB" w:rsidR="00226E2E" w:rsidRDefault="00226E2E" w:rsidP="00731C35">
      <w:pPr>
        <w:pStyle w:val="FootnoteText"/>
        <w:spacing w:line="120" w:lineRule="atLeast"/>
      </w:pPr>
      <w:r>
        <w:rPr>
          <w:rStyle w:val="FootnoteReference"/>
        </w:rPr>
        <w:footnoteRef/>
      </w:r>
      <w:r>
        <w:t xml:space="preserve"> </w:t>
      </w:r>
      <w:r w:rsidR="00E1623D" w:rsidRPr="00E1623D">
        <w:t xml:space="preserve">Sridhar S, Luedtke A, Langevin E, et al. Effect of Dengue Serostatus on Dengue Vaccine Safety and Efficacy. The New England Journal of Medicine. 2018 Jul;379(4):327-340. </w:t>
      </w:r>
      <w:hyperlink r:id="rId5" w:history="1">
        <w:r w:rsidR="00E157B9" w:rsidRPr="00A9097C">
          <w:rPr>
            <w:rStyle w:val="Hyperlink"/>
          </w:rPr>
          <w:t>https://doi.org/10.1056/nejmoa1800820</w:t>
        </w:r>
      </w:hyperlink>
      <w:r w:rsidR="002727F1">
        <w:t xml:space="preserve"> </w:t>
      </w:r>
    </w:p>
  </w:footnote>
  <w:footnote w:id="7">
    <w:p w14:paraId="5AE81D23" w14:textId="582F3BCC" w:rsidR="00687F51" w:rsidRDefault="00687F51" w:rsidP="00731C35">
      <w:pPr>
        <w:pStyle w:val="FootnoteText"/>
        <w:spacing w:line="120" w:lineRule="atLeast"/>
      </w:pPr>
      <w:r>
        <w:rPr>
          <w:rStyle w:val="FootnoteReference"/>
        </w:rPr>
        <w:footnoteRef/>
      </w:r>
      <w:r>
        <w:t xml:space="preserve"> </w:t>
      </w:r>
      <w:r w:rsidRPr="00687F51">
        <w:t>World Health Organization (WHO). Revised SAGE recommendation on use of dengue vaccine. Executive Summary: CYD-TDV</w:t>
      </w:r>
      <w:r>
        <w:t xml:space="preserve"> </w:t>
      </w:r>
      <w:r w:rsidRPr="00687F51">
        <w:t>Dengue Vaccine. World Health Organization; 2018. Accessed July 18, 2025.</w:t>
      </w:r>
      <w:r>
        <w:t xml:space="preserve"> </w:t>
      </w:r>
      <w:hyperlink r:id="rId6" w:history="1">
        <w:r w:rsidRPr="00687F51">
          <w:rPr>
            <w:rStyle w:val="Hyperlink"/>
          </w:rPr>
          <w:t>https://terrance.who.int/mediacentre/data/sage/SAGE_Docs_Ppt_April2018/5_session_dengue/April2018_session5_executive_su</w:t>
        </w:r>
        <w:r w:rsidRPr="00822FE2">
          <w:rPr>
            <w:rStyle w:val="Hyperlink"/>
          </w:rPr>
          <w:t>mmary_dengue_SAGE.pdf</w:t>
        </w:r>
      </w:hyperlink>
      <w:r>
        <w:t xml:space="preserve"> </w:t>
      </w:r>
    </w:p>
  </w:footnote>
  <w:footnote w:id="8">
    <w:p w14:paraId="3CDF642C" w14:textId="1C05213D" w:rsidR="00217AC9" w:rsidRDefault="00217AC9" w:rsidP="00731C35">
      <w:pPr>
        <w:pStyle w:val="FootnoteText"/>
        <w:spacing w:line="120" w:lineRule="atLeast"/>
      </w:pPr>
      <w:r>
        <w:rPr>
          <w:rStyle w:val="FootnoteReference"/>
        </w:rPr>
        <w:footnoteRef/>
      </w:r>
      <w:r>
        <w:t xml:space="preserve"> </w:t>
      </w:r>
      <w:r w:rsidRPr="00217AC9">
        <w:t xml:space="preserve">Department of Health, Disability and Ageing. ATAGI advice on the use of </w:t>
      </w:r>
      <w:proofErr w:type="spellStart"/>
      <w:r w:rsidRPr="00217AC9">
        <w:t>Dengvaxia</w:t>
      </w:r>
      <w:proofErr w:type="spellEnd"/>
      <w:r w:rsidRPr="00217AC9">
        <w:t xml:space="preserve"> for Australians. 2019. Accessed July 18, 2025.</w:t>
      </w:r>
      <w:r>
        <w:t xml:space="preserve"> </w:t>
      </w:r>
      <w:hyperlink r:id="rId7" w:history="1">
        <w:r w:rsidR="00117F1B" w:rsidRPr="00117F1B">
          <w:rPr>
            <w:rStyle w:val="Hyperlink"/>
          </w:rPr>
          <w:t xml:space="preserve">ATAGI advice on the use of </w:t>
        </w:r>
        <w:proofErr w:type="spellStart"/>
        <w:r w:rsidR="00117F1B" w:rsidRPr="00117F1B">
          <w:rPr>
            <w:rStyle w:val="Hyperlink"/>
          </w:rPr>
          <w:t>Dengvaxia</w:t>
        </w:r>
        <w:proofErr w:type="spellEnd"/>
        <w:r w:rsidR="00117F1B" w:rsidRPr="00117F1B">
          <w:rPr>
            <w:rStyle w:val="Hyperlink"/>
          </w:rPr>
          <w:t>® for Australians | Australian Government Department of Health, Disability and Ageing</w:t>
        </w:r>
      </w:hyperlink>
    </w:p>
  </w:footnote>
  <w:footnote w:id="9">
    <w:p w14:paraId="3588A333" w14:textId="10B98198" w:rsidR="00A201C7" w:rsidRDefault="00A201C7" w:rsidP="00731C35">
      <w:pPr>
        <w:pStyle w:val="FootnoteText"/>
        <w:spacing w:line="120" w:lineRule="atLeast"/>
      </w:pPr>
      <w:r>
        <w:rPr>
          <w:rStyle w:val="FootnoteReference"/>
        </w:rPr>
        <w:footnoteRef/>
      </w:r>
      <w:r>
        <w:t xml:space="preserve"> </w:t>
      </w:r>
      <w:r w:rsidR="00150EDF" w:rsidRPr="00150EDF">
        <w:t xml:space="preserve">Yan Zhu, Deborah J Mills, Christine Mills, Colleen L Lau, Luis Furuya-Kanamori, </w:t>
      </w:r>
      <w:r w:rsidR="00C14A33">
        <w:t xml:space="preserve">(2024) </w:t>
      </w:r>
      <w:r w:rsidR="00150EDF" w:rsidRPr="00150EDF">
        <w:t xml:space="preserve">Use of </w:t>
      </w:r>
      <w:proofErr w:type="spellStart"/>
      <w:r w:rsidR="00150EDF" w:rsidRPr="00150EDF">
        <w:t>Dengvaxia</w:t>
      </w:r>
      <w:proofErr w:type="spellEnd"/>
      <w:r w:rsidR="00150EDF" w:rsidRPr="00150EDF">
        <w:t>® in Australian travellers: a case series, </w:t>
      </w:r>
      <w:r w:rsidR="00150EDF" w:rsidRPr="00150EDF">
        <w:rPr>
          <w:i/>
          <w:iCs/>
        </w:rPr>
        <w:t>Journal of Travel Medicine</w:t>
      </w:r>
      <w:r w:rsidR="00C14A33">
        <w:t xml:space="preserve">. </w:t>
      </w:r>
      <w:r w:rsidR="00150EDF" w:rsidRPr="00150EDF">
        <w:t xml:space="preserve"> 31</w:t>
      </w:r>
      <w:r w:rsidR="00C14A33">
        <w:t>(</w:t>
      </w:r>
      <w:r w:rsidR="00150EDF" w:rsidRPr="00150EDF">
        <w:t>4</w:t>
      </w:r>
      <w:r w:rsidR="00C14A33">
        <w:t>)</w:t>
      </w:r>
      <w:r w:rsidR="00150EDF" w:rsidRPr="00150EDF">
        <w:t xml:space="preserve"> taae052, </w:t>
      </w:r>
      <w:hyperlink r:id="rId8" w:history="1">
        <w:r w:rsidR="00150EDF" w:rsidRPr="00150EDF">
          <w:rPr>
            <w:rStyle w:val="Hyperlink"/>
          </w:rPr>
          <w:t>https://doi.org/10.1093/jtm/taae052</w:t>
        </w:r>
      </w:hyperlink>
    </w:p>
  </w:footnote>
  <w:footnote w:id="10">
    <w:p w14:paraId="1F66098D" w14:textId="6B00E6EC" w:rsidR="00DB2297" w:rsidRDefault="00DB2297" w:rsidP="00731C35">
      <w:pPr>
        <w:pStyle w:val="FootnoteText"/>
        <w:spacing w:line="120" w:lineRule="atLeast"/>
      </w:pPr>
      <w:r>
        <w:rPr>
          <w:rStyle w:val="FootnoteReference"/>
        </w:rPr>
        <w:footnoteRef/>
      </w:r>
      <w:r>
        <w:t xml:space="preserve"> </w:t>
      </w:r>
      <w:r w:rsidRPr="00DB2297">
        <w:t xml:space="preserve">Department of Health, Disability and Ageing. DENGVAXIA dengue tetravalent vaccine (live, attenuated), powder and </w:t>
      </w:r>
      <w:r w:rsidR="0065403C">
        <w:t>d</w:t>
      </w:r>
      <w:r w:rsidRPr="00DB2297">
        <w:t>iluent for</w:t>
      </w:r>
      <w:r w:rsidR="0065403C">
        <w:t xml:space="preserve"> </w:t>
      </w:r>
      <w:r w:rsidRPr="00DB2297">
        <w:t>suspension for injection Cancelled under Section 30(1)(c) of the Act. Guidance and resources. 2024. Accessed July 18, 2025.</w:t>
      </w:r>
      <w:r w:rsidR="0065403C">
        <w:t xml:space="preserve"> </w:t>
      </w:r>
      <w:hyperlink r:id="rId9" w:history="1">
        <w:r w:rsidR="0065403C" w:rsidRPr="00DB2297">
          <w:rPr>
            <w:rStyle w:val="Hyperlink"/>
          </w:rPr>
          <w:t>https://www.tga.gov.au/resources/cancellations-by-sponsors/dengvaxia-dengue-tetravalent-vaccine-live-attenuated-powder-anddiluent-</w:t>
        </w:r>
        <w:r w:rsidR="0065403C" w:rsidRPr="00822FE2">
          <w:rPr>
            <w:rStyle w:val="Hyperlink"/>
          </w:rPr>
          <w:t>suspension-injection-cancelled-under-section-301c-act</w:t>
        </w:r>
      </w:hyperlink>
      <w:r w:rsidR="0065403C">
        <w:t xml:space="preserve"> </w:t>
      </w:r>
    </w:p>
  </w:footnote>
  <w:footnote w:id="11">
    <w:p w14:paraId="490CFA38" w14:textId="576C915A" w:rsidR="00E30A41" w:rsidRDefault="00E30A41" w:rsidP="00E30A41">
      <w:pPr>
        <w:pStyle w:val="FootnoteText"/>
      </w:pPr>
      <w:r>
        <w:rPr>
          <w:rStyle w:val="FootnoteReference"/>
        </w:rPr>
        <w:footnoteRef/>
      </w:r>
      <w:r>
        <w:t xml:space="preserve"> </w:t>
      </w:r>
      <w:r w:rsidRPr="00E30A41">
        <w:t>European Medicines Agency. Guideline on clinical evaluation of new vaccines. Committee for Human Medicinal Products (CHMP),</w:t>
      </w:r>
      <w:r>
        <w:t xml:space="preserve"> </w:t>
      </w:r>
      <w:r w:rsidRPr="00E30A41">
        <w:t>October 2006.</w:t>
      </w:r>
      <w:r w:rsidR="001F70DB" w:rsidRPr="001F70DB">
        <w:rPr>
          <w:rFonts w:eastAsiaTheme="minorHAnsi" w:cstheme="minorBidi"/>
          <w:color w:val="auto"/>
          <w:sz w:val="22"/>
        </w:rPr>
        <w:t xml:space="preserve"> </w:t>
      </w:r>
      <w:hyperlink r:id="rId10" w:history="1">
        <w:r w:rsidR="001F70DB" w:rsidRPr="001F70DB">
          <w:rPr>
            <w:rStyle w:val="Hyperlink"/>
          </w:rPr>
          <w:t>Clinical evaluation of new vaccines - Scientific guideline | European Medicines Agency (EMA)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935BF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F014B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9AC2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720" w:hanging="360"/>
      </w:pPr>
      <w:rPr>
        <w:rFonts w:ascii="Arial" w:hAnsi="Arial" w:hint="default"/>
      </w:rPr>
    </w:lvl>
    <w:lvl w:ilvl="1">
      <w:start w:val="1"/>
      <w:numFmt w:val="lowerLetter"/>
      <w:pStyle w:val="Numberbullet2"/>
      <w:lvlText w:val="%2."/>
      <w:lvlJc w:val="left"/>
      <w:pPr>
        <w:ind w:left="1211" w:hanging="426"/>
      </w:pPr>
      <w:rPr>
        <w:rFonts w:hint="default"/>
      </w:rPr>
    </w:lvl>
    <w:lvl w:ilvl="2">
      <w:start w:val="1"/>
      <w:numFmt w:val="lowerRoman"/>
      <w:lvlText w:val="%3."/>
      <w:lvlJc w:val="left"/>
      <w:pPr>
        <w:ind w:left="1636" w:hanging="425"/>
      </w:pPr>
      <w:rPr>
        <w:rFonts w:hint="default"/>
      </w:rPr>
    </w:lvl>
    <w:lvl w:ilvl="3">
      <w:start w:val="1"/>
      <w:numFmt w:val="none"/>
      <w:lvlText w:val=""/>
      <w:lvlJc w:val="left"/>
      <w:pPr>
        <w:ind w:left="1636" w:hanging="425"/>
      </w:pPr>
      <w:rPr>
        <w:rFonts w:hint="default"/>
      </w:rPr>
    </w:lvl>
    <w:lvl w:ilvl="4">
      <w:start w:val="1"/>
      <w:numFmt w:val="none"/>
      <w:lvlText w:val=""/>
      <w:lvlJc w:val="left"/>
      <w:pPr>
        <w:ind w:left="1636" w:hanging="425"/>
      </w:pPr>
      <w:rPr>
        <w:rFonts w:hint="default"/>
      </w:rPr>
    </w:lvl>
    <w:lvl w:ilvl="5">
      <w:start w:val="1"/>
      <w:numFmt w:val="none"/>
      <w:lvlText w:val=""/>
      <w:lvlJc w:val="left"/>
      <w:pPr>
        <w:ind w:left="1636" w:hanging="425"/>
      </w:pPr>
      <w:rPr>
        <w:rFonts w:hint="default"/>
      </w:rPr>
    </w:lvl>
    <w:lvl w:ilvl="6">
      <w:start w:val="1"/>
      <w:numFmt w:val="none"/>
      <w:lvlText w:val="%7"/>
      <w:lvlJc w:val="left"/>
      <w:pPr>
        <w:ind w:left="1636" w:hanging="425"/>
      </w:pPr>
      <w:rPr>
        <w:rFonts w:hint="default"/>
      </w:rPr>
    </w:lvl>
    <w:lvl w:ilvl="7">
      <w:start w:val="1"/>
      <w:numFmt w:val="none"/>
      <w:lvlText w:val=""/>
      <w:lvlJc w:val="left"/>
      <w:pPr>
        <w:ind w:left="1636" w:hanging="425"/>
      </w:pPr>
      <w:rPr>
        <w:rFonts w:hint="default"/>
      </w:rPr>
    </w:lvl>
    <w:lvl w:ilvl="8">
      <w:start w:val="1"/>
      <w:numFmt w:val="none"/>
      <w:lvlText w:val=""/>
      <w:lvlJc w:val="left"/>
      <w:pPr>
        <w:ind w:left="163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52733C1"/>
    <w:multiLevelType w:val="hybridMultilevel"/>
    <w:tmpl w:val="EEDCF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6E83D5F"/>
    <w:multiLevelType w:val="hybridMultilevel"/>
    <w:tmpl w:val="34562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51519"/>
    <w:multiLevelType w:val="hybridMultilevel"/>
    <w:tmpl w:val="9AC274C0"/>
    <w:lvl w:ilvl="0" w:tplc="19ECDA1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0E55327"/>
    <w:multiLevelType w:val="hybridMultilevel"/>
    <w:tmpl w:val="70E69F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3" w15:restartNumberingAfterBreak="0">
    <w:nsid w:val="490E6998"/>
    <w:multiLevelType w:val="hybridMultilevel"/>
    <w:tmpl w:val="7FB00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8" w15:restartNumberingAfterBreak="0">
    <w:nsid w:val="5AA37A9F"/>
    <w:multiLevelType w:val="hybridMultilevel"/>
    <w:tmpl w:val="E6BEC2FC"/>
    <w:lvl w:ilvl="0" w:tplc="A162AD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2"/>
  </w:num>
  <w:num w:numId="3" w16cid:durableId="357703499">
    <w:abstractNumId w:val="5"/>
  </w:num>
  <w:num w:numId="4" w16cid:durableId="1869176708">
    <w:abstractNumId w:val="16"/>
  </w:num>
  <w:num w:numId="5" w16cid:durableId="1652950129">
    <w:abstractNumId w:val="8"/>
  </w:num>
  <w:num w:numId="6" w16cid:durableId="1053193207">
    <w:abstractNumId w:val="14"/>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5"/>
  </w:num>
  <w:num w:numId="9" w16cid:durableId="173421270">
    <w:abstractNumId w:val="3"/>
  </w:num>
  <w:num w:numId="10" w16cid:durableId="2108043357">
    <w:abstractNumId w:val="7"/>
  </w:num>
  <w:num w:numId="11" w16cid:durableId="1725904230">
    <w:abstractNumId w:val="12"/>
  </w:num>
  <w:num w:numId="12" w16cid:durableId="141579354">
    <w:abstractNumId w:val="17"/>
  </w:num>
  <w:num w:numId="13" w16cid:durableId="283735081">
    <w:abstractNumId w:val="19"/>
  </w:num>
  <w:num w:numId="14" w16cid:durableId="1952662613">
    <w:abstractNumId w:val="9"/>
  </w:num>
  <w:num w:numId="15" w16cid:durableId="225265743">
    <w:abstractNumId w:val="11"/>
  </w:num>
  <w:num w:numId="16" w16cid:durableId="479540523">
    <w:abstractNumId w:val="1"/>
  </w:num>
  <w:num w:numId="17" w16cid:durableId="1888225515">
    <w:abstractNumId w:val="0"/>
  </w:num>
  <w:num w:numId="18" w16cid:durableId="24446487">
    <w:abstractNumId w:val="13"/>
  </w:num>
  <w:num w:numId="19" w16cid:durableId="2110198943">
    <w:abstractNumId w:val="18"/>
  </w:num>
  <w:num w:numId="20" w16cid:durableId="2042389550">
    <w:abstractNumId w:val="4"/>
  </w:num>
  <w:num w:numId="21" w16cid:durableId="13686804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F14"/>
    <w:rsid w:val="00004431"/>
    <w:rsid w:val="00004E0B"/>
    <w:rsid w:val="00005062"/>
    <w:rsid w:val="00005DFC"/>
    <w:rsid w:val="0000763F"/>
    <w:rsid w:val="0001064C"/>
    <w:rsid w:val="000106A9"/>
    <w:rsid w:val="000110B4"/>
    <w:rsid w:val="0001384A"/>
    <w:rsid w:val="0001505F"/>
    <w:rsid w:val="0001583B"/>
    <w:rsid w:val="0002084F"/>
    <w:rsid w:val="00021C13"/>
    <w:rsid w:val="00023C65"/>
    <w:rsid w:val="00024F60"/>
    <w:rsid w:val="00025E73"/>
    <w:rsid w:val="00025F53"/>
    <w:rsid w:val="00027336"/>
    <w:rsid w:val="00032A0F"/>
    <w:rsid w:val="000372C7"/>
    <w:rsid w:val="00037F6D"/>
    <w:rsid w:val="00040D8D"/>
    <w:rsid w:val="00040F0F"/>
    <w:rsid w:val="00046423"/>
    <w:rsid w:val="000477F5"/>
    <w:rsid w:val="00050088"/>
    <w:rsid w:val="0005067C"/>
    <w:rsid w:val="000512B1"/>
    <w:rsid w:val="00051920"/>
    <w:rsid w:val="00051E90"/>
    <w:rsid w:val="0005429D"/>
    <w:rsid w:val="00060CB4"/>
    <w:rsid w:val="0006104E"/>
    <w:rsid w:val="000640BD"/>
    <w:rsid w:val="00065839"/>
    <w:rsid w:val="00065FDF"/>
    <w:rsid w:val="0006693A"/>
    <w:rsid w:val="0007201D"/>
    <w:rsid w:val="000727BB"/>
    <w:rsid w:val="0007781F"/>
    <w:rsid w:val="00077844"/>
    <w:rsid w:val="00077AC2"/>
    <w:rsid w:val="00083763"/>
    <w:rsid w:val="000855A9"/>
    <w:rsid w:val="00090460"/>
    <w:rsid w:val="00090510"/>
    <w:rsid w:val="00091241"/>
    <w:rsid w:val="000917AE"/>
    <w:rsid w:val="00092100"/>
    <w:rsid w:val="00092BFF"/>
    <w:rsid w:val="00094B81"/>
    <w:rsid w:val="00095850"/>
    <w:rsid w:val="00095C09"/>
    <w:rsid w:val="00095C48"/>
    <w:rsid w:val="00095C6A"/>
    <w:rsid w:val="000975AA"/>
    <w:rsid w:val="00097CEF"/>
    <w:rsid w:val="000A2DE2"/>
    <w:rsid w:val="000A491D"/>
    <w:rsid w:val="000A64B1"/>
    <w:rsid w:val="000A6B14"/>
    <w:rsid w:val="000B15EF"/>
    <w:rsid w:val="000B1BFE"/>
    <w:rsid w:val="000B33C1"/>
    <w:rsid w:val="000B3C00"/>
    <w:rsid w:val="000B4229"/>
    <w:rsid w:val="000B62F9"/>
    <w:rsid w:val="000B6B15"/>
    <w:rsid w:val="000B7C29"/>
    <w:rsid w:val="000C0231"/>
    <w:rsid w:val="000C25A7"/>
    <w:rsid w:val="000C3999"/>
    <w:rsid w:val="000C4E0F"/>
    <w:rsid w:val="000C5432"/>
    <w:rsid w:val="000C5C06"/>
    <w:rsid w:val="000D01A6"/>
    <w:rsid w:val="000D18EB"/>
    <w:rsid w:val="000D78EC"/>
    <w:rsid w:val="000D7934"/>
    <w:rsid w:val="000E0886"/>
    <w:rsid w:val="000E2434"/>
    <w:rsid w:val="000E2597"/>
    <w:rsid w:val="000E504E"/>
    <w:rsid w:val="000E5427"/>
    <w:rsid w:val="000E668B"/>
    <w:rsid w:val="000E6746"/>
    <w:rsid w:val="000F0154"/>
    <w:rsid w:val="000F19A9"/>
    <w:rsid w:val="000F3A61"/>
    <w:rsid w:val="000F7B51"/>
    <w:rsid w:val="00101BEE"/>
    <w:rsid w:val="00101CE6"/>
    <w:rsid w:val="00101E86"/>
    <w:rsid w:val="00101FB1"/>
    <w:rsid w:val="00103C30"/>
    <w:rsid w:val="00104136"/>
    <w:rsid w:val="00104250"/>
    <w:rsid w:val="0010558A"/>
    <w:rsid w:val="00107CFB"/>
    <w:rsid w:val="001101FF"/>
    <w:rsid w:val="00111989"/>
    <w:rsid w:val="00113F9F"/>
    <w:rsid w:val="00114025"/>
    <w:rsid w:val="0011429B"/>
    <w:rsid w:val="00115462"/>
    <w:rsid w:val="00117F1B"/>
    <w:rsid w:val="0012008B"/>
    <w:rsid w:val="0012473C"/>
    <w:rsid w:val="00127A74"/>
    <w:rsid w:val="0013132F"/>
    <w:rsid w:val="00131B1B"/>
    <w:rsid w:val="0013306D"/>
    <w:rsid w:val="00133480"/>
    <w:rsid w:val="00133C18"/>
    <w:rsid w:val="001348CB"/>
    <w:rsid w:val="0013528C"/>
    <w:rsid w:val="00135E41"/>
    <w:rsid w:val="00137522"/>
    <w:rsid w:val="0014142D"/>
    <w:rsid w:val="001442A2"/>
    <w:rsid w:val="00144D3D"/>
    <w:rsid w:val="001461F4"/>
    <w:rsid w:val="001468CA"/>
    <w:rsid w:val="00147B37"/>
    <w:rsid w:val="001500A8"/>
    <w:rsid w:val="00150ADD"/>
    <w:rsid w:val="00150EDF"/>
    <w:rsid w:val="00151FEF"/>
    <w:rsid w:val="00155D85"/>
    <w:rsid w:val="0016493A"/>
    <w:rsid w:val="00165D28"/>
    <w:rsid w:val="0017005C"/>
    <w:rsid w:val="00171234"/>
    <w:rsid w:val="001718A7"/>
    <w:rsid w:val="00175128"/>
    <w:rsid w:val="00175CD8"/>
    <w:rsid w:val="00176286"/>
    <w:rsid w:val="00182B05"/>
    <w:rsid w:val="00182BD8"/>
    <w:rsid w:val="00183709"/>
    <w:rsid w:val="0018678C"/>
    <w:rsid w:val="00190853"/>
    <w:rsid w:val="00191721"/>
    <w:rsid w:val="00192418"/>
    <w:rsid w:val="00193FAE"/>
    <w:rsid w:val="0019651C"/>
    <w:rsid w:val="001970FF"/>
    <w:rsid w:val="001A5176"/>
    <w:rsid w:val="001A5D1C"/>
    <w:rsid w:val="001A6186"/>
    <w:rsid w:val="001A76F9"/>
    <w:rsid w:val="001A7E63"/>
    <w:rsid w:val="001B06FF"/>
    <w:rsid w:val="001B1703"/>
    <w:rsid w:val="001B222A"/>
    <w:rsid w:val="001B3374"/>
    <w:rsid w:val="001B552D"/>
    <w:rsid w:val="001B5915"/>
    <w:rsid w:val="001C1C2E"/>
    <w:rsid w:val="001C31A1"/>
    <w:rsid w:val="001C3A52"/>
    <w:rsid w:val="001C3FA2"/>
    <w:rsid w:val="001C5EE2"/>
    <w:rsid w:val="001C6B9C"/>
    <w:rsid w:val="001D0077"/>
    <w:rsid w:val="001E043A"/>
    <w:rsid w:val="001E13AE"/>
    <w:rsid w:val="001E407B"/>
    <w:rsid w:val="001E46A8"/>
    <w:rsid w:val="001E4ED7"/>
    <w:rsid w:val="001E7FC6"/>
    <w:rsid w:val="001F1895"/>
    <w:rsid w:val="001F2502"/>
    <w:rsid w:val="001F257A"/>
    <w:rsid w:val="001F26E2"/>
    <w:rsid w:val="001F43CA"/>
    <w:rsid w:val="001F4958"/>
    <w:rsid w:val="001F68CB"/>
    <w:rsid w:val="001F70A5"/>
    <w:rsid w:val="001F70DB"/>
    <w:rsid w:val="0020111C"/>
    <w:rsid w:val="0020235D"/>
    <w:rsid w:val="0020337D"/>
    <w:rsid w:val="0020369B"/>
    <w:rsid w:val="002037E2"/>
    <w:rsid w:val="00203914"/>
    <w:rsid w:val="0020593B"/>
    <w:rsid w:val="00207B4D"/>
    <w:rsid w:val="0021039E"/>
    <w:rsid w:val="00210566"/>
    <w:rsid w:val="00210F9B"/>
    <w:rsid w:val="002117B1"/>
    <w:rsid w:val="002119DD"/>
    <w:rsid w:val="00211F32"/>
    <w:rsid w:val="00213690"/>
    <w:rsid w:val="00215E2C"/>
    <w:rsid w:val="0021715E"/>
    <w:rsid w:val="00217AC9"/>
    <w:rsid w:val="00217CCE"/>
    <w:rsid w:val="002203B1"/>
    <w:rsid w:val="00220E7B"/>
    <w:rsid w:val="00226E2E"/>
    <w:rsid w:val="00226F39"/>
    <w:rsid w:val="00227571"/>
    <w:rsid w:val="00227DF8"/>
    <w:rsid w:val="002334AD"/>
    <w:rsid w:val="00233658"/>
    <w:rsid w:val="002337A9"/>
    <w:rsid w:val="00234C26"/>
    <w:rsid w:val="002358C3"/>
    <w:rsid w:val="00235F4C"/>
    <w:rsid w:val="00240B80"/>
    <w:rsid w:val="00241B60"/>
    <w:rsid w:val="0024269C"/>
    <w:rsid w:val="002445A6"/>
    <w:rsid w:val="00245088"/>
    <w:rsid w:val="002455C3"/>
    <w:rsid w:val="0024661E"/>
    <w:rsid w:val="00247400"/>
    <w:rsid w:val="002507E8"/>
    <w:rsid w:val="00252B2C"/>
    <w:rsid w:val="00253648"/>
    <w:rsid w:val="00253E03"/>
    <w:rsid w:val="00253E60"/>
    <w:rsid w:val="002540C5"/>
    <w:rsid w:val="00254319"/>
    <w:rsid w:val="00255C7B"/>
    <w:rsid w:val="00256506"/>
    <w:rsid w:val="002567F0"/>
    <w:rsid w:val="00256F58"/>
    <w:rsid w:val="0025785B"/>
    <w:rsid w:val="00257969"/>
    <w:rsid w:val="002608D8"/>
    <w:rsid w:val="0026142E"/>
    <w:rsid w:val="00261FA7"/>
    <w:rsid w:val="00265694"/>
    <w:rsid w:val="00265CD1"/>
    <w:rsid w:val="002727F1"/>
    <w:rsid w:val="00274E03"/>
    <w:rsid w:val="00280048"/>
    <w:rsid w:val="002817EA"/>
    <w:rsid w:val="0028489E"/>
    <w:rsid w:val="002848DE"/>
    <w:rsid w:val="002849BC"/>
    <w:rsid w:val="00284DEB"/>
    <w:rsid w:val="00285569"/>
    <w:rsid w:val="0028794E"/>
    <w:rsid w:val="00293DB0"/>
    <w:rsid w:val="00295490"/>
    <w:rsid w:val="00295621"/>
    <w:rsid w:val="00295E71"/>
    <w:rsid w:val="00296FA7"/>
    <w:rsid w:val="0029733B"/>
    <w:rsid w:val="002A08F1"/>
    <w:rsid w:val="002A177B"/>
    <w:rsid w:val="002A3CF5"/>
    <w:rsid w:val="002A47E8"/>
    <w:rsid w:val="002A4D8E"/>
    <w:rsid w:val="002A5841"/>
    <w:rsid w:val="002A5D28"/>
    <w:rsid w:val="002B181B"/>
    <w:rsid w:val="002B1EDF"/>
    <w:rsid w:val="002B2061"/>
    <w:rsid w:val="002B33C3"/>
    <w:rsid w:val="002B4E2E"/>
    <w:rsid w:val="002B5EBD"/>
    <w:rsid w:val="002C0CA8"/>
    <w:rsid w:val="002C1232"/>
    <w:rsid w:val="002C1E44"/>
    <w:rsid w:val="002C3138"/>
    <w:rsid w:val="002C381E"/>
    <w:rsid w:val="002C5C92"/>
    <w:rsid w:val="002C5E29"/>
    <w:rsid w:val="002C74A5"/>
    <w:rsid w:val="002C7FD5"/>
    <w:rsid w:val="002D0478"/>
    <w:rsid w:val="002D0DE2"/>
    <w:rsid w:val="002D0F11"/>
    <w:rsid w:val="002D7127"/>
    <w:rsid w:val="002E20B0"/>
    <w:rsid w:val="002E3CB7"/>
    <w:rsid w:val="002E5BCC"/>
    <w:rsid w:val="002F068C"/>
    <w:rsid w:val="002F507C"/>
    <w:rsid w:val="002F599E"/>
    <w:rsid w:val="002F6B18"/>
    <w:rsid w:val="003008D8"/>
    <w:rsid w:val="0030176E"/>
    <w:rsid w:val="00301D9A"/>
    <w:rsid w:val="00303959"/>
    <w:rsid w:val="00306E72"/>
    <w:rsid w:val="00312AC3"/>
    <w:rsid w:val="00314430"/>
    <w:rsid w:val="00315AF7"/>
    <w:rsid w:val="00315D27"/>
    <w:rsid w:val="003161D1"/>
    <w:rsid w:val="003163BC"/>
    <w:rsid w:val="00316856"/>
    <w:rsid w:val="003170CC"/>
    <w:rsid w:val="00320B16"/>
    <w:rsid w:val="003212D9"/>
    <w:rsid w:val="00321397"/>
    <w:rsid w:val="0032351A"/>
    <w:rsid w:val="00324B33"/>
    <w:rsid w:val="00324C59"/>
    <w:rsid w:val="00324F59"/>
    <w:rsid w:val="00327488"/>
    <w:rsid w:val="00327F6A"/>
    <w:rsid w:val="00334C29"/>
    <w:rsid w:val="00336FE1"/>
    <w:rsid w:val="00337BD8"/>
    <w:rsid w:val="0034170B"/>
    <w:rsid w:val="0034185C"/>
    <w:rsid w:val="00341D27"/>
    <w:rsid w:val="0034213C"/>
    <w:rsid w:val="00342D56"/>
    <w:rsid w:val="003456E7"/>
    <w:rsid w:val="00345ADE"/>
    <w:rsid w:val="00346EC2"/>
    <w:rsid w:val="003477F9"/>
    <w:rsid w:val="00350D57"/>
    <w:rsid w:val="00353D75"/>
    <w:rsid w:val="0035444D"/>
    <w:rsid w:val="003545D3"/>
    <w:rsid w:val="00356D62"/>
    <w:rsid w:val="00361D21"/>
    <w:rsid w:val="00363EE3"/>
    <w:rsid w:val="00364CAD"/>
    <w:rsid w:val="00365520"/>
    <w:rsid w:val="00366FD1"/>
    <w:rsid w:val="00367666"/>
    <w:rsid w:val="003700F7"/>
    <w:rsid w:val="00370435"/>
    <w:rsid w:val="00372083"/>
    <w:rsid w:val="003722A3"/>
    <w:rsid w:val="0037246D"/>
    <w:rsid w:val="003735F3"/>
    <w:rsid w:val="00374729"/>
    <w:rsid w:val="003753F3"/>
    <w:rsid w:val="00375C81"/>
    <w:rsid w:val="00376460"/>
    <w:rsid w:val="0037743E"/>
    <w:rsid w:val="003813A9"/>
    <w:rsid w:val="003817FA"/>
    <w:rsid w:val="00382E49"/>
    <w:rsid w:val="003838B4"/>
    <w:rsid w:val="003844DD"/>
    <w:rsid w:val="00386BC3"/>
    <w:rsid w:val="00387298"/>
    <w:rsid w:val="003875A1"/>
    <w:rsid w:val="00387984"/>
    <w:rsid w:val="00391737"/>
    <w:rsid w:val="00393D30"/>
    <w:rsid w:val="0039460D"/>
    <w:rsid w:val="00395140"/>
    <w:rsid w:val="00397DF2"/>
    <w:rsid w:val="003A0458"/>
    <w:rsid w:val="003A2422"/>
    <w:rsid w:val="003A46A0"/>
    <w:rsid w:val="003B149C"/>
    <w:rsid w:val="003B5C90"/>
    <w:rsid w:val="003B6B9D"/>
    <w:rsid w:val="003C0C3D"/>
    <w:rsid w:val="003C0FDB"/>
    <w:rsid w:val="003C1192"/>
    <w:rsid w:val="003C3515"/>
    <w:rsid w:val="003C47AC"/>
    <w:rsid w:val="003C4C94"/>
    <w:rsid w:val="003C55E2"/>
    <w:rsid w:val="003C63D5"/>
    <w:rsid w:val="003C659B"/>
    <w:rsid w:val="003C7AA8"/>
    <w:rsid w:val="003D2CA8"/>
    <w:rsid w:val="003D3145"/>
    <w:rsid w:val="003D3DBE"/>
    <w:rsid w:val="003D3E5C"/>
    <w:rsid w:val="003D4588"/>
    <w:rsid w:val="003D52A9"/>
    <w:rsid w:val="003D5E26"/>
    <w:rsid w:val="003D71A1"/>
    <w:rsid w:val="003E1242"/>
    <w:rsid w:val="003E2F89"/>
    <w:rsid w:val="003E3A4B"/>
    <w:rsid w:val="003E4B42"/>
    <w:rsid w:val="003E5630"/>
    <w:rsid w:val="003E78C3"/>
    <w:rsid w:val="003F0F2F"/>
    <w:rsid w:val="003F1451"/>
    <w:rsid w:val="003F3697"/>
    <w:rsid w:val="003F5210"/>
    <w:rsid w:val="003F6281"/>
    <w:rsid w:val="00401601"/>
    <w:rsid w:val="0040548C"/>
    <w:rsid w:val="00405746"/>
    <w:rsid w:val="00406DB4"/>
    <w:rsid w:val="00407251"/>
    <w:rsid w:val="00407A17"/>
    <w:rsid w:val="00410B9C"/>
    <w:rsid w:val="004136E8"/>
    <w:rsid w:val="004150BC"/>
    <w:rsid w:val="0041688F"/>
    <w:rsid w:val="004178DA"/>
    <w:rsid w:val="0042376F"/>
    <w:rsid w:val="004246B8"/>
    <w:rsid w:val="0042480C"/>
    <w:rsid w:val="004248F1"/>
    <w:rsid w:val="00425E4C"/>
    <w:rsid w:val="00426E56"/>
    <w:rsid w:val="004277D4"/>
    <w:rsid w:val="00431EB7"/>
    <w:rsid w:val="00433318"/>
    <w:rsid w:val="00435A53"/>
    <w:rsid w:val="0043785D"/>
    <w:rsid w:val="0044106F"/>
    <w:rsid w:val="004411D9"/>
    <w:rsid w:val="00442A56"/>
    <w:rsid w:val="004444B0"/>
    <w:rsid w:val="0045060B"/>
    <w:rsid w:val="004511E6"/>
    <w:rsid w:val="0045137A"/>
    <w:rsid w:val="004525A0"/>
    <w:rsid w:val="00452A9D"/>
    <w:rsid w:val="004538A4"/>
    <w:rsid w:val="00455465"/>
    <w:rsid w:val="004561E9"/>
    <w:rsid w:val="00461F8E"/>
    <w:rsid w:val="004626FF"/>
    <w:rsid w:val="004627E9"/>
    <w:rsid w:val="0046285C"/>
    <w:rsid w:val="0046663F"/>
    <w:rsid w:val="00470A52"/>
    <w:rsid w:val="00471BD5"/>
    <w:rsid w:val="004734BB"/>
    <w:rsid w:val="00474077"/>
    <w:rsid w:val="004741EB"/>
    <w:rsid w:val="00474DBE"/>
    <w:rsid w:val="0047538C"/>
    <w:rsid w:val="004756F9"/>
    <w:rsid w:val="00477C4E"/>
    <w:rsid w:val="00477CE1"/>
    <w:rsid w:val="00477F07"/>
    <w:rsid w:val="004808F3"/>
    <w:rsid w:val="00481503"/>
    <w:rsid w:val="00481D12"/>
    <w:rsid w:val="00484206"/>
    <w:rsid w:val="004854A6"/>
    <w:rsid w:val="004855E5"/>
    <w:rsid w:val="004877F5"/>
    <w:rsid w:val="00490D09"/>
    <w:rsid w:val="00491A55"/>
    <w:rsid w:val="00492E42"/>
    <w:rsid w:val="004936AC"/>
    <w:rsid w:val="00493A3F"/>
    <w:rsid w:val="00494C3E"/>
    <w:rsid w:val="00497DF1"/>
    <w:rsid w:val="004A0376"/>
    <w:rsid w:val="004A318E"/>
    <w:rsid w:val="004A45D4"/>
    <w:rsid w:val="004A57E8"/>
    <w:rsid w:val="004A58C8"/>
    <w:rsid w:val="004A642B"/>
    <w:rsid w:val="004A6B1C"/>
    <w:rsid w:val="004A7705"/>
    <w:rsid w:val="004B086D"/>
    <w:rsid w:val="004B0D4B"/>
    <w:rsid w:val="004B2684"/>
    <w:rsid w:val="004B3081"/>
    <w:rsid w:val="004B4A09"/>
    <w:rsid w:val="004B584D"/>
    <w:rsid w:val="004B64D1"/>
    <w:rsid w:val="004B673F"/>
    <w:rsid w:val="004C41CE"/>
    <w:rsid w:val="004C60D0"/>
    <w:rsid w:val="004C631B"/>
    <w:rsid w:val="004C6ED0"/>
    <w:rsid w:val="004D0933"/>
    <w:rsid w:val="004D101F"/>
    <w:rsid w:val="004D1062"/>
    <w:rsid w:val="004D160D"/>
    <w:rsid w:val="004D2F00"/>
    <w:rsid w:val="004D31D8"/>
    <w:rsid w:val="004D35D1"/>
    <w:rsid w:val="004D4AD5"/>
    <w:rsid w:val="004D5388"/>
    <w:rsid w:val="004D5CFF"/>
    <w:rsid w:val="004D6831"/>
    <w:rsid w:val="004D7057"/>
    <w:rsid w:val="004D795E"/>
    <w:rsid w:val="004E16C6"/>
    <w:rsid w:val="004E17F2"/>
    <w:rsid w:val="004E3255"/>
    <w:rsid w:val="004E4F60"/>
    <w:rsid w:val="004E647B"/>
    <w:rsid w:val="004E7F16"/>
    <w:rsid w:val="004F18EC"/>
    <w:rsid w:val="004F3764"/>
    <w:rsid w:val="004F77F3"/>
    <w:rsid w:val="00500D68"/>
    <w:rsid w:val="005011FE"/>
    <w:rsid w:val="00502351"/>
    <w:rsid w:val="005029BC"/>
    <w:rsid w:val="0050557E"/>
    <w:rsid w:val="00510302"/>
    <w:rsid w:val="00510943"/>
    <w:rsid w:val="00511D9C"/>
    <w:rsid w:val="00513770"/>
    <w:rsid w:val="005165ED"/>
    <w:rsid w:val="005175AA"/>
    <w:rsid w:val="005219FE"/>
    <w:rsid w:val="00522C45"/>
    <w:rsid w:val="0052472C"/>
    <w:rsid w:val="0052500A"/>
    <w:rsid w:val="0053280F"/>
    <w:rsid w:val="00532A22"/>
    <w:rsid w:val="0053377D"/>
    <w:rsid w:val="00534668"/>
    <w:rsid w:val="00535DFE"/>
    <w:rsid w:val="005373B5"/>
    <w:rsid w:val="00537AB7"/>
    <w:rsid w:val="00540032"/>
    <w:rsid w:val="005407A3"/>
    <w:rsid w:val="00540C59"/>
    <w:rsid w:val="0054226B"/>
    <w:rsid w:val="00542769"/>
    <w:rsid w:val="005444A2"/>
    <w:rsid w:val="0054669B"/>
    <w:rsid w:val="00553D7B"/>
    <w:rsid w:val="00557684"/>
    <w:rsid w:val="00560677"/>
    <w:rsid w:val="00560EC1"/>
    <w:rsid w:val="005610D1"/>
    <w:rsid w:val="00561DF4"/>
    <w:rsid w:val="005620F3"/>
    <w:rsid w:val="00562F42"/>
    <w:rsid w:val="00563D3A"/>
    <w:rsid w:val="005647FE"/>
    <w:rsid w:val="00565739"/>
    <w:rsid w:val="00565E06"/>
    <w:rsid w:val="0056766D"/>
    <w:rsid w:val="0057052A"/>
    <w:rsid w:val="005706B2"/>
    <w:rsid w:val="005711C9"/>
    <w:rsid w:val="00571F89"/>
    <w:rsid w:val="005723D0"/>
    <w:rsid w:val="00572671"/>
    <w:rsid w:val="00572DE6"/>
    <w:rsid w:val="0057303C"/>
    <w:rsid w:val="00573201"/>
    <w:rsid w:val="00575215"/>
    <w:rsid w:val="00576C21"/>
    <w:rsid w:val="0057706D"/>
    <w:rsid w:val="005775D0"/>
    <w:rsid w:val="00580C0F"/>
    <w:rsid w:val="00581138"/>
    <w:rsid w:val="0058391D"/>
    <w:rsid w:val="0058575E"/>
    <w:rsid w:val="00585F56"/>
    <w:rsid w:val="0058783C"/>
    <w:rsid w:val="005911AE"/>
    <w:rsid w:val="005926E2"/>
    <w:rsid w:val="0059313A"/>
    <w:rsid w:val="005976AD"/>
    <w:rsid w:val="005A1B8E"/>
    <w:rsid w:val="005A3E4E"/>
    <w:rsid w:val="005A54EA"/>
    <w:rsid w:val="005A6C65"/>
    <w:rsid w:val="005B023F"/>
    <w:rsid w:val="005B02A2"/>
    <w:rsid w:val="005B0680"/>
    <w:rsid w:val="005B1417"/>
    <w:rsid w:val="005B2C81"/>
    <w:rsid w:val="005B46E4"/>
    <w:rsid w:val="005B554A"/>
    <w:rsid w:val="005B59B8"/>
    <w:rsid w:val="005B5ED2"/>
    <w:rsid w:val="005B66A1"/>
    <w:rsid w:val="005B69CF"/>
    <w:rsid w:val="005C0905"/>
    <w:rsid w:val="005C1AD0"/>
    <w:rsid w:val="005C3F07"/>
    <w:rsid w:val="005C4B46"/>
    <w:rsid w:val="005C5219"/>
    <w:rsid w:val="005C5DC5"/>
    <w:rsid w:val="005C6316"/>
    <w:rsid w:val="005D0E1E"/>
    <w:rsid w:val="005D154C"/>
    <w:rsid w:val="005D206A"/>
    <w:rsid w:val="005D2089"/>
    <w:rsid w:val="005D546A"/>
    <w:rsid w:val="005D5B4C"/>
    <w:rsid w:val="005D746C"/>
    <w:rsid w:val="005D7514"/>
    <w:rsid w:val="005E0FC6"/>
    <w:rsid w:val="005E1A7B"/>
    <w:rsid w:val="005E231F"/>
    <w:rsid w:val="005E2808"/>
    <w:rsid w:val="005E2FD1"/>
    <w:rsid w:val="005E349F"/>
    <w:rsid w:val="005E4F4B"/>
    <w:rsid w:val="005E6ADC"/>
    <w:rsid w:val="005E6BA6"/>
    <w:rsid w:val="005E73DA"/>
    <w:rsid w:val="005F2F65"/>
    <w:rsid w:val="005F433D"/>
    <w:rsid w:val="005F6AB4"/>
    <w:rsid w:val="005F6D05"/>
    <w:rsid w:val="00600087"/>
    <w:rsid w:val="00600BE2"/>
    <w:rsid w:val="00600F86"/>
    <w:rsid w:val="00602D6E"/>
    <w:rsid w:val="00603D38"/>
    <w:rsid w:val="00605C05"/>
    <w:rsid w:val="00605E50"/>
    <w:rsid w:val="00606B57"/>
    <w:rsid w:val="00610A66"/>
    <w:rsid w:val="00611351"/>
    <w:rsid w:val="0061217D"/>
    <w:rsid w:val="006129AE"/>
    <w:rsid w:val="00615CD0"/>
    <w:rsid w:val="00621F45"/>
    <w:rsid w:val="006256E9"/>
    <w:rsid w:val="00625C40"/>
    <w:rsid w:val="00626788"/>
    <w:rsid w:val="00626A16"/>
    <w:rsid w:val="006277A1"/>
    <w:rsid w:val="006310AA"/>
    <w:rsid w:val="00633BD7"/>
    <w:rsid w:val="0063428F"/>
    <w:rsid w:val="00634580"/>
    <w:rsid w:val="00634884"/>
    <w:rsid w:val="006351D9"/>
    <w:rsid w:val="006355E4"/>
    <w:rsid w:val="00636584"/>
    <w:rsid w:val="00636AA4"/>
    <w:rsid w:val="00637130"/>
    <w:rsid w:val="00637F0E"/>
    <w:rsid w:val="006423F2"/>
    <w:rsid w:val="006428C5"/>
    <w:rsid w:val="00644559"/>
    <w:rsid w:val="00645279"/>
    <w:rsid w:val="00646716"/>
    <w:rsid w:val="0064708C"/>
    <w:rsid w:val="00650234"/>
    <w:rsid w:val="006519A1"/>
    <w:rsid w:val="0065403C"/>
    <w:rsid w:val="006540B3"/>
    <w:rsid w:val="00655BB9"/>
    <w:rsid w:val="00655BE4"/>
    <w:rsid w:val="00656E5E"/>
    <w:rsid w:val="0066044B"/>
    <w:rsid w:val="006626AC"/>
    <w:rsid w:val="00662951"/>
    <w:rsid w:val="00662A24"/>
    <w:rsid w:val="006630AA"/>
    <w:rsid w:val="00663544"/>
    <w:rsid w:val="006638F7"/>
    <w:rsid w:val="006644F1"/>
    <w:rsid w:val="00666120"/>
    <w:rsid w:val="00666539"/>
    <w:rsid w:val="00666911"/>
    <w:rsid w:val="00667A26"/>
    <w:rsid w:val="006706CA"/>
    <w:rsid w:val="0067167F"/>
    <w:rsid w:val="00675F81"/>
    <w:rsid w:val="00676A91"/>
    <w:rsid w:val="00677B8F"/>
    <w:rsid w:val="0068143E"/>
    <w:rsid w:val="0068324E"/>
    <w:rsid w:val="0068507D"/>
    <w:rsid w:val="00686732"/>
    <w:rsid w:val="0068771A"/>
    <w:rsid w:val="00687F51"/>
    <w:rsid w:val="00690D3C"/>
    <w:rsid w:val="00691AF2"/>
    <w:rsid w:val="0069254D"/>
    <w:rsid w:val="00692B80"/>
    <w:rsid w:val="00692CCD"/>
    <w:rsid w:val="00692D51"/>
    <w:rsid w:val="00694A86"/>
    <w:rsid w:val="00694DD7"/>
    <w:rsid w:val="0069518C"/>
    <w:rsid w:val="00695718"/>
    <w:rsid w:val="00695D16"/>
    <w:rsid w:val="0069636B"/>
    <w:rsid w:val="00696A90"/>
    <w:rsid w:val="006974A5"/>
    <w:rsid w:val="00697931"/>
    <w:rsid w:val="006A15F2"/>
    <w:rsid w:val="006A1762"/>
    <w:rsid w:val="006A19CE"/>
    <w:rsid w:val="006A1C76"/>
    <w:rsid w:val="006A1F0B"/>
    <w:rsid w:val="006A277A"/>
    <w:rsid w:val="006A4964"/>
    <w:rsid w:val="006A5973"/>
    <w:rsid w:val="006B04F3"/>
    <w:rsid w:val="006B0792"/>
    <w:rsid w:val="006B4205"/>
    <w:rsid w:val="006B57E6"/>
    <w:rsid w:val="006B5AAE"/>
    <w:rsid w:val="006B5E64"/>
    <w:rsid w:val="006B7126"/>
    <w:rsid w:val="006B788E"/>
    <w:rsid w:val="006B78B7"/>
    <w:rsid w:val="006B7C01"/>
    <w:rsid w:val="006C002E"/>
    <w:rsid w:val="006C2E38"/>
    <w:rsid w:val="006C3D27"/>
    <w:rsid w:val="006C419C"/>
    <w:rsid w:val="006C6B86"/>
    <w:rsid w:val="006C7951"/>
    <w:rsid w:val="006D0083"/>
    <w:rsid w:val="006D1028"/>
    <w:rsid w:val="006D173D"/>
    <w:rsid w:val="006D3EE2"/>
    <w:rsid w:val="006D4153"/>
    <w:rsid w:val="006D4524"/>
    <w:rsid w:val="006D4553"/>
    <w:rsid w:val="006D4A35"/>
    <w:rsid w:val="006D6B44"/>
    <w:rsid w:val="006D7E81"/>
    <w:rsid w:val="006E0F71"/>
    <w:rsid w:val="006E27FE"/>
    <w:rsid w:val="006E2D03"/>
    <w:rsid w:val="006E5ECA"/>
    <w:rsid w:val="006E6798"/>
    <w:rsid w:val="006E7DB9"/>
    <w:rsid w:val="006F37A6"/>
    <w:rsid w:val="006F3E6F"/>
    <w:rsid w:val="006F6624"/>
    <w:rsid w:val="00700B4D"/>
    <w:rsid w:val="00701110"/>
    <w:rsid w:val="0070156B"/>
    <w:rsid w:val="00701BE2"/>
    <w:rsid w:val="00701E99"/>
    <w:rsid w:val="00702C03"/>
    <w:rsid w:val="00702E91"/>
    <w:rsid w:val="0070330F"/>
    <w:rsid w:val="00703624"/>
    <w:rsid w:val="007046ED"/>
    <w:rsid w:val="0070541F"/>
    <w:rsid w:val="007072A1"/>
    <w:rsid w:val="0071060C"/>
    <w:rsid w:val="00710BC5"/>
    <w:rsid w:val="0071121F"/>
    <w:rsid w:val="00711D9D"/>
    <w:rsid w:val="007121CA"/>
    <w:rsid w:val="00713074"/>
    <w:rsid w:val="007140C3"/>
    <w:rsid w:val="00714DB1"/>
    <w:rsid w:val="00717FB7"/>
    <w:rsid w:val="0072003B"/>
    <w:rsid w:val="00721059"/>
    <w:rsid w:val="007211E6"/>
    <w:rsid w:val="007220C4"/>
    <w:rsid w:val="007231E1"/>
    <w:rsid w:val="00724159"/>
    <w:rsid w:val="00725B7E"/>
    <w:rsid w:val="007305ED"/>
    <w:rsid w:val="007311B9"/>
    <w:rsid w:val="00731C35"/>
    <w:rsid w:val="00731EA9"/>
    <w:rsid w:val="00732361"/>
    <w:rsid w:val="00733A61"/>
    <w:rsid w:val="00733CEC"/>
    <w:rsid w:val="0073554E"/>
    <w:rsid w:val="007357B9"/>
    <w:rsid w:val="00740945"/>
    <w:rsid w:val="00741A77"/>
    <w:rsid w:val="00741AB9"/>
    <w:rsid w:val="00741D82"/>
    <w:rsid w:val="00742152"/>
    <w:rsid w:val="00742D03"/>
    <w:rsid w:val="00744216"/>
    <w:rsid w:val="007452E8"/>
    <w:rsid w:val="00746990"/>
    <w:rsid w:val="00746CAE"/>
    <w:rsid w:val="00747093"/>
    <w:rsid w:val="007504DC"/>
    <w:rsid w:val="00750D70"/>
    <w:rsid w:val="00750E8B"/>
    <w:rsid w:val="007557C0"/>
    <w:rsid w:val="007575D0"/>
    <w:rsid w:val="00761D3C"/>
    <w:rsid w:val="007662E0"/>
    <w:rsid w:val="0076673F"/>
    <w:rsid w:val="007738BA"/>
    <w:rsid w:val="0077464B"/>
    <w:rsid w:val="00776A1D"/>
    <w:rsid w:val="00776E9C"/>
    <w:rsid w:val="00777C12"/>
    <w:rsid w:val="00777D60"/>
    <w:rsid w:val="007816D8"/>
    <w:rsid w:val="00781C19"/>
    <w:rsid w:val="00781E21"/>
    <w:rsid w:val="00782A66"/>
    <w:rsid w:val="00783F05"/>
    <w:rsid w:val="00784150"/>
    <w:rsid w:val="007844CF"/>
    <w:rsid w:val="007915EC"/>
    <w:rsid w:val="00791821"/>
    <w:rsid w:val="0079233C"/>
    <w:rsid w:val="00792C39"/>
    <w:rsid w:val="00793272"/>
    <w:rsid w:val="0079499A"/>
    <w:rsid w:val="00794B64"/>
    <w:rsid w:val="0079637C"/>
    <w:rsid w:val="007967C3"/>
    <w:rsid w:val="007971E7"/>
    <w:rsid w:val="00797AAD"/>
    <w:rsid w:val="00797F03"/>
    <w:rsid w:val="007A0A33"/>
    <w:rsid w:val="007A698A"/>
    <w:rsid w:val="007B04DE"/>
    <w:rsid w:val="007B0AE6"/>
    <w:rsid w:val="007B13D2"/>
    <w:rsid w:val="007B2DB0"/>
    <w:rsid w:val="007B51A8"/>
    <w:rsid w:val="007B6437"/>
    <w:rsid w:val="007C0F0B"/>
    <w:rsid w:val="007C2471"/>
    <w:rsid w:val="007C362A"/>
    <w:rsid w:val="007C3637"/>
    <w:rsid w:val="007C57BC"/>
    <w:rsid w:val="007D04CA"/>
    <w:rsid w:val="007D0A2B"/>
    <w:rsid w:val="007D12A1"/>
    <w:rsid w:val="007D345F"/>
    <w:rsid w:val="007D40E5"/>
    <w:rsid w:val="007D4138"/>
    <w:rsid w:val="007D690B"/>
    <w:rsid w:val="007E218C"/>
    <w:rsid w:val="007E4178"/>
    <w:rsid w:val="007E45F2"/>
    <w:rsid w:val="007E5D14"/>
    <w:rsid w:val="007E5DD3"/>
    <w:rsid w:val="007E6443"/>
    <w:rsid w:val="007E7207"/>
    <w:rsid w:val="007E7CD0"/>
    <w:rsid w:val="007F0A77"/>
    <w:rsid w:val="007F1E37"/>
    <w:rsid w:val="007F1F7D"/>
    <w:rsid w:val="007F2BB8"/>
    <w:rsid w:val="007F50D3"/>
    <w:rsid w:val="007F6B1F"/>
    <w:rsid w:val="007F6EAC"/>
    <w:rsid w:val="007F7DCE"/>
    <w:rsid w:val="008013F0"/>
    <w:rsid w:val="00803058"/>
    <w:rsid w:val="00803926"/>
    <w:rsid w:val="00804897"/>
    <w:rsid w:val="008073FD"/>
    <w:rsid w:val="008113B2"/>
    <w:rsid w:val="0081253E"/>
    <w:rsid w:val="00812D77"/>
    <w:rsid w:val="008165F8"/>
    <w:rsid w:val="008179D5"/>
    <w:rsid w:val="00817C3E"/>
    <w:rsid w:val="008214D6"/>
    <w:rsid w:val="0082325C"/>
    <w:rsid w:val="008238E7"/>
    <w:rsid w:val="0082438E"/>
    <w:rsid w:val="008247AD"/>
    <w:rsid w:val="00826943"/>
    <w:rsid w:val="008275BA"/>
    <w:rsid w:val="0083077F"/>
    <w:rsid w:val="00830789"/>
    <w:rsid w:val="00830ECD"/>
    <w:rsid w:val="00831EBE"/>
    <w:rsid w:val="008329DB"/>
    <w:rsid w:val="0083610C"/>
    <w:rsid w:val="008361C5"/>
    <w:rsid w:val="0083628F"/>
    <w:rsid w:val="00837AB9"/>
    <w:rsid w:val="008427D0"/>
    <w:rsid w:val="00843D56"/>
    <w:rsid w:val="00845D09"/>
    <w:rsid w:val="008466E7"/>
    <w:rsid w:val="00850637"/>
    <w:rsid w:val="008513E4"/>
    <w:rsid w:val="00851C55"/>
    <w:rsid w:val="008543EC"/>
    <w:rsid w:val="00854D98"/>
    <w:rsid w:val="008564E2"/>
    <w:rsid w:val="00856B53"/>
    <w:rsid w:val="0085751E"/>
    <w:rsid w:val="00860B29"/>
    <w:rsid w:val="0086117B"/>
    <w:rsid w:val="00861461"/>
    <w:rsid w:val="008617D9"/>
    <w:rsid w:val="008622E8"/>
    <w:rsid w:val="008645EE"/>
    <w:rsid w:val="008656C1"/>
    <w:rsid w:val="00865981"/>
    <w:rsid w:val="00865AAC"/>
    <w:rsid w:val="00870144"/>
    <w:rsid w:val="0087072C"/>
    <w:rsid w:val="00871312"/>
    <w:rsid w:val="008716B2"/>
    <w:rsid w:val="00873D7A"/>
    <w:rsid w:val="00877CB3"/>
    <w:rsid w:val="008804CF"/>
    <w:rsid w:val="00882D58"/>
    <w:rsid w:val="00882F19"/>
    <w:rsid w:val="00883D35"/>
    <w:rsid w:val="00883F9D"/>
    <w:rsid w:val="00884569"/>
    <w:rsid w:val="008876E1"/>
    <w:rsid w:val="00887A51"/>
    <w:rsid w:val="008902CF"/>
    <w:rsid w:val="0089038A"/>
    <w:rsid w:val="00890D9B"/>
    <w:rsid w:val="00891C6C"/>
    <w:rsid w:val="008921E9"/>
    <w:rsid w:val="00893CCD"/>
    <w:rsid w:val="008964B3"/>
    <w:rsid w:val="00896EB2"/>
    <w:rsid w:val="008977E1"/>
    <w:rsid w:val="008A0F62"/>
    <w:rsid w:val="008A3E16"/>
    <w:rsid w:val="008A5E0E"/>
    <w:rsid w:val="008A6FD6"/>
    <w:rsid w:val="008A728F"/>
    <w:rsid w:val="008B06DD"/>
    <w:rsid w:val="008B1CB5"/>
    <w:rsid w:val="008B2363"/>
    <w:rsid w:val="008C0DEA"/>
    <w:rsid w:val="008C2295"/>
    <w:rsid w:val="008C2D69"/>
    <w:rsid w:val="008C2F8C"/>
    <w:rsid w:val="008C4579"/>
    <w:rsid w:val="008C49C6"/>
    <w:rsid w:val="008C5BEF"/>
    <w:rsid w:val="008C754C"/>
    <w:rsid w:val="008D20E6"/>
    <w:rsid w:val="008D22D7"/>
    <w:rsid w:val="008D56C9"/>
    <w:rsid w:val="008D56CA"/>
    <w:rsid w:val="008D6A54"/>
    <w:rsid w:val="008E0740"/>
    <w:rsid w:val="008E2585"/>
    <w:rsid w:val="008E2D7A"/>
    <w:rsid w:val="008E3121"/>
    <w:rsid w:val="008E3AA8"/>
    <w:rsid w:val="008E616F"/>
    <w:rsid w:val="008E6ADF"/>
    <w:rsid w:val="008E7DC9"/>
    <w:rsid w:val="008F04B8"/>
    <w:rsid w:val="008F053B"/>
    <w:rsid w:val="008F062C"/>
    <w:rsid w:val="008F3215"/>
    <w:rsid w:val="008F3282"/>
    <w:rsid w:val="008F3BA0"/>
    <w:rsid w:val="008F4A62"/>
    <w:rsid w:val="008F560B"/>
    <w:rsid w:val="008F7256"/>
    <w:rsid w:val="008F78C1"/>
    <w:rsid w:val="00902938"/>
    <w:rsid w:val="0090424C"/>
    <w:rsid w:val="009048A6"/>
    <w:rsid w:val="0090605E"/>
    <w:rsid w:val="00906B02"/>
    <w:rsid w:val="00906C74"/>
    <w:rsid w:val="00910577"/>
    <w:rsid w:val="009108CE"/>
    <w:rsid w:val="00913603"/>
    <w:rsid w:val="00913797"/>
    <w:rsid w:val="009158FA"/>
    <w:rsid w:val="00915A9F"/>
    <w:rsid w:val="0092048F"/>
    <w:rsid w:val="009213C1"/>
    <w:rsid w:val="009219C4"/>
    <w:rsid w:val="00921C46"/>
    <w:rsid w:val="00922378"/>
    <w:rsid w:val="0092249D"/>
    <w:rsid w:val="00927D53"/>
    <w:rsid w:val="00930D58"/>
    <w:rsid w:val="0093202B"/>
    <w:rsid w:val="00935AAA"/>
    <w:rsid w:val="00935BFB"/>
    <w:rsid w:val="009363D8"/>
    <w:rsid w:val="009400DC"/>
    <w:rsid w:val="00940E51"/>
    <w:rsid w:val="00942F0B"/>
    <w:rsid w:val="00943296"/>
    <w:rsid w:val="00947070"/>
    <w:rsid w:val="0095031E"/>
    <w:rsid w:val="00950754"/>
    <w:rsid w:val="00953CAE"/>
    <w:rsid w:val="00954297"/>
    <w:rsid w:val="00956261"/>
    <w:rsid w:val="00957197"/>
    <w:rsid w:val="009577EE"/>
    <w:rsid w:val="00960A56"/>
    <w:rsid w:val="00960CCB"/>
    <w:rsid w:val="00961F35"/>
    <w:rsid w:val="00963F81"/>
    <w:rsid w:val="00965553"/>
    <w:rsid w:val="00966570"/>
    <w:rsid w:val="00966897"/>
    <w:rsid w:val="00966E14"/>
    <w:rsid w:val="00966EF1"/>
    <w:rsid w:val="00967223"/>
    <w:rsid w:val="009746AB"/>
    <w:rsid w:val="009751C3"/>
    <w:rsid w:val="009751F7"/>
    <w:rsid w:val="00975C46"/>
    <w:rsid w:val="00976016"/>
    <w:rsid w:val="0097633A"/>
    <w:rsid w:val="0097652F"/>
    <w:rsid w:val="0098168B"/>
    <w:rsid w:val="0098350E"/>
    <w:rsid w:val="00984995"/>
    <w:rsid w:val="00984FB5"/>
    <w:rsid w:val="00985E20"/>
    <w:rsid w:val="009867EA"/>
    <w:rsid w:val="00990C12"/>
    <w:rsid w:val="0099404F"/>
    <w:rsid w:val="00995157"/>
    <w:rsid w:val="00996FA5"/>
    <w:rsid w:val="009A009A"/>
    <w:rsid w:val="009A2939"/>
    <w:rsid w:val="009A5373"/>
    <w:rsid w:val="009B0641"/>
    <w:rsid w:val="009B0DD9"/>
    <w:rsid w:val="009B5662"/>
    <w:rsid w:val="009B5CF6"/>
    <w:rsid w:val="009B7FC8"/>
    <w:rsid w:val="009C09FE"/>
    <w:rsid w:val="009C19D9"/>
    <w:rsid w:val="009C2211"/>
    <w:rsid w:val="009C40E8"/>
    <w:rsid w:val="009C45C5"/>
    <w:rsid w:val="009C52DD"/>
    <w:rsid w:val="009C5D4C"/>
    <w:rsid w:val="009D021D"/>
    <w:rsid w:val="009D0611"/>
    <w:rsid w:val="009D066B"/>
    <w:rsid w:val="009D0DDD"/>
    <w:rsid w:val="009D164A"/>
    <w:rsid w:val="009D2A57"/>
    <w:rsid w:val="009D3187"/>
    <w:rsid w:val="009D427D"/>
    <w:rsid w:val="009D58AE"/>
    <w:rsid w:val="009D6E89"/>
    <w:rsid w:val="009D7CE0"/>
    <w:rsid w:val="009E14E2"/>
    <w:rsid w:val="009E49ED"/>
    <w:rsid w:val="009E5A05"/>
    <w:rsid w:val="009E6858"/>
    <w:rsid w:val="009E6B19"/>
    <w:rsid w:val="009E6F8C"/>
    <w:rsid w:val="009F3245"/>
    <w:rsid w:val="009F405F"/>
    <w:rsid w:val="009F55D9"/>
    <w:rsid w:val="009F67F8"/>
    <w:rsid w:val="009F689D"/>
    <w:rsid w:val="009F7FC8"/>
    <w:rsid w:val="00A00471"/>
    <w:rsid w:val="00A00554"/>
    <w:rsid w:val="00A01C56"/>
    <w:rsid w:val="00A02DDF"/>
    <w:rsid w:val="00A041A3"/>
    <w:rsid w:val="00A061EA"/>
    <w:rsid w:val="00A1018E"/>
    <w:rsid w:val="00A12125"/>
    <w:rsid w:val="00A14128"/>
    <w:rsid w:val="00A201C7"/>
    <w:rsid w:val="00A25E42"/>
    <w:rsid w:val="00A2759B"/>
    <w:rsid w:val="00A32C50"/>
    <w:rsid w:val="00A32DE5"/>
    <w:rsid w:val="00A358E7"/>
    <w:rsid w:val="00A3692A"/>
    <w:rsid w:val="00A40F06"/>
    <w:rsid w:val="00A4144F"/>
    <w:rsid w:val="00A4380B"/>
    <w:rsid w:val="00A44E02"/>
    <w:rsid w:val="00A45EED"/>
    <w:rsid w:val="00A47DFB"/>
    <w:rsid w:val="00A50965"/>
    <w:rsid w:val="00A513BE"/>
    <w:rsid w:val="00A515C2"/>
    <w:rsid w:val="00A51A2D"/>
    <w:rsid w:val="00A53A69"/>
    <w:rsid w:val="00A54FD1"/>
    <w:rsid w:val="00A5507E"/>
    <w:rsid w:val="00A5596B"/>
    <w:rsid w:val="00A5720E"/>
    <w:rsid w:val="00A61A7E"/>
    <w:rsid w:val="00A628FF"/>
    <w:rsid w:val="00A63A52"/>
    <w:rsid w:val="00A63C07"/>
    <w:rsid w:val="00A63D9B"/>
    <w:rsid w:val="00A704DC"/>
    <w:rsid w:val="00A70BDF"/>
    <w:rsid w:val="00A762DE"/>
    <w:rsid w:val="00A76D5E"/>
    <w:rsid w:val="00A8017B"/>
    <w:rsid w:val="00A8625F"/>
    <w:rsid w:val="00A87A98"/>
    <w:rsid w:val="00A87F8F"/>
    <w:rsid w:val="00A904B4"/>
    <w:rsid w:val="00A91ED1"/>
    <w:rsid w:val="00A93DC6"/>
    <w:rsid w:val="00A9411A"/>
    <w:rsid w:val="00A97B36"/>
    <w:rsid w:val="00A97B87"/>
    <w:rsid w:val="00AA1626"/>
    <w:rsid w:val="00AA1658"/>
    <w:rsid w:val="00AA27EB"/>
    <w:rsid w:val="00AA4A4B"/>
    <w:rsid w:val="00AA64F4"/>
    <w:rsid w:val="00AA6682"/>
    <w:rsid w:val="00AB0613"/>
    <w:rsid w:val="00AB2CD1"/>
    <w:rsid w:val="00AB2F8D"/>
    <w:rsid w:val="00AB4BDB"/>
    <w:rsid w:val="00AB4E52"/>
    <w:rsid w:val="00AB56DF"/>
    <w:rsid w:val="00AB7C5C"/>
    <w:rsid w:val="00AB7CBF"/>
    <w:rsid w:val="00AC0A1B"/>
    <w:rsid w:val="00AD0111"/>
    <w:rsid w:val="00AD04F7"/>
    <w:rsid w:val="00AD077D"/>
    <w:rsid w:val="00AD0B68"/>
    <w:rsid w:val="00AD3230"/>
    <w:rsid w:val="00AD40C3"/>
    <w:rsid w:val="00AD4906"/>
    <w:rsid w:val="00AD4C72"/>
    <w:rsid w:val="00AD5451"/>
    <w:rsid w:val="00AD55A8"/>
    <w:rsid w:val="00AE0460"/>
    <w:rsid w:val="00AE1947"/>
    <w:rsid w:val="00AE1A62"/>
    <w:rsid w:val="00AE28D2"/>
    <w:rsid w:val="00AE2C41"/>
    <w:rsid w:val="00AE319D"/>
    <w:rsid w:val="00AE3608"/>
    <w:rsid w:val="00AE685E"/>
    <w:rsid w:val="00AF1C8B"/>
    <w:rsid w:val="00AF1F56"/>
    <w:rsid w:val="00AF22F5"/>
    <w:rsid w:val="00AF299B"/>
    <w:rsid w:val="00AF608E"/>
    <w:rsid w:val="00AF6626"/>
    <w:rsid w:val="00AF7E43"/>
    <w:rsid w:val="00B014D7"/>
    <w:rsid w:val="00B024E0"/>
    <w:rsid w:val="00B02AE0"/>
    <w:rsid w:val="00B03F25"/>
    <w:rsid w:val="00B05326"/>
    <w:rsid w:val="00B10A25"/>
    <w:rsid w:val="00B13087"/>
    <w:rsid w:val="00B14545"/>
    <w:rsid w:val="00B14E60"/>
    <w:rsid w:val="00B15568"/>
    <w:rsid w:val="00B17ACB"/>
    <w:rsid w:val="00B17BA2"/>
    <w:rsid w:val="00B22308"/>
    <w:rsid w:val="00B26DC3"/>
    <w:rsid w:val="00B30B9D"/>
    <w:rsid w:val="00B30BA4"/>
    <w:rsid w:val="00B313CE"/>
    <w:rsid w:val="00B34818"/>
    <w:rsid w:val="00B352AE"/>
    <w:rsid w:val="00B3546A"/>
    <w:rsid w:val="00B36558"/>
    <w:rsid w:val="00B37B0C"/>
    <w:rsid w:val="00B4328F"/>
    <w:rsid w:val="00B44EAB"/>
    <w:rsid w:val="00B4574D"/>
    <w:rsid w:val="00B45E9D"/>
    <w:rsid w:val="00B468E1"/>
    <w:rsid w:val="00B46BC0"/>
    <w:rsid w:val="00B46DFB"/>
    <w:rsid w:val="00B5141B"/>
    <w:rsid w:val="00B52E83"/>
    <w:rsid w:val="00B532D4"/>
    <w:rsid w:val="00B54BA4"/>
    <w:rsid w:val="00B55681"/>
    <w:rsid w:val="00B55C8F"/>
    <w:rsid w:val="00B56FA3"/>
    <w:rsid w:val="00B57AAD"/>
    <w:rsid w:val="00B605EC"/>
    <w:rsid w:val="00B61428"/>
    <w:rsid w:val="00B61D57"/>
    <w:rsid w:val="00B6374E"/>
    <w:rsid w:val="00B6508B"/>
    <w:rsid w:val="00B72944"/>
    <w:rsid w:val="00B72B16"/>
    <w:rsid w:val="00B732AF"/>
    <w:rsid w:val="00B75FB6"/>
    <w:rsid w:val="00B764E6"/>
    <w:rsid w:val="00B76F14"/>
    <w:rsid w:val="00B779E9"/>
    <w:rsid w:val="00B80408"/>
    <w:rsid w:val="00B81397"/>
    <w:rsid w:val="00B8187D"/>
    <w:rsid w:val="00B854A6"/>
    <w:rsid w:val="00B85506"/>
    <w:rsid w:val="00B85EBC"/>
    <w:rsid w:val="00B85F08"/>
    <w:rsid w:val="00B86D46"/>
    <w:rsid w:val="00B925DB"/>
    <w:rsid w:val="00B94DA6"/>
    <w:rsid w:val="00B9510B"/>
    <w:rsid w:val="00B95319"/>
    <w:rsid w:val="00B95F60"/>
    <w:rsid w:val="00B967FF"/>
    <w:rsid w:val="00B974B9"/>
    <w:rsid w:val="00B9760D"/>
    <w:rsid w:val="00BA07F5"/>
    <w:rsid w:val="00BA224A"/>
    <w:rsid w:val="00BA233C"/>
    <w:rsid w:val="00BA2616"/>
    <w:rsid w:val="00BA3BF6"/>
    <w:rsid w:val="00BA3F6D"/>
    <w:rsid w:val="00BA4BE6"/>
    <w:rsid w:val="00BA4FC0"/>
    <w:rsid w:val="00BA5797"/>
    <w:rsid w:val="00BA61E0"/>
    <w:rsid w:val="00BA657C"/>
    <w:rsid w:val="00BA7399"/>
    <w:rsid w:val="00BA7F7D"/>
    <w:rsid w:val="00BB1C14"/>
    <w:rsid w:val="00BB5102"/>
    <w:rsid w:val="00BB6847"/>
    <w:rsid w:val="00BB77D0"/>
    <w:rsid w:val="00BB7F8F"/>
    <w:rsid w:val="00BC1B3A"/>
    <w:rsid w:val="00BC55B4"/>
    <w:rsid w:val="00BC58FC"/>
    <w:rsid w:val="00BC716A"/>
    <w:rsid w:val="00BD07DF"/>
    <w:rsid w:val="00BD1B71"/>
    <w:rsid w:val="00BD26F4"/>
    <w:rsid w:val="00BD595A"/>
    <w:rsid w:val="00BD5DBD"/>
    <w:rsid w:val="00BD5DF6"/>
    <w:rsid w:val="00BE0041"/>
    <w:rsid w:val="00BE0FE2"/>
    <w:rsid w:val="00BE1629"/>
    <w:rsid w:val="00BE1F15"/>
    <w:rsid w:val="00BE2CE3"/>
    <w:rsid w:val="00BE4253"/>
    <w:rsid w:val="00BE52DF"/>
    <w:rsid w:val="00BE530B"/>
    <w:rsid w:val="00BE6355"/>
    <w:rsid w:val="00BE640F"/>
    <w:rsid w:val="00BE64FF"/>
    <w:rsid w:val="00BE68AA"/>
    <w:rsid w:val="00BE6D2A"/>
    <w:rsid w:val="00BF1DC9"/>
    <w:rsid w:val="00BF3F37"/>
    <w:rsid w:val="00BF3FE9"/>
    <w:rsid w:val="00BF4638"/>
    <w:rsid w:val="00BF4F76"/>
    <w:rsid w:val="00BF5130"/>
    <w:rsid w:val="00BF6003"/>
    <w:rsid w:val="00BF6D4B"/>
    <w:rsid w:val="00BF7A85"/>
    <w:rsid w:val="00C00844"/>
    <w:rsid w:val="00C00C2B"/>
    <w:rsid w:val="00C01492"/>
    <w:rsid w:val="00C01A53"/>
    <w:rsid w:val="00C0593C"/>
    <w:rsid w:val="00C059B1"/>
    <w:rsid w:val="00C059D0"/>
    <w:rsid w:val="00C05E33"/>
    <w:rsid w:val="00C06F40"/>
    <w:rsid w:val="00C07551"/>
    <w:rsid w:val="00C10112"/>
    <w:rsid w:val="00C1109F"/>
    <w:rsid w:val="00C129FF"/>
    <w:rsid w:val="00C12D65"/>
    <w:rsid w:val="00C133AB"/>
    <w:rsid w:val="00C14A33"/>
    <w:rsid w:val="00C15B9D"/>
    <w:rsid w:val="00C20B56"/>
    <w:rsid w:val="00C20D9A"/>
    <w:rsid w:val="00C20F98"/>
    <w:rsid w:val="00C22214"/>
    <w:rsid w:val="00C25986"/>
    <w:rsid w:val="00C26DF6"/>
    <w:rsid w:val="00C26F72"/>
    <w:rsid w:val="00C3020B"/>
    <w:rsid w:val="00C309A7"/>
    <w:rsid w:val="00C33423"/>
    <w:rsid w:val="00C33549"/>
    <w:rsid w:val="00C335AB"/>
    <w:rsid w:val="00C35221"/>
    <w:rsid w:val="00C35BA3"/>
    <w:rsid w:val="00C36179"/>
    <w:rsid w:val="00C36842"/>
    <w:rsid w:val="00C407AB"/>
    <w:rsid w:val="00C40904"/>
    <w:rsid w:val="00C50987"/>
    <w:rsid w:val="00C5201B"/>
    <w:rsid w:val="00C52723"/>
    <w:rsid w:val="00C52B7B"/>
    <w:rsid w:val="00C53395"/>
    <w:rsid w:val="00C547CD"/>
    <w:rsid w:val="00C55D60"/>
    <w:rsid w:val="00C570FF"/>
    <w:rsid w:val="00C5786B"/>
    <w:rsid w:val="00C57CEA"/>
    <w:rsid w:val="00C60FEC"/>
    <w:rsid w:val="00C625F9"/>
    <w:rsid w:val="00C62B1C"/>
    <w:rsid w:val="00C643F3"/>
    <w:rsid w:val="00C64724"/>
    <w:rsid w:val="00C64B59"/>
    <w:rsid w:val="00C6574E"/>
    <w:rsid w:val="00C663D1"/>
    <w:rsid w:val="00C66478"/>
    <w:rsid w:val="00C6753B"/>
    <w:rsid w:val="00C67A94"/>
    <w:rsid w:val="00C707FD"/>
    <w:rsid w:val="00C70879"/>
    <w:rsid w:val="00C74EC2"/>
    <w:rsid w:val="00C76DEB"/>
    <w:rsid w:val="00C77523"/>
    <w:rsid w:val="00C811D8"/>
    <w:rsid w:val="00C816C6"/>
    <w:rsid w:val="00C82A49"/>
    <w:rsid w:val="00C83E72"/>
    <w:rsid w:val="00C840F3"/>
    <w:rsid w:val="00C863A7"/>
    <w:rsid w:val="00C87E94"/>
    <w:rsid w:val="00C912F4"/>
    <w:rsid w:val="00C9156F"/>
    <w:rsid w:val="00C94AB6"/>
    <w:rsid w:val="00C9581A"/>
    <w:rsid w:val="00C95E4B"/>
    <w:rsid w:val="00C97D29"/>
    <w:rsid w:val="00CA29E3"/>
    <w:rsid w:val="00CA368E"/>
    <w:rsid w:val="00CA3C59"/>
    <w:rsid w:val="00CA3E36"/>
    <w:rsid w:val="00CA5989"/>
    <w:rsid w:val="00CA71F3"/>
    <w:rsid w:val="00CB0550"/>
    <w:rsid w:val="00CB384B"/>
    <w:rsid w:val="00CB3EF3"/>
    <w:rsid w:val="00CB4F7E"/>
    <w:rsid w:val="00CB50DE"/>
    <w:rsid w:val="00CB6813"/>
    <w:rsid w:val="00CB7B2B"/>
    <w:rsid w:val="00CC2AF4"/>
    <w:rsid w:val="00CC385F"/>
    <w:rsid w:val="00CC686F"/>
    <w:rsid w:val="00CC69E1"/>
    <w:rsid w:val="00CD1E1C"/>
    <w:rsid w:val="00CD6652"/>
    <w:rsid w:val="00CD7B5F"/>
    <w:rsid w:val="00CE4F20"/>
    <w:rsid w:val="00CE5E4B"/>
    <w:rsid w:val="00CF38F2"/>
    <w:rsid w:val="00CF44E2"/>
    <w:rsid w:val="00CF5482"/>
    <w:rsid w:val="00CF6A55"/>
    <w:rsid w:val="00CF6DC6"/>
    <w:rsid w:val="00CF6DCF"/>
    <w:rsid w:val="00CF71FC"/>
    <w:rsid w:val="00CF7D87"/>
    <w:rsid w:val="00D0119E"/>
    <w:rsid w:val="00D01BAB"/>
    <w:rsid w:val="00D01DDB"/>
    <w:rsid w:val="00D03B85"/>
    <w:rsid w:val="00D03D11"/>
    <w:rsid w:val="00D078BE"/>
    <w:rsid w:val="00D10791"/>
    <w:rsid w:val="00D110F5"/>
    <w:rsid w:val="00D11D4B"/>
    <w:rsid w:val="00D1346D"/>
    <w:rsid w:val="00D13F8A"/>
    <w:rsid w:val="00D13F96"/>
    <w:rsid w:val="00D143DC"/>
    <w:rsid w:val="00D16F60"/>
    <w:rsid w:val="00D20466"/>
    <w:rsid w:val="00D22829"/>
    <w:rsid w:val="00D22981"/>
    <w:rsid w:val="00D25036"/>
    <w:rsid w:val="00D31EF9"/>
    <w:rsid w:val="00D3349B"/>
    <w:rsid w:val="00D336D2"/>
    <w:rsid w:val="00D424A8"/>
    <w:rsid w:val="00D44A4B"/>
    <w:rsid w:val="00D45D6C"/>
    <w:rsid w:val="00D510E5"/>
    <w:rsid w:val="00D563DB"/>
    <w:rsid w:val="00D57FF4"/>
    <w:rsid w:val="00D6036F"/>
    <w:rsid w:val="00D60743"/>
    <w:rsid w:val="00D62877"/>
    <w:rsid w:val="00D63760"/>
    <w:rsid w:val="00D657B8"/>
    <w:rsid w:val="00D6659F"/>
    <w:rsid w:val="00D66749"/>
    <w:rsid w:val="00D6703F"/>
    <w:rsid w:val="00D67EBA"/>
    <w:rsid w:val="00D71C78"/>
    <w:rsid w:val="00D72146"/>
    <w:rsid w:val="00D734EB"/>
    <w:rsid w:val="00D82713"/>
    <w:rsid w:val="00D838EA"/>
    <w:rsid w:val="00D84311"/>
    <w:rsid w:val="00D84B68"/>
    <w:rsid w:val="00D85F8E"/>
    <w:rsid w:val="00D86F00"/>
    <w:rsid w:val="00D918D5"/>
    <w:rsid w:val="00D9274F"/>
    <w:rsid w:val="00D94C8E"/>
    <w:rsid w:val="00D970FD"/>
    <w:rsid w:val="00D972EC"/>
    <w:rsid w:val="00D9792B"/>
    <w:rsid w:val="00DA6CB5"/>
    <w:rsid w:val="00DA73A4"/>
    <w:rsid w:val="00DB09A7"/>
    <w:rsid w:val="00DB1372"/>
    <w:rsid w:val="00DB192C"/>
    <w:rsid w:val="00DB1CF3"/>
    <w:rsid w:val="00DB2297"/>
    <w:rsid w:val="00DB5425"/>
    <w:rsid w:val="00DB6D12"/>
    <w:rsid w:val="00DB72A6"/>
    <w:rsid w:val="00DC33AF"/>
    <w:rsid w:val="00DC3B99"/>
    <w:rsid w:val="00DC6611"/>
    <w:rsid w:val="00DC6BAA"/>
    <w:rsid w:val="00DC7375"/>
    <w:rsid w:val="00DD0FFB"/>
    <w:rsid w:val="00DD131F"/>
    <w:rsid w:val="00DD2954"/>
    <w:rsid w:val="00DD4BAA"/>
    <w:rsid w:val="00DD5AFB"/>
    <w:rsid w:val="00DD613D"/>
    <w:rsid w:val="00DD719F"/>
    <w:rsid w:val="00DD7C6A"/>
    <w:rsid w:val="00DE00C8"/>
    <w:rsid w:val="00DE1344"/>
    <w:rsid w:val="00DE21A3"/>
    <w:rsid w:val="00DE25AC"/>
    <w:rsid w:val="00DE25E0"/>
    <w:rsid w:val="00DE2787"/>
    <w:rsid w:val="00DE33EB"/>
    <w:rsid w:val="00DE71CC"/>
    <w:rsid w:val="00DF1870"/>
    <w:rsid w:val="00DF1CFD"/>
    <w:rsid w:val="00DF3276"/>
    <w:rsid w:val="00DF59E9"/>
    <w:rsid w:val="00DF5BFE"/>
    <w:rsid w:val="00E00099"/>
    <w:rsid w:val="00E01897"/>
    <w:rsid w:val="00E040B6"/>
    <w:rsid w:val="00E0523F"/>
    <w:rsid w:val="00E12D96"/>
    <w:rsid w:val="00E13572"/>
    <w:rsid w:val="00E157B9"/>
    <w:rsid w:val="00E1623D"/>
    <w:rsid w:val="00E2073A"/>
    <w:rsid w:val="00E208AC"/>
    <w:rsid w:val="00E229FC"/>
    <w:rsid w:val="00E2301B"/>
    <w:rsid w:val="00E231A2"/>
    <w:rsid w:val="00E23E50"/>
    <w:rsid w:val="00E24983"/>
    <w:rsid w:val="00E24DA7"/>
    <w:rsid w:val="00E261A0"/>
    <w:rsid w:val="00E26213"/>
    <w:rsid w:val="00E26983"/>
    <w:rsid w:val="00E27129"/>
    <w:rsid w:val="00E274DF"/>
    <w:rsid w:val="00E30A41"/>
    <w:rsid w:val="00E30DDE"/>
    <w:rsid w:val="00E32BDA"/>
    <w:rsid w:val="00E33578"/>
    <w:rsid w:val="00E33942"/>
    <w:rsid w:val="00E34D66"/>
    <w:rsid w:val="00E362C4"/>
    <w:rsid w:val="00E37781"/>
    <w:rsid w:val="00E37AAF"/>
    <w:rsid w:val="00E419FA"/>
    <w:rsid w:val="00E42649"/>
    <w:rsid w:val="00E44AA4"/>
    <w:rsid w:val="00E4534C"/>
    <w:rsid w:val="00E4573D"/>
    <w:rsid w:val="00E458F4"/>
    <w:rsid w:val="00E4654B"/>
    <w:rsid w:val="00E468F7"/>
    <w:rsid w:val="00E46CC2"/>
    <w:rsid w:val="00E46F03"/>
    <w:rsid w:val="00E47E0C"/>
    <w:rsid w:val="00E50FA7"/>
    <w:rsid w:val="00E51813"/>
    <w:rsid w:val="00E5295D"/>
    <w:rsid w:val="00E52C0B"/>
    <w:rsid w:val="00E53D3F"/>
    <w:rsid w:val="00E5579B"/>
    <w:rsid w:val="00E5747C"/>
    <w:rsid w:val="00E57AA5"/>
    <w:rsid w:val="00E57FF4"/>
    <w:rsid w:val="00E611B0"/>
    <w:rsid w:val="00E61B11"/>
    <w:rsid w:val="00E64CAB"/>
    <w:rsid w:val="00E65AC7"/>
    <w:rsid w:val="00E6731E"/>
    <w:rsid w:val="00E679D1"/>
    <w:rsid w:val="00E67C1C"/>
    <w:rsid w:val="00E67D64"/>
    <w:rsid w:val="00E70BBF"/>
    <w:rsid w:val="00E72DE7"/>
    <w:rsid w:val="00E73CCE"/>
    <w:rsid w:val="00E7492A"/>
    <w:rsid w:val="00E8343F"/>
    <w:rsid w:val="00E83DDC"/>
    <w:rsid w:val="00E843B2"/>
    <w:rsid w:val="00E85A08"/>
    <w:rsid w:val="00E87CB3"/>
    <w:rsid w:val="00E91F11"/>
    <w:rsid w:val="00E931A1"/>
    <w:rsid w:val="00E96FF3"/>
    <w:rsid w:val="00E9706D"/>
    <w:rsid w:val="00E97206"/>
    <w:rsid w:val="00EA33B0"/>
    <w:rsid w:val="00EA35F7"/>
    <w:rsid w:val="00EA3AF4"/>
    <w:rsid w:val="00EA65DC"/>
    <w:rsid w:val="00EB08D8"/>
    <w:rsid w:val="00EB0AB1"/>
    <w:rsid w:val="00EB316C"/>
    <w:rsid w:val="00EB3346"/>
    <w:rsid w:val="00EB41EF"/>
    <w:rsid w:val="00EC0DDB"/>
    <w:rsid w:val="00EC1DAD"/>
    <w:rsid w:val="00EC314C"/>
    <w:rsid w:val="00EC5255"/>
    <w:rsid w:val="00ED30EC"/>
    <w:rsid w:val="00ED50F1"/>
    <w:rsid w:val="00ED5BB5"/>
    <w:rsid w:val="00EE308F"/>
    <w:rsid w:val="00EE3520"/>
    <w:rsid w:val="00EE3D4B"/>
    <w:rsid w:val="00EE4365"/>
    <w:rsid w:val="00EE4B01"/>
    <w:rsid w:val="00EE5A40"/>
    <w:rsid w:val="00EF0D84"/>
    <w:rsid w:val="00EF236C"/>
    <w:rsid w:val="00EF3F0B"/>
    <w:rsid w:val="00EF3FBC"/>
    <w:rsid w:val="00EF5583"/>
    <w:rsid w:val="00EF59B0"/>
    <w:rsid w:val="00F00A00"/>
    <w:rsid w:val="00F02729"/>
    <w:rsid w:val="00F0289D"/>
    <w:rsid w:val="00F02AEC"/>
    <w:rsid w:val="00F046E5"/>
    <w:rsid w:val="00F05AA8"/>
    <w:rsid w:val="00F07572"/>
    <w:rsid w:val="00F128E1"/>
    <w:rsid w:val="00F12BA3"/>
    <w:rsid w:val="00F12DF5"/>
    <w:rsid w:val="00F130BB"/>
    <w:rsid w:val="00F157FC"/>
    <w:rsid w:val="00F2003F"/>
    <w:rsid w:val="00F231EF"/>
    <w:rsid w:val="00F2332D"/>
    <w:rsid w:val="00F23982"/>
    <w:rsid w:val="00F26AA9"/>
    <w:rsid w:val="00F26F1A"/>
    <w:rsid w:val="00F2776F"/>
    <w:rsid w:val="00F30AF3"/>
    <w:rsid w:val="00F32F91"/>
    <w:rsid w:val="00F3323D"/>
    <w:rsid w:val="00F338DF"/>
    <w:rsid w:val="00F369D5"/>
    <w:rsid w:val="00F37154"/>
    <w:rsid w:val="00F37872"/>
    <w:rsid w:val="00F402C2"/>
    <w:rsid w:val="00F428EE"/>
    <w:rsid w:val="00F43CD1"/>
    <w:rsid w:val="00F44345"/>
    <w:rsid w:val="00F447A7"/>
    <w:rsid w:val="00F45AE0"/>
    <w:rsid w:val="00F45C98"/>
    <w:rsid w:val="00F46D85"/>
    <w:rsid w:val="00F479A8"/>
    <w:rsid w:val="00F47F5F"/>
    <w:rsid w:val="00F50192"/>
    <w:rsid w:val="00F50352"/>
    <w:rsid w:val="00F50861"/>
    <w:rsid w:val="00F528C0"/>
    <w:rsid w:val="00F54189"/>
    <w:rsid w:val="00F60CF2"/>
    <w:rsid w:val="00F61087"/>
    <w:rsid w:val="00F6299A"/>
    <w:rsid w:val="00F657B4"/>
    <w:rsid w:val="00F657D1"/>
    <w:rsid w:val="00F676BC"/>
    <w:rsid w:val="00F7021A"/>
    <w:rsid w:val="00F706F3"/>
    <w:rsid w:val="00F70E0A"/>
    <w:rsid w:val="00F712B5"/>
    <w:rsid w:val="00F7214C"/>
    <w:rsid w:val="00F72725"/>
    <w:rsid w:val="00F73CD1"/>
    <w:rsid w:val="00F74754"/>
    <w:rsid w:val="00F7649F"/>
    <w:rsid w:val="00F8083B"/>
    <w:rsid w:val="00F81BF2"/>
    <w:rsid w:val="00F82080"/>
    <w:rsid w:val="00F82D1B"/>
    <w:rsid w:val="00F83D66"/>
    <w:rsid w:val="00F83EF3"/>
    <w:rsid w:val="00F84DD3"/>
    <w:rsid w:val="00F8568E"/>
    <w:rsid w:val="00F865A7"/>
    <w:rsid w:val="00F909C9"/>
    <w:rsid w:val="00F94EED"/>
    <w:rsid w:val="00F96198"/>
    <w:rsid w:val="00FA0754"/>
    <w:rsid w:val="00FA0CA6"/>
    <w:rsid w:val="00FA1BC9"/>
    <w:rsid w:val="00FA44F1"/>
    <w:rsid w:val="00FA4593"/>
    <w:rsid w:val="00FA49C3"/>
    <w:rsid w:val="00FA4A73"/>
    <w:rsid w:val="00FA55C2"/>
    <w:rsid w:val="00FA5CAA"/>
    <w:rsid w:val="00FB11B2"/>
    <w:rsid w:val="00FB1AED"/>
    <w:rsid w:val="00FB236E"/>
    <w:rsid w:val="00FB23FF"/>
    <w:rsid w:val="00FB2FC9"/>
    <w:rsid w:val="00FB3F7B"/>
    <w:rsid w:val="00FB4C2A"/>
    <w:rsid w:val="00FB5B76"/>
    <w:rsid w:val="00FB73C5"/>
    <w:rsid w:val="00FC034A"/>
    <w:rsid w:val="00FC2107"/>
    <w:rsid w:val="00FC3657"/>
    <w:rsid w:val="00FC462A"/>
    <w:rsid w:val="00FC48FE"/>
    <w:rsid w:val="00FC6F56"/>
    <w:rsid w:val="00FD25C7"/>
    <w:rsid w:val="00FD4262"/>
    <w:rsid w:val="00FD67EE"/>
    <w:rsid w:val="00FE063C"/>
    <w:rsid w:val="00FE087C"/>
    <w:rsid w:val="00FE43AD"/>
    <w:rsid w:val="00FE6740"/>
    <w:rsid w:val="00FE6E35"/>
    <w:rsid w:val="00FE7685"/>
    <w:rsid w:val="00FE79A0"/>
    <w:rsid w:val="00FE7BC4"/>
    <w:rsid w:val="00FF0939"/>
    <w:rsid w:val="00FF2881"/>
    <w:rsid w:val="00FF47BB"/>
    <w:rsid w:val="00FF6266"/>
    <w:rsid w:val="0321B573"/>
    <w:rsid w:val="035EC400"/>
    <w:rsid w:val="095BF1DC"/>
    <w:rsid w:val="0EE07F50"/>
    <w:rsid w:val="116AF0CC"/>
    <w:rsid w:val="1AC4FE36"/>
    <w:rsid w:val="1C590064"/>
    <w:rsid w:val="1D345473"/>
    <w:rsid w:val="20354C9F"/>
    <w:rsid w:val="2497D151"/>
    <w:rsid w:val="283414E7"/>
    <w:rsid w:val="2F28A7C8"/>
    <w:rsid w:val="318439F2"/>
    <w:rsid w:val="328AC491"/>
    <w:rsid w:val="34758FE2"/>
    <w:rsid w:val="372268BD"/>
    <w:rsid w:val="3791B228"/>
    <w:rsid w:val="3B679FAC"/>
    <w:rsid w:val="3D5F0FEE"/>
    <w:rsid w:val="3F72D123"/>
    <w:rsid w:val="40F3EDBF"/>
    <w:rsid w:val="41B3FFEE"/>
    <w:rsid w:val="436D5FB7"/>
    <w:rsid w:val="4B26D0B4"/>
    <w:rsid w:val="4DA4F3AB"/>
    <w:rsid w:val="530E82DD"/>
    <w:rsid w:val="53EC5DBC"/>
    <w:rsid w:val="55C781EE"/>
    <w:rsid w:val="58D8AE93"/>
    <w:rsid w:val="5D11BFF8"/>
    <w:rsid w:val="5D6F60D6"/>
    <w:rsid w:val="5DA2F064"/>
    <w:rsid w:val="61FD32E5"/>
    <w:rsid w:val="632C16B2"/>
    <w:rsid w:val="638DB74F"/>
    <w:rsid w:val="64E93418"/>
    <w:rsid w:val="65526FF9"/>
    <w:rsid w:val="6691159E"/>
    <w:rsid w:val="692565F2"/>
    <w:rsid w:val="70B921E5"/>
    <w:rsid w:val="719A71E6"/>
    <w:rsid w:val="74033F10"/>
    <w:rsid w:val="78AAB545"/>
    <w:rsid w:val="797097FA"/>
    <w:rsid w:val="7A5D730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D49ADB24-02C1-4F17-8F9E-C58E0E786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EE3D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046E5"/>
    <w:pPr>
      <w:numPr>
        <w:numId w:val="2"/>
      </w:numPr>
      <w:ind w:left="357" w:hanging="357"/>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ritannic Bold" w:hAnsi="Britannic Bol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EE3D4B"/>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1F26E2"/>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1F26E2"/>
    <w:rPr>
      <w:rFonts w:ascii="Cambria" w:eastAsia="Cambria" w:hAnsi="Cambria" w:cs="Cambria"/>
      <w:sz w:val="22"/>
      <w:szCs w:val="22"/>
      <w:lang w:val="en-US"/>
    </w:rPr>
  </w:style>
  <w:style w:type="paragraph" w:customStyle="1" w:styleId="Tabletext0">
    <w:name w:val="Table text"/>
    <w:basedOn w:val="Normal"/>
    <w:link w:val="TabletextChar"/>
    <w:qFormat/>
    <w:rsid w:val="007E5D14"/>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7E5D14"/>
    <w:rPr>
      <w:rFonts w:ascii="Cambria" w:eastAsia="Times New Roman" w:hAnsi="Cambria" w:cs="Times New Roman"/>
      <w:snapToGrid w:val="0"/>
      <w:kern w:val="16"/>
      <w:szCs w:val="24"/>
    </w:rPr>
  </w:style>
  <w:style w:type="character" w:styleId="Mention">
    <w:name w:val="Mention"/>
    <w:basedOn w:val="DefaultParagraphFont"/>
    <w:uiPriority w:val="99"/>
    <w:unhideWhenUsed/>
    <w:rsid w:val="001042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hyperlink" Target="https://www.ebs.tga.gov.au/" TargetMode="Externa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hyperlink" Target="https://www.tga.gov.au/resources/resource/guidance/risk-management-plans-medicines-and-biologicals/australia-specific-annex-eu-rmp" TargetMode="External"/><Relationship Id="rId42" Type="http://schemas.openxmlformats.org/officeDocument/2006/relationships/hyperlink" Target="mailto:info@tga.gov.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www.tga.gov.au/tgas-risk-management-approach" TargetMode="External"/><Relationship Id="rId37" Type="http://schemas.openxmlformats.org/officeDocument/2006/relationships/hyperlink" Target="https://www.tga.gov.au/form/certified-product-details-cpd-biological-prescriptionmedicines" TargetMode="External"/><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tga.gov.au/guidance-7-certified-product-details"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hyperlink" Target="https://www.tga.gov.au/publication/risk-management-plans-medicines-and-biologicals"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microsoft.com/office/2007/relationships/hdphoto" Target="media/hdphoto1.wdp"/><Relationship Id="rId30" Type="http://schemas.openxmlformats.org/officeDocument/2006/relationships/image" Target="media/image11.png"/><Relationship Id="rId35" Type="http://schemas.openxmlformats.org/officeDocument/2006/relationships/hyperlink" Target="mailto:vaccines@health.gov.au" TargetMode="External"/><Relationship Id="rId43" Type="http://schemas.openxmlformats.org/officeDocument/2006/relationships/hyperlink" Target="https://www.tga.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png"/><Relationship Id="rId33" Type="http://schemas.openxmlformats.org/officeDocument/2006/relationships/hyperlink" Target="https://www.tga.gov.au/resources/resource/guidance/risk-management-plans-medicines-and-biologicals/australia-specific-annex-eu-rmp" TargetMode="External"/><Relationship Id="rId38" Type="http://schemas.openxmlformats.org/officeDocument/2006/relationships/hyperlink" Target="mailto:Vaccines@health.gov.au" TargetMode="External"/><Relationship Id="rId46" Type="http://schemas.openxmlformats.org/officeDocument/2006/relationships/fontTable" Target="fontTable.xml"/><Relationship Id="rId20" Type="http://schemas.openxmlformats.org/officeDocument/2006/relationships/hyperlink" Target="https://www.tga.gov.au/obstetric-drug-information-services" TargetMode="External"/><Relationship Id="rId41"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93/jtm/taae052" TargetMode="External"/><Relationship Id="rId3" Type="http://schemas.openxmlformats.org/officeDocument/2006/relationships/hyperlink" Target="https://doi.org/10.3389/fcimb.2017.00317" TargetMode="External"/><Relationship Id="rId7" Type="http://schemas.openxmlformats.org/officeDocument/2006/relationships/hyperlink" Target="https://www.health.gov.au/resources/publications/atagi-advice-on-the-use-of-dengvaxiar-for-australians?language=en" TargetMode="External"/><Relationship Id="rId2" Type="http://schemas.openxmlformats.org/officeDocument/2006/relationships/hyperlink" Target="https://doi.org/10.1016/j.tim.2013.12.011" TargetMode="External"/><Relationship Id="rId1" Type="http://schemas.openxmlformats.org/officeDocument/2006/relationships/hyperlink" Target="https://www.who.int/news-room/fact-sheets/detail/dengue-and-severe-dengue" TargetMode="External"/><Relationship Id="rId6" Type="http://schemas.openxmlformats.org/officeDocument/2006/relationships/hyperlink" Target="https://terrance.who.int/mediacentre/data/sage/SAGE_Docs_Ppt_April2018/5_session_dengue/April2018_session5_executive_summary_dengue_SAGE.pdf" TargetMode="External"/><Relationship Id="rId5" Type="http://schemas.openxmlformats.org/officeDocument/2006/relationships/hyperlink" Target="https://doi.org/10.1056/nejmoa1800820" TargetMode="External"/><Relationship Id="rId10" Type="http://schemas.openxmlformats.org/officeDocument/2006/relationships/hyperlink" Target="https://www.ema.europa.eu/en/clinical-evaluation-new-vaccines-scientific-guideline" TargetMode="External"/><Relationship Id="rId4" Type="http://schemas.openxmlformats.org/officeDocument/2006/relationships/hyperlink" Target="https://doi.org/10.1093/jtm/taae014" TargetMode="External"/><Relationship Id="rId9" Type="http://schemas.openxmlformats.org/officeDocument/2006/relationships/hyperlink" Target="https://www.tga.gov.au/resources/cancellations-by-sponsors/dengvaxia-dengue-tetravalent-vaccine-live-attenuated-powder-anddiluent-suspension-injection-cancelled-under-section-301c-ac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c9ff9f-9df4-41e5-85bf-c1d522d22738" xsi:nil="true"/>
    <lcf76f155ced4ddcb4097134ff3c332f xmlns="83f7e53e-d401-4c6b-8d57-5170fa149f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53604C9998644786335F0C7DC27AAE" ma:contentTypeVersion="16" ma:contentTypeDescription="Create a new document." ma:contentTypeScope="" ma:versionID="7e7346d4f98724815f8bf495f891c74d">
  <xsd:schema xmlns:xsd="http://www.w3.org/2001/XMLSchema" xmlns:xs="http://www.w3.org/2001/XMLSchema" xmlns:p="http://schemas.microsoft.com/office/2006/metadata/properties" xmlns:ns2="83f7e53e-d401-4c6b-8d57-5170fa149fa5" xmlns:ns3="21c9ff9f-9df4-41e5-85bf-c1d522d22738" targetNamespace="http://schemas.microsoft.com/office/2006/metadata/properties" ma:root="true" ma:fieldsID="863c4b14db977fac110063430f857666" ns2:_="" ns3:_="">
    <xsd:import namespace="83f7e53e-d401-4c6b-8d57-5170fa149fa5"/>
    <xsd:import namespace="21c9ff9f-9df4-41e5-85bf-c1d522d227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7e53e-d401-4c6b-8d57-5170fa149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749a35e-9b4c-41a3-9e24-d57cd2885fd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c9ff9f-9df4-41e5-85bf-c1d522d227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139777e-4fa1-4caa-8cc8-e4ba2c042b0f}" ma:internalName="TaxCatchAll" ma:showField="CatchAllData" ma:web="21c9ff9f-9df4-41e5-85bf-c1d522d22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79708-51C8-4D99-8811-E518EFDDC0BB}">
  <ds:schemaRefs>
    <ds:schemaRef ds:uri="http://schemas.microsoft.com/office/2006/metadata/properties"/>
    <ds:schemaRef ds:uri="http://schemas.microsoft.com/office/infopath/2007/PartnerControls"/>
    <ds:schemaRef ds:uri="21c9ff9f-9df4-41e5-85bf-c1d522d22738"/>
    <ds:schemaRef ds:uri="83f7e53e-d401-4c6b-8d57-5170fa149fa5"/>
  </ds:schemaRefs>
</ds:datastoreItem>
</file>

<file path=customXml/itemProps2.xml><?xml version="1.0" encoding="utf-8"?>
<ds:datastoreItem xmlns:ds="http://schemas.openxmlformats.org/officeDocument/2006/customXml" ds:itemID="{8693F532-55F4-47EE-9F02-E0FD79288313}">
  <ds:schemaRefs>
    <ds:schemaRef ds:uri="http://schemas.microsoft.com/sharepoint/v3/contenttype/forms"/>
  </ds:schemaRefs>
</ds:datastoreItem>
</file>

<file path=customXml/itemProps3.xml><?xml version="1.0" encoding="utf-8"?>
<ds:datastoreItem xmlns:ds="http://schemas.openxmlformats.org/officeDocument/2006/customXml" ds:itemID="{6F12F33D-D849-4A5D-AA94-463C020ED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7e53e-d401-4c6b-8d57-5170fa149fa5"/>
    <ds:schemaRef ds:uri="21c9ff9f-9df4-41e5-85bf-c1d522d22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30</Pages>
  <Words>9785</Words>
  <Characters>55776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65431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Qdenga</dc:title>
  <dc:subject>Prescription medicines</dc:subject>
  <dc:creator>Therapeutic Goods Administration</dc:creator>
  <cp:keywords/>
  <dc:description/>
  <cp:lastModifiedBy>LACK, Janet</cp:lastModifiedBy>
  <cp:revision>4</cp:revision>
  <dcterms:created xsi:type="dcterms:W3CDTF">2026-06-16T22:41:00Z</dcterms:created>
  <dcterms:modified xsi:type="dcterms:W3CDTF">2026-06-17T04:48:00Z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2025-12-01T03:47:48Z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93f14edd-a9cd-485c-a7b7-a4a0dd485297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ContentTypeId">
    <vt:lpwstr>0x010100FE53604C9998644786335F0C7DC27AAE</vt:lpwstr>
  </property>
  <property fmtid="{D5CDD505-2E9C-101B-9397-08002B2CF9AE}" pid="11" name="MediaServiceImageTags">
    <vt:lpwstr/>
  </property>
  <property fmtid="{D5CDD505-2E9C-101B-9397-08002B2CF9AE}" pid="12" name="docLang">
    <vt:lpwstr>en</vt:lpwstr>
  </property>
</Properties>
</file>