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4A9E13B" w:rsidR="00F02AEC" w:rsidRPr="00215D48" w:rsidRDefault="00346EC2" w:rsidP="00532E25">
            <w:pPr>
              <w:pStyle w:val="Title"/>
            </w:pPr>
            <w:r w:rsidRPr="00346EC2">
              <w:t>Australian Public Assessment Report for</w:t>
            </w:r>
            <w:r w:rsidR="00AD5D5E">
              <w:t xml:space="preserve"> </w:t>
            </w:r>
            <w:r w:rsidR="006D3DF0">
              <w:t>Niktimvo</w:t>
            </w:r>
          </w:p>
        </w:tc>
      </w:tr>
      <w:tr w:rsidR="00F02AEC" w:rsidRPr="00215D48" w14:paraId="318A40A3" w14:textId="77777777" w:rsidTr="00346EC2">
        <w:trPr>
          <w:trHeight w:val="995"/>
        </w:trPr>
        <w:tc>
          <w:tcPr>
            <w:tcW w:w="8720" w:type="dxa"/>
          </w:tcPr>
          <w:p w14:paraId="1AA7C701" w14:textId="5E67B51B" w:rsidR="00F02AEC" w:rsidRPr="00215D48" w:rsidRDefault="00346EC2" w:rsidP="007452E8">
            <w:pPr>
              <w:pStyle w:val="Subtitle"/>
              <w:ind w:left="0"/>
            </w:pPr>
            <w:r w:rsidRPr="00346EC2">
              <w:t xml:space="preserve">Active ingredient: </w:t>
            </w:r>
            <w:r w:rsidR="00F339A7">
              <w:t>A</w:t>
            </w:r>
            <w:r w:rsidR="00AD5D5E" w:rsidRPr="00AD5D5E">
              <w:t>xatilimab</w:t>
            </w:r>
          </w:p>
        </w:tc>
      </w:tr>
      <w:tr w:rsidR="00346EC2" w:rsidRPr="00215D48" w14:paraId="362CCAE4" w14:textId="77777777" w:rsidTr="007452E8">
        <w:trPr>
          <w:trHeight w:val="1916"/>
        </w:trPr>
        <w:tc>
          <w:tcPr>
            <w:tcW w:w="8720" w:type="dxa"/>
          </w:tcPr>
          <w:p w14:paraId="709C45C0" w14:textId="7AE76F1D" w:rsidR="00346EC2" w:rsidRPr="00215D48" w:rsidRDefault="00346EC2" w:rsidP="007452E8">
            <w:pPr>
              <w:pStyle w:val="Subtitle"/>
              <w:ind w:left="0"/>
            </w:pPr>
            <w:r w:rsidRPr="00346EC2">
              <w:t xml:space="preserve">Sponsor: </w:t>
            </w:r>
            <w:r w:rsidR="00AD5D5E" w:rsidRPr="00AD5D5E">
              <w:t>Specialised Therapeutics Alim Pty</w:t>
            </w:r>
            <w:r w:rsidR="00AD5D5E">
              <w:t xml:space="preserve"> </w:t>
            </w:r>
            <w:r w:rsidR="00AD5D5E" w:rsidRPr="00AD5D5E">
              <w:t>Ltd</w:t>
            </w:r>
          </w:p>
        </w:tc>
      </w:tr>
      <w:tr w:rsidR="00F02AEC" w:rsidRPr="00215D48" w14:paraId="37F2AA1F" w14:textId="77777777" w:rsidTr="007452E8">
        <w:tc>
          <w:tcPr>
            <w:tcW w:w="8720" w:type="dxa"/>
          </w:tcPr>
          <w:p w14:paraId="1FDE8DCD" w14:textId="1316AE8A" w:rsidR="00F02AEC" w:rsidRPr="00215D48" w:rsidRDefault="00734CCB" w:rsidP="007452E8">
            <w:pPr>
              <w:pStyle w:val="Date"/>
            </w:pPr>
            <w:r>
              <w:t>June</w:t>
            </w:r>
            <w:r w:rsidR="00AD5D5E">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70725FFA" w14:textId="6E096F76" w:rsidR="00B0507B"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1299533" w:history="1">
            <w:r w:rsidR="00B0507B" w:rsidRPr="003E6C67">
              <w:rPr>
                <w:rStyle w:val="Hyperlink"/>
                <w:noProof/>
              </w:rPr>
              <w:t>List of abbreviations</w:t>
            </w:r>
            <w:r w:rsidR="00B0507B">
              <w:rPr>
                <w:noProof/>
                <w:webHidden/>
              </w:rPr>
              <w:tab/>
            </w:r>
            <w:r w:rsidR="00B0507B">
              <w:rPr>
                <w:noProof/>
                <w:webHidden/>
              </w:rPr>
              <w:fldChar w:fldCharType="begin"/>
            </w:r>
            <w:r w:rsidR="00B0507B">
              <w:rPr>
                <w:noProof/>
                <w:webHidden/>
              </w:rPr>
              <w:instrText xml:space="preserve"> PAGEREF _Toc231299533 \h </w:instrText>
            </w:r>
            <w:r w:rsidR="00B0507B">
              <w:rPr>
                <w:noProof/>
                <w:webHidden/>
              </w:rPr>
            </w:r>
            <w:r w:rsidR="00B0507B">
              <w:rPr>
                <w:noProof/>
                <w:webHidden/>
              </w:rPr>
              <w:fldChar w:fldCharType="separate"/>
            </w:r>
            <w:r w:rsidR="00B0507B">
              <w:rPr>
                <w:noProof/>
                <w:webHidden/>
              </w:rPr>
              <w:t>4</w:t>
            </w:r>
            <w:r w:rsidR="00B0507B">
              <w:rPr>
                <w:noProof/>
                <w:webHidden/>
              </w:rPr>
              <w:fldChar w:fldCharType="end"/>
            </w:r>
          </w:hyperlink>
        </w:p>
        <w:p w14:paraId="6ED8E0D8" w14:textId="2F6ACB38" w:rsidR="00B0507B" w:rsidRDefault="00B0507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1299534" w:history="1">
            <w:r w:rsidRPr="003E6C67">
              <w:rPr>
                <w:rStyle w:val="Hyperlink"/>
                <w:noProof/>
              </w:rPr>
              <w:t>Product submission</w:t>
            </w:r>
            <w:r>
              <w:rPr>
                <w:noProof/>
                <w:webHidden/>
              </w:rPr>
              <w:tab/>
            </w:r>
            <w:r>
              <w:rPr>
                <w:noProof/>
                <w:webHidden/>
              </w:rPr>
              <w:fldChar w:fldCharType="begin"/>
            </w:r>
            <w:r>
              <w:rPr>
                <w:noProof/>
                <w:webHidden/>
              </w:rPr>
              <w:instrText xml:space="preserve"> PAGEREF _Toc231299534 \h </w:instrText>
            </w:r>
            <w:r>
              <w:rPr>
                <w:noProof/>
                <w:webHidden/>
              </w:rPr>
            </w:r>
            <w:r>
              <w:rPr>
                <w:noProof/>
                <w:webHidden/>
              </w:rPr>
              <w:fldChar w:fldCharType="separate"/>
            </w:r>
            <w:r>
              <w:rPr>
                <w:noProof/>
                <w:webHidden/>
              </w:rPr>
              <w:t>5</w:t>
            </w:r>
            <w:r>
              <w:rPr>
                <w:noProof/>
                <w:webHidden/>
              </w:rPr>
              <w:fldChar w:fldCharType="end"/>
            </w:r>
          </w:hyperlink>
        </w:p>
        <w:p w14:paraId="1136B562" w14:textId="20394B70"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35" w:history="1">
            <w:r w:rsidRPr="003E6C67">
              <w:rPr>
                <w:rStyle w:val="Hyperlink"/>
                <w:noProof/>
                <w:lang w:eastAsia="en-AU"/>
              </w:rPr>
              <w:t>Submission details</w:t>
            </w:r>
            <w:r>
              <w:rPr>
                <w:noProof/>
                <w:webHidden/>
              </w:rPr>
              <w:tab/>
            </w:r>
            <w:r>
              <w:rPr>
                <w:noProof/>
                <w:webHidden/>
              </w:rPr>
              <w:fldChar w:fldCharType="begin"/>
            </w:r>
            <w:r>
              <w:rPr>
                <w:noProof/>
                <w:webHidden/>
              </w:rPr>
              <w:instrText xml:space="preserve"> PAGEREF _Toc231299535 \h </w:instrText>
            </w:r>
            <w:r>
              <w:rPr>
                <w:noProof/>
                <w:webHidden/>
              </w:rPr>
            </w:r>
            <w:r>
              <w:rPr>
                <w:noProof/>
                <w:webHidden/>
              </w:rPr>
              <w:fldChar w:fldCharType="separate"/>
            </w:r>
            <w:r>
              <w:rPr>
                <w:noProof/>
                <w:webHidden/>
              </w:rPr>
              <w:t>5</w:t>
            </w:r>
            <w:r>
              <w:rPr>
                <w:noProof/>
                <w:webHidden/>
              </w:rPr>
              <w:fldChar w:fldCharType="end"/>
            </w:r>
          </w:hyperlink>
        </w:p>
        <w:p w14:paraId="7AD92E44" w14:textId="67A81C98"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36" w:history="1">
            <w:r w:rsidRPr="003E6C67">
              <w:rPr>
                <w:rStyle w:val="Hyperlink"/>
                <w:noProof/>
              </w:rPr>
              <w:t>Product background</w:t>
            </w:r>
            <w:r>
              <w:rPr>
                <w:noProof/>
                <w:webHidden/>
              </w:rPr>
              <w:tab/>
            </w:r>
            <w:r>
              <w:rPr>
                <w:noProof/>
                <w:webHidden/>
              </w:rPr>
              <w:fldChar w:fldCharType="begin"/>
            </w:r>
            <w:r>
              <w:rPr>
                <w:noProof/>
                <w:webHidden/>
              </w:rPr>
              <w:instrText xml:space="preserve"> PAGEREF _Toc231299536 \h </w:instrText>
            </w:r>
            <w:r>
              <w:rPr>
                <w:noProof/>
                <w:webHidden/>
              </w:rPr>
            </w:r>
            <w:r>
              <w:rPr>
                <w:noProof/>
                <w:webHidden/>
              </w:rPr>
              <w:fldChar w:fldCharType="separate"/>
            </w:r>
            <w:r>
              <w:rPr>
                <w:noProof/>
                <w:webHidden/>
              </w:rPr>
              <w:t>6</w:t>
            </w:r>
            <w:r>
              <w:rPr>
                <w:noProof/>
                <w:webHidden/>
              </w:rPr>
              <w:fldChar w:fldCharType="end"/>
            </w:r>
          </w:hyperlink>
        </w:p>
        <w:p w14:paraId="78D0D359" w14:textId="286D5DA2"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37" w:history="1">
            <w:r w:rsidRPr="003E6C67">
              <w:rPr>
                <w:rStyle w:val="Hyperlink"/>
                <w:noProof/>
              </w:rPr>
              <w:t>Disease or condition</w:t>
            </w:r>
            <w:r>
              <w:rPr>
                <w:noProof/>
                <w:webHidden/>
              </w:rPr>
              <w:tab/>
            </w:r>
            <w:r>
              <w:rPr>
                <w:noProof/>
                <w:webHidden/>
              </w:rPr>
              <w:fldChar w:fldCharType="begin"/>
            </w:r>
            <w:r>
              <w:rPr>
                <w:noProof/>
                <w:webHidden/>
              </w:rPr>
              <w:instrText xml:space="preserve"> PAGEREF _Toc231299537 \h </w:instrText>
            </w:r>
            <w:r>
              <w:rPr>
                <w:noProof/>
                <w:webHidden/>
              </w:rPr>
            </w:r>
            <w:r>
              <w:rPr>
                <w:noProof/>
                <w:webHidden/>
              </w:rPr>
              <w:fldChar w:fldCharType="separate"/>
            </w:r>
            <w:r>
              <w:rPr>
                <w:noProof/>
                <w:webHidden/>
              </w:rPr>
              <w:t>6</w:t>
            </w:r>
            <w:r>
              <w:rPr>
                <w:noProof/>
                <w:webHidden/>
              </w:rPr>
              <w:fldChar w:fldCharType="end"/>
            </w:r>
          </w:hyperlink>
        </w:p>
        <w:p w14:paraId="7E48E5DB" w14:textId="591EBAA5"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38" w:history="1">
            <w:r w:rsidRPr="003E6C67">
              <w:rPr>
                <w:rStyle w:val="Hyperlink"/>
                <w:noProof/>
              </w:rPr>
              <w:t>Current treatment options</w:t>
            </w:r>
            <w:r>
              <w:rPr>
                <w:noProof/>
                <w:webHidden/>
              </w:rPr>
              <w:tab/>
            </w:r>
            <w:r>
              <w:rPr>
                <w:noProof/>
                <w:webHidden/>
              </w:rPr>
              <w:fldChar w:fldCharType="begin"/>
            </w:r>
            <w:r>
              <w:rPr>
                <w:noProof/>
                <w:webHidden/>
              </w:rPr>
              <w:instrText xml:space="preserve"> PAGEREF _Toc231299538 \h </w:instrText>
            </w:r>
            <w:r>
              <w:rPr>
                <w:noProof/>
                <w:webHidden/>
              </w:rPr>
            </w:r>
            <w:r>
              <w:rPr>
                <w:noProof/>
                <w:webHidden/>
              </w:rPr>
              <w:fldChar w:fldCharType="separate"/>
            </w:r>
            <w:r>
              <w:rPr>
                <w:noProof/>
                <w:webHidden/>
              </w:rPr>
              <w:t>7</w:t>
            </w:r>
            <w:r>
              <w:rPr>
                <w:noProof/>
                <w:webHidden/>
              </w:rPr>
              <w:fldChar w:fldCharType="end"/>
            </w:r>
          </w:hyperlink>
        </w:p>
        <w:p w14:paraId="4DA6EB62" w14:textId="7A65B7B4"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39" w:history="1">
            <w:r w:rsidRPr="003E6C67">
              <w:rPr>
                <w:rStyle w:val="Hyperlink"/>
                <w:noProof/>
              </w:rPr>
              <w:t>Clinical rationale</w:t>
            </w:r>
            <w:r>
              <w:rPr>
                <w:noProof/>
                <w:webHidden/>
              </w:rPr>
              <w:tab/>
            </w:r>
            <w:r>
              <w:rPr>
                <w:noProof/>
                <w:webHidden/>
              </w:rPr>
              <w:fldChar w:fldCharType="begin"/>
            </w:r>
            <w:r>
              <w:rPr>
                <w:noProof/>
                <w:webHidden/>
              </w:rPr>
              <w:instrText xml:space="preserve"> PAGEREF _Toc231299539 \h </w:instrText>
            </w:r>
            <w:r>
              <w:rPr>
                <w:noProof/>
                <w:webHidden/>
              </w:rPr>
            </w:r>
            <w:r>
              <w:rPr>
                <w:noProof/>
                <w:webHidden/>
              </w:rPr>
              <w:fldChar w:fldCharType="separate"/>
            </w:r>
            <w:r>
              <w:rPr>
                <w:noProof/>
                <w:webHidden/>
              </w:rPr>
              <w:t>7</w:t>
            </w:r>
            <w:r>
              <w:rPr>
                <w:noProof/>
                <w:webHidden/>
              </w:rPr>
              <w:fldChar w:fldCharType="end"/>
            </w:r>
          </w:hyperlink>
        </w:p>
        <w:p w14:paraId="17A0ECF0" w14:textId="2279FE43"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40" w:history="1">
            <w:r w:rsidRPr="003E6C67">
              <w:rPr>
                <w:rStyle w:val="Hyperlink"/>
                <w:noProof/>
              </w:rPr>
              <w:t>Regulatory status</w:t>
            </w:r>
            <w:r>
              <w:rPr>
                <w:noProof/>
                <w:webHidden/>
              </w:rPr>
              <w:tab/>
            </w:r>
            <w:r>
              <w:rPr>
                <w:noProof/>
                <w:webHidden/>
              </w:rPr>
              <w:fldChar w:fldCharType="begin"/>
            </w:r>
            <w:r>
              <w:rPr>
                <w:noProof/>
                <w:webHidden/>
              </w:rPr>
              <w:instrText xml:space="preserve"> PAGEREF _Toc231299540 \h </w:instrText>
            </w:r>
            <w:r>
              <w:rPr>
                <w:noProof/>
                <w:webHidden/>
              </w:rPr>
            </w:r>
            <w:r>
              <w:rPr>
                <w:noProof/>
                <w:webHidden/>
              </w:rPr>
              <w:fldChar w:fldCharType="separate"/>
            </w:r>
            <w:r>
              <w:rPr>
                <w:noProof/>
                <w:webHidden/>
              </w:rPr>
              <w:t>7</w:t>
            </w:r>
            <w:r>
              <w:rPr>
                <w:noProof/>
                <w:webHidden/>
              </w:rPr>
              <w:fldChar w:fldCharType="end"/>
            </w:r>
          </w:hyperlink>
        </w:p>
        <w:p w14:paraId="13AE80F7" w14:textId="78328A6E"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41" w:history="1">
            <w:r w:rsidRPr="003E6C67">
              <w:rPr>
                <w:rStyle w:val="Hyperlink"/>
                <w:noProof/>
              </w:rPr>
              <w:t>Australian regulatory status</w:t>
            </w:r>
            <w:r>
              <w:rPr>
                <w:noProof/>
                <w:webHidden/>
              </w:rPr>
              <w:tab/>
            </w:r>
            <w:r>
              <w:rPr>
                <w:noProof/>
                <w:webHidden/>
              </w:rPr>
              <w:fldChar w:fldCharType="begin"/>
            </w:r>
            <w:r>
              <w:rPr>
                <w:noProof/>
                <w:webHidden/>
              </w:rPr>
              <w:instrText xml:space="preserve"> PAGEREF _Toc231299541 \h </w:instrText>
            </w:r>
            <w:r>
              <w:rPr>
                <w:noProof/>
                <w:webHidden/>
              </w:rPr>
            </w:r>
            <w:r>
              <w:rPr>
                <w:noProof/>
                <w:webHidden/>
              </w:rPr>
              <w:fldChar w:fldCharType="separate"/>
            </w:r>
            <w:r>
              <w:rPr>
                <w:noProof/>
                <w:webHidden/>
              </w:rPr>
              <w:t>7</w:t>
            </w:r>
            <w:r>
              <w:rPr>
                <w:noProof/>
                <w:webHidden/>
              </w:rPr>
              <w:fldChar w:fldCharType="end"/>
            </w:r>
          </w:hyperlink>
        </w:p>
        <w:p w14:paraId="28964C0A" w14:textId="783AC02D"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42" w:history="1">
            <w:r w:rsidRPr="003E6C67">
              <w:rPr>
                <w:rStyle w:val="Hyperlink"/>
                <w:noProof/>
              </w:rPr>
              <w:t>International regulatory status</w:t>
            </w:r>
            <w:r>
              <w:rPr>
                <w:noProof/>
                <w:webHidden/>
              </w:rPr>
              <w:tab/>
            </w:r>
            <w:r>
              <w:rPr>
                <w:noProof/>
                <w:webHidden/>
              </w:rPr>
              <w:fldChar w:fldCharType="begin"/>
            </w:r>
            <w:r>
              <w:rPr>
                <w:noProof/>
                <w:webHidden/>
              </w:rPr>
              <w:instrText xml:space="preserve"> PAGEREF _Toc231299542 \h </w:instrText>
            </w:r>
            <w:r>
              <w:rPr>
                <w:noProof/>
                <w:webHidden/>
              </w:rPr>
            </w:r>
            <w:r>
              <w:rPr>
                <w:noProof/>
                <w:webHidden/>
              </w:rPr>
              <w:fldChar w:fldCharType="separate"/>
            </w:r>
            <w:r>
              <w:rPr>
                <w:noProof/>
                <w:webHidden/>
              </w:rPr>
              <w:t>8</w:t>
            </w:r>
            <w:r>
              <w:rPr>
                <w:noProof/>
                <w:webHidden/>
              </w:rPr>
              <w:fldChar w:fldCharType="end"/>
            </w:r>
          </w:hyperlink>
        </w:p>
        <w:p w14:paraId="28EFD9FA" w14:textId="62A278BA" w:rsidR="00B0507B" w:rsidRDefault="00B0507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1299543" w:history="1">
            <w:r w:rsidRPr="003E6C67">
              <w:rPr>
                <w:rStyle w:val="Hyperlink"/>
                <w:noProof/>
              </w:rPr>
              <w:t>Registration timeline</w:t>
            </w:r>
            <w:r>
              <w:rPr>
                <w:noProof/>
                <w:webHidden/>
              </w:rPr>
              <w:tab/>
            </w:r>
            <w:r>
              <w:rPr>
                <w:noProof/>
                <w:webHidden/>
              </w:rPr>
              <w:fldChar w:fldCharType="begin"/>
            </w:r>
            <w:r>
              <w:rPr>
                <w:noProof/>
                <w:webHidden/>
              </w:rPr>
              <w:instrText xml:space="preserve"> PAGEREF _Toc231299543 \h </w:instrText>
            </w:r>
            <w:r>
              <w:rPr>
                <w:noProof/>
                <w:webHidden/>
              </w:rPr>
            </w:r>
            <w:r>
              <w:rPr>
                <w:noProof/>
                <w:webHidden/>
              </w:rPr>
              <w:fldChar w:fldCharType="separate"/>
            </w:r>
            <w:r>
              <w:rPr>
                <w:noProof/>
                <w:webHidden/>
              </w:rPr>
              <w:t>8</w:t>
            </w:r>
            <w:r>
              <w:rPr>
                <w:noProof/>
                <w:webHidden/>
              </w:rPr>
              <w:fldChar w:fldCharType="end"/>
            </w:r>
          </w:hyperlink>
        </w:p>
        <w:p w14:paraId="148A0418" w14:textId="745FF9EB" w:rsidR="00B0507B" w:rsidRDefault="00B0507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1299544" w:history="1">
            <w:r w:rsidRPr="003E6C67">
              <w:rPr>
                <w:rStyle w:val="Hyperlink"/>
                <w:noProof/>
              </w:rPr>
              <w:t>Assessment overview</w:t>
            </w:r>
            <w:r>
              <w:rPr>
                <w:noProof/>
                <w:webHidden/>
              </w:rPr>
              <w:tab/>
            </w:r>
            <w:r>
              <w:rPr>
                <w:noProof/>
                <w:webHidden/>
              </w:rPr>
              <w:fldChar w:fldCharType="begin"/>
            </w:r>
            <w:r>
              <w:rPr>
                <w:noProof/>
                <w:webHidden/>
              </w:rPr>
              <w:instrText xml:space="preserve"> PAGEREF _Toc231299544 \h </w:instrText>
            </w:r>
            <w:r>
              <w:rPr>
                <w:noProof/>
                <w:webHidden/>
              </w:rPr>
            </w:r>
            <w:r>
              <w:rPr>
                <w:noProof/>
                <w:webHidden/>
              </w:rPr>
              <w:fldChar w:fldCharType="separate"/>
            </w:r>
            <w:r>
              <w:rPr>
                <w:noProof/>
                <w:webHidden/>
              </w:rPr>
              <w:t>8</w:t>
            </w:r>
            <w:r>
              <w:rPr>
                <w:noProof/>
                <w:webHidden/>
              </w:rPr>
              <w:fldChar w:fldCharType="end"/>
            </w:r>
          </w:hyperlink>
        </w:p>
        <w:p w14:paraId="0DCBD002" w14:textId="249E998C"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45" w:history="1">
            <w:r w:rsidRPr="003E6C67">
              <w:rPr>
                <w:rStyle w:val="Hyperlink"/>
                <w:noProof/>
              </w:rPr>
              <w:t>Quality evaluation summary</w:t>
            </w:r>
            <w:r>
              <w:rPr>
                <w:noProof/>
                <w:webHidden/>
              </w:rPr>
              <w:tab/>
            </w:r>
            <w:r>
              <w:rPr>
                <w:noProof/>
                <w:webHidden/>
              </w:rPr>
              <w:fldChar w:fldCharType="begin"/>
            </w:r>
            <w:r>
              <w:rPr>
                <w:noProof/>
                <w:webHidden/>
              </w:rPr>
              <w:instrText xml:space="preserve"> PAGEREF _Toc231299545 \h </w:instrText>
            </w:r>
            <w:r>
              <w:rPr>
                <w:noProof/>
                <w:webHidden/>
              </w:rPr>
            </w:r>
            <w:r>
              <w:rPr>
                <w:noProof/>
                <w:webHidden/>
              </w:rPr>
              <w:fldChar w:fldCharType="separate"/>
            </w:r>
            <w:r>
              <w:rPr>
                <w:noProof/>
                <w:webHidden/>
              </w:rPr>
              <w:t>8</w:t>
            </w:r>
            <w:r>
              <w:rPr>
                <w:noProof/>
                <w:webHidden/>
              </w:rPr>
              <w:fldChar w:fldCharType="end"/>
            </w:r>
          </w:hyperlink>
        </w:p>
        <w:p w14:paraId="5EF7948C" w14:textId="795F3577"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46" w:history="1">
            <w:r w:rsidRPr="003E6C67">
              <w:rPr>
                <w:rStyle w:val="Hyperlink"/>
                <w:noProof/>
              </w:rPr>
              <w:t>Nonclinical evaluation summary</w:t>
            </w:r>
            <w:r>
              <w:rPr>
                <w:noProof/>
                <w:webHidden/>
              </w:rPr>
              <w:tab/>
            </w:r>
            <w:r>
              <w:rPr>
                <w:noProof/>
                <w:webHidden/>
              </w:rPr>
              <w:fldChar w:fldCharType="begin"/>
            </w:r>
            <w:r>
              <w:rPr>
                <w:noProof/>
                <w:webHidden/>
              </w:rPr>
              <w:instrText xml:space="preserve"> PAGEREF _Toc231299546 \h </w:instrText>
            </w:r>
            <w:r>
              <w:rPr>
                <w:noProof/>
                <w:webHidden/>
              </w:rPr>
            </w:r>
            <w:r>
              <w:rPr>
                <w:noProof/>
                <w:webHidden/>
              </w:rPr>
              <w:fldChar w:fldCharType="separate"/>
            </w:r>
            <w:r>
              <w:rPr>
                <w:noProof/>
                <w:webHidden/>
              </w:rPr>
              <w:t>9</w:t>
            </w:r>
            <w:r>
              <w:rPr>
                <w:noProof/>
                <w:webHidden/>
              </w:rPr>
              <w:fldChar w:fldCharType="end"/>
            </w:r>
          </w:hyperlink>
        </w:p>
        <w:p w14:paraId="5B0AA50F" w14:textId="28778198"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47" w:history="1">
            <w:r w:rsidRPr="003E6C67">
              <w:rPr>
                <w:rStyle w:val="Hyperlink"/>
                <w:noProof/>
              </w:rPr>
              <w:t>Clinical evaluation summary</w:t>
            </w:r>
            <w:r>
              <w:rPr>
                <w:noProof/>
                <w:webHidden/>
              </w:rPr>
              <w:tab/>
            </w:r>
            <w:r>
              <w:rPr>
                <w:noProof/>
                <w:webHidden/>
              </w:rPr>
              <w:fldChar w:fldCharType="begin"/>
            </w:r>
            <w:r>
              <w:rPr>
                <w:noProof/>
                <w:webHidden/>
              </w:rPr>
              <w:instrText xml:space="preserve"> PAGEREF _Toc231299547 \h </w:instrText>
            </w:r>
            <w:r>
              <w:rPr>
                <w:noProof/>
                <w:webHidden/>
              </w:rPr>
            </w:r>
            <w:r>
              <w:rPr>
                <w:noProof/>
                <w:webHidden/>
              </w:rPr>
              <w:fldChar w:fldCharType="separate"/>
            </w:r>
            <w:r>
              <w:rPr>
                <w:noProof/>
                <w:webHidden/>
              </w:rPr>
              <w:t>10</w:t>
            </w:r>
            <w:r>
              <w:rPr>
                <w:noProof/>
                <w:webHidden/>
              </w:rPr>
              <w:fldChar w:fldCharType="end"/>
            </w:r>
          </w:hyperlink>
        </w:p>
        <w:p w14:paraId="426B275C" w14:textId="7A913553"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48" w:history="1">
            <w:r w:rsidRPr="003E6C67">
              <w:rPr>
                <w:rStyle w:val="Hyperlink"/>
                <w:noProof/>
              </w:rPr>
              <w:t>Pharmacology</w:t>
            </w:r>
            <w:r>
              <w:rPr>
                <w:noProof/>
                <w:webHidden/>
              </w:rPr>
              <w:tab/>
            </w:r>
            <w:r>
              <w:rPr>
                <w:noProof/>
                <w:webHidden/>
              </w:rPr>
              <w:fldChar w:fldCharType="begin"/>
            </w:r>
            <w:r>
              <w:rPr>
                <w:noProof/>
                <w:webHidden/>
              </w:rPr>
              <w:instrText xml:space="preserve"> PAGEREF _Toc231299548 \h </w:instrText>
            </w:r>
            <w:r>
              <w:rPr>
                <w:noProof/>
                <w:webHidden/>
              </w:rPr>
            </w:r>
            <w:r>
              <w:rPr>
                <w:noProof/>
                <w:webHidden/>
              </w:rPr>
              <w:fldChar w:fldCharType="separate"/>
            </w:r>
            <w:r>
              <w:rPr>
                <w:noProof/>
                <w:webHidden/>
              </w:rPr>
              <w:t>10</w:t>
            </w:r>
            <w:r>
              <w:rPr>
                <w:noProof/>
                <w:webHidden/>
              </w:rPr>
              <w:fldChar w:fldCharType="end"/>
            </w:r>
          </w:hyperlink>
        </w:p>
        <w:p w14:paraId="23D1D861" w14:textId="3324B85D"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49" w:history="1">
            <w:r w:rsidRPr="003E6C67">
              <w:rPr>
                <w:rStyle w:val="Hyperlink"/>
                <w:noProof/>
              </w:rPr>
              <w:t>Efficacy</w:t>
            </w:r>
            <w:r>
              <w:rPr>
                <w:noProof/>
                <w:webHidden/>
              </w:rPr>
              <w:tab/>
            </w:r>
            <w:r>
              <w:rPr>
                <w:noProof/>
                <w:webHidden/>
              </w:rPr>
              <w:fldChar w:fldCharType="begin"/>
            </w:r>
            <w:r>
              <w:rPr>
                <w:noProof/>
                <w:webHidden/>
              </w:rPr>
              <w:instrText xml:space="preserve"> PAGEREF _Toc231299549 \h </w:instrText>
            </w:r>
            <w:r>
              <w:rPr>
                <w:noProof/>
                <w:webHidden/>
              </w:rPr>
            </w:r>
            <w:r>
              <w:rPr>
                <w:noProof/>
                <w:webHidden/>
              </w:rPr>
              <w:fldChar w:fldCharType="separate"/>
            </w:r>
            <w:r>
              <w:rPr>
                <w:noProof/>
                <w:webHidden/>
              </w:rPr>
              <w:t>13</w:t>
            </w:r>
            <w:r>
              <w:rPr>
                <w:noProof/>
                <w:webHidden/>
              </w:rPr>
              <w:fldChar w:fldCharType="end"/>
            </w:r>
          </w:hyperlink>
        </w:p>
        <w:p w14:paraId="4466C08E" w14:textId="7828F6E4"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50" w:history="1">
            <w:r w:rsidRPr="003E6C67">
              <w:rPr>
                <w:rStyle w:val="Hyperlink"/>
                <w:noProof/>
              </w:rPr>
              <w:t>Safety</w:t>
            </w:r>
            <w:r>
              <w:rPr>
                <w:noProof/>
                <w:webHidden/>
              </w:rPr>
              <w:tab/>
            </w:r>
            <w:r>
              <w:rPr>
                <w:noProof/>
                <w:webHidden/>
              </w:rPr>
              <w:fldChar w:fldCharType="begin"/>
            </w:r>
            <w:r>
              <w:rPr>
                <w:noProof/>
                <w:webHidden/>
              </w:rPr>
              <w:instrText xml:space="preserve"> PAGEREF _Toc231299550 \h </w:instrText>
            </w:r>
            <w:r>
              <w:rPr>
                <w:noProof/>
                <w:webHidden/>
              </w:rPr>
            </w:r>
            <w:r>
              <w:rPr>
                <w:noProof/>
                <w:webHidden/>
              </w:rPr>
              <w:fldChar w:fldCharType="separate"/>
            </w:r>
            <w:r>
              <w:rPr>
                <w:noProof/>
                <w:webHidden/>
              </w:rPr>
              <w:t>25</w:t>
            </w:r>
            <w:r>
              <w:rPr>
                <w:noProof/>
                <w:webHidden/>
              </w:rPr>
              <w:fldChar w:fldCharType="end"/>
            </w:r>
          </w:hyperlink>
        </w:p>
        <w:p w14:paraId="34F5CDB8" w14:textId="199C3DA0"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51" w:history="1">
            <w:r w:rsidRPr="003E6C67">
              <w:rPr>
                <w:rStyle w:val="Hyperlink"/>
                <w:noProof/>
                <w:lang w:eastAsia="en-AU"/>
              </w:rPr>
              <w:t>Risk management plan</w:t>
            </w:r>
            <w:r>
              <w:rPr>
                <w:noProof/>
                <w:webHidden/>
              </w:rPr>
              <w:tab/>
            </w:r>
            <w:r>
              <w:rPr>
                <w:noProof/>
                <w:webHidden/>
              </w:rPr>
              <w:fldChar w:fldCharType="begin"/>
            </w:r>
            <w:r>
              <w:rPr>
                <w:noProof/>
                <w:webHidden/>
              </w:rPr>
              <w:instrText xml:space="preserve"> PAGEREF _Toc231299551 \h </w:instrText>
            </w:r>
            <w:r>
              <w:rPr>
                <w:noProof/>
                <w:webHidden/>
              </w:rPr>
            </w:r>
            <w:r>
              <w:rPr>
                <w:noProof/>
                <w:webHidden/>
              </w:rPr>
              <w:fldChar w:fldCharType="separate"/>
            </w:r>
            <w:r>
              <w:rPr>
                <w:noProof/>
                <w:webHidden/>
              </w:rPr>
              <w:t>26</w:t>
            </w:r>
            <w:r>
              <w:rPr>
                <w:noProof/>
                <w:webHidden/>
              </w:rPr>
              <w:fldChar w:fldCharType="end"/>
            </w:r>
          </w:hyperlink>
        </w:p>
        <w:p w14:paraId="54E1E648" w14:textId="64859953" w:rsidR="00B0507B" w:rsidRDefault="00B0507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1299552" w:history="1">
            <w:r w:rsidRPr="003E6C67">
              <w:rPr>
                <w:rStyle w:val="Hyperlink"/>
                <w:noProof/>
              </w:rPr>
              <w:t>Risk-benefit analysis</w:t>
            </w:r>
            <w:r>
              <w:rPr>
                <w:noProof/>
                <w:webHidden/>
              </w:rPr>
              <w:tab/>
            </w:r>
            <w:r>
              <w:rPr>
                <w:noProof/>
                <w:webHidden/>
              </w:rPr>
              <w:fldChar w:fldCharType="begin"/>
            </w:r>
            <w:r>
              <w:rPr>
                <w:noProof/>
                <w:webHidden/>
              </w:rPr>
              <w:instrText xml:space="preserve"> PAGEREF _Toc231299552 \h </w:instrText>
            </w:r>
            <w:r>
              <w:rPr>
                <w:noProof/>
                <w:webHidden/>
              </w:rPr>
            </w:r>
            <w:r>
              <w:rPr>
                <w:noProof/>
                <w:webHidden/>
              </w:rPr>
              <w:fldChar w:fldCharType="separate"/>
            </w:r>
            <w:r>
              <w:rPr>
                <w:noProof/>
                <w:webHidden/>
              </w:rPr>
              <w:t>27</w:t>
            </w:r>
            <w:r>
              <w:rPr>
                <w:noProof/>
                <w:webHidden/>
              </w:rPr>
              <w:fldChar w:fldCharType="end"/>
            </w:r>
          </w:hyperlink>
        </w:p>
        <w:p w14:paraId="794C3B35" w14:textId="6F062EE9"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53" w:history="1">
            <w:r w:rsidRPr="003E6C67">
              <w:rPr>
                <w:rStyle w:val="Hyperlink"/>
                <w:noProof/>
              </w:rPr>
              <w:t>Efficacy</w:t>
            </w:r>
            <w:r>
              <w:rPr>
                <w:noProof/>
                <w:webHidden/>
              </w:rPr>
              <w:tab/>
            </w:r>
            <w:r>
              <w:rPr>
                <w:noProof/>
                <w:webHidden/>
              </w:rPr>
              <w:fldChar w:fldCharType="begin"/>
            </w:r>
            <w:r>
              <w:rPr>
                <w:noProof/>
                <w:webHidden/>
              </w:rPr>
              <w:instrText xml:space="preserve"> PAGEREF _Toc231299553 \h </w:instrText>
            </w:r>
            <w:r>
              <w:rPr>
                <w:noProof/>
                <w:webHidden/>
              </w:rPr>
            </w:r>
            <w:r>
              <w:rPr>
                <w:noProof/>
                <w:webHidden/>
              </w:rPr>
              <w:fldChar w:fldCharType="separate"/>
            </w:r>
            <w:r>
              <w:rPr>
                <w:noProof/>
                <w:webHidden/>
              </w:rPr>
              <w:t>27</w:t>
            </w:r>
            <w:r>
              <w:rPr>
                <w:noProof/>
                <w:webHidden/>
              </w:rPr>
              <w:fldChar w:fldCharType="end"/>
            </w:r>
          </w:hyperlink>
        </w:p>
        <w:p w14:paraId="7C886566" w14:textId="23EE0FEE"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54" w:history="1">
            <w:r w:rsidRPr="003E6C67">
              <w:rPr>
                <w:rStyle w:val="Hyperlink"/>
                <w:noProof/>
              </w:rPr>
              <w:t>Safety</w:t>
            </w:r>
            <w:r>
              <w:rPr>
                <w:noProof/>
                <w:webHidden/>
              </w:rPr>
              <w:tab/>
            </w:r>
            <w:r>
              <w:rPr>
                <w:noProof/>
                <w:webHidden/>
              </w:rPr>
              <w:fldChar w:fldCharType="begin"/>
            </w:r>
            <w:r>
              <w:rPr>
                <w:noProof/>
                <w:webHidden/>
              </w:rPr>
              <w:instrText xml:space="preserve"> PAGEREF _Toc231299554 \h </w:instrText>
            </w:r>
            <w:r>
              <w:rPr>
                <w:noProof/>
                <w:webHidden/>
              </w:rPr>
            </w:r>
            <w:r>
              <w:rPr>
                <w:noProof/>
                <w:webHidden/>
              </w:rPr>
              <w:fldChar w:fldCharType="separate"/>
            </w:r>
            <w:r>
              <w:rPr>
                <w:noProof/>
                <w:webHidden/>
              </w:rPr>
              <w:t>29</w:t>
            </w:r>
            <w:r>
              <w:rPr>
                <w:noProof/>
                <w:webHidden/>
              </w:rPr>
              <w:fldChar w:fldCharType="end"/>
            </w:r>
          </w:hyperlink>
        </w:p>
        <w:p w14:paraId="17A6F1B8" w14:textId="52D7E9FC"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55" w:history="1">
            <w:r w:rsidRPr="003E6C67">
              <w:rPr>
                <w:rStyle w:val="Hyperlink"/>
                <w:noProof/>
              </w:rPr>
              <w:t>Conclusions</w:t>
            </w:r>
            <w:r>
              <w:rPr>
                <w:noProof/>
                <w:webHidden/>
              </w:rPr>
              <w:tab/>
            </w:r>
            <w:r>
              <w:rPr>
                <w:noProof/>
                <w:webHidden/>
              </w:rPr>
              <w:fldChar w:fldCharType="begin"/>
            </w:r>
            <w:r>
              <w:rPr>
                <w:noProof/>
                <w:webHidden/>
              </w:rPr>
              <w:instrText xml:space="preserve"> PAGEREF _Toc231299555 \h </w:instrText>
            </w:r>
            <w:r>
              <w:rPr>
                <w:noProof/>
                <w:webHidden/>
              </w:rPr>
            </w:r>
            <w:r>
              <w:rPr>
                <w:noProof/>
                <w:webHidden/>
              </w:rPr>
              <w:fldChar w:fldCharType="separate"/>
            </w:r>
            <w:r>
              <w:rPr>
                <w:noProof/>
                <w:webHidden/>
              </w:rPr>
              <w:t>29</w:t>
            </w:r>
            <w:r>
              <w:rPr>
                <w:noProof/>
                <w:webHidden/>
              </w:rPr>
              <w:fldChar w:fldCharType="end"/>
            </w:r>
          </w:hyperlink>
        </w:p>
        <w:p w14:paraId="7A93D677" w14:textId="4D00B77A" w:rsidR="00B0507B" w:rsidRDefault="00B0507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1299556" w:history="1">
            <w:r w:rsidRPr="003E6C67">
              <w:rPr>
                <w:rStyle w:val="Hyperlink"/>
                <w:noProof/>
              </w:rPr>
              <w:t>Assessment outcome</w:t>
            </w:r>
            <w:r>
              <w:rPr>
                <w:noProof/>
                <w:webHidden/>
              </w:rPr>
              <w:tab/>
            </w:r>
            <w:r>
              <w:rPr>
                <w:noProof/>
                <w:webHidden/>
              </w:rPr>
              <w:fldChar w:fldCharType="begin"/>
            </w:r>
            <w:r>
              <w:rPr>
                <w:noProof/>
                <w:webHidden/>
              </w:rPr>
              <w:instrText xml:space="preserve"> PAGEREF _Toc231299556 \h </w:instrText>
            </w:r>
            <w:r>
              <w:rPr>
                <w:noProof/>
                <w:webHidden/>
              </w:rPr>
            </w:r>
            <w:r>
              <w:rPr>
                <w:noProof/>
                <w:webHidden/>
              </w:rPr>
              <w:fldChar w:fldCharType="separate"/>
            </w:r>
            <w:r>
              <w:rPr>
                <w:noProof/>
                <w:webHidden/>
              </w:rPr>
              <w:t>29</w:t>
            </w:r>
            <w:r>
              <w:rPr>
                <w:noProof/>
                <w:webHidden/>
              </w:rPr>
              <w:fldChar w:fldCharType="end"/>
            </w:r>
          </w:hyperlink>
        </w:p>
        <w:p w14:paraId="14977D08" w14:textId="19EB01A3"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57" w:history="1">
            <w:r w:rsidRPr="003E6C67">
              <w:rPr>
                <w:rStyle w:val="Hyperlink"/>
                <w:noProof/>
              </w:rPr>
              <w:t>Specific conditions of registration</w:t>
            </w:r>
            <w:r>
              <w:rPr>
                <w:noProof/>
                <w:webHidden/>
              </w:rPr>
              <w:tab/>
            </w:r>
            <w:r>
              <w:rPr>
                <w:noProof/>
                <w:webHidden/>
              </w:rPr>
              <w:fldChar w:fldCharType="begin"/>
            </w:r>
            <w:r>
              <w:rPr>
                <w:noProof/>
                <w:webHidden/>
              </w:rPr>
              <w:instrText xml:space="preserve"> PAGEREF _Toc231299557 \h </w:instrText>
            </w:r>
            <w:r>
              <w:rPr>
                <w:noProof/>
                <w:webHidden/>
              </w:rPr>
            </w:r>
            <w:r>
              <w:rPr>
                <w:noProof/>
                <w:webHidden/>
              </w:rPr>
              <w:fldChar w:fldCharType="separate"/>
            </w:r>
            <w:r>
              <w:rPr>
                <w:noProof/>
                <w:webHidden/>
              </w:rPr>
              <w:t>30</w:t>
            </w:r>
            <w:r>
              <w:rPr>
                <w:noProof/>
                <w:webHidden/>
              </w:rPr>
              <w:fldChar w:fldCharType="end"/>
            </w:r>
          </w:hyperlink>
        </w:p>
        <w:p w14:paraId="12A461AB" w14:textId="16B55229" w:rsidR="00B0507B" w:rsidRDefault="00B0507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1299558" w:history="1">
            <w:r w:rsidRPr="003E6C67">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_Toc231299558 \h </w:instrText>
            </w:r>
            <w:r>
              <w:rPr>
                <w:noProof/>
                <w:webHidden/>
              </w:rPr>
            </w:r>
            <w:r>
              <w:rPr>
                <w:noProof/>
                <w:webHidden/>
              </w:rPr>
              <w:fldChar w:fldCharType="separate"/>
            </w:r>
            <w:r>
              <w:rPr>
                <w:noProof/>
                <w:webHidden/>
              </w:rPr>
              <w:t>31</w:t>
            </w:r>
            <w:r>
              <w:rPr>
                <w:noProof/>
                <w:webHidden/>
              </w:rPr>
              <w:fldChar w:fldCharType="end"/>
            </w:r>
          </w:hyperlink>
        </w:p>
        <w:p w14:paraId="77659F2D" w14:textId="474394B8"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31299533"/>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9D75DB" w:rsidRPr="00D01DDB" w14:paraId="53955AEA"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F844102" w14:textId="77777777" w:rsidR="009D75DB" w:rsidRPr="00D01DDB" w:rsidRDefault="009D75DB">
            <w:pPr>
              <w:rPr>
                <w:szCs w:val="22"/>
              </w:rPr>
            </w:pPr>
            <w:r w:rsidRPr="00D01DDB">
              <w:rPr>
                <w:szCs w:val="22"/>
              </w:rPr>
              <w:t>Abbreviation</w:t>
            </w:r>
          </w:p>
        </w:tc>
        <w:tc>
          <w:tcPr>
            <w:tcW w:w="3800" w:type="pct"/>
          </w:tcPr>
          <w:p w14:paraId="7FBEBE3E" w14:textId="77777777" w:rsidR="009D75DB" w:rsidRPr="00D01DDB" w:rsidRDefault="009D75DB">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9D75DB" w:rsidRPr="00D01DDB" w14:paraId="0F4824B4"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CDAFBB" w14:textId="77777777" w:rsidR="009D75DB" w:rsidRPr="00D01DDB" w:rsidRDefault="009D75DB">
            <w:pPr>
              <w:rPr>
                <w:szCs w:val="22"/>
              </w:rPr>
            </w:pPr>
            <w:r w:rsidRPr="000F495B">
              <w:t>ADA</w:t>
            </w:r>
          </w:p>
        </w:tc>
        <w:tc>
          <w:tcPr>
            <w:tcW w:w="3800" w:type="pct"/>
          </w:tcPr>
          <w:p w14:paraId="24DB61EA"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t>A</w:t>
            </w:r>
            <w:r w:rsidRPr="007E5028">
              <w:t>nti-drug antibodies</w:t>
            </w:r>
          </w:p>
        </w:tc>
      </w:tr>
      <w:tr w:rsidR="009D75DB" w:rsidRPr="00D01DDB" w14:paraId="7B0D625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B4C6EF" w14:textId="77777777" w:rsidR="009D75DB" w:rsidRPr="007E5028" w:rsidRDefault="009D75DB">
            <w:r w:rsidRPr="000F495B">
              <w:t>AEs</w:t>
            </w:r>
          </w:p>
        </w:tc>
        <w:tc>
          <w:tcPr>
            <w:tcW w:w="3800" w:type="pct"/>
          </w:tcPr>
          <w:p w14:paraId="7B40ABD7" w14:textId="77777777" w:rsidR="009D75DB" w:rsidRPr="007E5028" w:rsidRDefault="009D75DB">
            <w:pPr>
              <w:cnfStyle w:val="000000000000" w:firstRow="0" w:lastRow="0" w:firstColumn="0" w:lastColumn="0" w:oddVBand="0" w:evenVBand="0" w:oddHBand="0" w:evenHBand="0" w:firstRowFirstColumn="0" w:firstRowLastColumn="0" w:lastRowFirstColumn="0" w:lastRowLastColumn="0"/>
            </w:pPr>
            <w:r>
              <w:t>A</w:t>
            </w:r>
            <w:r w:rsidRPr="000F495B">
              <w:t xml:space="preserve">dverse events </w:t>
            </w:r>
          </w:p>
        </w:tc>
      </w:tr>
      <w:tr w:rsidR="009D75DB" w:rsidRPr="00D01DDB" w14:paraId="1524699B"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81D082" w14:textId="77777777" w:rsidR="009D75DB" w:rsidRPr="00D01DDB" w:rsidRDefault="009D75DB">
            <w:pPr>
              <w:rPr>
                <w:szCs w:val="22"/>
              </w:rPr>
            </w:pPr>
            <w:r w:rsidRPr="00D01DDB">
              <w:rPr>
                <w:szCs w:val="22"/>
              </w:rPr>
              <w:t>ARTG</w:t>
            </w:r>
          </w:p>
        </w:tc>
        <w:tc>
          <w:tcPr>
            <w:tcW w:w="3800" w:type="pct"/>
          </w:tcPr>
          <w:p w14:paraId="4E28FAA5"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9D75DB" w:rsidRPr="00D01DDB" w14:paraId="1B7372D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F414BC" w14:textId="77777777" w:rsidR="009D75DB" w:rsidRPr="00D01DDB" w:rsidRDefault="009D75DB">
            <w:pPr>
              <w:rPr>
                <w:szCs w:val="22"/>
              </w:rPr>
            </w:pPr>
            <w:r>
              <w:rPr>
                <w:szCs w:val="22"/>
              </w:rPr>
              <w:t>AUC</w:t>
            </w:r>
          </w:p>
        </w:tc>
        <w:tc>
          <w:tcPr>
            <w:tcW w:w="3800" w:type="pct"/>
          </w:tcPr>
          <w:p w14:paraId="1ECC3755"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1F449A">
              <w:rPr>
                <w:szCs w:val="22"/>
              </w:rPr>
              <w:t>rea under the concentration-time curve</w:t>
            </w:r>
          </w:p>
        </w:tc>
      </w:tr>
      <w:tr w:rsidR="009D75DB" w:rsidRPr="00D01DDB" w14:paraId="151DC0A8"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09C6CC" w14:textId="77777777" w:rsidR="009D75DB" w:rsidRPr="00D01DDB" w:rsidRDefault="009D75DB">
            <w:pPr>
              <w:rPr>
                <w:szCs w:val="22"/>
              </w:rPr>
            </w:pPr>
            <w:r w:rsidRPr="009237EA">
              <w:t xml:space="preserve">cGVHD </w:t>
            </w:r>
          </w:p>
        </w:tc>
        <w:tc>
          <w:tcPr>
            <w:tcW w:w="3800" w:type="pct"/>
          </w:tcPr>
          <w:p w14:paraId="0D1C6365"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sidRPr="006E2AEB">
              <w:t>Chronic graft versus host disease</w:t>
            </w:r>
          </w:p>
        </w:tc>
      </w:tr>
      <w:tr w:rsidR="009D75DB" w:rsidRPr="00D01DDB" w14:paraId="7FB4839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74B1E4" w14:textId="77777777" w:rsidR="009D75DB" w:rsidRPr="00D01DDB" w:rsidRDefault="009D75DB">
            <w:pPr>
              <w:rPr>
                <w:szCs w:val="22"/>
              </w:rPr>
            </w:pPr>
            <w:r w:rsidRPr="00D01DDB">
              <w:rPr>
                <w:szCs w:val="22"/>
              </w:rPr>
              <w:t>CMI</w:t>
            </w:r>
          </w:p>
        </w:tc>
        <w:tc>
          <w:tcPr>
            <w:tcW w:w="3800" w:type="pct"/>
          </w:tcPr>
          <w:p w14:paraId="64D94EE5"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9D75DB" w:rsidRPr="00D01DDB" w14:paraId="033CA7A8"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289D2E" w14:textId="77777777" w:rsidR="009D75DB" w:rsidRPr="00D01DDB" w:rsidRDefault="009D75DB">
            <w:pPr>
              <w:rPr>
                <w:szCs w:val="22"/>
              </w:rPr>
            </w:pPr>
            <w:r w:rsidRPr="007339F2">
              <w:rPr>
                <w:lang w:val="en-US"/>
              </w:rPr>
              <w:t>C</w:t>
            </w:r>
            <w:r w:rsidRPr="007339F2">
              <w:rPr>
                <w:vertAlign w:val="subscript"/>
                <w:lang w:val="en-US"/>
              </w:rPr>
              <w:t>max</w:t>
            </w:r>
          </w:p>
        </w:tc>
        <w:tc>
          <w:tcPr>
            <w:tcW w:w="3800" w:type="pct"/>
          </w:tcPr>
          <w:p w14:paraId="7022D46F" w14:textId="3AE8915C"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Pr>
                <w:lang w:val="en-US"/>
              </w:rPr>
              <w:t>M</w:t>
            </w:r>
            <w:r w:rsidRPr="00882D34">
              <w:rPr>
                <w:lang w:val="en-US"/>
              </w:rPr>
              <w:t>aximum concentration</w:t>
            </w:r>
          </w:p>
        </w:tc>
      </w:tr>
      <w:tr w:rsidR="009D75DB" w:rsidRPr="00D01DDB" w14:paraId="6BC0920F"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F878ED" w14:textId="77777777" w:rsidR="009D75DB" w:rsidRPr="007339F2" w:rsidRDefault="009D75DB">
            <w:pPr>
              <w:rPr>
                <w:lang w:val="en-US"/>
              </w:rPr>
            </w:pPr>
            <w:r w:rsidRPr="003A0602">
              <w:t>CSF-1R</w:t>
            </w:r>
          </w:p>
        </w:tc>
        <w:tc>
          <w:tcPr>
            <w:tcW w:w="3800" w:type="pct"/>
          </w:tcPr>
          <w:p w14:paraId="7F43EBF8" w14:textId="77777777" w:rsidR="009D75DB" w:rsidRPr="007339F2" w:rsidRDefault="009D75DB">
            <w:pPr>
              <w:cnfStyle w:val="000000000000" w:firstRow="0" w:lastRow="0" w:firstColumn="0" w:lastColumn="0" w:oddVBand="0" w:evenVBand="0" w:oddHBand="0" w:evenHBand="0" w:firstRowFirstColumn="0" w:firstRowLastColumn="0" w:lastRowFirstColumn="0" w:lastRowLastColumn="0"/>
              <w:rPr>
                <w:lang w:val="en-US"/>
              </w:rPr>
            </w:pPr>
            <w:r>
              <w:t>C</w:t>
            </w:r>
            <w:r w:rsidRPr="003A0602">
              <w:t>olony-stimulating factor 1 receptor</w:t>
            </w:r>
          </w:p>
        </w:tc>
      </w:tr>
      <w:tr w:rsidR="009D75DB" w:rsidRPr="00D01DDB" w14:paraId="17BAD1AF"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B04B26" w14:textId="77777777" w:rsidR="009D75DB" w:rsidRPr="007339F2" w:rsidRDefault="009D75DB">
            <w:pPr>
              <w:rPr>
                <w:lang w:val="en-US"/>
              </w:rPr>
            </w:pPr>
            <w:r w:rsidRPr="000F495B">
              <w:t xml:space="preserve">E-R </w:t>
            </w:r>
          </w:p>
        </w:tc>
        <w:tc>
          <w:tcPr>
            <w:tcW w:w="3800" w:type="pct"/>
          </w:tcPr>
          <w:p w14:paraId="673FDAD3" w14:textId="77777777" w:rsidR="009D75DB" w:rsidRPr="007339F2" w:rsidRDefault="009D75DB">
            <w:pPr>
              <w:cnfStyle w:val="000000000000" w:firstRow="0" w:lastRow="0" w:firstColumn="0" w:lastColumn="0" w:oddVBand="0" w:evenVBand="0" w:oddHBand="0" w:evenHBand="0" w:firstRowFirstColumn="0" w:firstRowLastColumn="0" w:lastRowFirstColumn="0" w:lastRowLastColumn="0"/>
              <w:rPr>
                <w:lang w:val="en-US"/>
              </w:rPr>
            </w:pPr>
            <w:r w:rsidRPr="000F495B">
              <w:t>E</w:t>
            </w:r>
            <w:r>
              <w:t>xposure</w:t>
            </w:r>
            <w:r w:rsidRPr="000F495B">
              <w:t>-R</w:t>
            </w:r>
            <w:r>
              <w:t>esponse</w:t>
            </w:r>
            <w:r w:rsidRPr="000F495B">
              <w:t xml:space="preserve"> </w:t>
            </w:r>
          </w:p>
        </w:tc>
      </w:tr>
      <w:tr w:rsidR="009D75DB" w:rsidRPr="00D01DDB" w14:paraId="4CC6DA1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0AD1CE" w14:textId="77777777" w:rsidR="009D75DB" w:rsidRPr="000F495B" w:rsidRDefault="009D75DB">
            <w:r w:rsidRPr="005A0CE1">
              <w:t>HSCT</w:t>
            </w:r>
          </w:p>
        </w:tc>
        <w:tc>
          <w:tcPr>
            <w:tcW w:w="3800" w:type="pct"/>
          </w:tcPr>
          <w:p w14:paraId="3B1FC49F" w14:textId="77777777" w:rsidR="009D75DB" w:rsidRPr="000F495B" w:rsidRDefault="009D75DB">
            <w:pPr>
              <w:cnfStyle w:val="000000000000" w:firstRow="0" w:lastRow="0" w:firstColumn="0" w:lastColumn="0" w:oddVBand="0" w:evenVBand="0" w:oddHBand="0" w:evenHBand="0" w:firstRowFirstColumn="0" w:firstRowLastColumn="0" w:lastRowFirstColumn="0" w:lastRowLastColumn="0"/>
            </w:pPr>
            <w:r>
              <w:t>H</w:t>
            </w:r>
            <w:r w:rsidRPr="005A0CE1">
              <w:t>aematopoietic stem cell transplantation</w:t>
            </w:r>
          </w:p>
        </w:tc>
      </w:tr>
      <w:tr w:rsidR="009D75DB" w:rsidRPr="00D01DDB" w14:paraId="166E9F56"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AA2F8E" w14:textId="77777777" w:rsidR="009D75DB" w:rsidRPr="00D01932" w:rsidRDefault="009D75DB">
            <w:r w:rsidRPr="00A64A70">
              <w:t>IV</w:t>
            </w:r>
          </w:p>
        </w:tc>
        <w:tc>
          <w:tcPr>
            <w:tcW w:w="3800" w:type="pct"/>
          </w:tcPr>
          <w:p w14:paraId="32EF03B9" w14:textId="77777777" w:rsidR="009D75DB" w:rsidRPr="00F71F24" w:rsidRDefault="009D75DB">
            <w:pPr>
              <w:tabs>
                <w:tab w:val="left" w:pos="720"/>
              </w:tabs>
              <w:cnfStyle w:val="000000000000" w:firstRow="0" w:lastRow="0" w:firstColumn="0" w:lastColumn="0" w:oddVBand="0" w:evenVBand="0" w:oddHBand="0" w:evenHBand="0" w:firstRowFirstColumn="0" w:firstRowLastColumn="0" w:lastRowFirstColumn="0" w:lastRowLastColumn="0"/>
            </w:pPr>
            <w:r>
              <w:t>I</w:t>
            </w:r>
            <w:r w:rsidRPr="001978D2">
              <w:t>ntravenous</w:t>
            </w:r>
          </w:p>
        </w:tc>
      </w:tr>
      <w:tr w:rsidR="009D75DB" w:rsidRPr="00D01DDB" w14:paraId="1B7320D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E35287" w14:textId="77777777" w:rsidR="009D75DB" w:rsidRPr="00A64A70" w:rsidRDefault="009D75DB">
            <w:r w:rsidRPr="00301265">
              <w:t>mLSS</w:t>
            </w:r>
          </w:p>
        </w:tc>
        <w:tc>
          <w:tcPr>
            <w:tcW w:w="3800" w:type="pct"/>
          </w:tcPr>
          <w:p w14:paraId="27E1C5EF" w14:textId="77777777" w:rsidR="009D75DB" w:rsidRPr="00A64A70" w:rsidRDefault="009D75DB">
            <w:pPr>
              <w:cnfStyle w:val="000000000000" w:firstRow="0" w:lastRow="0" w:firstColumn="0" w:lastColumn="0" w:oddVBand="0" w:evenVBand="0" w:oddHBand="0" w:evenHBand="0" w:firstRowFirstColumn="0" w:firstRowLastColumn="0" w:lastRowFirstColumn="0" w:lastRowLastColumn="0"/>
            </w:pPr>
            <w:r>
              <w:t>M</w:t>
            </w:r>
            <w:r w:rsidRPr="00301265">
              <w:t>odified Lee Symptom Scale</w:t>
            </w:r>
          </w:p>
        </w:tc>
      </w:tr>
      <w:tr w:rsidR="009D75DB" w:rsidRPr="00D01DDB" w14:paraId="6E700D54"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BFA8BB" w14:textId="77777777" w:rsidR="009D75DB" w:rsidRPr="00A64A70" w:rsidRDefault="009D75DB">
            <w:r w:rsidRPr="000F495B">
              <w:t>ORR</w:t>
            </w:r>
          </w:p>
        </w:tc>
        <w:tc>
          <w:tcPr>
            <w:tcW w:w="3800" w:type="pct"/>
          </w:tcPr>
          <w:p w14:paraId="15B8D27F" w14:textId="77777777" w:rsidR="009D75DB" w:rsidRPr="00A64A70" w:rsidRDefault="009D75DB">
            <w:pPr>
              <w:cnfStyle w:val="000000000000" w:firstRow="0" w:lastRow="0" w:firstColumn="0" w:lastColumn="0" w:oddVBand="0" w:evenVBand="0" w:oddHBand="0" w:evenHBand="0" w:firstRowFirstColumn="0" w:firstRowLastColumn="0" w:lastRowFirstColumn="0" w:lastRowLastColumn="0"/>
            </w:pPr>
            <w:r>
              <w:t>O</w:t>
            </w:r>
            <w:r w:rsidRPr="0037782B">
              <w:t>verall response rate</w:t>
            </w:r>
          </w:p>
        </w:tc>
      </w:tr>
      <w:tr w:rsidR="009D75DB" w:rsidRPr="00D01DDB" w14:paraId="52DE246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BC3C63" w14:textId="77777777" w:rsidR="009D75DB" w:rsidRPr="00D01DDB" w:rsidRDefault="009D75DB">
            <w:pPr>
              <w:rPr>
                <w:szCs w:val="22"/>
              </w:rPr>
            </w:pPr>
            <w:r w:rsidRPr="00D01DDB">
              <w:rPr>
                <w:szCs w:val="22"/>
              </w:rPr>
              <w:t>PI</w:t>
            </w:r>
          </w:p>
        </w:tc>
        <w:tc>
          <w:tcPr>
            <w:tcW w:w="3800" w:type="pct"/>
          </w:tcPr>
          <w:p w14:paraId="5F6578F4"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9D75DB" w:rsidRPr="00D01DDB" w14:paraId="0BDE4BD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281FC6" w14:textId="77777777" w:rsidR="009D75DB" w:rsidRPr="00D01DDB" w:rsidRDefault="009D75DB">
            <w:pPr>
              <w:rPr>
                <w:szCs w:val="22"/>
              </w:rPr>
            </w:pPr>
            <w:r w:rsidRPr="006123BF">
              <w:t xml:space="preserve">PK </w:t>
            </w:r>
          </w:p>
        </w:tc>
        <w:tc>
          <w:tcPr>
            <w:tcW w:w="3800" w:type="pct"/>
          </w:tcPr>
          <w:p w14:paraId="3157AEEB"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t>P</w:t>
            </w:r>
            <w:r w:rsidRPr="006123BF">
              <w:t>harmacokinetics</w:t>
            </w:r>
          </w:p>
        </w:tc>
      </w:tr>
      <w:tr w:rsidR="009D75DB" w:rsidRPr="00D01DDB" w14:paraId="3F243C3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10EC45" w14:textId="77777777" w:rsidR="009D75DB" w:rsidRPr="00D01DDB" w:rsidRDefault="009D75DB">
            <w:pPr>
              <w:rPr>
                <w:szCs w:val="22"/>
              </w:rPr>
            </w:pPr>
            <w:r w:rsidRPr="00D01DDB">
              <w:rPr>
                <w:szCs w:val="22"/>
              </w:rPr>
              <w:t>PSUR</w:t>
            </w:r>
          </w:p>
        </w:tc>
        <w:tc>
          <w:tcPr>
            <w:tcW w:w="3800" w:type="pct"/>
          </w:tcPr>
          <w:p w14:paraId="2644F97F"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9D75DB" w:rsidRPr="00D01DDB" w14:paraId="44786618"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2754A9" w14:textId="77777777" w:rsidR="009D75DB" w:rsidRPr="00D01DDB" w:rsidRDefault="009D75DB">
            <w:pPr>
              <w:rPr>
                <w:szCs w:val="22"/>
              </w:rPr>
            </w:pPr>
            <w:r>
              <w:rPr>
                <w:szCs w:val="22"/>
              </w:rPr>
              <w:t>Q2W</w:t>
            </w:r>
          </w:p>
        </w:tc>
        <w:tc>
          <w:tcPr>
            <w:tcW w:w="3800" w:type="pct"/>
          </w:tcPr>
          <w:p w14:paraId="3BE7BE32"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Pr>
                <w:szCs w:val="22"/>
              </w:rPr>
              <w:t>Dosing once every two weeks</w:t>
            </w:r>
          </w:p>
        </w:tc>
      </w:tr>
      <w:tr w:rsidR="009D75DB" w:rsidRPr="00D01DDB" w14:paraId="20FCAF8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F19011" w14:textId="77777777" w:rsidR="009D75DB" w:rsidRDefault="009D75DB">
            <w:pPr>
              <w:rPr>
                <w:szCs w:val="22"/>
              </w:rPr>
            </w:pPr>
            <w:r>
              <w:rPr>
                <w:szCs w:val="22"/>
              </w:rPr>
              <w:t>Q4W</w:t>
            </w:r>
          </w:p>
        </w:tc>
        <w:tc>
          <w:tcPr>
            <w:tcW w:w="3800" w:type="pct"/>
          </w:tcPr>
          <w:p w14:paraId="2330C4DA" w14:textId="77777777" w:rsidR="009D75DB" w:rsidRDefault="009D75DB">
            <w:pPr>
              <w:cnfStyle w:val="000000000000" w:firstRow="0" w:lastRow="0" w:firstColumn="0" w:lastColumn="0" w:oddVBand="0" w:evenVBand="0" w:oddHBand="0" w:evenHBand="0" w:firstRowFirstColumn="0" w:firstRowLastColumn="0" w:lastRowFirstColumn="0" w:lastRowLastColumn="0"/>
              <w:rPr>
                <w:szCs w:val="22"/>
              </w:rPr>
            </w:pPr>
            <w:r>
              <w:rPr>
                <w:szCs w:val="22"/>
              </w:rPr>
              <w:t>Dosing once every four weeks</w:t>
            </w:r>
          </w:p>
        </w:tc>
      </w:tr>
      <w:tr w:rsidR="009D75DB" w:rsidRPr="00D01DDB" w14:paraId="373B170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E6505E" w14:textId="77777777" w:rsidR="009D75DB" w:rsidRPr="00D01DDB" w:rsidRDefault="009D75DB">
            <w:pPr>
              <w:rPr>
                <w:szCs w:val="22"/>
              </w:rPr>
            </w:pPr>
            <w:r w:rsidRPr="000E4D91">
              <w:rPr>
                <w:szCs w:val="22"/>
              </w:rPr>
              <w:t>RP2D</w:t>
            </w:r>
          </w:p>
        </w:tc>
        <w:tc>
          <w:tcPr>
            <w:tcW w:w="3800" w:type="pct"/>
          </w:tcPr>
          <w:p w14:paraId="56A5F1D3"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0E4D91">
              <w:rPr>
                <w:szCs w:val="22"/>
              </w:rPr>
              <w:t>ecommended Phase II dose</w:t>
            </w:r>
          </w:p>
        </w:tc>
      </w:tr>
      <w:tr w:rsidR="009D75DB" w:rsidRPr="00D01DDB" w14:paraId="793A169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EF262E" w14:textId="77777777" w:rsidR="009D75DB" w:rsidRPr="00D01DDB" w:rsidRDefault="009D75DB">
            <w:pPr>
              <w:rPr>
                <w:szCs w:val="22"/>
              </w:rPr>
            </w:pPr>
            <w:r w:rsidRPr="00D01DDB">
              <w:rPr>
                <w:szCs w:val="22"/>
              </w:rPr>
              <w:t>RMP</w:t>
            </w:r>
          </w:p>
        </w:tc>
        <w:tc>
          <w:tcPr>
            <w:tcW w:w="3800" w:type="pct"/>
          </w:tcPr>
          <w:p w14:paraId="2198AD39"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9D75DB" w:rsidRPr="00D01DDB" w14:paraId="4BCCA5A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8138C8" w14:textId="77777777" w:rsidR="009D75DB" w:rsidRPr="00D01DDB" w:rsidRDefault="009D75DB">
            <w:pPr>
              <w:rPr>
                <w:szCs w:val="22"/>
              </w:rPr>
            </w:pPr>
            <w:r w:rsidRPr="00DA4ED5">
              <w:t>TEAEs</w:t>
            </w:r>
          </w:p>
        </w:tc>
        <w:tc>
          <w:tcPr>
            <w:tcW w:w="3800" w:type="pct"/>
          </w:tcPr>
          <w:p w14:paraId="2C6C24CD"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t>T</w:t>
            </w:r>
            <w:r w:rsidRPr="00DA4ED5">
              <w:t>reatment emergent adverse events</w:t>
            </w:r>
          </w:p>
        </w:tc>
      </w:tr>
      <w:tr w:rsidR="009D75DB" w:rsidRPr="00D01DDB" w14:paraId="695C2956"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FB3DE7" w14:textId="77777777" w:rsidR="009D75DB" w:rsidRPr="00D01DDB" w:rsidRDefault="009D75DB">
            <w:pPr>
              <w:rPr>
                <w:szCs w:val="22"/>
              </w:rPr>
            </w:pPr>
            <w:r w:rsidRPr="00D01DDB">
              <w:rPr>
                <w:szCs w:val="22"/>
              </w:rPr>
              <w:t>TGA</w:t>
            </w:r>
          </w:p>
        </w:tc>
        <w:tc>
          <w:tcPr>
            <w:tcW w:w="3800" w:type="pct"/>
          </w:tcPr>
          <w:p w14:paraId="358278AC" w14:textId="77777777" w:rsidR="009D75DB" w:rsidRPr="00D01DDB" w:rsidRDefault="009D75DB">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9D75DB" w:rsidRPr="00D01DDB" w14:paraId="2DC584AB"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AAB3B1" w14:textId="77777777" w:rsidR="009D75DB" w:rsidRPr="00D01DDB" w:rsidRDefault="009D75DB">
            <w:pPr>
              <w:rPr>
                <w:szCs w:val="22"/>
              </w:rPr>
            </w:pPr>
            <w:r>
              <w:t>T</w:t>
            </w:r>
            <w:r w:rsidRPr="006C011B">
              <w:rPr>
                <w:vertAlign w:val="subscript"/>
              </w:rPr>
              <w:t>max</w:t>
            </w:r>
          </w:p>
        </w:tc>
        <w:tc>
          <w:tcPr>
            <w:tcW w:w="3800" w:type="pct"/>
          </w:tcPr>
          <w:p w14:paraId="22BC52E9" w14:textId="23136AB5" w:rsidR="009D75DB" w:rsidRPr="00D01DDB" w:rsidRDefault="003232DB">
            <w:pPr>
              <w:cnfStyle w:val="000000000000" w:firstRow="0" w:lastRow="0" w:firstColumn="0" w:lastColumn="0" w:oddVBand="0" w:evenVBand="0" w:oddHBand="0" w:evenHBand="0" w:firstRowFirstColumn="0" w:firstRowLastColumn="0" w:lastRowFirstColumn="0" w:lastRowLastColumn="0"/>
              <w:rPr>
                <w:szCs w:val="22"/>
              </w:rPr>
            </w:pPr>
            <w:r>
              <w:t>T</w:t>
            </w:r>
            <w:r w:rsidR="009D75DB" w:rsidRPr="002F3190">
              <w:t>ime to maximum concentration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31299534"/>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129953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3969"/>
        <w:gridCol w:w="5101"/>
      </w:tblGrid>
      <w:tr w:rsidR="00324B33" w:rsidRPr="00BD5DBD" w14:paraId="77D11C95" w14:textId="77777777" w:rsidTr="00F47E60">
        <w:tc>
          <w:tcPr>
            <w:tcW w:w="2188" w:type="pct"/>
          </w:tcPr>
          <w:p w14:paraId="10E57D62" w14:textId="13728BD6" w:rsidR="00324B33" w:rsidRPr="00BD5DBD" w:rsidRDefault="00324B33" w:rsidP="007452E8">
            <w:pPr>
              <w:rPr>
                <w:i/>
                <w:szCs w:val="22"/>
              </w:rPr>
            </w:pPr>
            <w:r w:rsidRPr="00BD5DBD">
              <w:rPr>
                <w:i/>
                <w:szCs w:val="22"/>
              </w:rPr>
              <w:t>Type of submission:</w:t>
            </w:r>
          </w:p>
        </w:tc>
        <w:tc>
          <w:tcPr>
            <w:tcW w:w="2812" w:type="pct"/>
          </w:tcPr>
          <w:p w14:paraId="4F07C303" w14:textId="3E41269C" w:rsidR="00324B33" w:rsidRPr="00BD5DBD" w:rsidRDefault="003302FF" w:rsidP="007452E8">
            <w:pPr>
              <w:rPr>
                <w:szCs w:val="22"/>
              </w:rPr>
            </w:pPr>
            <w:r>
              <w:rPr>
                <w:szCs w:val="22"/>
              </w:rPr>
              <w:t>New biological entity</w:t>
            </w:r>
          </w:p>
        </w:tc>
      </w:tr>
      <w:tr w:rsidR="00324B33" w:rsidRPr="00BD5DBD" w14:paraId="13482B61" w14:textId="77777777" w:rsidTr="00F47E60">
        <w:tc>
          <w:tcPr>
            <w:tcW w:w="2188" w:type="pct"/>
          </w:tcPr>
          <w:p w14:paraId="2C427FCF" w14:textId="65BFD728" w:rsidR="00324B33" w:rsidRPr="00BD5DBD" w:rsidRDefault="00324B33" w:rsidP="007452E8">
            <w:pPr>
              <w:rPr>
                <w:i/>
                <w:szCs w:val="22"/>
              </w:rPr>
            </w:pPr>
            <w:r w:rsidRPr="00BD5DBD">
              <w:rPr>
                <w:i/>
                <w:szCs w:val="22"/>
              </w:rPr>
              <w:t>Product name:</w:t>
            </w:r>
          </w:p>
        </w:tc>
        <w:tc>
          <w:tcPr>
            <w:tcW w:w="2812" w:type="pct"/>
          </w:tcPr>
          <w:p w14:paraId="0E2DEF76" w14:textId="016EFA8F" w:rsidR="00324B33" w:rsidRPr="00BD5DBD" w:rsidRDefault="006D3DF0" w:rsidP="007452E8">
            <w:pPr>
              <w:rPr>
                <w:szCs w:val="22"/>
              </w:rPr>
            </w:pPr>
            <w:r>
              <w:rPr>
                <w:szCs w:val="22"/>
              </w:rPr>
              <w:t>Niktimvo</w:t>
            </w:r>
          </w:p>
        </w:tc>
      </w:tr>
      <w:tr w:rsidR="00324B33" w:rsidRPr="00BD5DBD" w14:paraId="01255B5B" w14:textId="77777777" w:rsidTr="00F47E60">
        <w:tc>
          <w:tcPr>
            <w:tcW w:w="2188" w:type="pct"/>
          </w:tcPr>
          <w:p w14:paraId="52B4F3D7" w14:textId="3F7DAA91" w:rsidR="00324B33" w:rsidRPr="00BD5DBD" w:rsidRDefault="00324B33" w:rsidP="007452E8">
            <w:pPr>
              <w:rPr>
                <w:i/>
                <w:szCs w:val="22"/>
              </w:rPr>
            </w:pPr>
            <w:r w:rsidRPr="00BD5DBD">
              <w:rPr>
                <w:i/>
                <w:szCs w:val="22"/>
              </w:rPr>
              <w:t>Active ingredient:</w:t>
            </w:r>
          </w:p>
        </w:tc>
        <w:tc>
          <w:tcPr>
            <w:tcW w:w="2812" w:type="pct"/>
          </w:tcPr>
          <w:p w14:paraId="02FB6383" w14:textId="0634CAB1" w:rsidR="00324B33" w:rsidRPr="00BD5DBD" w:rsidRDefault="003F33C2" w:rsidP="007452E8">
            <w:pPr>
              <w:rPr>
                <w:szCs w:val="22"/>
              </w:rPr>
            </w:pPr>
            <w:r w:rsidRPr="003F33C2">
              <w:rPr>
                <w:szCs w:val="22"/>
              </w:rPr>
              <w:t>axatilimab</w:t>
            </w:r>
          </w:p>
        </w:tc>
      </w:tr>
      <w:tr w:rsidR="00324B33" w:rsidRPr="00BD5DBD" w14:paraId="219A281B" w14:textId="77777777" w:rsidTr="00F47E60">
        <w:tc>
          <w:tcPr>
            <w:tcW w:w="2188" w:type="pct"/>
          </w:tcPr>
          <w:p w14:paraId="112E5F78" w14:textId="77777777" w:rsidR="00324B33" w:rsidRPr="00BD5DBD" w:rsidRDefault="00324B33" w:rsidP="007452E8">
            <w:pPr>
              <w:rPr>
                <w:i/>
                <w:szCs w:val="22"/>
              </w:rPr>
            </w:pPr>
            <w:r w:rsidRPr="00BD5DBD">
              <w:rPr>
                <w:i/>
                <w:szCs w:val="22"/>
              </w:rPr>
              <w:t>Decision:</w:t>
            </w:r>
          </w:p>
        </w:tc>
        <w:tc>
          <w:tcPr>
            <w:tcW w:w="2812" w:type="pct"/>
          </w:tcPr>
          <w:p w14:paraId="3B114BEA" w14:textId="59B4301E" w:rsidR="00324B33" w:rsidRPr="00BD5DBD" w:rsidRDefault="00324B33" w:rsidP="007452E8">
            <w:pPr>
              <w:rPr>
                <w:szCs w:val="22"/>
              </w:rPr>
            </w:pPr>
            <w:r w:rsidRPr="00BD5DBD">
              <w:rPr>
                <w:szCs w:val="22"/>
              </w:rPr>
              <w:t>Approved</w:t>
            </w:r>
          </w:p>
        </w:tc>
      </w:tr>
      <w:tr w:rsidR="00AE1947" w:rsidRPr="00BD5DBD" w14:paraId="32B72632" w14:textId="77777777" w:rsidTr="00F47E60">
        <w:tc>
          <w:tcPr>
            <w:tcW w:w="2188" w:type="pct"/>
          </w:tcPr>
          <w:p w14:paraId="332A5CD5" w14:textId="65682B5F" w:rsidR="00AE1947" w:rsidRPr="00BD5DBD" w:rsidRDefault="00AE1947" w:rsidP="007F1E37">
            <w:r w:rsidRPr="00BD5DBD">
              <w:rPr>
                <w:i/>
                <w:szCs w:val="22"/>
              </w:rPr>
              <w:t>Date of decision:</w:t>
            </w:r>
          </w:p>
        </w:tc>
        <w:tc>
          <w:tcPr>
            <w:tcW w:w="2812" w:type="pct"/>
          </w:tcPr>
          <w:p w14:paraId="7B381CD6" w14:textId="1CDAB429" w:rsidR="00AE1947" w:rsidRPr="00BD5DBD" w:rsidRDefault="00583AF8">
            <w:pPr>
              <w:rPr>
                <w:szCs w:val="22"/>
              </w:rPr>
            </w:pPr>
            <w:r w:rsidRPr="00583AF8">
              <w:rPr>
                <w:szCs w:val="22"/>
              </w:rPr>
              <w:t>28 April 2026</w:t>
            </w:r>
          </w:p>
        </w:tc>
      </w:tr>
      <w:tr w:rsidR="004A20BC" w:rsidRPr="00BD5DBD" w14:paraId="1BD35D08" w14:textId="77777777" w:rsidTr="00F47E60">
        <w:tc>
          <w:tcPr>
            <w:tcW w:w="2188"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2812" w:type="pct"/>
          </w:tcPr>
          <w:p w14:paraId="2C96449F" w14:textId="2301CA20" w:rsidR="004A20BC" w:rsidRPr="00BD5DBD" w:rsidRDefault="00961104">
            <w:pPr>
              <w:rPr>
                <w:szCs w:val="22"/>
              </w:rPr>
            </w:pPr>
            <w:r w:rsidRPr="00961104">
              <w:rPr>
                <w:szCs w:val="22"/>
              </w:rPr>
              <w:t>Axatilimab is indicated for the treatment of chronic graft-versus host disease (cGVHD) after failure of at least two prior lines of systemic therapy in adult and paediatric patients 6 years and older weighing at least 40 kg.</w:t>
            </w:r>
          </w:p>
        </w:tc>
      </w:tr>
      <w:tr w:rsidR="00324B33" w:rsidRPr="00BD5DBD" w14:paraId="60A25F5A" w14:textId="77777777" w:rsidTr="00F47E60">
        <w:tc>
          <w:tcPr>
            <w:tcW w:w="2188" w:type="pct"/>
          </w:tcPr>
          <w:p w14:paraId="5C5E4CBA" w14:textId="77777777" w:rsidR="00324B33" w:rsidRPr="00BD5DBD" w:rsidRDefault="00324B33" w:rsidP="007452E8">
            <w:pPr>
              <w:rPr>
                <w:i/>
                <w:szCs w:val="22"/>
              </w:rPr>
            </w:pPr>
            <w:r w:rsidRPr="00BD5DBD">
              <w:rPr>
                <w:i/>
                <w:szCs w:val="22"/>
              </w:rPr>
              <w:t>Date of entry onto ARTG:</w:t>
            </w:r>
          </w:p>
        </w:tc>
        <w:tc>
          <w:tcPr>
            <w:tcW w:w="2812" w:type="pct"/>
          </w:tcPr>
          <w:p w14:paraId="28B270E9" w14:textId="7AF4E374" w:rsidR="00324B33" w:rsidRPr="00BD5DBD" w:rsidRDefault="004E4300" w:rsidP="007452E8">
            <w:pPr>
              <w:rPr>
                <w:szCs w:val="22"/>
              </w:rPr>
            </w:pPr>
            <w:r w:rsidRPr="004E4300">
              <w:rPr>
                <w:szCs w:val="22"/>
              </w:rPr>
              <w:t>1 May 2026</w:t>
            </w:r>
          </w:p>
        </w:tc>
      </w:tr>
      <w:tr w:rsidR="00324B33" w:rsidRPr="00BD5DBD" w14:paraId="547E08D7" w14:textId="77777777" w:rsidTr="00F47E60">
        <w:tc>
          <w:tcPr>
            <w:tcW w:w="2188" w:type="pct"/>
          </w:tcPr>
          <w:p w14:paraId="5030EF30" w14:textId="1078E8EB" w:rsidR="00324B33" w:rsidRPr="00BD5DBD" w:rsidRDefault="00324B33" w:rsidP="007452E8">
            <w:pPr>
              <w:rPr>
                <w:i/>
                <w:szCs w:val="22"/>
              </w:rPr>
            </w:pPr>
            <w:r w:rsidRPr="00BD5DBD">
              <w:rPr>
                <w:i/>
                <w:szCs w:val="22"/>
              </w:rPr>
              <w:t>ARTG number</w:t>
            </w:r>
            <w:r w:rsidR="002700F3">
              <w:rPr>
                <w:i/>
                <w:szCs w:val="22"/>
              </w:rPr>
              <w:t>s</w:t>
            </w:r>
            <w:r w:rsidRPr="00BD5DBD">
              <w:rPr>
                <w:i/>
                <w:szCs w:val="22"/>
              </w:rPr>
              <w:t>:</w:t>
            </w:r>
          </w:p>
        </w:tc>
        <w:tc>
          <w:tcPr>
            <w:tcW w:w="2812" w:type="pct"/>
          </w:tcPr>
          <w:p w14:paraId="54C8C470" w14:textId="3BA78453" w:rsidR="00324B33" w:rsidRDefault="006D3DF0" w:rsidP="007452E8">
            <w:pPr>
              <w:rPr>
                <w:szCs w:val="22"/>
              </w:rPr>
            </w:pPr>
            <w:r>
              <w:rPr>
                <w:szCs w:val="22"/>
              </w:rPr>
              <w:t>Niktimvo</w:t>
            </w:r>
            <w:r w:rsidR="002700F3" w:rsidRPr="002700F3">
              <w:rPr>
                <w:szCs w:val="22"/>
              </w:rPr>
              <w:t xml:space="preserve"> axatilimab 9 mg / 0.18 mL solution for injection glass vial (</w:t>
            </w:r>
            <w:hyperlink r:id="rId20" w:history="1">
              <w:r w:rsidR="002700F3" w:rsidRPr="002700F3">
                <w:rPr>
                  <w:rStyle w:val="Hyperlink"/>
                  <w:szCs w:val="22"/>
                </w:rPr>
                <w:t>492526</w:t>
              </w:r>
            </w:hyperlink>
            <w:r w:rsidR="002700F3" w:rsidRPr="002700F3">
              <w:rPr>
                <w:szCs w:val="22"/>
              </w:rPr>
              <w:t>)</w:t>
            </w:r>
          </w:p>
          <w:p w14:paraId="0054E912" w14:textId="328692B5" w:rsidR="002700F3" w:rsidRPr="00BD5DBD" w:rsidRDefault="006D3DF0" w:rsidP="007452E8">
            <w:pPr>
              <w:rPr>
                <w:szCs w:val="22"/>
              </w:rPr>
            </w:pPr>
            <w:r>
              <w:rPr>
                <w:szCs w:val="22"/>
              </w:rPr>
              <w:t>Niktimvo</w:t>
            </w:r>
            <w:r w:rsidR="000D7CCC" w:rsidRPr="000D7CCC">
              <w:rPr>
                <w:szCs w:val="22"/>
              </w:rPr>
              <w:t xml:space="preserve"> axatilimab 22 mg / 0.44 mL solution for injection glass vial (</w:t>
            </w:r>
            <w:hyperlink r:id="rId21" w:history="1">
              <w:r w:rsidR="000D7CCC" w:rsidRPr="000D7CCC">
                <w:rPr>
                  <w:rStyle w:val="Hyperlink"/>
                  <w:szCs w:val="22"/>
                </w:rPr>
                <w:t>492525</w:t>
              </w:r>
            </w:hyperlink>
            <w:r w:rsidR="000D7CCC" w:rsidRPr="000D7CCC">
              <w:rPr>
                <w:szCs w:val="22"/>
              </w:rPr>
              <w:t>)</w:t>
            </w:r>
          </w:p>
        </w:tc>
      </w:tr>
      <w:tr w:rsidR="00324B33" w:rsidRPr="00BD5DBD" w14:paraId="7618393F" w14:textId="77777777" w:rsidTr="00F47E60">
        <w:tc>
          <w:tcPr>
            <w:tcW w:w="2188"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22" w:history="1">
              <w:r w:rsidRPr="00BD5DBD">
                <w:rPr>
                  <w:rStyle w:val="Hyperlink"/>
                  <w:i/>
                  <w:szCs w:val="22"/>
                </w:rPr>
                <w:t>Black Triangle Scheme</w:t>
              </w:r>
            </w:hyperlink>
          </w:p>
        </w:tc>
        <w:tc>
          <w:tcPr>
            <w:tcW w:w="2812" w:type="pct"/>
          </w:tcPr>
          <w:p w14:paraId="6FF3C6A2" w14:textId="1DF4B55F" w:rsidR="00324B33" w:rsidRPr="00BD5DBD" w:rsidRDefault="00324B33" w:rsidP="007452E8">
            <w:pPr>
              <w:rPr>
                <w:szCs w:val="22"/>
              </w:rPr>
            </w:pPr>
            <w:r w:rsidRPr="00BD5DBD">
              <w:rPr>
                <w:szCs w:val="22"/>
              </w:rPr>
              <w:t>Yes</w:t>
            </w:r>
          </w:p>
        </w:tc>
      </w:tr>
      <w:tr w:rsidR="00324B33" w:rsidRPr="00BD5DBD" w14:paraId="179E09FE" w14:textId="77777777" w:rsidTr="00F47E60">
        <w:tc>
          <w:tcPr>
            <w:tcW w:w="2188" w:type="pct"/>
          </w:tcPr>
          <w:p w14:paraId="1A592498" w14:textId="77777777" w:rsidR="00324B33" w:rsidRPr="00BD5DBD" w:rsidRDefault="00324B33" w:rsidP="007452E8">
            <w:pPr>
              <w:rPr>
                <w:i/>
                <w:szCs w:val="22"/>
              </w:rPr>
            </w:pPr>
            <w:r w:rsidRPr="00BD5DBD">
              <w:rPr>
                <w:i/>
                <w:szCs w:val="22"/>
              </w:rPr>
              <w:t>Sponsor’s name and address:</w:t>
            </w:r>
          </w:p>
        </w:tc>
        <w:tc>
          <w:tcPr>
            <w:tcW w:w="2812" w:type="pct"/>
          </w:tcPr>
          <w:p w14:paraId="68DD94B0" w14:textId="756936F6" w:rsidR="00324B33" w:rsidRPr="00BD5DBD" w:rsidRDefault="005D112E" w:rsidP="005D112E">
            <w:pPr>
              <w:rPr>
                <w:szCs w:val="22"/>
              </w:rPr>
            </w:pPr>
            <w:r w:rsidRPr="005D112E">
              <w:rPr>
                <w:szCs w:val="22"/>
              </w:rPr>
              <w:t>Specialised Therapeutics Alim Pty Ltd Level 2, 17 Cotham Road</w:t>
            </w:r>
            <w:r>
              <w:rPr>
                <w:szCs w:val="22"/>
              </w:rPr>
              <w:t xml:space="preserve">, </w:t>
            </w:r>
            <w:r w:rsidRPr="005D112E">
              <w:rPr>
                <w:szCs w:val="22"/>
              </w:rPr>
              <w:t>Kew, Victori</w:t>
            </w:r>
            <w:r>
              <w:rPr>
                <w:szCs w:val="22"/>
              </w:rPr>
              <w:t>a,</w:t>
            </w:r>
            <w:r w:rsidRPr="005D112E">
              <w:rPr>
                <w:szCs w:val="22"/>
              </w:rPr>
              <w:t xml:space="preserve"> 3101 </w:t>
            </w:r>
          </w:p>
        </w:tc>
      </w:tr>
      <w:tr w:rsidR="00324B33" w:rsidRPr="00BD5DBD" w14:paraId="5322B989" w14:textId="77777777" w:rsidTr="00F47E60">
        <w:tc>
          <w:tcPr>
            <w:tcW w:w="2188" w:type="pct"/>
          </w:tcPr>
          <w:p w14:paraId="24F217E3" w14:textId="4AF09732" w:rsidR="00324B33" w:rsidRPr="00BD5DBD" w:rsidRDefault="00324B33" w:rsidP="007452E8">
            <w:pPr>
              <w:rPr>
                <w:i/>
                <w:szCs w:val="22"/>
              </w:rPr>
            </w:pPr>
            <w:r w:rsidRPr="00BD5DBD">
              <w:rPr>
                <w:i/>
                <w:szCs w:val="22"/>
              </w:rPr>
              <w:t>Dose form:</w:t>
            </w:r>
          </w:p>
        </w:tc>
        <w:tc>
          <w:tcPr>
            <w:tcW w:w="2812" w:type="pct"/>
          </w:tcPr>
          <w:p w14:paraId="768B254C" w14:textId="359CED94" w:rsidR="00324B33" w:rsidRPr="00BD5DBD" w:rsidRDefault="00ED4C42" w:rsidP="007452E8">
            <w:pPr>
              <w:rPr>
                <w:szCs w:val="22"/>
              </w:rPr>
            </w:pPr>
            <w:r w:rsidRPr="00ED4C42">
              <w:rPr>
                <w:szCs w:val="22"/>
              </w:rPr>
              <w:t>Solution for injection</w:t>
            </w:r>
          </w:p>
        </w:tc>
      </w:tr>
      <w:tr w:rsidR="00324B33" w:rsidRPr="00BD5DBD" w14:paraId="115243E6" w14:textId="77777777" w:rsidTr="00F47E60">
        <w:tc>
          <w:tcPr>
            <w:tcW w:w="2188" w:type="pct"/>
          </w:tcPr>
          <w:p w14:paraId="7634B062" w14:textId="605315AA" w:rsidR="00324B33" w:rsidRPr="00BD5DBD" w:rsidRDefault="00324B33" w:rsidP="007452E8">
            <w:pPr>
              <w:rPr>
                <w:i/>
                <w:szCs w:val="22"/>
              </w:rPr>
            </w:pPr>
            <w:r w:rsidRPr="00BD5DBD">
              <w:rPr>
                <w:i/>
                <w:szCs w:val="22"/>
              </w:rPr>
              <w:t>Strength</w:t>
            </w:r>
            <w:r w:rsidR="00ED4C42">
              <w:rPr>
                <w:i/>
                <w:szCs w:val="22"/>
              </w:rPr>
              <w:t>s</w:t>
            </w:r>
            <w:r w:rsidRPr="00BD5DBD">
              <w:rPr>
                <w:i/>
                <w:szCs w:val="22"/>
              </w:rPr>
              <w:t>:</w:t>
            </w:r>
          </w:p>
        </w:tc>
        <w:tc>
          <w:tcPr>
            <w:tcW w:w="2812" w:type="pct"/>
          </w:tcPr>
          <w:p w14:paraId="6FEE9C1A" w14:textId="77777777" w:rsidR="00324B33" w:rsidRDefault="00C97723" w:rsidP="007452E8">
            <w:pPr>
              <w:rPr>
                <w:szCs w:val="22"/>
              </w:rPr>
            </w:pPr>
            <w:r w:rsidRPr="00C97723">
              <w:rPr>
                <w:szCs w:val="22"/>
              </w:rPr>
              <w:t>9 mg of axatilimab in 0.18 mL at a concentration of 50 mg/mL</w:t>
            </w:r>
          </w:p>
          <w:p w14:paraId="5E5F83DB" w14:textId="3E27352B" w:rsidR="00C97723" w:rsidRPr="00BD5DBD" w:rsidRDefault="00771CC9" w:rsidP="007452E8">
            <w:pPr>
              <w:rPr>
                <w:szCs w:val="22"/>
              </w:rPr>
            </w:pPr>
            <w:r w:rsidRPr="00771CC9">
              <w:rPr>
                <w:szCs w:val="22"/>
              </w:rPr>
              <w:t>22 mg of axatilimab in 0.44 mL at a concentration of 50 mg/mL</w:t>
            </w:r>
          </w:p>
        </w:tc>
      </w:tr>
      <w:tr w:rsidR="00324B33" w:rsidRPr="00BD5DBD" w14:paraId="34B07BA6" w14:textId="77777777" w:rsidTr="00F47E60">
        <w:tc>
          <w:tcPr>
            <w:tcW w:w="2188" w:type="pct"/>
          </w:tcPr>
          <w:p w14:paraId="1C039224" w14:textId="186F01AE" w:rsidR="00324B33" w:rsidRPr="00BD5DBD" w:rsidRDefault="00324B33" w:rsidP="007452E8">
            <w:pPr>
              <w:rPr>
                <w:i/>
                <w:szCs w:val="22"/>
              </w:rPr>
            </w:pPr>
            <w:r w:rsidRPr="00BD5DBD">
              <w:rPr>
                <w:i/>
                <w:szCs w:val="22"/>
              </w:rPr>
              <w:t>Container:</w:t>
            </w:r>
          </w:p>
        </w:tc>
        <w:tc>
          <w:tcPr>
            <w:tcW w:w="2812" w:type="pct"/>
          </w:tcPr>
          <w:p w14:paraId="500A42C6" w14:textId="19E593E3" w:rsidR="00324B33" w:rsidRPr="00BD5DBD" w:rsidRDefault="00F0549F" w:rsidP="007452E8">
            <w:pPr>
              <w:rPr>
                <w:szCs w:val="22"/>
              </w:rPr>
            </w:pPr>
            <w:r w:rsidRPr="00F0549F">
              <w:rPr>
                <w:szCs w:val="22"/>
              </w:rPr>
              <w:t>2R Type I glass vial closed with a bromobutyl rubber stopper and an aluminium overseal with a flip-off cap</w:t>
            </w:r>
          </w:p>
        </w:tc>
      </w:tr>
      <w:tr w:rsidR="00324B33" w:rsidRPr="00BD5DBD" w14:paraId="176B6773" w14:textId="77777777" w:rsidTr="00F47E60">
        <w:tc>
          <w:tcPr>
            <w:tcW w:w="2188" w:type="pct"/>
          </w:tcPr>
          <w:p w14:paraId="71846159" w14:textId="75A03AD6" w:rsidR="00324B33" w:rsidRPr="00BD5DBD" w:rsidRDefault="00324B33" w:rsidP="007452E8">
            <w:pPr>
              <w:rPr>
                <w:i/>
                <w:szCs w:val="22"/>
              </w:rPr>
            </w:pPr>
            <w:r w:rsidRPr="00BD5DBD">
              <w:rPr>
                <w:i/>
                <w:szCs w:val="22"/>
              </w:rPr>
              <w:t>Pack size:</w:t>
            </w:r>
          </w:p>
        </w:tc>
        <w:tc>
          <w:tcPr>
            <w:tcW w:w="2812" w:type="pct"/>
          </w:tcPr>
          <w:p w14:paraId="7E978F8F" w14:textId="1AA8EBBF" w:rsidR="00324B33" w:rsidRPr="00BD5DBD" w:rsidRDefault="008042BF" w:rsidP="007452E8">
            <w:pPr>
              <w:rPr>
                <w:szCs w:val="22"/>
              </w:rPr>
            </w:pPr>
            <w:r w:rsidRPr="008042BF">
              <w:rPr>
                <w:szCs w:val="22"/>
              </w:rPr>
              <w:t>I vial in a carton</w:t>
            </w:r>
          </w:p>
        </w:tc>
      </w:tr>
      <w:tr w:rsidR="00324B33" w:rsidRPr="00BD5DBD" w14:paraId="5AFDEED3" w14:textId="77777777" w:rsidTr="00F47E60">
        <w:tc>
          <w:tcPr>
            <w:tcW w:w="2188" w:type="pct"/>
          </w:tcPr>
          <w:p w14:paraId="03884BD1" w14:textId="635F1C90" w:rsidR="00324B33" w:rsidRPr="00BD5DBD" w:rsidRDefault="00324B33" w:rsidP="007452E8">
            <w:pPr>
              <w:rPr>
                <w:i/>
                <w:szCs w:val="22"/>
              </w:rPr>
            </w:pPr>
            <w:r w:rsidRPr="00BD5DBD">
              <w:rPr>
                <w:i/>
                <w:szCs w:val="22"/>
              </w:rPr>
              <w:t>Route of administration:</w:t>
            </w:r>
          </w:p>
        </w:tc>
        <w:tc>
          <w:tcPr>
            <w:tcW w:w="2812" w:type="pct"/>
          </w:tcPr>
          <w:p w14:paraId="1ED1357E" w14:textId="28B79919" w:rsidR="00324B33" w:rsidRPr="00BD5DBD" w:rsidRDefault="00AB1A64" w:rsidP="007452E8">
            <w:pPr>
              <w:rPr>
                <w:szCs w:val="22"/>
              </w:rPr>
            </w:pPr>
            <w:r>
              <w:rPr>
                <w:szCs w:val="22"/>
              </w:rPr>
              <w:t xml:space="preserve">Intravenous </w:t>
            </w:r>
            <w:r w:rsidR="003F1C0F" w:rsidRPr="003F1C0F">
              <w:rPr>
                <w:szCs w:val="22"/>
              </w:rPr>
              <w:t>infusion</w:t>
            </w:r>
          </w:p>
        </w:tc>
      </w:tr>
      <w:tr w:rsidR="00324B33" w:rsidRPr="00BD5DBD" w14:paraId="70D7E9FA" w14:textId="77777777" w:rsidTr="00F47E60">
        <w:tc>
          <w:tcPr>
            <w:tcW w:w="2188" w:type="pct"/>
          </w:tcPr>
          <w:p w14:paraId="5ABFFC80" w14:textId="77777777" w:rsidR="00324B33" w:rsidRPr="00BD5DBD" w:rsidRDefault="00324B33" w:rsidP="007452E8">
            <w:pPr>
              <w:rPr>
                <w:i/>
                <w:szCs w:val="22"/>
              </w:rPr>
            </w:pPr>
            <w:r w:rsidRPr="00BD5DBD">
              <w:rPr>
                <w:i/>
                <w:szCs w:val="22"/>
              </w:rPr>
              <w:t>Dosage:</w:t>
            </w:r>
          </w:p>
        </w:tc>
        <w:tc>
          <w:tcPr>
            <w:tcW w:w="2812" w:type="pct"/>
          </w:tcPr>
          <w:p w14:paraId="57ACDA75" w14:textId="0E77A451" w:rsidR="00034668" w:rsidRPr="00034668" w:rsidRDefault="00034668" w:rsidP="00034668">
            <w:pPr>
              <w:rPr>
                <w:szCs w:val="22"/>
              </w:rPr>
            </w:pPr>
            <w:r w:rsidRPr="00034668">
              <w:rPr>
                <w:szCs w:val="22"/>
              </w:rPr>
              <w:t>For patients weighing at least 40 kg, 0.3 mg/kg axatilimab, up to a maximum dose of 35 mg, as an intravenous infusion over 30 minutes every 2 weeks. Continue axatilimab until disease progression or unacceptable toxicity.</w:t>
            </w:r>
          </w:p>
          <w:p w14:paraId="4BD4ECF7" w14:textId="1D45AA13" w:rsidR="00666911" w:rsidRDefault="00034668" w:rsidP="00034668">
            <w:pPr>
              <w:rPr>
                <w:szCs w:val="22"/>
              </w:rPr>
            </w:pPr>
            <w:r w:rsidRPr="00034668">
              <w:rPr>
                <w:szCs w:val="22"/>
              </w:rPr>
              <w:t>Dosing for axatilimab in patients less than 40 kg has not been established</w:t>
            </w:r>
          </w:p>
          <w:p w14:paraId="3D0B2D5C" w14:textId="10FE7DDD" w:rsidR="00324B33" w:rsidRPr="00BD5DBD" w:rsidRDefault="00324B33" w:rsidP="007452E8">
            <w:pPr>
              <w:rPr>
                <w:szCs w:val="22"/>
              </w:rPr>
            </w:pPr>
            <w:r w:rsidRPr="00BD5DBD">
              <w:rPr>
                <w:szCs w:val="22"/>
              </w:rPr>
              <w:t xml:space="preserve">For further information regarding dosage, refer to the </w:t>
            </w:r>
            <w:hyperlink r:id="rId23" w:history="1">
              <w:r w:rsidRPr="000A1A6D">
                <w:rPr>
                  <w:rStyle w:val="Hyperlink"/>
                  <w:szCs w:val="22"/>
                </w:rPr>
                <w:t>Product Information</w:t>
              </w:r>
            </w:hyperlink>
            <w:r w:rsidRPr="00BD5DBD">
              <w:rPr>
                <w:szCs w:val="22"/>
              </w:rPr>
              <w:t>.</w:t>
            </w:r>
          </w:p>
        </w:tc>
      </w:tr>
      <w:tr w:rsidR="0017005C" w:rsidRPr="00BD5DBD" w14:paraId="7B7BB6AE" w14:textId="77777777" w:rsidTr="00F47E60">
        <w:tc>
          <w:tcPr>
            <w:tcW w:w="2188" w:type="pct"/>
          </w:tcPr>
          <w:p w14:paraId="3A76AFF7" w14:textId="7C436DD9" w:rsidR="0017005C" w:rsidRPr="00F8083B" w:rsidRDefault="0070330F" w:rsidP="0017005C">
            <w:r w:rsidRPr="00BD5DBD">
              <w:rPr>
                <w:i/>
                <w:szCs w:val="22"/>
              </w:rPr>
              <w:lastRenderedPageBreak/>
              <w:t>Pregnancy category:</w:t>
            </w:r>
          </w:p>
        </w:tc>
        <w:tc>
          <w:tcPr>
            <w:tcW w:w="2812" w:type="pct"/>
          </w:tcPr>
          <w:p w14:paraId="35E401AF" w14:textId="77777777" w:rsidR="007E4FF8" w:rsidRPr="007E4FF8" w:rsidRDefault="007E4FF8" w:rsidP="007E4FF8">
            <w:pPr>
              <w:rPr>
                <w:b/>
                <w:bCs/>
              </w:rPr>
            </w:pPr>
            <w:r w:rsidRPr="007E4FF8">
              <w:rPr>
                <w:b/>
                <w:bCs/>
              </w:rPr>
              <w:t>Category D</w:t>
            </w:r>
          </w:p>
          <w:p w14:paraId="07217151" w14:textId="77777777" w:rsidR="007E4FF8" w:rsidRPr="007E4FF8" w:rsidRDefault="007E4FF8" w:rsidP="007E4FF8">
            <w:r w:rsidRPr="007E4FF8">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4"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5"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1299536"/>
      <w:r>
        <w:t>Product background</w:t>
      </w:r>
      <w:bookmarkEnd w:id="11"/>
      <w:bookmarkEnd w:id="12"/>
      <w:bookmarkEnd w:id="13"/>
      <w:bookmarkEnd w:id="14"/>
    </w:p>
    <w:p w14:paraId="59BF31D1" w14:textId="2C8395E9" w:rsidR="001500A8" w:rsidRDefault="00324B33" w:rsidP="00065839">
      <w:r w:rsidRPr="00065839">
        <w:t xml:space="preserve">This AusPAR describes the submission by </w:t>
      </w:r>
      <w:r w:rsidR="008C020D" w:rsidRPr="008C020D">
        <w:t>Specialised Therapeutics Alim Pty Ltd</w:t>
      </w:r>
      <w:r w:rsidRPr="00065839">
        <w:t xml:space="preserve"> (the sponsor) to register </w:t>
      </w:r>
      <w:r w:rsidR="006D3DF0">
        <w:t>Niktimvo</w:t>
      </w:r>
      <w:r w:rsidR="008C020D" w:rsidRPr="008C020D">
        <w:t xml:space="preserve"> </w:t>
      </w:r>
      <w:r w:rsidRPr="00065839">
        <w:t>(</w:t>
      </w:r>
      <w:r w:rsidR="008C020D" w:rsidRPr="008C020D">
        <w:t>axatilimab</w:t>
      </w:r>
      <w:r w:rsidRPr="00065839">
        <w:t>) for the following proposed indication:</w:t>
      </w:r>
      <w:r w:rsidR="00D63760" w:rsidRPr="00065839">
        <w:rPr>
          <w:vertAlign w:val="superscript"/>
        </w:rPr>
        <w:footnoteReference w:id="1"/>
      </w:r>
    </w:p>
    <w:p w14:paraId="7101BFD6" w14:textId="28525A18" w:rsidR="0050425D" w:rsidRDefault="00E20BFB" w:rsidP="00437701">
      <w:pPr>
        <w:pStyle w:val="Indication"/>
      </w:pPr>
      <w:r>
        <w:t>T</w:t>
      </w:r>
      <w:r w:rsidRPr="00E20BFB">
        <w:t>he treatment of adult and pediatric patients 6 years and older with chronic graft-versus-host disease (cGVHD) who have received at least two prior lines of systemic therapy</w:t>
      </w:r>
      <w:r>
        <w:t>.</w:t>
      </w:r>
    </w:p>
    <w:p w14:paraId="1E63A2AE" w14:textId="5FCD6C6F" w:rsidR="00CB6813" w:rsidRDefault="00005DFC" w:rsidP="00CB6813">
      <w:pPr>
        <w:pStyle w:val="Heading4"/>
      </w:pPr>
      <w:bookmarkStart w:id="15" w:name="_Toc231299537"/>
      <w:bookmarkStart w:id="16" w:name="_Toc314842485"/>
      <w:bookmarkStart w:id="17" w:name="_Toc247691504"/>
      <w:r>
        <w:t>D</w:t>
      </w:r>
      <w:r w:rsidR="00CB6813" w:rsidRPr="00C12D65">
        <w:t>isease</w:t>
      </w:r>
      <w:r w:rsidR="006428C5">
        <w:t xml:space="preserve"> or condition</w:t>
      </w:r>
      <w:bookmarkEnd w:id="15"/>
    </w:p>
    <w:p w14:paraId="52F6B0FF" w14:textId="327D2F2F" w:rsidR="00D360B7" w:rsidRDefault="00D360B7" w:rsidP="00D360B7">
      <w:r>
        <w:t>Chronic graft versus host disease (</w:t>
      </w:r>
      <w:r w:rsidR="00DB7F5C">
        <w:t>c</w:t>
      </w:r>
      <w:r>
        <w:t>GVHD) is an immune-mediated, potentially life-threatening complication following allo-haematopoietic stem cell transplantation (HSCT). Chronic GVHD presents typically with multi-organ pathology usually within the first year post-HSCT but can occur after one year.</w:t>
      </w:r>
      <w:bookmarkStart w:id="18" w:name="_Ref229734149"/>
      <w:r w:rsidR="00E909C5">
        <w:rPr>
          <w:rStyle w:val="FootnoteReference"/>
        </w:rPr>
        <w:footnoteReference w:id="2"/>
      </w:r>
      <w:bookmarkEnd w:id="18"/>
      <w:r>
        <w:t xml:space="preserve"> Chronic GVHD presents with features of autoimmunity and immunodeficiency with significant morbidity and reduced quality of life and mortality.</w:t>
      </w:r>
    </w:p>
    <w:p w14:paraId="5CF0FA55" w14:textId="7BF3AD21" w:rsidR="00D360B7" w:rsidRDefault="00D360B7" w:rsidP="00D360B7">
      <w:r>
        <w:lastRenderedPageBreak/>
        <w:t>The overall one-year incidence of cGVHD ranges from 12% to 52% in the US</w:t>
      </w:r>
      <w:r w:rsidR="003816C0">
        <w:t>.</w:t>
      </w:r>
      <w:bookmarkStart w:id="19" w:name="_Ref229734134"/>
      <w:r w:rsidR="003816C0">
        <w:rPr>
          <w:rStyle w:val="FootnoteReference"/>
        </w:rPr>
        <w:footnoteReference w:id="3"/>
      </w:r>
      <w:bookmarkEnd w:id="19"/>
      <w:r w:rsidR="00586884" w:rsidRPr="00586884">
        <w:rPr>
          <w:vertAlign w:val="superscript"/>
        </w:rPr>
        <w:t>,</w:t>
      </w:r>
      <w:r w:rsidR="00586884">
        <w:rPr>
          <w:rStyle w:val="FootnoteReference"/>
        </w:rPr>
        <w:footnoteReference w:id="4"/>
      </w:r>
      <w:r>
        <w:t xml:space="preserve">. Similar figures for one year incidence of cGVHD are seen in Canada (10-18.3%), China (15%) and Japan (20.8%). </w:t>
      </w:r>
      <w:r w:rsidR="00370AAE">
        <w:t xml:space="preserve">Analysis of patients in </w:t>
      </w:r>
      <w:r>
        <w:t>Swed</w:t>
      </w:r>
      <w:r w:rsidR="00370AAE">
        <w:t>en</w:t>
      </w:r>
      <w:r>
        <w:t xml:space="preserve"> undergoing allo-HSCT reported cGVHD incidence amongst patients surviving greater than or equal to six months post-HSCT as 71.9</w:t>
      </w:r>
      <w:r w:rsidR="00DE33F8">
        <w:t>%</w:t>
      </w:r>
      <w:r>
        <w:t>.</w:t>
      </w:r>
      <w:r w:rsidR="004F1BE4">
        <w:rPr>
          <w:rStyle w:val="FootnoteReference"/>
        </w:rPr>
        <w:footnoteReference w:id="5"/>
      </w:r>
    </w:p>
    <w:p w14:paraId="23C06499" w14:textId="36F4EE99" w:rsidR="00D360B7" w:rsidRDefault="00D360B7" w:rsidP="00D360B7">
      <w:r>
        <w:t>In the US, the one-year incidence of cGVHD was similar across race</w:t>
      </w:r>
      <w:r w:rsidR="002D303E">
        <w:t xml:space="preserve"> and</w:t>
      </w:r>
      <w:r w:rsidR="00637A57">
        <w:t xml:space="preserve"> ethnicity</w:t>
      </w:r>
      <w:r>
        <w:t>.</w:t>
      </w:r>
      <w:r w:rsidR="00637A57">
        <w:rPr>
          <w:rStyle w:val="FootnoteReference"/>
        </w:rPr>
        <w:footnoteReference w:id="6"/>
      </w:r>
    </w:p>
    <w:p w14:paraId="5EDA16EB" w14:textId="7D37298B" w:rsidR="00D360B7" w:rsidRPr="00D360B7" w:rsidRDefault="00D360B7" w:rsidP="00D360B7">
      <w:r>
        <w:t>The estimated rates of survival from day of onset of moderate to severe cGVHD at 1, 2 and 3 years is 82%, 73% and 71%, respectively. For severe cGVHD, corresponding survival rates are 77%, 67% and 63%, respectively</w:t>
      </w:r>
      <w:r w:rsidR="00883FA9">
        <w:t>.</w:t>
      </w:r>
      <w:r w:rsidR="00883FA9">
        <w:rPr>
          <w:rStyle w:val="FootnoteReference"/>
        </w:rPr>
        <w:footnoteReference w:id="7"/>
      </w:r>
    </w:p>
    <w:p w14:paraId="255E083A" w14:textId="77777777" w:rsidR="00CB6813" w:rsidRDefault="00CB6813" w:rsidP="00CB6813">
      <w:pPr>
        <w:pStyle w:val="Heading4"/>
      </w:pPr>
      <w:bookmarkStart w:id="20" w:name="_Toc231299538"/>
      <w:r>
        <w:t>Current treatment options</w:t>
      </w:r>
      <w:bookmarkEnd w:id="20"/>
    </w:p>
    <w:p w14:paraId="570C24E1" w14:textId="379F1CD8" w:rsidR="00376B53" w:rsidRPr="00376B53" w:rsidRDefault="00376B53" w:rsidP="00376B53">
      <w:r w:rsidRPr="00376B53">
        <w:t>Systemic corticosteroids are currently recommended as first line treatment for cGVHD although refractory cGVHD occurs in the majority of such patients and requires additional systemic therapies. Common therapies for this steroid-refractory phase include calcineurin inhibitors (CNIs), immunomodulatory agents (e.g. extracorporeal photopheresis and mTOR inhibitors) and cytostatic agents (e.g. mycophenolate mofetil and rituximab</w:t>
      </w:r>
      <w:r w:rsidR="00DB7F5C">
        <w:t>).</w:t>
      </w:r>
      <w:r w:rsidR="006E451C">
        <w:rPr>
          <w:rStyle w:val="FootnoteReference"/>
        </w:rPr>
        <w:footnoteReference w:id="8"/>
      </w:r>
    </w:p>
    <w:p w14:paraId="07EFB35E" w14:textId="77777777" w:rsidR="00376B53" w:rsidRPr="00376B53" w:rsidRDefault="00376B53" w:rsidP="00376B53">
      <w:r w:rsidRPr="00376B53">
        <w:t xml:space="preserve">There have been recent global approvals for the treatment of refractory cGVHD: </w:t>
      </w:r>
    </w:p>
    <w:p w14:paraId="11C0D8A5" w14:textId="77777777" w:rsidR="00376B53" w:rsidRPr="00376B53" w:rsidRDefault="00376B53" w:rsidP="00DA1446">
      <w:pPr>
        <w:pStyle w:val="ListBullet"/>
      </w:pPr>
      <w:r w:rsidRPr="00376B53">
        <w:t xml:space="preserve">Ibrutinib after failure of one or more lines of systemic therapy. </w:t>
      </w:r>
    </w:p>
    <w:p w14:paraId="2E43EDF6" w14:textId="77777777" w:rsidR="00376B53" w:rsidRPr="00376B53" w:rsidRDefault="00376B53" w:rsidP="00DA1446">
      <w:pPr>
        <w:pStyle w:val="ListBullet"/>
      </w:pPr>
      <w:r w:rsidRPr="00376B53">
        <w:t xml:space="preserve">Ruxolitinib after failure of one or two lines of systemic therapy (approved by TGA), and </w:t>
      </w:r>
    </w:p>
    <w:p w14:paraId="79915238" w14:textId="6AE059E3" w:rsidR="00376B53" w:rsidRPr="00376B53" w:rsidRDefault="00376B53" w:rsidP="00DA1446">
      <w:pPr>
        <w:pStyle w:val="ListBullet"/>
      </w:pPr>
      <w:r w:rsidRPr="00376B53">
        <w:t xml:space="preserve">Belumosudil in patients with cGVHD treatment failure of two or more prior lines of treatment (approved by TGA) </w:t>
      </w:r>
    </w:p>
    <w:p w14:paraId="37C47E09" w14:textId="14D3762D" w:rsidR="00CB6813" w:rsidRDefault="00CB6813" w:rsidP="00CB6813">
      <w:pPr>
        <w:pStyle w:val="Heading4"/>
      </w:pPr>
      <w:bookmarkStart w:id="21" w:name="_Toc231299539"/>
      <w:r>
        <w:t>C</w:t>
      </w:r>
      <w:r w:rsidRPr="00DE1344">
        <w:t>linical rational</w:t>
      </w:r>
      <w:r w:rsidR="0025785B">
        <w:t>e</w:t>
      </w:r>
      <w:bookmarkEnd w:id="21"/>
    </w:p>
    <w:p w14:paraId="44288E06" w14:textId="77777777" w:rsidR="00F47E60" w:rsidRDefault="006063CD" w:rsidP="006063CD">
      <w:r>
        <w:t>Axatilimab is a humani</w:t>
      </w:r>
      <w:r w:rsidR="00530ACF">
        <w:t>s</w:t>
      </w:r>
      <w:r>
        <w:t xml:space="preserve">ed IgG4 </w:t>
      </w:r>
      <w:r w:rsidR="008E0629">
        <w:t>monoclonal antibody</w:t>
      </w:r>
      <w:r>
        <w:t xml:space="preserve"> with high affinity against </w:t>
      </w:r>
      <w:r w:rsidR="00530ACF">
        <w:t>c</w:t>
      </w:r>
      <w:r w:rsidR="00530ACF" w:rsidRPr="00530ACF">
        <w:t>olony-</w:t>
      </w:r>
      <w:r w:rsidR="00530ACF">
        <w:t>s</w:t>
      </w:r>
      <w:r w:rsidR="00530ACF" w:rsidRPr="00530ACF">
        <w:t xml:space="preserve">timulating </w:t>
      </w:r>
      <w:r w:rsidR="00530ACF">
        <w:t>f</w:t>
      </w:r>
      <w:r w:rsidR="00530ACF" w:rsidRPr="00530ACF">
        <w:t xml:space="preserve">actor 1 </w:t>
      </w:r>
      <w:r w:rsidR="00530ACF">
        <w:t>r</w:t>
      </w:r>
      <w:r w:rsidR="00530ACF" w:rsidRPr="00530ACF">
        <w:t>eceptor</w:t>
      </w:r>
      <w:r w:rsidR="00530ACF">
        <w:t xml:space="preserve"> (</w:t>
      </w:r>
      <w:r>
        <w:t>CSF-1R</w:t>
      </w:r>
      <w:r w:rsidR="00530ACF">
        <w:t>)</w:t>
      </w:r>
      <w:r>
        <w:t xml:space="preserve">. Axatilimab can affect the migration, proliferation, differentiation, and survival of circulating monocyte populations and monocyte-derived macrophages by binding to CSF-1R and blocking activation by its </w:t>
      </w:r>
      <w:r w:rsidR="004060F7">
        <w:t>two</w:t>
      </w:r>
      <w:r>
        <w:t xml:space="preserve"> known ligands, CSF-1 and IL-34. </w:t>
      </w:r>
    </w:p>
    <w:p w14:paraId="1E0A53BF" w14:textId="21408B31" w:rsidR="006063CD" w:rsidRPr="006063CD" w:rsidRDefault="006063CD" w:rsidP="006063CD">
      <w:r>
        <w:lastRenderedPageBreak/>
        <w:t xml:space="preserve">Monocyte-derived macrophages are key mediators of cGVHD pathogenesis, and targeting them through the inhibition of CSF-1R has proven highly effective in animal models. Based on its mechanism of action, axatilimab </w:t>
      </w:r>
      <w:r w:rsidR="008E0629">
        <w:t>may</w:t>
      </w:r>
      <w:r>
        <w:t xml:space="preserve"> provide an effective immunomodulatory approach to treat diseases such as cGVHD.</w:t>
      </w:r>
      <w:r w:rsidR="009D7268">
        <w:rPr>
          <w:rStyle w:val="FootnoteReference"/>
        </w:rPr>
        <w:footnoteReference w:id="9"/>
      </w:r>
    </w:p>
    <w:p w14:paraId="0D615854" w14:textId="77777777" w:rsidR="00324B33" w:rsidRPr="003F31A2" w:rsidRDefault="00324B33" w:rsidP="00324B33">
      <w:pPr>
        <w:pStyle w:val="Heading3"/>
      </w:pPr>
      <w:bookmarkStart w:id="22" w:name="_Toc103679291"/>
      <w:bookmarkStart w:id="23" w:name="_Toc231299540"/>
      <w:r>
        <w:t>Regulatory status</w:t>
      </w:r>
      <w:bookmarkEnd w:id="16"/>
      <w:bookmarkEnd w:id="17"/>
      <w:bookmarkEnd w:id="22"/>
      <w:bookmarkEnd w:id="23"/>
    </w:p>
    <w:p w14:paraId="72C889D6" w14:textId="7E200950" w:rsidR="0017005C" w:rsidRPr="00BD5DBD" w:rsidRDefault="0017005C" w:rsidP="00741AB9">
      <w:pPr>
        <w:pStyle w:val="Heading4"/>
      </w:pPr>
      <w:bookmarkStart w:id="24" w:name="_Toc231299541"/>
      <w:r w:rsidRPr="00BD5DBD">
        <w:t>Australian regulatory</w:t>
      </w:r>
      <w:r>
        <w:t xml:space="preserve"> sta</w:t>
      </w:r>
      <w:r w:rsidR="0025785B">
        <w:t>t</w:t>
      </w:r>
      <w:r>
        <w:t>us</w:t>
      </w:r>
      <w:bookmarkEnd w:id="24"/>
    </w:p>
    <w:p w14:paraId="6A8633FA" w14:textId="087DBFE0"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w:t>
      </w:r>
      <w:r w:rsidR="009D7268">
        <w:rPr>
          <w:szCs w:val="22"/>
        </w:rPr>
        <w:t xml:space="preserve"> </w:t>
      </w:r>
      <w:r w:rsidRPr="00BD5DBD">
        <w:rPr>
          <w:szCs w:val="22"/>
        </w:rPr>
        <w:t>for Australian regulatory purposes.</w:t>
      </w:r>
    </w:p>
    <w:p w14:paraId="1F18B468" w14:textId="064AA21C" w:rsidR="001E67FE" w:rsidRDefault="001E67FE" w:rsidP="001E67FE">
      <w:pPr>
        <w:rPr>
          <w:szCs w:val="22"/>
        </w:rPr>
      </w:pPr>
      <w:r w:rsidRPr="001E67FE">
        <w:rPr>
          <w:szCs w:val="22"/>
        </w:rPr>
        <w:t xml:space="preserve">Axatilimab was granted orphan designation </w:t>
      </w:r>
      <w:r w:rsidR="007C3D88">
        <w:rPr>
          <w:szCs w:val="22"/>
        </w:rPr>
        <w:t xml:space="preserve">and </w:t>
      </w:r>
      <w:r w:rsidR="007C3D88" w:rsidRPr="007C3D88">
        <w:rPr>
          <w:szCs w:val="22"/>
        </w:rPr>
        <w:t xml:space="preserve">priority determination </w:t>
      </w:r>
      <w:r w:rsidRPr="001E67FE">
        <w:rPr>
          <w:szCs w:val="22"/>
        </w:rPr>
        <w:t xml:space="preserve">by </w:t>
      </w:r>
      <w:r>
        <w:rPr>
          <w:szCs w:val="22"/>
        </w:rPr>
        <w:t>the TGA</w:t>
      </w:r>
      <w:r w:rsidRPr="001E67FE">
        <w:rPr>
          <w:szCs w:val="22"/>
        </w:rPr>
        <w:t xml:space="preserve"> on 24 March 2025. </w:t>
      </w:r>
    </w:p>
    <w:p w14:paraId="546C1031" w14:textId="4EF98FA1" w:rsidR="0017005C" w:rsidRDefault="00131B1B" w:rsidP="0017005C">
      <w:pPr>
        <w:pStyle w:val="Heading4"/>
      </w:pPr>
      <w:bookmarkStart w:id="25" w:name="_Toc231299542"/>
      <w:r>
        <w:t xml:space="preserve">International </w:t>
      </w:r>
      <w:r w:rsidR="0017005C" w:rsidRPr="00BD5DBD">
        <w:t>regulatory</w:t>
      </w:r>
      <w:r w:rsidR="0017005C">
        <w:t xml:space="preserve"> status</w:t>
      </w:r>
      <w:bookmarkEnd w:id="25"/>
    </w:p>
    <w:p w14:paraId="7FDF4A0B" w14:textId="7843A7BC" w:rsidR="008F4A62" w:rsidRDefault="008F4A62" w:rsidP="008F4A62">
      <w:pPr>
        <w:rPr>
          <w:szCs w:val="22"/>
        </w:rPr>
      </w:pPr>
      <w:r w:rsidRPr="00BD5DBD">
        <w:rPr>
          <w:szCs w:val="22"/>
        </w:rPr>
        <w:t xml:space="preserve">At the time the TGA considered this submission, a similar submission had been </w:t>
      </w:r>
      <w:r>
        <w:rPr>
          <w:szCs w:val="22"/>
        </w:rPr>
        <w:t xml:space="preserve">considered by other regulatory agencies. </w:t>
      </w:r>
      <w:r w:rsidR="007C5B09">
        <w:rPr>
          <w:szCs w:val="22"/>
        </w:rPr>
        <w:t>Table 1</w:t>
      </w:r>
      <w:r w:rsidRPr="00BD5DBD">
        <w:rPr>
          <w:szCs w:val="22"/>
        </w:rPr>
        <w:t xml:space="preserve"> summarises these submissions and provides the indications where approved.</w:t>
      </w:r>
      <w:r>
        <w:rPr>
          <w:szCs w:val="22"/>
        </w:rPr>
        <w:t xml:space="preserve"> </w:t>
      </w:r>
    </w:p>
    <w:p w14:paraId="6132F8C8" w14:textId="501160F2" w:rsidR="00277A99" w:rsidRDefault="00277A99" w:rsidP="00277A99">
      <w:pPr>
        <w:pStyle w:val="TableTitle"/>
      </w:pPr>
      <w:r w:rsidRPr="00277A99">
        <w:t>Table 1. International regulatory status at the time the TGA considered this submission</w:t>
      </w:r>
    </w:p>
    <w:tbl>
      <w:tblPr>
        <w:tblW w:w="0" w:type="auto"/>
        <w:tblInd w:w="32"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555"/>
        <w:gridCol w:w="1417"/>
        <w:gridCol w:w="1610"/>
        <w:gridCol w:w="1650"/>
        <w:gridCol w:w="2694"/>
      </w:tblGrid>
      <w:tr w:rsidR="00955B59" w:rsidRPr="001C38FE" w14:paraId="6ADC176B" w14:textId="77777777" w:rsidTr="00C50B7E">
        <w:tc>
          <w:tcPr>
            <w:tcW w:w="1555" w:type="dxa"/>
            <w:shd w:val="clear" w:color="auto" w:fill="DEEAF6"/>
            <w:tcMar>
              <w:top w:w="28" w:type="dxa"/>
              <w:left w:w="28" w:type="dxa"/>
              <w:bottom w:w="28" w:type="dxa"/>
              <w:right w:w="28" w:type="dxa"/>
            </w:tcMar>
          </w:tcPr>
          <w:p w14:paraId="340A60B1" w14:textId="77777777" w:rsidR="00955B59" w:rsidRPr="001C38FE" w:rsidRDefault="00955B59" w:rsidP="00C50B7E">
            <w:pPr>
              <w:pStyle w:val="TableParagraph"/>
              <w:spacing w:before="100" w:beforeAutospacing="1" w:after="100" w:afterAutospacing="1"/>
              <w:ind w:left="107"/>
              <w:contextualSpacing/>
              <w:rPr>
                <w:rFonts w:ascii="Cambria" w:hAnsi="Cambria"/>
                <w:b/>
                <w:color w:val="263287"/>
              </w:rPr>
            </w:pPr>
            <w:r w:rsidRPr="001C38FE">
              <w:rPr>
                <w:rFonts w:ascii="Cambria" w:hAnsi="Cambria"/>
                <w:b/>
                <w:color w:val="263287"/>
                <w:spacing w:val="-2"/>
              </w:rPr>
              <w:t>Agency</w:t>
            </w:r>
          </w:p>
        </w:tc>
        <w:tc>
          <w:tcPr>
            <w:tcW w:w="1417" w:type="dxa"/>
            <w:shd w:val="clear" w:color="auto" w:fill="DEEAF6"/>
            <w:tcMar>
              <w:top w:w="28" w:type="dxa"/>
              <w:left w:w="28" w:type="dxa"/>
              <w:bottom w:w="28" w:type="dxa"/>
              <w:right w:w="28" w:type="dxa"/>
            </w:tcMar>
          </w:tcPr>
          <w:p w14:paraId="0D2C3102" w14:textId="75B06DA7" w:rsidR="00955B59" w:rsidRPr="001C38FE" w:rsidRDefault="002500CC" w:rsidP="00C50B7E">
            <w:pPr>
              <w:pStyle w:val="TableParagraph"/>
              <w:spacing w:before="100" w:beforeAutospacing="1" w:after="100" w:afterAutospacing="1"/>
              <w:ind w:right="23"/>
              <w:contextualSpacing/>
              <w:rPr>
                <w:rFonts w:ascii="Cambria" w:hAnsi="Cambria"/>
                <w:b/>
                <w:color w:val="263287"/>
              </w:rPr>
            </w:pPr>
            <w:r w:rsidRPr="001C38FE">
              <w:rPr>
                <w:rFonts w:ascii="Cambria" w:hAnsi="Cambria"/>
                <w:b/>
                <w:color w:val="263287"/>
              </w:rPr>
              <w:t>Orphan drug designation</w:t>
            </w:r>
            <w:r w:rsidR="00955B59" w:rsidRPr="001C38FE">
              <w:rPr>
                <w:rFonts w:ascii="Cambria" w:hAnsi="Cambria"/>
                <w:b/>
                <w:color w:val="263287"/>
                <w:spacing w:val="-1"/>
              </w:rPr>
              <w:t xml:space="preserve"> </w:t>
            </w:r>
            <w:r w:rsidR="00955B59" w:rsidRPr="001C38FE">
              <w:rPr>
                <w:rFonts w:ascii="Cambria" w:hAnsi="Cambria"/>
                <w:b/>
                <w:color w:val="263287"/>
                <w:spacing w:val="-2"/>
              </w:rPr>
              <w:t>approval</w:t>
            </w:r>
          </w:p>
        </w:tc>
        <w:tc>
          <w:tcPr>
            <w:tcW w:w="1610" w:type="dxa"/>
            <w:shd w:val="clear" w:color="auto" w:fill="DEEAF6"/>
            <w:tcMar>
              <w:top w:w="28" w:type="dxa"/>
              <w:left w:w="28" w:type="dxa"/>
              <w:bottom w:w="28" w:type="dxa"/>
              <w:right w:w="28" w:type="dxa"/>
            </w:tcMar>
          </w:tcPr>
          <w:p w14:paraId="7360D0DF" w14:textId="10FC2143" w:rsidR="00955B59" w:rsidRPr="001C38FE" w:rsidRDefault="002500CC" w:rsidP="00C50B7E">
            <w:pPr>
              <w:pStyle w:val="TableParagraph"/>
              <w:spacing w:before="100" w:beforeAutospacing="1" w:after="100" w:afterAutospacing="1"/>
              <w:ind w:right="213"/>
              <w:contextualSpacing/>
              <w:rPr>
                <w:rFonts w:ascii="Cambria" w:hAnsi="Cambria"/>
                <w:b/>
                <w:color w:val="263287"/>
              </w:rPr>
            </w:pPr>
            <w:r w:rsidRPr="001C38FE">
              <w:rPr>
                <w:rFonts w:ascii="Cambria" w:hAnsi="Cambria"/>
                <w:b/>
                <w:color w:val="263287"/>
              </w:rPr>
              <w:t xml:space="preserve">Orphan drug designation </w:t>
            </w:r>
            <w:r w:rsidR="00955B59" w:rsidRPr="001C38FE">
              <w:rPr>
                <w:rFonts w:ascii="Cambria" w:hAnsi="Cambria"/>
                <w:b/>
                <w:color w:val="263287"/>
                <w:spacing w:val="-2"/>
              </w:rPr>
              <w:t>Indication</w:t>
            </w:r>
          </w:p>
        </w:tc>
        <w:tc>
          <w:tcPr>
            <w:tcW w:w="1650" w:type="dxa"/>
            <w:shd w:val="clear" w:color="auto" w:fill="DEEAF6"/>
            <w:tcMar>
              <w:top w:w="28" w:type="dxa"/>
              <w:left w:w="28" w:type="dxa"/>
              <w:bottom w:w="28" w:type="dxa"/>
              <w:right w:w="28" w:type="dxa"/>
            </w:tcMar>
          </w:tcPr>
          <w:p w14:paraId="6439EF39" w14:textId="77777777" w:rsidR="00955B59" w:rsidRPr="001C38FE" w:rsidRDefault="00955B59" w:rsidP="00C50B7E">
            <w:pPr>
              <w:pStyle w:val="TableParagraph"/>
              <w:spacing w:before="100" w:beforeAutospacing="1" w:after="100" w:afterAutospacing="1"/>
              <w:contextualSpacing/>
              <w:rPr>
                <w:rFonts w:ascii="Cambria" w:hAnsi="Cambria"/>
                <w:b/>
                <w:color w:val="263287"/>
              </w:rPr>
            </w:pPr>
            <w:r w:rsidRPr="001C38FE">
              <w:rPr>
                <w:rFonts w:ascii="Cambria" w:hAnsi="Cambria"/>
                <w:b/>
                <w:color w:val="263287"/>
                <w:spacing w:val="-2"/>
              </w:rPr>
              <w:t>Registration application</w:t>
            </w:r>
          </w:p>
        </w:tc>
        <w:tc>
          <w:tcPr>
            <w:tcW w:w="2694" w:type="dxa"/>
            <w:shd w:val="clear" w:color="auto" w:fill="DEEAF6"/>
            <w:tcMar>
              <w:top w:w="28" w:type="dxa"/>
              <w:left w:w="28" w:type="dxa"/>
              <w:bottom w:w="28" w:type="dxa"/>
              <w:right w:w="28" w:type="dxa"/>
            </w:tcMar>
          </w:tcPr>
          <w:p w14:paraId="1D9B536C" w14:textId="77777777" w:rsidR="00955B59" w:rsidRPr="001C38FE" w:rsidRDefault="00955B59" w:rsidP="00C50B7E">
            <w:pPr>
              <w:pStyle w:val="TableParagraph"/>
              <w:spacing w:before="100" w:beforeAutospacing="1" w:after="100" w:afterAutospacing="1"/>
              <w:contextualSpacing/>
              <w:rPr>
                <w:rFonts w:ascii="Cambria" w:hAnsi="Cambria"/>
                <w:b/>
                <w:color w:val="263287"/>
              </w:rPr>
            </w:pPr>
            <w:r w:rsidRPr="001C38FE">
              <w:rPr>
                <w:rFonts w:ascii="Cambria" w:hAnsi="Cambria"/>
                <w:b/>
                <w:color w:val="263287"/>
              </w:rPr>
              <w:t>Approved</w:t>
            </w:r>
            <w:r w:rsidRPr="001C38FE">
              <w:rPr>
                <w:rFonts w:ascii="Cambria" w:hAnsi="Cambria"/>
                <w:b/>
                <w:color w:val="263287"/>
                <w:spacing w:val="-3"/>
              </w:rPr>
              <w:t xml:space="preserve"> </w:t>
            </w:r>
            <w:r w:rsidRPr="001C38FE">
              <w:rPr>
                <w:rFonts w:ascii="Cambria" w:hAnsi="Cambria"/>
                <w:b/>
                <w:color w:val="263287"/>
                <w:spacing w:val="-2"/>
              </w:rPr>
              <w:t>indication</w:t>
            </w:r>
          </w:p>
        </w:tc>
      </w:tr>
      <w:tr w:rsidR="00955B59" w:rsidRPr="001C38FE" w14:paraId="161D444E" w14:textId="77777777" w:rsidTr="00C50B7E">
        <w:tc>
          <w:tcPr>
            <w:tcW w:w="1555" w:type="dxa"/>
            <w:tcMar>
              <w:top w:w="28" w:type="dxa"/>
              <w:left w:w="28" w:type="dxa"/>
              <w:bottom w:w="28" w:type="dxa"/>
              <w:right w:w="28" w:type="dxa"/>
            </w:tcMar>
          </w:tcPr>
          <w:p w14:paraId="187B6520" w14:textId="4F86EA8A" w:rsidR="00955B59" w:rsidRPr="001C38FE" w:rsidRDefault="00955B59" w:rsidP="00C50B7E">
            <w:pPr>
              <w:pStyle w:val="TableParagraph"/>
              <w:spacing w:before="100" w:beforeAutospacing="1" w:after="100" w:afterAutospacing="1"/>
              <w:ind w:left="107" w:right="284"/>
              <w:contextualSpacing/>
              <w:rPr>
                <w:rFonts w:ascii="Cambria" w:hAnsi="Cambria"/>
              </w:rPr>
            </w:pPr>
            <w:r w:rsidRPr="001C38FE">
              <w:rPr>
                <w:rFonts w:ascii="Cambria" w:hAnsi="Cambria"/>
                <w:spacing w:val="-4"/>
              </w:rPr>
              <w:t>FDA</w:t>
            </w:r>
          </w:p>
        </w:tc>
        <w:tc>
          <w:tcPr>
            <w:tcW w:w="1417" w:type="dxa"/>
            <w:tcMar>
              <w:top w:w="28" w:type="dxa"/>
              <w:left w:w="28" w:type="dxa"/>
              <w:bottom w:w="28" w:type="dxa"/>
              <w:right w:w="28" w:type="dxa"/>
            </w:tcMar>
          </w:tcPr>
          <w:p w14:paraId="50E33CD6" w14:textId="77777777" w:rsidR="00955B59" w:rsidRPr="001C38FE" w:rsidRDefault="00955B59" w:rsidP="00C50B7E">
            <w:pPr>
              <w:pStyle w:val="TableParagraph"/>
              <w:spacing w:before="100" w:beforeAutospacing="1" w:after="100" w:afterAutospacing="1"/>
              <w:contextualSpacing/>
              <w:rPr>
                <w:rFonts w:ascii="Cambria" w:hAnsi="Cambria"/>
              </w:rPr>
            </w:pPr>
            <w:r w:rsidRPr="001C38FE">
              <w:rPr>
                <w:rFonts w:ascii="Cambria" w:hAnsi="Cambria"/>
              </w:rPr>
              <w:t>29</w:t>
            </w:r>
            <w:r w:rsidRPr="001C38FE">
              <w:rPr>
                <w:rFonts w:ascii="Cambria" w:hAnsi="Cambria"/>
                <w:spacing w:val="-1"/>
              </w:rPr>
              <w:t xml:space="preserve"> </w:t>
            </w:r>
            <w:r w:rsidRPr="001C38FE">
              <w:rPr>
                <w:rFonts w:ascii="Cambria" w:hAnsi="Cambria"/>
              </w:rPr>
              <w:t>March</w:t>
            </w:r>
            <w:r w:rsidRPr="001C38FE">
              <w:rPr>
                <w:rFonts w:ascii="Cambria" w:hAnsi="Cambria"/>
                <w:spacing w:val="-1"/>
              </w:rPr>
              <w:t xml:space="preserve"> </w:t>
            </w:r>
            <w:r w:rsidRPr="001C38FE">
              <w:rPr>
                <w:rFonts w:ascii="Cambria" w:hAnsi="Cambria"/>
                <w:spacing w:val="-4"/>
              </w:rPr>
              <w:t>2021</w:t>
            </w:r>
          </w:p>
        </w:tc>
        <w:tc>
          <w:tcPr>
            <w:tcW w:w="1610" w:type="dxa"/>
            <w:tcMar>
              <w:top w:w="28" w:type="dxa"/>
              <w:left w:w="28" w:type="dxa"/>
              <w:bottom w:w="28" w:type="dxa"/>
              <w:right w:w="28" w:type="dxa"/>
            </w:tcMar>
          </w:tcPr>
          <w:p w14:paraId="38A1D122" w14:textId="77777777" w:rsidR="00955B59" w:rsidRPr="001C38FE" w:rsidRDefault="00955B59" w:rsidP="00C50B7E">
            <w:pPr>
              <w:pStyle w:val="TableParagraph"/>
              <w:spacing w:before="100" w:beforeAutospacing="1" w:after="100" w:afterAutospacing="1"/>
              <w:ind w:right="213"/>
              <w:contextualSpacing/>
              <w:rPr>
                <w:rFonts w:ascii="Cambria" w:hAnsi="Cambria"/>
              </w:rPr>
            </w:pPr>
            <w:r w:rsidRPr="001C38FE">
              <w:rPr>
                <w:rFonts w:ascii="Cambria" w:hAnsi="Cambria"/>
              </w:rPr>
              <w:t>Treatment</w:t>
            </w:r>
            <w:r w:rsidRPr="001C38FE">
              <w:rPr>
                <w:rFonts w:ascii="Cambria" w:hAnsi="Cambria"/>
                <w:spacing w:val="-12"/>
              </w:rPr>
              <w:t xml:space="preserve"> </w:t>
            </w:r>
            <w:r w:rsidRPr="001C38FE">
              <w:rPr>
                <w:rFonts w:ascii="Cambria" w:hAnsi="Cambria"/>
              </w:rPr>
              <w:t xml:space="preserve">of </w:t>
            </w:r>
            <w:r w:rsidRPr="001C38FE">
              <w:rPr>
                <w:rFonts w:ascii="Cambria" w:hAnsi="Cambria"/>
                <w:spacing w:val="-2"/>
              </w:rPr>
              <w:t>cGVHD</w:t>
            </w:r>
          </w:p>
        </w:tc>
        <w:tc>
          <w:tcPr>
            <w:tcW w:w="1650" w:type="dxa"/>
            <w:tcMar>
              <w:top w:w="28" w:type="dxa"/>
              <w:left w:w="28" w:type="dxa"/>
              <w:bottom w:w="28" w:type="dxa"/>
              <w:right w:w="28" w:type="dxa"/>
            </w:tcMar>
          </w:tcPr>
          <w:p w14:paraId="79380EA7" w14:textId="5F793827" w:rsidR="00955B59" w:rsidRPr="001C38FE" w:rsidRDefault="00955B59" w:rsidP="00F47E60">
            <w:pPr>
              <w:pStyle w:val="TableParagraph"/>
              <w:spacing w:before="100" w:beforeAutospacing="1" w:after="100" w:afterAutospacing="1"/>
              <w:contextualSpacing/>
              <w:rPr>
                <w:rFonts w:ascii="Cambria" w:hAnsi="Cambria"/>
              </w:rPr>
            </w:pPr>
            <w:r w:rsidRPr="001C38FE">
              <w:rPr>
                <w:rFonts w:ascii="Cambria" w:hAnsi="Cambria"/>
              </w:rPr>
              <w:t>Approved</w:t>
            </w:r>
            <w:r w:rsidRPr="001C38FE">
              <w:rPr>
                <w:rFonts w:ascii="Cambria" w:hAnsi="Cambria"/>
                <w:spacing w:val="-1"/>
              </w:rPr>
              <w:t xml:space="preserve"> </w:t>
            </w:r>
            <w:r w:rsidRPr="001C38FE">
              <w:rPr>
                <w:rFonts w:ascii="Cambria" w:hAnsi="Cambria"/>
                <w:spacing w:val="-5"/>
              </w:rPr>
              <w:t>14</w:t>
            </w:r>
            <w:r w:rsidR="00F47E60">
              <w:rPr>
                <w:rFonts w:ascii="Cambria" w:hAnsi="Cambria"/>
                <w:spacing w:val="-5"/>
              </w:rPr>
              <w:t xml:space="preserve"> </w:t>
            </w:r>
            <w:r w:rsidRPr="001C38FE">
              <w:rPr>
                <w:rFonts w:ascii="Cambria" w:hAnsi="Cambria"/>
              </w:rPr>
              <w:t>August</w:t>
            </w:r>
            <w:r w:rsidRPr="001C38FE">
              <w:rPr>
                <w:rFonts w:ascii="Cambria" w:hAnsi="Cambria"/>
                <w:spacing w:val="-12"/>
              </w:rPr>
              <w:t xml:space="preserve"> </w:t>
            </w:r>
            <w:r w:rsidRPr="001C38FE">
              <w:rPr>
                <w:rFonts w:ascii="Cambria" w:hAnsi="Cambria"/>
              </w:rPr>
              <w:t>2024 (Fast</w:t>
            </w:r>
            <w:r w:rsidR="00277A99" w:rsidRPr="001C38FE">
              <w:rPr>
                <w:rFonts w:ascii="Cambria" w:hAnsi="Cambria"/>
              </w:rPr>
              <w:t xml:space="preserve"> </w:t>
            </w:r>
            <w:r w:rsidRPr="001C38FE">
              <w:rPr>
                <w:rFonts w:ascii="Cambria" w:hAnsi="Cambria"/>
              </w:rPr>
              <w:t>track</w:t>
            </w:r>
            <w:r w:rsidR="001C38FE">
              <w:rPr>
                <w:rFonts w:ascii="Cambria" w:hAnsi="Cambria"/>
              </w:rPr>
              <w:t xml:space="preserve"> </w:t>
            </w:r>
            <w:r w:rsidRPr="001C38FE">
              <w:rPr>
                <w:rFonts w:ascii="Cambria" w:hAnsi="Cambria"/>
                <w:spacing w:val="-2"/>
              </w:rPr>
              <w:t>designatio</w:t>
            </w:r>
            <w:r w:rsidR="00277A99" w:rsidRPr="001C38FE">
              <w:rPr>
                <w:rFonts w:ascii="Cambria" w:hAnsi="Cambria"/>
                <w:spacing w:val="-2"/>
              </w:rPr>
              <w:t>n</w:t>
            </w:r>
            <w:r w:rsidRPr="001C38FE">
              <w:rPr>
                <w:rFonts w:ascii="Cambria" w:hAnsi="Cambria"/>
                <w:spacing w:val="-2"/>
              </w:rPr>
              <w:t>,</w:t>
            </w:r>
            <w:r w:rsidR="001C38FE">
              <w:rPr>
                <w:rFonts w:ascii="Cambria" w:hAnsi="Cambria"/>
                <w:spacing w:val="-2"/>
              </w:rPr>
              <w:t xml:space="preserve"> </w:t>
            </w:r>
            <w:r w:rsidRPr="001C38FE">
              <w:rPr>
                <w:rFonts w:ascii="Cambria" w:hAnsi="Cambria"/>
              </w:rPr>
              <w:t>Priority</w:t>
            </w:r>
            <w:r w:rsidRPr="001C38FE">
              <w:rPr>
                <w:rFonts w:ascii="Cambria" w:hAnsi="Cambria"/>
                <w:spacing w:val="-1"/>
              </w:rPr>
              <w:t xml:space="preserve"> </w:t>
            </w:r>
            <w:r w:rsidRPr="001C38FE">
              <w:rPr>
                <w:rFonts w:ascii="Cambria" w:hAnsi="Cambria"/>
                <w:spacing w:val="-2"/>
              </w:rPr>
              <w:t>Review)</w:t>
            </w:r>
          </w:p>
        </w:tc>
        <w:tc>
          <w:tcPr>
            <w:tcW w:w="2694" w:type="dxa"/>
            <w:tcMar>
              <w:top w:w="28" w:type="dxa"/>
              <w:left w:w="28" w:type="dxa"/>
              <w:bottom w:w="28" w:type="dxa"/>
              <w:right w:w="28" w:type="dxa"/>
            </w:tcMar>
          </w:tcPr>
          <w:p w14:paraId="1A6454FE" w14:textId="78D11A4E" w:rsidR="00955B59" w:rsidRPr="001C38FE" w:rsidRDefault="00955B59" w:rsidP="00C50B7E">
            <w:pPr>
              <w:pStyle w:val="TableParagraph"/>
              <w:spacing w:before="100" w:beforeAutospacing="1" w:after="100" w:afterAutospacing="1"/>
              <w:ind w:right="119"/>
              <w:contextualSpacing/>
              <w:rPr>
                <w:rFonts w:ascii="Cambria" w:hAnsi="Cambria"/>
              </w:rPr>
            </w:pPr>
            <w:r w:rsidRPr="001C38FE">
              <w:rPr>
                <w:rFonts w:ascii="Cambria" w:hAnsi="Cambria"/>
              </w:rPr>
              <w:t>For</w:t>
            </w:r>
            <w:r w:rsidRPr="001C38FE">
              <w:rPr>
                <w:rFonts w:ascii="Cambria" w:hAnsi="Cambria"/>
                <w:spacing w:val="-8"/>
              </w:rPr>
              <w:t xml:space="preserve"> </w:t>
            </w:r>
            <w:r w:rsidRPr="001C38FE">
              <w:rPr>
                <w:rFonts w:ascii="Cambria" w:hAnsi="Cambria"/>
              </w:rPr>
              <w:t>the</w:t>
            </w:r>
            <w:r w:rsidRPr="001C38FE">
              <w:rPr>
                <w:rFonts w:ascii="Cambria" w:hAnsi="Cambria"/>
                <w:spacing w:val="-8"/>
              </w:rPr>
              <w:t xml:space="preserve"> </w:t>
            </w:r>
            <w:r w:rsidRPr="001C38FE">
              <w:rPr>
                <w:rFonts w:ascii="Cambria" w:hAnsi="Cambria"/>
              </w:rPr>
              <w:t>treatment</w:t>
            </w:r>
            <w:r w:rsidRPr="001C38FE">
              <w:rPr>
                <w:rFonts w:ascii="Cambria" w:hAnsi="Cambria"/>
                <w:spacing w:val="-8"/>
              </w:rPr>
              <w:t xml:space="preserve"> </w:t>
            </w:r>
            <w:r w:rsidRPr="001C38FE">
              <w:rPr>
                <w:rFonts w:ascii="Cambria" w:hAnsi="Cambria"/>
              </w:rPr>
              <w:t>of</w:t>
            </w:r>
            <w:r w:rsidRPr="001C38FE">
              <w:rPr>
                <w:rFonts w:ascii="Cambria" w:hAnsi="Cambria"/>
                <w:spacing w:val="-8"/>
              </w:rPr>
              <w:t xml:space="preserve"> </w:t>
            </w:r>
            <w:r w:rsidRPr="001C38FE">
              <w:rPr>
                <w:rFonts w:ascii="Cambria" w:hAnsi="Cambria"/>
              </w:rPr>
              <w:t>cGVHD</w:t>
            </w:r>
            <w:r w:rsidRPr="001C38FE">
              <w:rPr>
                <w:rFonts w:ascii="Cambria" w:hAnsi="Cambria"/>
                <w:spacing w:val="-8"/>
              </w:rPr>
              <w:t xml:space="preserve"> </w:t>
            </w:r>
            <w:r w:rsidRPr="001C38FE">
              <w:rPr>
                <w:rFonts w:ascii="Cambria" w:hAnsi="Cambria"/>
              </w:rPr>
              <w:t>after failure of at least two prior lines of systemic therapy in adult and paediatric patients weighing at</w:t>
            </w:r>
            <w:r w:rsidR="00277A99" w:rsidRPr="001C38FE">
              <w:rPr>
                <w:rFonts w:ascii="Cambria" w:hAnsi="Cambria"/>
              </w:rPr>
              <w:t xml:space="preserve"> </w:t>
            </w:r>
            <w:r w:rsidRPr="001C38FE">
              <w:rPr>
                <w:rFonts w:ascii="Cambria" w:hAnsi="Cambria"/>
              </w:rPr>
              <w:t>least</w:t>
            </w:r>
            <w:r w:rsidRPr="001C38FE">
              <w:rPr>
                <w:rFonts w:ascii="Cambria" w:hAnsi="Cambria"/>
                <w:spacing w:val="-2"/>
              </w:rPr>
              <w:t xml:space="preserve"> </w:t>
            </w:r>
            <w:r w:rsidRPr="001C38FE">
              <w:rPr>
                <w:rFonts w:ascii="Cambria" w:hAnsi="Cambria"/>
              </w:rPr>
              <w:t xml:space="preserve">40 </w:t>
            </w:r>
            <w:r w:rsidRPr="001C38FE">
              <w:rPr>
                <w:rFonts w:ascii="Cambria" w:hAnsi="Cambria"/>
                <w:spacing w:val="-5"/>
              </w:rPr>
              <w:t>kg.</w:t>
            </w:r>
          </w:p>
        </w:tc>
      </w:tr>
      <w:tr w:rsidR="00955B59" w:rsidRPr="001C38FE" w14:paraId="5D4B1510" w14:textId="77777777" w:rsidTr="00C50B7E">
        <w:tc>
          <w:tcPr>
            <w:tcW w:w="1555" w:type="dxa"/>
            <w:tcMar>
              <w:top w:w="28" w:type="dxa"/>
              <w:left w:w="28" w:type="dxa"/>
              <w:bottom w:w="28" w:type="dxa"/>
              <w:right w:w="28" w:type="dxa"/>
            </w:tcMar>
          </w:tcPr>
          <w:p w14:paraId="7BD2285E" w14:textId="77777777" w:rsidR="00955B59" w:rsidRPr="001C38FE" w:rsidRDefault="00955B59" w:rsidP="00C50B7E">
            <w:pPr>
              <w:pStyle w:val="TableParagraph"/>
              <w:spacing w:before="100" w:beforeAutospacing="1" w:after="100" w:afterAutospacing="1"/>
              <w:ind w:left="107"/>
              <w:contextualSpacing/>
              <w:rPr>
                <w:rFonts w:ascii="Cambria" w:hAnsi="Cambria"/>
              </w:rPr>
            </w:pPr>
            <w:r w:rsidRPr="001C38FE">
              <w:rPr>
                <w:rFonts w:ascii="Cambria" w:hAnsi="Cambria"/>
              </w:rPr>
              <w:t>Health</w:t>
            </w:r>
            <w:r w:rsidRPr="001C38FE">
              <w:rPr>
                <w:rFonts w:ascii="Cambria" w:hAnsi="Cambria"/>
                <w:spacing w:val="-2"/>
              </w:rPr>
              <w:t xml:space="preserve"> Canada</w:t>
            </w:r>
          </w:p>
        </w:tc>
        <w:tc>
          <w:tcPr>
            <w:tcW w:w="1417" w:type="dxa"/>
            <w:tcMar>
              <w:top w:w="28" w:type="dxa"/>
              <w:left w:w="28" w:type="dxa"/>
              <w:bottom w:w="28" w:type="dxa"/>
              <w:right w:w="28" w:type="dxa"/>
            </w:tcMar>
          </w:tcPr>
          <w:p w14:paraId="48639BA7" w14:textId="77777777" w:rsidR="00955B59" w:rsidRPr="001C38FE" w:rsidRDefault="00955B59" w:rsidP="00C50B7E">
            <w:pPr>
              <w:pStyle w:val="TableParagraph"/>
              <w:spacing w:before="100" w:beforeAutospacing="1" w:after="100" w:afterAutospacing="1"/>
              <w:contextualSpacing/>
              <w:rPr>
                <w:rFonts w:ascii="Cambria" w:hAnsi="Cambria"/>
              </w:rPr>
            </w:pPr>
            <w:r w:rsidRPr="001C38FE">
              <w:rPr>
                <w:rFonts w:ascii="Cambria" w:hAnsi="Cambria"/>
                <w:spacing w:val="-5"/>
              </w:rPr>
              <w:t>N/A</w:t>
            </w:r>
          </w:p>
        </w:tc>
        <w:tc>
          <w:tcPr>
            <w:tcW w:w="1610" w:type="dxa"/>
            <w:tcMar>
              <w:top w:w="28" w:type="dxa"/>
              <w:left w:w="28" w:type="dxa"/>
              <w:bottom w:w="28" w:type="dxa"/>
              <w:right w:w="28" w:type="dxa"/>
            </w:tcMar>
          </w:tcPr>
          <w:p w14:paraId="30573919" w14:textId="77777777" w:rsidR="00955B59" w:rsidRPr="001C38FE" w:rsidRDefault="00955B59" w:rsidP="00C50B7E">
            <w:pPr>
              <w:pStyle w:val="TableParagraph"/>
              <w:spacing w:before="100" w:beforeAutospacing="1" w:after="100" w:afterAutospacing="1"/>
              <w:contextualSpacing/>
              <w:rPr>
                <w:rFonts w:ascii="Cambria" w:hAnsi="Cambria"/>
              </w:rPr>
            </w:pPr>
            <w:r w:rsidRPr="001C38FE">
              <w:rPr>
                <w:rFonts w:ascii="Cambria" w:hAnsi="Cambria"/>
                <w:spacing w:val="-5"/>
              </w:rPr>
              <w:t>N/A</w:t>
            </w:r>
          </w:p>
        </w:tc>
        <w:tc>
          <w:tcPr>
            <w:tcW w:w="1650" w:type="dxa"/>
            <w:tcMar>
              <w:top w:w="28" w:type="dxa"/>
              <w:left w:w="28" w:type="dxa"/>
              <w:bottom w:w="28" w:type="dxa"/>
              <w:right w:w="28" w:type="dxa"/>
            </w:tcMar>
          </w:tcPr>
          <w:p w14:paraId="1D364F59" w14:textId="77777777" w:rsidR="00955B59" w:rsidRPr="001C38FE" w:rsidRDefault="00955B59" w:rsidP="00C50B7E">
            <w:pPr>
              <w:pStyle w:val="TableParagraph"/>
              <w:spacing w:before="100" w:beforeAutospacing="1" w:after="100" w:afterAutospacing="1"/>
              <w:ind w:right="379"/>
              <w:contextualSpacing/>
              <w:rPr>
                <w:rFonts w:ascii="Cambria" w:hAnsi="Cambria"/>
              </w:rPr>
            </w:pPr>
            <w:r w:rsidRPr="001C38FE">
              <w:rPr>
                <w:rFonts w:ascii="Cambria" w:hAnsi="Cambria"/>
                <w:spacing w:val="-2"/>
              </w:rPr>
              <w:t xml:space="preserve">Submitted </w:t>
            </w:r>
            <w:r w:rsidRPr="001C38FE">
              <w:rPr>
                <w:rFonts w:ascii="Cambria" w:hAnsi="Cambria"/>
              </w:rPr>
              <w:t>December</w:t>
            </w:r>
            <w:r w:rsidRPr="001C38FE">
              <w:rPr>
                <w:rFonts w:ascii="Cambria" w:hAnsi="Cambria"/>
                <w:spacing w:val="-12"/>
              </w:rPr>
              <w:t xml:space="preserve"> </w:t>
            </w:r>
            <w:r w:rsidRPr="001C38FE">
              <w:rPr>
                <w:rFonts w:ascii="Cambria" w:hAnsi="Cambria"/>
              </w:rPr>
              <w:t>2024</w:t>
            </w:r>
          </w:p>
        </w:tc>
        <w:tc>
          <w:tcPr>
            <w:tcW w:w="2694" w:type="dxa"/>
            <w:tcMar>
              <w:top w:w="28" w:type="dxa"/>
              <w:left w:w="28" w:type="dxa"/>
              <w:bottom w:w="28" w:type="dxa"/>
              <w:right w:w="28" w:type="dxa"/>
            </w:tcMar>
          </w:tcPr>
          <w:p w14:paraId="4B4CD318" w14:textId="1486E66F" w:rsidR="00955B59" w:rsidRPr="001C38FE" w:rsidRDefault="00504020" w:rsidP="003F1C0F">
            <w:pPr>
              <w:pStyle w:val="TableParagraph"/>
              <w:spacing w:before="100" w:beforeAutospacing="1" w:after="100" w:afterAutospacing="1"/>
              <w:ind w:right="109"/>
              <w:contextualSpacing/>
              <w:rPr>
                <w:rFonts w:ascii="Cambria" w:hAnsi="Cambria"/>
              </w:rPr>
            </w:pPr>
            <w:r>
              <w:rPr>
                <w:rFonts w:ascii="Cambria" w:hAnsi="Cambria"/>
              </w:rPr>
              <w:t>Under Review</w:t>
            </w:r>
          </w:p>
        </w:tc>
      </w:tr>
    </w:tbl>
    <w:p w14:paraId="6D92589C" w14:textId="16385C2D" w:rsidR="00324B33" w:rsidRDefault="00324B33" w:rsidP="00324B33">
      <w:pPr>
        <w:pStyle w:val="Heading2"/>
      </w:pPr>
      <w:bookmarkStart w:id="26" w:name="_Toc504480011"/>
      <w:bookmarkStart w:id="27" w:name="_Toc103679293"/>
      <w:bookmarkStart w:id="28" w:name="_Toc231299543"/>
      <w:r>
        <w:t>Registration timeline</w:t>
      </w:r>
      <w:bookmarkEnd w:id="26"/>
      <w:bookmarkEnd w:id="27"/>
      <w:bookmarkEnd w:id="28"/>
    </w:p>
    <w:p w14:paraId="225E3D87" w14:textId="2DD6A040" w:rsidR="00324B33" w:rsidRPr="00BD5DBD" w:rsidRDefault="00236F91" w:rsidP="00324B33">
      <w:pPr>
        <w:rPr>
          <w:szCs w:val="22"/>
        </w:rPr>
      </w:pPr>
      <w:r>
        <w:rPr>
          <w:szCs w:val="22"/>
        </w:rPr>
        <w:t>Table 2</w:t>
      </w:r>
      <w:r w:rsidR="00324B33" w:rsidRPr="00BD5DBD">
        <w:rPr>
          <w:szCs w:val="22"/>
        </w:rPr>
        <w:t xml:space="preserve"> captures the key steps and dates for this submission.</w:t>
      </w:r>
    </w:p>
    <w:p w14:paraId="44628C5F" w14:textId="542ACB81" w:rsidR="00324B33" w:rsidRDefault="00324B33" w:rsidP="002C1232">
      <w:pPr>
        <w:pStyle w:val="TableTitle"/>
      </w:pPr>
      <w:r w:rsidRPr="002C1232">
        <w:t xml:space="preserve">Table </w:t>
      </w:r>
      <w:r w:rsidR="008B1CB5">
        <w:fldChar w:fldCharType="begin"/>
      </w:r>
      <w:r w:rsidR="008B1CB5">
        <w:instrText xml:space="preserve"> SEQ Table \* ARABIC </w:instrText>
      </w:r>
      <w:r w:rsidR="008B1CB5">
        <w:fldChar w:fldCharType="separate"/>
      </w:r>
      <w:r w:rsidR="008B1CB5" w:rsidRPr="002C1232">
        <w:t>2</w:t>
      </w:r>
      <w:r w:rsidR="008B1CB5">
        <w:fldChar w:fldCharType="end"/>
      </w:r>
      <w:r w:rsidR="003302FF">
        <w:t>.</w:t>
      </w:r>
      <w:r w:rsidRPr="002C1232">
        <w:t xml:space="preserve"> Timeline for </w:t>
      </w:r>
      <w:r w:rsidR="006D3DF0">
        <w:t>Niktimvo</w:t>
      </w:r>
      <w:r w:rsidR="00D43E9D" w:rsidRPr="00D43E9D">
        <w:t xml:space="preserve"> </w:t>
      </w:r>
      <w:r w:rsidR="00D43E9D">
        <w:t>(</w:t>
      </w:r>
      <w:r w:rsidR="00D43E9D" w:rsidRPr="00D43E9D">
        <w:t>axatilimab</w:t>
      </w:r>
      <w:r w:rsidR="00D43E9D">
        <w:t>),</w:t>
      </w:r>
      <w:r w:rsidR="00D43E9D" w:rsidRPr="00D43E9D">
        <w:t xml:space="preserve"> </w:t>
      </w:r>
      <w:r w:rsidR="006E6059">
        <w:t>s</w:t>
      </w:r>
      <w:r w:rsidRPr="002C1232">
        <w:t xml:space="preserve">ubmission </w:t>
      </w:r>
      <w:r w:rsidR="00D43E9D" w:rsidRPr="00D43E9D">
        <w:t>PM-2025-02541-1-2</w:t>
      </w:r>
    </w:p>
    <w:tbl>
      <w:tblPr>
        <w:tblStyle w:val="TableTGAblue2023"/>
        <w:tblW w:w="8642" w:type="dxa"/>
        <w:tblLook w:val="04A0" w:firstRow="1" w:lastRow="0" w:firstColumn="1" w:lastColumn="0" w:noHBand="0" w:noVBand="1"/>
      </w:tblPr>
      <w:tblGrid>
        <w:gridCol w:w="6232"/>
        <w:gridCol w:w="2410"/>
      </w:tblGrid>
      <w:tr w:rsidR="007072A1" w:rsidRPr="00D01DDB" w14:paraId="7429FB08" w14:textId="77777777" w:rsidTr="00F47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1353B63" w14:textId="77777777" w:rsidR="007072A1" w:rsidRPr="00D01DDB" w:rsidRDefault="007072A1" w:rsidP="007452E8">
            <w:pPr>
              <w:rPr>
                <w:szCs w:val="22"/>
              </w:rPr>
            </w:pPr>
            <w:r w:rsidRPr="00D01DDB">
              <w:rPr>
                <w:szCs w:val="22"/>
              </w:rPr>
              <w:t>Description</w:t>
            </w:r>
          </w:p>
        </w:tc>
        <w:tc>
          <w:tcPr>
            <w:tcW w:w="2410" w:type="dxa"/>
          </w:tcPr>
          <w:p w14:paraId="12341C2F" w14:textId="77777777" w:rsidR="007072A1" w:rsidRPr="00D01DDB" w:rsidRDefault="007072A1" w:rsidP="007452E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967223" w:rsidRPr="00D01DDB" w14:paraId="5590E581" w14:textId="77777777" w:rsidTr="00F47E60">
        <w:tc>
          <w:tcPr>
            <w:cnfStyle w:val="001000000000" w:firstRow="0" w:lastRow="0" w:firstColumn="1" w:lastColumn="0" w:oddVBand="0" w:evenVBand="0" w:oddHBand="0" w:evenHBand="0" w:firstRowFirstColumn="0" w:firstRowLastColumn="0" w:lastRowFirstColumn="0" w:lastRowLastColumn="0"/>
            <w:tcW w:w="6232" w:type="dxa"/>
          </w:tcPr>
          <w:p w14:paraId="1FF6B74D" w14:textId="3901F269" w:rsidR="00967223" w:rsidRPr="00E679D1" w:rsidRDefault="0017005C" w:rsidP="00E679D1">
            <w:r w:rsidRPr="00E679D1">
              <w:t>P</w:t>
            </w:r>
            <w:r w:rsidR="00967223" w:rsidRPr="00E679D1">
              <w:t xml:space="preserve">riority </w:t>
            </w:r>
            <w:r w:rsidR="00336FE1" w:rsidRPr="00E679D1">
              <w:t>determination</w:t>
            </w:r>
          </w:p>
        </w:tc>
        <w:tc>
          <w:tcPr>
            <w:tcW w:w="2410" w:type="dxa"/>
          </w:tcPr>
          <w:p w14:paraId="56E2CAF4" w14:textId="0E40FA7D" w:rsidR="00967223" w:rsidRPr="00D01DDB" w:rsidRDefault="00AD5A26" w:rsidP="007452E8">
            <w:pPr>
              <w:cnfStyle w:val="000000000000" w:firstRow="0" w:lastRow="0" w:firstColumn="0" w:lastColumn="0" w:oddVBand="0" w:evenVBand="0" w:oddHBand="0" w:evenHBand="0" w:firstRowFirstColumn="0" w:firstRowLastColumn="0" w:lastRowFirstColumn="0" w:lastRowLastColumn="0"/>
              <w:rPr>
                <w:szCs w:val="22"/>
              </w:rPr>
            </w:pPr>
            <w:r w:rsidRPr="00AD5A26">
              <w:rPr>
                <w:szCs w:val="22"/>
              </w:rPr>
              <w:t>24 March 2025</w:t>
            </w:r>
          </w:p>
        </w:tc>
      </w:tr>
      <w:tr w:rsidR="007072A1" w:rsidRPr="00D01DDB" w14:paraId="1E0EA4B5" w14:textId="77777777" w:rsidTr="00F47E60">
        <w:tc>
          <w:tcPr>
            <w:cnfStyle w:val="001000000000" w:firstRow="0" w:lastRow="0" w:firstColumn="1" w:lastColumn="0" w:oddVBand="0" w:evenVBand="0" w:oddHBand="0" w:evenHBand="0" w:firstRowFirstColumn="0" w:firstRowLastColumn="0" w:lastRowFirstColumn="0" w:lastRowLastColumn="0"/>
            <w:tcW w:w="6232" w:type="dxa"/>
          </w:tcPr>
          <w:p w14:paraId="09905872" w14:textId="573A0104" w:rsidR="007072A1" w:rsidRPr="00E679D1" w:rsidRDefault="007072A1" w:rsidP="00E679D1">
            <w:r w:rsidRPr="00E679D1">
              <w:t>Designation (</w:t>
            </w:r>
            <w:r w:rsidR="007F50D3" w:rsidRPr="00E679D1">
              <w:t>Orphan</w:t>
            </w:r>
            <w:r w:rsidRPr="00E679D1">
              <w:t>)</w:t>
            </w:r>
          </w:p>
        </w:tc>
        <w:tc>
          <w:tcPr>
            <w:tcW w:w="2410" w:type="dxa"/>
          </w:tcPr>
          <w:p w14:paraId="019DCEAE" w14:textId="08DC80AC" w:rsidR="007072A1" w:rsidRPr="00D01DDB" w:rsidRDefault="00AD5A26" w:rsidP="007452E8">
            <w:pPr>
              <w:cnfStyle w:val="000000000000" w:firstRow="0" w:lastRow="0" w:firstColumn="0" w:lastColumn="0" w:oddVBand="0" w:evenVBand="0" w:oddHBand="0" w:evenHBand="0" w:firstRowFirstColumn="0" w:firstRowLastColumn="0" w:lastRowFirstColumn="0" w:lastRowLastColumn="0"/>
              <w:rPr>
                <w:szCs w:val="22"/>
              </w:rPr>
            </w:pPr>
            <w:r w:rsidRPr="00AD5A26">
              <w:rPr>
                <w:szCs w:val="22"/>
              </w:rPr>
              <w:t>24 March 2025</w:t>
            </w:r>
          </w:p>
        </w:tc>
      </w:tr>
      <w:tr w:rsidR="007072A1" w:rsidRPr="00D01DDB" w14:paraId="0D1CC924" w14:textId="77777777" w:rsidTr="00F47E60">
        <w:tc>
          <w:tcPr>
            <w:cnfStyle w:val="001000000000" w:firstRow="0" w:lastRow="0" w:firstColumn="1" w:lastColumn="0" w:oddVBand="0" w:evenVBand="0" w:oddHBand="0" w:evenHBand="0" w:firstRowFirstColumn="0" w:firstRowLastColumn="0" w:lastRowFirstColumn="0" w:lastRowLastColumn="0"/>
            <w:tcW w:w="6232" w:type="dxa"/>
          </w:tcPr>
          <w:p w14:paraId="5DBF8D15" w14:textId="61E4370D" w:rsidR="00BB6847" w:rsidRPr="00E679D1" w:rsidRDefault="007072A1" w:rsidP="00E679D1">
            <w:r w:rsidRPr="00E679D1">
              <w:t>Submission dossier accepted and first round evaluation commenced</w:t>
            </w:r>
          </w:p>
        </w:tc>
        <w:tc>
          <w:tcPr>
            <w:tcW w:w="2410" w:type="dxa"/>
          </w:tcPr>
          <w:p w14:paraId="1894520F" w14:textId="15271305" w:rsidR="007072A1" w:rsidRPr="00D01DDB" w:rsidRDefault="00455479"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11 July 2025</w:t>
            </w:r>
          </w:p>
        </w:tc>
      </w:tr>
      <w:tr w:rsidR="007072A1" w:rsidRPr="00D01DDB" w14:paraId="1C772CA1" w14:textId="77777777" w:rsidTr="00F47E60">
        <w:tc>
          <w:tcPr>
            <w:cnfStyle w:val="001000000000" w:firstRow="0" w:lastRow="0" w:firstColumn="1" w:lastColumn="0" w:oddVBand="0" w:evenVBand="0" w:oddHBand="0" w:evenHBand="0" w:firstRowFirstColumn="0" w:firstRowLastColumn="0" w:lastRowFirstColumn="0" w:lastRowLastColumn="0"/>
            <w:tcW w:w="6232" w:type="dxa"/>
          </w:tcPr>
          <w:p w14:paraId="5EA0BE18" w14:textId="26083B57" w:rsidR="00BB6847" w:rsidRPr="00E679D1" w:rsidRDefault="00175F35" w:rsidP="00E679D1">
            <w:r>
              <w:t>E</w:t>
            </w:r>
            <w:r w:rsidR="007072A1" w:rsidRPr="00E679D1">
              <w:t>valuation completed</w:t>
            </w:r>
          </w:p>
        </w:tc>
        <w:tc>
          <w:tcPr>
            <w:tcW w:w="2410" w:type="dxa"/>
          </w:tcPr>
          <w:p w14:paraId="57A97EED" w14:textId="21F506D4" w:rsidR="007072A1" w:rsidRPr="00D01DDB" w:rsidRDefault="003C538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20 February 2026</w:t>
            </w:r>
          </w:p>
        </w:tc>
      </w:tr>
      <w:tr w:rsidR="007072A1" w:rsidRPr="00D01DDB" w14:paraId="14FAD894" w14:textId="77777777" w:rsidTr="00F47E60">
        <w:tc>
          <w:tcPr>
            <w:cnfStyle w:val="001000000000" w:firstRow="0" w:lastRow="0" w:firstColumn="1" w:lastColumn="0" w:oddVBand="0" w:evenVBand="0" w:oddHBand="0" w:evenHBand="0" w:firstRowFirstColumn="0" w:firstRowLastColumn="0" w:lastRowFirstColumn="0" w:lastRowLastColumn="0"/>
            <w:tcW w:w="6232" w:type="dxa"/>
          </w:tcPr>
          <w:p w14:paraId="4A622D23" w14:textId="77777777" w:rsidR="007072A1" w:rsidRPr="00D01DDB" w:rsidRDefault="007072A1" w:rsidP="007452E8">
            <w:pPr>
              <w:rPr>
                <w:szCs w:val="22"/>
              </w:rPr>
            </w:pPr>
            <w:r w:rsidRPr="00D01DDB">
              <w:rPr>
                <w:szCs w:val="22"/>
              </w:rPr>
              <w:lastRenderedPageBreak/>
              <w:t>Registration decision (Outcome)</w:t>
            </w:r>
          </w:p>
        </w:tc>
        <w:tc>
          <w:tcPr>
            <w:tcW w:w="2410" w:type="dxa"/>
          </w:tcPr>
          <w:p w14:paraId="336A6D96" w14:textId="07610BB8" w:rsidR="007072A1" w:rsidRPr="00D01DDB" w:rsidRDefault="00C8612C" w:rsidP="007452E8">
            <w:pPr>
              <w:cnfStyle w:val="000000000000" w:firstRow="0" w:lastRow="0" w:firstColumn="0" w:lastColumn="0" w:oddVBand="0" w:evenVBand="0" w:oddHBand="0" w:evenHBand="0" w:firstRowFirstColumn="0" w:firstRowLastColumn="0" w:lastRowFirstColumn="0" w:lastRowLastColumn="0"/>
              <w:rPr>
                <w:szCs w:val="22"/>
              </w:rPr>
            </w:pPr>
            <w:r w:rsidRPr="00C8612C">
              <w:rPr>
                <w:szCs w:val="22"/>
              </w:rPr>
              <w:t>28 April 2026</w:t>
            </w:r>
          </w:p>
        </w:tc>
      </w:tr>
      <w:tr w:rsidR="007072A1" w:rsidRPr="00D01DDB" w14:paraId="6324C4A7" w14:textId="77777777" w:rsidTr="00F47E60">
        <w:tc>
          <w:tcPr>
            <w:cnfStyle w:val="001000000000" w:firstRow="0" w:lastRow="0" w:firstColumn="1" w:lastColumn="0" w:oddVBand="0" w:evenVBand="0" w:oddHBand="0" w:evenHBand="0" w:firstRowFirstColumn="0" w:firstRowLastColumn="0" w:lastRowFirstColumn="0" w:lastRowLastColumn="0"/>
            <w:tcW w:w="6232" w:type="dxa"/>
          </w:tcPr>
          <w:p w14:paraId="57C43AF4" w14:textId="77777777" w:rsidR="007072A1" w:rsidRPr="00D01DDB" w:rsidRDefault="007072A1" w:rsidP="007452E8">
            <w:pPr>
              <w:rPr>
                <w:szCs w:val="22"/>
              </w:rPr>
            </w:pPr>
            <w:r w:rsidRPr="00D01DDB">
              <w:rPr>
                <w:szCs w:val="22"/>
              </w:rPr>
              <w:t>Number of working days from submission dossier acceptance to registration decision*</w:t>
            </w:r>
          </w:p>
        </w:tc>
        <w:tc>
          <w:tcPr>
            <w:tcW w:w="2410" w:type="dxa"/>
          </w:tcPr>
          <w:p w14:paraId="1E16937C" w14:textId="5A5D2E4E" w:rsidR="007072A1" w:rsidRPr="00D01DDB" w:rsidRDefault="00A35071"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164</w:t>
            </w:r>
          </w:p>
        </w:tc>
      </w:tr>
    </w:tbl>
    <w:p w14:paraId="4909D74A" w14:textId="71D76268" w:rsidR="00C22214" w:rsidRDefault="00C22214" w:rsidP="00854D98">
      <w:pPr>
        <w:pStyle w:val="TableDescription"/>
      </w:pPr>
      <w:r>
        <w:t>*Target timeframe for priority submissions is 150 working days from acceptance for evaluation to the decision.</w:t>
      </w:r>
    </w:p>
    <w:p w14:paraId="220925F1" w14:textId="75C7430A" w:rsidR="00C22214" w:rsidRPr="00792A32" w:rsidRDefault="00083763" w:rsidP="00C22214">
      <w:pPr>
        <w:pStyle w:val="Heading2"/>
      </w:pPr>
      <w:bookmarkStart w:id="29" w:name="_Toc231299544"/>
      <w:bookmarkStart w:id="30" w:name="_Toc196046504"/>
      <w:bookmarkStart w:id="31" w:name="_Toc247691527"/>
      <w:bookmarkStart w:id="32" w:name="_Toc314842510"/>
      <w:bookmarkStart w:id="33" w:name="_Toc103679294"/>
      <w:r>
        <w:t xml:space="preserve">Assessment </w:t>
      </w:r>
      <w:r w:rsidR="00C22214" w:rsidRPr="00006FAB">
        <w:t>overview</w:t>
      </w:r>
      <w:bookmarkEnd w:id="29"/>
      <w:r w:rsidR="00C22214" w:rsidRPr="00006FAB">
        <w:t xml:space="preserve"> </w:t>
      </w:r>
      <w:bookmarkEnd w:id="30"/>
      <w:bookmarkEnd w:id="31"/>
      <w:bookmarkEnd w:id="32"/>
      <w:bookmarkEnd w:id="33"/>
    </w:p>
    <w:p w14:paraId="37F5A1C0" w14:textId="5D3D5FE0" w:rsidR="00C22214" w:rsidRDefault="00095C6A" w:rsidP="00C22214">
      <w:pPr>
        <w:pStyle w:val="Heading3"/>
      </w:pPr>
      <w:bookmarkStart w:id="34" w:name="_Toc247691528"/>
      <w:bookmarkStart w:id="35" w:name="_Toc314842511"/>
      <w:bookmarkStart w:id="36" w:name="_Toc103679295"/>
      <w:bookmarkStart w:id="37" w:name="_Toc231299545"/>
      <w:r>
        <w:t>Q</w:t>
      </w:r>
      <w:r w:rsidR="00C22214">
        <w:t>uality</w:t>
      </w:r>
      <w:bookmarkEnd w:id="34"/>
      <w:bookmarkEnd w:id="35"/>
      <w:bookmarkEnd w:id="36"/>
      <w:r w:rsidR="007E6443">
        <w:t xml:space="preserve"> evaluation</w:t>
      </w:r>
      <w:r>
        <w:t xml:space="preserve"> summary</w:t>
      </w:r>
      <w:bookmarkEnd w:id="37"/>
    </w:p>
    <w:p w14:paraId="4B862768" w14:textId="29C7F5A6" w:rsidR="00864054" w:rsidRPr="00864054" w:rsidRDefault="006D3DF0" w:rsidP="00864054">
      <w:pPr>
        <w:rPr>
          <w:szCs w:val="22"/>
        </w:rPr>
      </w:pPr>
      <w:r>
        <w:rPr>
          <w:szCs w:val="22"/>
        </w:rPr>
        <w:t>Niktimvo</w:t>
      </w:r>
      <w:r w:rsidR="00864054" w:rsidRPr="00864054">
        <w:rPr>
          <w:szCs w:val="22"/>
        </w:rPr>
        <w:t xml:space="preserve"> is a new biological entity supplied as a concentrate for intravenous </w:t>
      </w:r>
      <w:r>
        <w:rPr>
          <w:szCs w:val="22"/>
        </w:rPr>
        <w:t xml:space="preserve">(IV) </w:t>
      </w:r>
      <w:r w:rsidR="00864054" w:rsidRPr="00864054">
        <w:rPr>
          <w:szCs w:val="22"/>
        </w:rPr>
        <w:t>infusion in two vial strengths, 9 mg/0.18 mL and 22 mg/0.44 mL, both at a concentration of 50 mg/mL. Axatilimab is a recombinant humanised IgG4 monoclonal antibody produced in Chinese Hamster Ovary cells.</w:t>
      </w:r>
    </w:p>
    <w:p w14:paraId="1EF581B6" w14:textId="77777777" w:rsidR="00864054" w:rsidRPr="00864054" w:rsidRDefault="00864054" w:rsidP="00864054">
      <w:pPr>
        <w:rPr>
          <w:szCs w:val="22"/>
        </w:rPr>
      </w:pPr>
      <w:r w:rsidRPr="00864054">
        <w:rPr>
          <w:szCs w:val="22"/>
        </w:rPr>
        <w:t>The finished product consists of axatilimab formulated in a citrate‑buffered solution with glycine, sucrose and polysorbate 80 as excipients. All excipients are well‑established pharmaceutical ingredients that comply with relevant pharmacopoeial standards, and no novel excipients are used. The product is supplied in Type I glass vials with a bromobutyl rubber stopper and aluminium seal, and container closure integrity, compatibility and stability have been adequately demonstrated.</w:t>
      </w:r>
    </w:p>
    <w:p w14:paraId="354DDA83" w14:textId="77777777" w:rsidR="00864054" w:rsidRPr="00864054" w:rsidRDefault="00864054" w:rsidP="00864054">
      <w:pPr>
        <w:rPr>
          <w:szCs w:val="22"/>
        </w:rPr>
      </w:pPr>
      <w:r w:rsidRPr="00864054">
        <w:rPr>
          <w:szCs w:val="22"/>
        </w:rPr>
        <w:t>Axatilimab active substance is manufactured using a validated recombinant DNA process that includes cell culture expansion, clarification, multistep chromatography, viral inactivation and clearance, ultrafiltration/diafiltration and sterile filtration. The manufacturing process and control strategy were assessed as acceptable, with extensive characterisation showing appropriate control of critical quality attributes, impurities and contaminants. Quality control testing includes identity, purity, potency, quantity, impurities and endotoxins, with biological activity assessed using a validated cell‑based bioassay. Real‑time and stressed stability data support a shelf life of 36 months for the active substance when stored at or below –60°C.</w:t>
      </w:r>
    </w:p>
    <w:p w14:paraId="423866E4" w14:textId="5FFA8EBD" w:rsidR="00864054" w:rsidRPr="00864054" w:rsidRDefault="4404A6B6" w:rsidP="00864054">
      <w:r>
        <w:t>A critical quality issue was identified in relation to a sequence variant present at approximately 2.5% relative abundance in commercial active substance batches</w:t>
      </w:r>
      <w:r w:rsidR="40AE5420">
        <w:t xml:space="preserve">. </w:t>
      </w:r>
      <w:r w:rsidR="003F1C0F">
        <w:t>A</w:t>
      </w:r>
      <w:r>
        <w:t xml:space="preserve">vailable data </w:t>
      </w:r>
      <w:r w:rsidR="003F1C0F">
        <w:t xml:space="preserve">on the variant </w:t>
      </w:r>
      <w:r>
        <w:t>demonstrate no impact on receptor binding, potency or drug product quality, and the sponsor has assessed the clinical risk as low. The evaluator accepted this position but noted the need for ongoing lifecycle control. The sponsor has committed to continued monitoring using LC‑MS methods and to establishing specification limits once sufficient data are available, with the expectation that any future limits should not exceed levels observed in clinical material.</w:t>
      </w:r>
    </w:p>
    <w:p w14:paraId="3293EE58" w14:textId="2A42CB1E" w:rsidR="00864054" w:rsidRPr="00864054" w:rsidRDefault="00864054" w:rsidP="00864054">
      <w:r>
        <w:t>The finished product is manufactured under aseptic conditions using a validated filling and inspection process. Comparability studies confirmed that commercial material is comparable to that used in phase III clinical trials. Quality control testing for the finished product includes identity, potency, purity, impurities, sterility and endotoxin. Stability data support a shelf life of 24 months when stored at 2°C to 8°C. In‑use stability data support immediate use after dilution, with limited allowances for short‑term storage under defined refrigerated or room‑temperature conditions. The product is not photostable and must be protected from light.</w:t>
      </w:r>
    </w:p>
    <w:p w14:paraId="29A3BB75" w14:textId="462FCE68" w:rsidR="00A01C56" w:rsidRDefault="00457FD6" w:rsidP="00864054">
      <w:r>
        <w:t>E</w:t>
      </w:r>
      <w:r w:rsidR="00864054">
        <w:t>valuations covering sterility, adventitious agent safety, endotoxin and container safety concluded that adequate controls are in place.</w:t>
      </w:r>
    </w:p>
    <w:p w14:paraId="3DE35645" w14:textId="0AF37C1F" w:rsidR="00864054" w:rsidRPr="00BD5DBD" w:rsidRDefault="00FF6051" w:rsidP="00864054">
      <w:pPr>
        <w:rPr>
          <w:szCs w:val="22"/>
        </w:rPr>
      </w:pPr>
      <w:r>
        <w:rPr>
          <w:szCs w:val="22"/>
        </w:rPr>
        <w:t>A</w:t>
      </w:r>
      <w:r w:rsidRPr="00FF6051">
        <w:rPr>
          <w:szCs w:val="22"/>
        </w:rPr>
        <w:t xml:space="preserve">pproval of </w:t>
      </w:r>
      <w:r w:rsidR="006D3DF0">
        <w:rPr>
          <w:szCs w:val="22"/>
        </w:rPr>
        <w:t>Niktimvo</w:t>
      </w:r>
      <w:r w:rsidRPr="00FF6051">
        <w:rPr>
          <w:szCs w:val="22"/>
        </w:rPr>
        <w:t xml:space="preserve"> is recommended on quality grounds</w:t>
      </w:r>
      <w:r>
        <w:rPr>
          <w:szCs w:val="22"/>
        </w:rPr>
        <w:t>.</w:t>
      </w:r>
    </w:p>
    <w:p w14:paraId="2BE90AAE" w14:textId="35796FD3" w:rsidR="00C22214" w:rsidRDefault="00C22214" w:rsidP="00C22214">
      <w:pPr>
        <w:pStyle w:val="Heading3"/>
      </w:pPr>
      <w:bookmarkStart w:id="38" w:name="_Toc314842512"/>
      <w:bookmarkStart w:id="39" w:name="_Toc103679296"/>
      <w:bookmarkStart w:id="40" w:name="_Toc231299546"/>
      <w:r>
        <w:lastRenderedPageBreak/>
        <w:t>Nonclinical</w:t>
      </w:r>
      <w:bookmarkEnd w:id="38"/>
      <w:bookmarkEnd w:id="39"/>
      <w:r w:rsidR="007E6443">
        <w:t xml:space="preserve"> evaluation</w:t>
      </w:r>
      <w:r w:rsidR="00095C6A">
        <w:t xml:space="preserve"> summary</w:t>
      </w:r>
      <w:bookmarkEnd w:id="40"/>
    </w:p>
    <w:p w14:paraId="7DDC38A9" w14:textId="03550275" w:rsidR="007339F2" w:rsidRPr="007339F2" w:rsidRDefault="007339F2" w:rsidP="007339F2">
      <w:pPr>
        <w:rPr>
          <w:lang w:val="en-US"/>
        </w:rPr>
      </w:pPr>
      <w:r w:rsidRPr="007339F2">
        <w:rPr>
          <w:lang w:val="en-US"/>
        </w:rPr>
        <w:t xml:space="preserve">The submitted </w:t>
      </w:r>
      <w:r w:rsidR="00302A7B">
        <w:rPr>
          <w:lang w:val="en-US"/>
        </w:rPr>
        <w:t xml:space="preserve">nonclinical </w:t>
      </w:r>
      <w:r w:rsidRPr="007339F2">
        <w:rPr>
          <w:lang w:val="en-US"/>
        </w:rPr>
        <w:t>dossier was in accordance with the relevant ICH guideline for the nonclinical assessment of biological medicines (ICH S6).</w:t>
      </w:r>
      <w:r>
        <w:rPr>
          <w:rStyle w:val="FootnoteReference"/>
          <w:lang w:val="en-US"/>
        </w:rPr>
        <w:footnoteReference w:id="10"/>
      </w:r>
      <w:r w:rsidRPr="007339F2">
        <w:rPr>
          <w:lang w:val="en-US"/>
        </w:rPr>
        <w:t xml:space="preserve"> All pivotal safety-related studies were GLP compliant.</w:t>
      </w:r>
    </w:p>
    <w:p w14:paraId="40A85960" w14:textId="1D15C2E7" w:rsidR="007339F2" w:rsidRPr="007339F2" w:rsidRDefault="007339F2" w:rsidP="007339F2">
      <w:pPr>
        <w:rPr>
          <w:lang w:val="en-US"/>
        </w:rPr>
      </w:pPr>
      <w:r w:rsidRPr="007339F2">
        <w:rPr>
          <w:i/>
          <w:lang w:val="en-US"/>
        </w:rPr>
        <w:t>In vitro</w:t>
      </w:r>
      <w:r w:rsidRPr="007339F2">
        <w:rPr>
          <w:lang w:val="en-US"/>
        </w:rPr>
        <w:t>, axatilimab bound the CSF-1 receptor with nanomolar affinity and inhibited it with an</w:t>
      </w:r>
      <w:r>
        <w:rPr>
          <w:lang w:val="en-US"/>
        </w:rPr>
        <w:t xml:space="preserve"> </w:t>
      </w:r>
      <w:r w:rsidRPr="007339F2">
        <w:rPr>
          <w:lang w:val="en-US"/>
        </w:rPr>
        <w:t xml:space="preserve">IC50 value (8.08 ng/mL) well below expected clinical plasma concentrations. </w:t>
      </w:r>
      <w:r w:rsidRPr="007339F2">
        <w:rPr>
          <w:i/>
          <w:lang w:val="en-US"/>
        </w:rPr>
        <w:t>In vivo</w:t>
      </w:r>
      <w:r w:rsidRPr="007339F2">
        <w:rPr>
          <w:lang w:val="en-US"/>
        </w:rPr>
        <w:t>, axatilimab intravenous administration to monkeys resulted in a significant accumulation of serum CSF-1 at doses that were higher than recommended clinical dose for adults. Anti-murine CSF-1R surrogate antibody reduced tumour burden in several cell lines in mice but at very high mean serum levels than the clinical steady state C</w:t>
      </w:r>
      <w:r w:rsidRPr="007339F2">
        <w:rPr>
          <w:vertAlign w:val="subscript"/>
          <w:lang w:val="en-US"/>
        </w:rPr>
        <w:t>max</w:t>
      </w:r>
      <w:r w:rsidRPr="007339F2">
        <w:rPr>
          <w:lang w:val="en-US"/>
        </w:rPr>
        <w:t xml:space="preserve">. Therefore, the </w:t>
      </w:r>
      <w:r w:rsidRPr="007339F2">
        <w:rPr>
          <w:i/>
          <w:lang w:val="en-US"/>
        </w:rPr>
        <w:t xml:space="preserve">in vivo </w:t>
      </w:r>
      <w:r w:rsidRPr="007339F2">
        <w:rPr>
          <w:lang w:val="en-US"/>
        </w:rPr>
        <w:t>pharmacology data to support the</w:t>
      </w:r>
      <w:r>
        <w:rPr>
          <w:lang w:val="en-US"/>
        </w:rPr>
        <w:t xml:space="preserve"> </w:t>
      </w:r>
      <w:r w:rsidRPr="007339F2">
        <w:rPr>
          <w:lang w:val="en-US"/>
        </w:rPr>
        <w:t>proposed indication are limited.</w:t>
      </w:r>
    </w:p>
    <w:p w14:paraId="7348319E" w14:textId="3915B936" w:rsidR="007339F2" w:rsidRPr="007339F2" w:rsidRDefault="007339F2" w:rsidP="007339F2">
      <w:pPr>
        <w:rPr>
          <w:lang w:val="en-US"/>
        </w:rPr>
      </w:pPr>
      <w:r w:rsidRPr="007339F2">
        <w:rPr>
          <w:lang w:val="en-US"/>
        </w:rPr>
        <w:t>Specific secondary pharmacology studies were not conducted. In a tissue cross-reactivity study performed in human and monkey tissues, the reactivity of axatilimab was generally consistent</w:t>
      </w:r>
      <w:r>
        <w:rPr>
          <w:lang w:val="en-US"/>
        </w:rPr>
        <w:t xml:space="preserve"> </w:t>
      </w:r>
      <w:r w:rsidRPr="007339F2">
        <w:rPr>
          <w:lang w:val="en-US"/>
        </w:rPr>
        <w:t>between monkey and human tissue sample with a concentration-dependent cytoplasmic staining of reticuloendothelial cell types.</w:t>
      </w:r>
    </w:p>
    <w:p w14:paraId="33A46206" w14:textId="77777777" w:rsidR="007339F2" w:rsidRPr="007339F2" w:rsidRDefault="007339F2" w:rsidP="007339F2">
      <w:pPr>
        <w:rPr>
          <w:lang w:val="en-US"/>
        </w:rPr>
      </w:pPr>
      <w:r w:rsidRPr="007339F2">
        <w:rPr>
          <w:lang w:val="en-US"/>
        </w:rPr>
        <w:t>Core organ system safety pharmacology endpoints (respiratory rate, electrocardiography, blood pressure and neurobehavioral examinations) were evaluated in the repeat-dose toxicity studies.</w:t>
      </w:r>
    </w:p>
    <w:p w14:paraId="4451621C" w14:textId="77777777" w:rsidR="007339F2" w:rsidRPr="007339F2" w:rsidRDefault="007339F2" w:rsidP="007339F2">
      <w:pPr>
        <w:rPr>
          <w:lang w:val="en-US"/>
        </w:rPr>
      </w:pPr>
      <w:r w:rsidRPr="007339F2">
        <w:rPr>
          <w:lang w:val="en-US"/>
        </w:rPr>
        <w:t>Based on the results, no adverse effects on cardiovascular, respiratory or CNS function are predicted during clinical use.</w:t>
      </w:r>
    </w:p>
    <w:p w14:paraId="519997FE" w14:textId="067E5215" w:rsidR="007339F2" w:rsidRPr="007339F2" w:rsidRDefault="007339F2" w:rsidP="007339F2">
      <w:pPr>
        <w:rPr>
          <w:lang w:val="en-US"/>
        </w:rPr>
      </w:pPr>
      <w:r w:rsidRPr="007339F2">
        <w:rPr>
          <w:lang w:val="en-US"/>
        </w:rPr>
        <w:t>Overall, the pharmacokinetic profile in monkeys was qualitatively similar to that of humans. Half-life values increased with dose in both monkeys and humans. Extravascular tissue distribution of axatilimab is expected to be limited based on the predicted volume of distribution. The anti-drug antibodies were observed during the course of the treatment and incidence was inversely related to the dose. It is expected that axatilimab will be eliminated by normal protein degradation</w:t>
      </w:r>
      <w:r>
        <w:rPr>
          <w:lang w:val="en-US"/>
        </w:rPr>
        <w:t xml:space="preserve"> </w:t>
      </w:r>
      <w:r w:rsidRPr="007339F2">
        <w:rPr>
          <w:lang w:val="en-US"/>
        </w:rPr>
        <w:t>pathways for IgG molecules.</w:t>
      </w:r>
    </w:p>
    <w:p w14:paraId="0C68BB9A" w14:textId="77777777" w:rsidR="007339F2" w:rsidRPr="007339F2" w:rsidRDefault="007339F2" w:rsidP="007339F2">
      <w:pPr>
        <w:rPr>
          <w:lang w:val="en-US"/>
        </w:rPr>
      </w:pPr>
      <w:r w:rsidRPr="007339F2">
        <w:rPr>
          <w:lang w:val="en-US"/>
        </w:rPr>
        <w:t>Axatilimab had a low order of acute IV toxicity in monkeys.</w:t>
      </w:r>
    </w:p>
    <w:p w14:paraId="5C09FDBE" w14:textId="41DED729" w:rsidR="007339F2" w:rsidRPr="007339F2" w:rsidRDefault="007339F2" w:rsidP="007339F2">
      <w:pPr>
        <w:rPr>
          <w:lang w:val="en-US"/>
        </w:rPr>
      </w:pPr>
      <w:r w:rsidRPr="007339F2">
        <w:rPr>
          <w:lang w:val="en-US"/>
        </w:rPr>
        <w:t>Repeat-dose toxicity studies by the IV route were conducted in Cynomolgus monkeys (up to 6 months). Maximum exposures (AUC) were high in monkey studies. Target organs for toxicity were the eyes (periorbital swelling), serum chemistry changes (increased AST, ALT, GLDH, LDH and CK), femoral bone/bone marrow (thickening of the growth plate and metaphysis), and</w:t>
      </w:r>
      <w:r>
        <w:rPr>
          <w:lang w:val="en-US"/>
        </w:rPr>
        <w:t xml:space="preserve"> </w:t>
      </w:r>
      <w:r w:rsidRPr="007339F2">
        <w:rPr>
          <w:lang w:val="en-US"/>
        </w:rPr>
        <w:t>accumulation of basophilic material in organs/tissues with collagenous fibrous tissue (skin, eye, thyroid, heart, lung, lymph nodes, tongue, stomach, intestine, urinary bladder, kidney).</w:t>
      </w:r>
    </w:p>
    <w:p w14:paraId="06583CB1" w14:textId="77777777" w:rsidR="007339F2" w:rsidRPr="007339F2" w:rsidRDefault="007339F2" w:rsidP="007339F2">
      <w:pPr>
        <w:rPr>
          <w:lang w:val="en-US"/>
        </w:rPr>
      </w:pPr>
      <w:r w:rsidRPr="007339F2">
        <w:rPr>
          <w:lang w:val="en-US"/>
        </w:rPr>
        <w:t>No genotoxicity studies were conducted. Given the protein nature of the drug this is considered acceptable. No carcinogenicity studies were conducted. No proliferative lesions were seen in the repeat-dose toxicity study.</w:t>
      </w:r>
    </w:p>
    <w:p w14:paraId="66A0B433" w14:textId="77777777" w:rsidR="00546233" w:rsidRPr="00546233" w:rsidRDefault="007339F2" w:rsidP="00546233">
      <w:pPr>
        <w:rPr>
          <w:lang w:val="en-US"/>
        </w:rPr>
      </w:pPr>
      <w:r w:rsidRPr="007339F2">
        <w:rPr>
          <w:lang w:val="en-US"/>
        </w:rPr>
        <w:t>No reproductive toxicity studies were submitted. Axatilimab is unlikely to have clinically relevant effects on male and female reproductive organs. The Pregnancy Category D is considered</w:t>
      </w:r>
      <w:r w:rsidR="00546233">
        <w:rPr>
          <w:lang w:val="en-US"/>
        </w:rPr>
        <w:t xml:space="preserve"> </w:t>
      </w:r>
      <w:r w:rsidR="00546233" w:rsidRPr="00546233">
        <w:rPr>
          <w:lang w:val="en-US"/>
        </w:rPr>
        <w:t>appropriate for axatilimab given the mechanism-based concerns for effects on embryofetal development.</w:t>
      </w:r>
    </w:p>
    <w:p w14:paraId="5D82C12C" w14:textId="77777777" w:rsidR="00546233" w:rsidRDefault="00546233" w:rsidP="00546233">
      <w:pPr>
        <w:rPr>
          <w:lang w:val="en-US"/>
        </w:rPr>
      </w:pPr>
      <w:r w:rsidRPr="00546233">
        <w:rPr>
          <w:lang w:val="en-US"/>
        </w:rPr>
        <w:t>Axatilimab is proposed for paediatric patients 6 years and older but no specific studies in</w:t>
      </w:r>
      <w:r>
        <w:rPr>
          <w:lang w:val="en-US"/>
        </w:rPr>
        <w:t xml:space="preserve"> </w:t>
      </w:r>
      <w:r w:rsidRPr="00546233">
        <w:rPr>
          <w:lang w:val="en-US"/>
        </w:rPr>
        <w:t>juvenile animals were submitted. The axatilimab potential effects particularly on skeletal system development in children will be based on the clinical data.</w:t>
      </w:r>
    </w:p>
    <w:p w14:paraId="021CFD8A" w14:textId="6197EB57" w:rsidR="007339F2" w:rsidRPr="007339F2" w:rsidRDefault="00546233" w:rsidP="00546233">
      <w:pPr>
        <w:rPr>
          <w:lang w:val="en-US"/>
        </w:rPr>
      </w:pPr>
      <w:r w:rsidRPr="00546233">
        <w:rPr>
          <w:lang w:val="en-US"/>
        </w:rPr>
        <w:lastRenderedPageBreak/>
        <w:t>There are no nonclinical objections to the registration of axatilimab (</w:t>
      </w:r>
      <w:r w:rsidR="006D3DF0">
        <w:rPr>
          <w:lang w:val="en-US"/>
        </w:rPr>
        <w:t>Niktimvo</w:t>
      </w:r>
      <w:r w:rsidRPr="00546233">
        <w:rPr>
          <w:lang w:val="en-US"/>
        </w:rPr>
        <w:t>).</w:t>
      </w:r>
    </w:p>
    <w:p w14:paraId="35B580A5" w14:textId="40B226DC" w:rsidR="00C22214" w:rsidRDefault="00C22214" w:rsidP="008804CF">
      <w:pPr>
        <w:pStyle w:val="Heading3"/>
      </w:pPr>
      <w:bookmarkStart w:id="41" w:name="_Toc247691530"/>
      <w:bookmarkStart w:id="42" w:name="_Toc314842513"/>
      <w:bookmarkStart w:id="43" w:name="_Toc103679297"/>
      <w:bookmarkStart w:id="44" w:name="_Toc231299547"/>
      <w:r>
        <w:t>Clinical</w:t>
      </w:r>
      <w:bookmarkEnd w:id="41"/>
      <w:bookmarkEnd w:id="42"/>
      <w:bookmarkEnd w:id="43"/>
      <w:r w:rsidR="00095C6A">
        <w:t xml:space="preserve"> evaluation summary</w:t>
      </w:r>
      <w:bookmarkEnd w:id="44"/>
    </w:p>
    <w:p w14:paraId="1AC98044" w14:textId="77777777" w:rsidR="00B869A9" w:rsidRDefault="00B869A9" w:rsidP="00B869A9">
      <w:pPr>
        <w:pStyle w:val="Heading4"/>
      </w:pPr>
      <w:bookmarkStart w:id="45" w:name="_Toc231299548"/>
      <w:r>
        <w:t>Pharmacology</w:t>
      </w:r>
      <w:bookmarkEnd w:id="45"/>
      <w:r>
        <w:t xml:space="preserve"> </w:t>
      </w:r>
    </w:p>
    <w:p w14:paraId="3F4A6B73" w14:textId="358CA62A" w:rsidR="00B869A9" w:rsidRDefault="00B869A9" w:rsidP="00B869A9">
      <w:pPr>
        <w:pStyle w:val="Heading5"/>
      </w:pPr>
      <w:r>
        <w:t>Pharmacokinetics</w:t>
      </w:r>
    </w:p>
    <w:p w14:paraId="2508DDD7" w14:textId="5535DCD0" w:rsidR="00B869A9" w:rsidRDefault="00B869A9" w:rsidP="00B869A9">
      <w:r>
        <w:t xml:space="preserve">Phase 1 randomised double blind placebo controlled study SNDX-6352-0001 and Phase 1a/1b and 1/2 open-label multi-centre dose escalation studies (SNDX-6352-0502 and SNDX-6352-0503) were presented assessing </w:t>
      </w:r>
      <w:r w:rsidR="0004613A">
        <w:t>p</w:t>
      </w:r>
      <w:r w:rsidR="0004613A" w:rsidRPr="0004613A">
        <w:t>harmacokinetics</w:t>
      </w:r>
      <w:r w:rsidR="0004613A">
        <w:t xml:space="preserve"> (</w:t>
      </w:r>
      <w:r>
        <w:t>PK</w:t>
      </w:r>
      <w:r w:rsidR="0004613A">
        <w:t>)</w:t>
      </w:r>
      <w:r>
        <w:t xml:space="preserve"> as well as safety tolerability and </w:t>
      </w:r>
      <w:r w:rsidR="00445695">
        <w:t>pharmacodynamics (PD)</w:t>
      </w:r>
      <w:r>
        <w:t xml:space="preserve">, using axatilimab solution IV over 30 minutes in doses ranging from 0.15 to 6mg/kg IV as single dose 2 or 4 weekly. Axatilimab exhibited nonlinear PK due to </w:t>
      </w:r>
      <w:r w:rsidR="00CB6CF1">
        <w:t>t</w:t>
      </w:r>
      <w:r w:rsidR="00CB6CF1" w:rsidRPr="00CB6CF1">
        <w:t>arget-mediated drug disposition</w:t>
      </w:r>
      <w:r>
        <w:t xml:space="preserve">. </w:t>
      </w:r>
    </w:p>
    <w:p w14:paraId="2AB9842B" w14:textId="25B9977A" w:rsidR="00B869A9" w:rsidRDefault="00CB6CF1" w:rsidP="00B869A9">
      <w:r>
        <w:t>P</w:t>
      </w:r>
      <w:r w:rsidRPr="00CB6CF1">
        <w:t xml:space="preserve">harmacokinetic </w:t>
      </w:r>
      <w:r w:rsidR="00B869A9">
        <w:t>parameters of C</w:t>
      </w:r>
      <w:r w:rsidR="00B869A9" w:rsidRPr="000F3B0F">
        <w:rPr>
          <w:vertAlign w:val="subscript"/>
        </w:rPr>
        <w:t>max</w:t>
      </w:r>
      <w:r w:rsidR="00B869A9">
        <w:t xml:space="preserve"> and AUC increased with increasing doses and with a T</w:t>
      </w:r>
      <w:r w:rsidR="00B869A9" w:rsidRPr="000F3B0F">
        <w:rPr>
          <w:vertAlign w:val="subscript"/>
        </w:rPr>
        <w:t xml:space="preserve">max </w:t>
      </w:r>
      <w:r w:rsidR="00B869A9">
        <w:t xml:space="preserve">ranging from 1 to 1.25 hours after start of infusion. A geometric mean half-life increased from 10.7 to 100 hours with increasing IV dose and geometric mean clearance decreased from 2.31 to 0.21 ml/h/kg with increasing IV dose (0.5 to 3.0mg/kg 30 minute IV infusion). </w:t>
      </w:r>
    </w:p>
    <w:p w14:paraId="604D6A1F" w14:textId="69AA6C7F" w:rsidR="00B869A9" w:rsidRDefault="00B869A9" w:rsidP="000F3B0F">
      <w:pPr>
        <w:pStyle w:val="FigureTitle"/>
      </w:pPr>
      <w:r>
        <w:t>Figure</w:t>
      </w:r>
      <w:r w:rsidR="000F3B0F">
        <w:t xml:space="preserve"> 1.</w:t>
      </w:r>
      <w:r>
        <w:t xml:space="preserve"> Geometric </w:t>
      </w:r>
      <w:r w:rsidR="001E3F86">
        <w:t>m</w:t>
      </w:r>
      <w:r>
        <w:t xml:space="preserve">ean (D) SNDX-6352 </w:t>
      </w:r>
      <w:r w:rsidR="001E3F86">
        <w:t>p</w:t>
      </w:r>
      <w:r>
        <w:t xml:space="preserve">lasma </w:t>
      </w:r>
      <w:r w:rsidR="001E3F86">
        <w:t>c</w:t>
      </w:r>
      <w:r>
        <w:t xml:space="preserve">oncentrations versus </w:t>
      </w:r>
      <w:r w:rsidR="001E3F86">
        <w:t>t</w:t>
      </w:r>
      <w:r>
        <w:t>ime (</w:t>
      </w:r>
      <w:r w:rsidR="001E3F86">
        <w:t>l</w:t>
      </w:r>
      <w:r>
        <w:t xml:space="preserve">inear and </w:t>
      </w:r>
      <w:r w:rsidR="001E3F86">
        <w:t>s</w:t>
      </w:r>
      <w:r>
        <w:t>emi-</w:t>
      </w:r>
      <w:r w:rsidR="001E3F86">
        <w:t>l</w:t>
      </w:r>
      <w:r>
        <w:t xml:space="preserve">ogarithmic </w:t>
      </w:r>
      <w:r w:rsidR="001E3F86">
        <w:t>s</w:t>
      </w:r>
      <w:r>
        <w:t>cale)</w:t>
      </w:r>
    </w:p>
    <w:p w14:paraId="43F16D9C" w14:textId="7CDCDD1A" w:rsidR="006D6D8C" w:rsidRDefault="006D6D8C" w:rsidP="00F47E60">
      <w:r w:rsidRPr="006D6D8C">
        <w:rPr>
          <w:noProof/>
        </w:rPr>
        <w:drawing>
          <wp:inline distT="0" distB="0" distL="0" distR="0" wp14:anchorId="401B2A1D" wp14:editId="42B43717">
            <wp:extent cx="3238500" cy="4996289"/>
            <wp:effectExtent l="0" t="0" r="0" b="0"/>
            <wp:docPr id="201893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30300" name=""/>
                    <pic:cNvPicPr/>
                  </pic:nvPicPr>
                  <pic:blipFill>
                    <a:blip r:embed="rId26"/>
                    <a:stretch>
                      <a:fillRect/>
                    </a:stretch>
                  </pic:blipFill>
                  <pic:spPr>
                    <a:xfrm>
                      <a:off x="0" y="0"/>
                      <a:ext cx="3300502" cy="5091944"/>
                    </a:xfrm>
                    <a:prstGeom prst="rect">
                      <a:avLst/>
                    </a:prstGeom>
                  </pic:spPr>
                </pic:pic>
              </a:graphicData>
            </a:graphic>
          </wp:inline>
        </w:drawing>
      </w:r>
    </w:p>
    <w:p w14:paraId="2014D30B" w14:textId="5CDE1FC3" w:rsidR="000F495B" w:rsidRPr="000F495B" w:rsidRDefault="000F495B" w:rsidP="000F495B">
      <w:r>
        <w:lastRenderedPageBreak/>
        <w:t>The v</w:t>
      </w:r>
      <w:r w:rsidRPr="000F495B">
        <w:t xml:space="preserve">olume of distribution ranged from 30.3 to 49.1 ml/kg, approximating serum volume. </w:t>
      </w:r>
    </w:p>
    <w:p w14:paraId="419B37EA" w14:textId="0CE5BFBD" w:rsidR="000F495B" w:rsidRDefault="000F495B" w:rsidP="000F495B">
      <w:r w:rsidRPr="000F495B">
        <w:t>When doses of 1, 2, 3 and 6</w:t>
      </w:r>
      <w:r w:rsidR="001E3F86">
        <w:t xml:space="preserve"> </w:t>
      </w:r>
      <w:r w:rsidRPr="000F495B">
        <w:t xml:space="preserve">mg/kg every two weeks were given, the week two PK parameters for each dose were generally comparable, suggesting no drug accumulation following two-weekly dosing over the dose range tested. </w:t>
      </w:r>
      <w:r w:rsidR="00443B77">
        <w:t>I</w:t>
      </w:r>
      <w:r w:rsidRPr="000F495B">
        <w:t xml:space="preserve">n a population PK/PD analysis including data from 325 participants, of 24 covariates studied, 21 had no significant impact, (&lt;20%) on axatilimab PK model parameters including sex, race, age, cGVHD severity, participant population, renal impairment, hepatic impairment, </w:t>
      </w:r>
      <w:r w:rsidR="00A81F63">
        <w:t>c</w:t>
      </w:r>
      <w:r w:rsidR="00A81F63" w:rsidRPr="00A81F63">
        <w:t>alcineurin inhibitor</w:t>
      </w:r>
      <w:r w:rsidRPr="000F495B">
        <w:t xml:space="preserve"> administration, corticosteroid administration, albumin, ALP, ALT, AST, bilirubin, CPK, LDH, lipase and monocytes. </w:t>
      </w:r>
    </w:p>
    <w:p w14:paraId="59F0FD79" w14:textId="3B160A16" w:rsidR="000F495B" w:rsidRPr="000F495B" w:rsidRDefault="000F495B" w:rsidP="000F495B">
      <w:r w:rsidRPr="000F495B">
        <w:t xml:space="preserve">Three covariates (positive </w:t>
      </w:r>
      <w:r w:rsidR="00BF5E42">
        <w:t>anti-drug antibody [</w:t>
      </w:r>
      <w:r w:rsidRPr="000F495B">
        <w:t>ADA</w:t>
      </w:r>
      <w:r w:rsidR="00BF5E42">
        <w:t>]</w:t>
      </w:r>
      <w:r w:rsidRPr="000F495B">
        <w:t xml:space="preserve"> status, baseline CSF-1 and body weight) were significant covariates for PK model parameters. The linear clearance increased with baseline CSF-1 concentration and positive ADA status, and </w:t>
      </w:r>
      <w:r w:rsidR="00872A66">
        <w:t>volume of distribution</w:t>
      </w:r>
      <w:r w:rsidRPr="000F495B">
        <w:t xml:space="preserve"> of the central component increased with body weight. However, the impact of these three covariates on axatilimab PK was not significant at the 0.3mg/kg every two weeks dose regimen. </w:t>
      </w:r>
    </w:p>
    <w:p w14:paraId="3E03ADE6" w14:textId="52A2EDD5" w:rsidR="000F495B" w:rsidRDefault="000F495B" w:rsidP="000F495B">
      <w:r w:rsidRPr="000F495B">
        <w:t>Exposure-Response (E-R) analyses were conducted on 13 efficacy endpoints for participants from the AGAVE-201 study. Axatilimab exposure (C</w:t>
      </w:r>
      <w:r w:rsidRPr="000F495B">
        <w:rPr>
          <w:vertAlign w:val="subscript"/>
        </w:rPr>
        <w:t>max</w:t>
      </w:r>
      <w:r w:rsidRPr="000F495B">
        <w:t xml:space="preserve"> after single dose) was a significant predictor for the primary efficacy endpoint of </w:t>
      </w:r>
      <w:r w:rsidR="00814A78">
        <w:t>overall response rate (</w:t>
      </w:r>
      <w:r w:rsidRPr="000F495B">
        <w:t>ORR</w:t>
      </w:r>
      <w:r w:rsidR="00814A78">
        <w:t>)</w:t>
      </w:r>
      <w:r w:rsidRPr="000F495B">
        <w:t xml:space="preserve"> in the first six cycles and the key secondary efficacy endpoint (≥7-point improvement in </w:t>
      </w:r>
      <w:r w:rsidR="00EA7769">
        <w:t xml:space="preserve">the </w:t>
      </w:r>
      <w:r w:rsidR="00EA7769" w:rsidRPr="00EA7769">
        <w:t xml:space="preserve">modified Lee Symptom Scale </w:t>
      </w:r>
      <w:r w:rsidR="00EA7769">
        <w:t>[</w:t>
      </w:r>
      <w:r w:rsidRPr="000F495B">
        <w:t>mLSS</w:t>
      </w:r>
      <w:r w:rsidR="00EA7769">
        <w:t>]</w:t>
      </w:r>
      <w:r w:rsidRPr="000F495B">
        <w:t xml:space="preserve">), the predicted probability of response declining as the axatilimab exposure increased. </w:t>
      </w:r>
    </w:p>
    <w:p w14:paraId="7A5048FC" w14:textId="2F161717" w:rsidR="000F495B" w:rsidRDefault="000F495B" w:rsidP="000F495B">
      <w:r w:rsidRPr="000F495B">
        <w:t>The incidences of Grade</w:t>
      </w:r>
      <w:r w:rsidR="00EA7769">
        <w:t xml:space="preserve"> </w:t>
      </w:r>
      <w:r w:rsidRPr="000F495B">
        <w:t>3 adverse events (AEs), AEs that resulted in axatilimab dose reduction or discontinuation, elevated liver enzymes, infusion-related reactions, periorbital oedema, and increased laboratory measurements (e.g., amylase, CPK, LOH, and lipase) were positively correlated with Cycle 1 axatilimab exposure in AGAVE-201 patients who received 0.3 mg/kg Q2W, 1 mg/kg Q2W, or 3 mg/kg Q4W. The incidence of Grade</w:t>
      </w:r>
      <w:r w:rsidR="00725439">
        <w:t xml:space="preserve"> </w:t>
      </w:r>
      <w:r w:rsidRPr="000F495B">
        <w:t xml:space="preserve">3 and severe </w:t>
      </w:r>
      <w:r w:rsidR="00725439">
        <w:t>AEs</w:t>
      </w:r>
      <w:r w:rsidRPr="000F495B">
        <w:t xml:space="preserve"> and dosage modifications was numerically higher in patients with a higher body weight (e.g., &gt; 100 kg). This may be attributed to the increased exposures in this subgroup following weight-based (i.e., mg/kg) dosing. </w:t>
      </w:r>
    </w:p>
    <w:p w14:paraId="0D38F8CE" w14:textId="2E331F9B" w:rsidR="000F495B" w:rsidRPr="000F495B" w:rsidRDefault="000F495B" w:rsidP="000F495B">
      <w:r w:rsidRPr="000F495B">
        <w:t>The fixed dosage is not adequately supported due to the lack of additional efficacy benefit at doses above 35 mg Q2W, the limited clinical efficacy data with axatilimab exposures significantly less than median exposure following the 0.3 mg/kg Q2W dosage, and the exposure response associations for safety. Provided that a body weight minimum and dose limit are enforced, it is deemed acceptable that axatilimab 0.3 mg/kg Q2W has an acceptable benefit-risk profile.</w:t>
      </w:r>
    </w:p>
    <w:p w14:paraId="5DADB540" w14:textId="44EF9C96" w:rsidR="000F495B" w:rsidRPr="000F495B" w:rsidRDefault="000F495B" w:rsidP="000F495B">
      <w:pPr>
        <w:pStyle w:val="Heading5"/>
      </w:pPr>
      <w:r w:rsidRPr="000F495B">
        <w:t xml:space="preserve">Population </w:t>
      </w:r>
      <w:r>
        <w:t>pharmacokinetic</w:t>
      </w:r>
      <w:r w:rsidR="00457FD6">
        <w:t>s</w:t>
      </w:r>
    </w:p>
    <w:p w14:paraId="6C0F3DDA" w14:textId="65CA62DD" w:rsidR="000F495B" w:rsidRPr="000F495B" w:rsidRDefault="000F495B" w:rsidP="000F495B">
      <w:r w:rsidRPr="000F495B">
        <w:t>Population PK (popPK)</w:t>
      </w:r>
      <w:r>
        <w:t xml:space="preserve"> </w:t>
      </w:r>
      <w:r w:rsidRPr="000F495B">
        <w:t>simulations suggested following IV administration of axatilimab 0.3mg/kg, the clearance was 0.09 L/h (95% PI: 0.04, 0.23), the V</w:t>
      </w:r>
      <w:r w:rsidRPr="000F495B">
        <w:rPr>
          <w:vertAlign w:val="subscript"/>
        </w:rPr>
        <w:t>SS</w:t>
      </w:r>
      <w:r w:rsidRPr="000F495B">
        <w:t xml:space="preserve"> was 2.86 litre (95% PI: 1.7, 5.15) and the effective half-life was 21.93 hours (95% PI: 11.18, 40.45). </w:t>
      </w:r>
    </w:p>
    <w:p w14:paraId="1FC4B9BA" w14:textId="470D4222" w:rsidR="000F495B" w:rsidRPr="000F495B" w:rsidRDefault="000F495B" w:rsidP="000F495B">
      <w:r w:rsidRPr="000F495B">
        <w:t xml:space="preserve">The </w:t>
      </w:r>
      <w:r>
        <w:t>sponsor’s</w:t>
      </w:r>
      <w:r w:rsidRPr="000F495B">
        <w:t xml:space="preserve"> popPK/PD model adequately characterized PK in patients with cGVHD. Higher body weight was associated with higher axatilimab exposure following 0.3 mg/kg IV.</w:t>
      </w:r>
    </w:p>
    <w:p w14:paraId="5915CCD7" w14:textId="4E4023C1" w:rsidR="000F495B" w:rsidRPr="000F495B" w:rsidRDefault="000F495B" w:rsidP="000F495B">
      <w:r w:rsidRPr="000F495B">
        <w:t>The popPK</w:t>
      </w:r>
      <w:r>
        <w:t xml:space="preserve"> </w:t>
      </w:r>
      <w:r w:rsidRPr="000F495B">
        <w:t>and the E-R assessment do not provide sufficient support for the proposed fixed dosage at specific body weights, as there are substantial discrepancies in predicted exposure compared to the 0.3 mg/kg Q2W dosage.</w:t>
      </w:r>
    </w:p>
    <w:p w14:paraId="34603DC1" w14:textId="77777777" w:rsidR="000F495B" w:rsidRPr="000F495B" w:rsidRDefault="000F495B" w:rsidP="000F495B">
      <w:r w:rsidRPr="000F495B">
        <w:t xml:space="preserve">After considering the influence of body weight on PK and exposure, no associations were observed across age or age subgroups. The efficacy of the lower exposure in &lt;40 kg patients has not been demonstrated, and adult and paediatric patients weighing &lt;40 kg had a lower exposure than those weighing 40 kg and above following 0.3 mg/kg Q2W. There was lack of clinical data available for patients weighing less than 40 kg, and only 6 of the 239 patients in AGAVE-201 </w:t>
      </w:r>
      <w:r w:rsidRPr="000F495B">
        <w:lastRenderedPageBreak/>
        <w:t>were under 40 kg. Only one of the six patients was assigned to the 0.3 mg/kg Q2W cohort, and despite the dose-escalation from 0.3 mg/kg Q2W to 1 mg/kg Q2W in Cycle 4, this patient did not experience a response within the first six cycles. Axatilimab dosage that is deemed acceptable for paediatric and adult patients who weigh less than 40 kg has not been established.</w:t>
      </w:r>
    </w:p>
    <w:p w14:paraId="6B2DF34C" w14:textId="77777777" w:rsidR="000F495B" w:rsidRPr="000F495B" w:rsidRDefault="000F495B" w:rsidP="000F495B">
      <w:r w:rsidRPr="000F495B">
        <w:t>The maximal baseline body weight in AGAVE-201 patients who received 0.3 mg/kg Q2W was only 118 kg. The popPK and E-R safety analyses indicate that patients weighing over 118 kg may be at a higher risk of several safety events, including periorbital oedema and elevated liver enzymes, as a result of increased exposure. However, no clinical safety data are available for the 0.3 mg/kg Q2W dosage in patients weighing more than 118 kg.</w:t>
      </w:r>
    </w:p>
    <w:p w14:paraId="5CDB90CF" w14:textId="77777777" w:rsidR="000F495B" w:rsidRPr="000F495B" w:rsidRDefault="000F495B" w:rsidP="000F495B">
      <w:r w:rsidRPr="000F495B">
        <w:t>In patients weighing 40 kg or more, a dosage of 0.3 mg/kg Q2W is recommended, with a maximal dose of 35 mg Q2W, as supported by modelling and simulation. The median predicted exposures remain similar to or higher than those at the median body weight of 73 kg, despite the fact that the maximum dose limit of 35 mg results in lower exposure in patients weighing &gt;118 kg compared to 0.3 mg/kg Q2W with no maximum dose. Consequently, clinical pharmacology and pharmacometrics assessments anticipate that a maximal dose of 35 mg Q2W at a concentration of 0.3 mg/kg will result in comparable efficacy and a reduced risk of adverse events in patients with high body weight.</w:t>
      </w:r>
    </w:p>
    <w:p w14:paraId="6E4F4C1C" w14:textId="4AC61199" w:rsidR="000F495B" w:rsidRPr="000F495B" w:rsidRDefault="000F495B" w:rsidP="000F495B">
      <w:r w:rsidRPr="000F495B">
        <w:t xml:space="preserve">Patients with a higher body weight may be at a higher risk of </w:t>
      </w:r>
      <w:r w:rsidR="002C55B5">
        <w:t>treatment emergent adverse events (</w:t>
      </w:r>
      <w:r w:rsidRPr="000F495B">
        <w:t>TEAEs</w:t>
      </w:r>
      <w:r w:rsidR="002C55B5">
        <w:t>)</w:t>
      </w:r>
      <w:r w:rsidRPr="000F495B">
        <w:t xml:space="preserve"> as a result of the increased exposure observed following 0.3 mg/kg Q2W in comparison to patients with an average body weight. The PPK assessment provides support for a dosage of 0.3 mg/kg (maximum 35 mg) IV Q2W in patients weighing 40 kg or more.</w:t>
      </w:r>
    </w:p>
    <w:p w14:paraId="7327B220" w14:textId="4303A3B1" w:rsidR="000F495B" w:rsidRPr="000F495B" w:rsidRDefault="000F495B" w:rsidP="000F495B">
      <w:pPr>
        <w:pStyle w:val="Heading5"/>
      </w:pPr>
      <w:r w:rsidRPr="000F495B">
        <w:t xml:space="preserve">Pharmacodynamics </w:t>
      </w:r>
    </w:p>
    <w:p w14:paraId="54E95B74" w14:textId="3508CEB0" w:rsidR="000F495B" w:rsidRPr="000F495B" w:rsidRDefault="000F495B" w:rsidP="000F495B">
      <w:r w:rsidRPr="000F495B">
        <w:t>Axatilimab inhibits ligand-mediated CSF-1R signalling and affects the differentiation and function of CSF-1R-expressing monocytes and macrophages, mediators of end organ damage in cGVHD.</w:t>
      </w:r>
      <w:r w:rsidR="007311A5">
        <w:rPr>
          <w:rStyle w:val="FootnoteReference"/>
        </w:rPr>
        <w:footnoteReference w:id="11"/>
      </w:r>
      <w:r w:rsidRPr="000F495B">
        <w:t xml:space="preserve"> </w:t>
      </w:r>
    </w:p>
    <w:p w14:paraId="1766454A" w14:textId="77777777" w:rsidR="000F495B" w:rsidRPr="000F495B" w:rsidRDefault="000F495B" w:rsidP="000F495B">
      <w:r w:rsidRPr="000F495B">
        <w:t xml:space="preserve">Consistent with the known mechanism of action of axatilimab, CSF-1 levels increased after all treatment groups, as did IL-34, increasing further with increasing dose levels. </w:t>
      </w:r>
    </w:p>
    <w:p w14:paraId="497CDAAF" w14:textId="77777777" w:rsidR="000F495B" w:rsidRPr="000F495B" w:rsidRDefault="000F495B" w:rsidP="000F495B">
      <w:r w:rsidRPr="000F495B">
        <w:t xml:space="preserve">Classical monocytes reduced after IV axatilimab, the magnitude of reduction increasing with increasing doses. This was also the case for non-classical monocytes. </w:t>
      </w:r>
    </w:p>
    <w:p w14:paraId="55DE4B42" w14:textId="2277589F" w:rsidR="000F495B" w:rsidRPr="000F495B" w:rsidRDefault="000F495B" w:rsidP="000F495B">
      <w:r w:rsidRPr="000F495B">
        <w:t>Whilst the pre-existing ADA</w:t>
      </w:r>
      <w:r w:rsidR="005D003E">
        <w:t xml:space="preserve"> t</w:t>
      </w:r>
      <w:r w:rsidRPr="000F495B">
        <w:t>o axatilimab were noted in small numbers prior to the commencement of the study, approximately one-third of participants receiving axatilimab had at least one ADA positive sample in the study. ADA status did appear to have a clinically meaningful effect on PK, PD, efficacy, or safety of axatilimab 0.3 mg/kg Q2W.</w:t>
      </w:r>
    </w:p>
    <w:p w14:paraId="4BF9FB18" w14:textId="7617884A" w:rsidR="000F495B" w:rsidRPr="000F495B" w:rsidRDefault="000F495B" w:rsidP="000F495B">
      <w:r w:rsidRPr="000F495B">
        <w:t>A dose of 3</w:t>
      </w:r>
      <w:r w:rsidR="005D003E">
        <w:t xml:space="preserve"> </w:t>
      </w:r>
      <w:r w:rsidRPr="000F495B">
        <w:t xml:space="preserve">mg/kg every four weeks met the optimal biological dose definition (100% reduction of non-classical monocytes at the time of dose interval and plateaued increase of circulating CSF-1 that persisted for entire dosing levels). </w:t>
      </w:r>
    </w:p>
    <w:p w14:paraId="50229292" w14:textId="77777777" w:rsidR="000F495B" w:rsidRPr="000F495B" w:rsidRDefault="000F495B" w:rsidP="000F495B">
      <w:r w:rsidRPr="000F495B">
        <w:t xml:space="preserve">Non-responders to axatilimab appear to have a higher median level of CSF-1 through the dosing period, although there was large variation within these groups. </w:t>
      </w:r>
    </w:p>
    <w:p w14:paraId="595DD67C" w14:textId="77777777" w:rsidR="000F495B" w:rsidRPr="000F495B" w:rsidRDefault="000F495B" w:rsidP="005D003E">
      <w:pPr>
        <w:pStyle w:val="Heading4"/>
      </w:pPr>
      <w:bookmarkStart w:id="46" w:name="_Toc231299549"/>
      <w:r w:rsidRPr="000F495B">
        <w:lastRenderedPageBreak/>
        <w:t>Efficacy</w:t>
      </w:r>
      <w:bookmarkEnd w:id="46"/>
    </w:p>
    <w:p w14:paraId="7FFA3F04" w14:textId="0F624198" w:rsidR="000F495B" w:rsidRPr="000F495B" w:rsidRDefault="000F495B" w:rsidP="000F495B">
      <w:r w:rsidRPr="000F495B">
        <w:t>In the Phase 1/2 dose escalation and dose expansion study, SNDX-6352-0503, a dose of 3</w:t>
      </w:r>
      <w:r w:rsidR="005D003E">
        <w:t xml:space="preserve"> </w:t>
      </w:r>
      <w:r w:rsidRPr="000F495B">
        <w:t>mg/kg given every four weeks was considered the optimal biological dose, and a dose of 1</w:t>
      </w:r>
      <w:r w:rsidR="005D003E">
        <w:t xml:space="preserve"> </w:t>
      </w:r>
      <w:r w:rsidRPr="000F495B">
        <w:t xml:space="preserve">mg/kg every two weeks was the </w:t>
      </w:r>
      <w:r w:rsidR="007B6183">
        <w:t>r</w:t>
      </w:r>
      <w:r w:rsidR="007B6183" w:rsidRPr="007B6183">
        <w:t xml:space="preserve">ecommended Phase II </w:t>
      </w:r>
      <w:r w:rsidR="007B6183">
        <w:t>d</w:t>
      </w:r>
      <w:r w:rsidR="007B6183" w:rsidRPr="007B6183">
        <w:t xml:space="preserve">ose </w:t>
      </w:r>
      <w:r w:rsidR="007B6183">
        <w:t>(</w:t>
      </w:r>
      <w:r w:rsidRPr="000F495B">
        <w:t>RP2D</w:t>
      </w:r>
      <w:r w:rsidR="007B6183">
        <w:t>)</w:t>
      </w:r>
      <w:r w:rsidRPr="000F495B">
        <w:t xml:space="preserve"> based on Phase 1 studies.</w:t>
      </w:r>
    </w:p>
    <w:p w14:paraId="3E5072D7" w14:textId="77777777" w:rsidR="000F495B" w:rsidRPr="000F495B" w:rsidRDefault="000F495B" w:rsidP="000F495B">
      <w:r w:rsidRPr="000F495B">
        <w:t>Predictions using the final E-R models for efficacy and safety demonstrated that the optimal weight-based dose regimen was 0.3 mg/kg Q2W. This dose provided the highest probability of achieving a response and the best overall safety profile among the 3 dose regimens tested in the AGAVE-201 study.</w:t>
      </w:r>
    </w:p>
    <w:p w14:paraId="2F527BA5" w14:textId="184ED6CE" w:rsidR="000F495B" w:rsidRPr="000F495B" w:rsidRDefault="000F495B" w:rsidP="000F495B">
      <w:r w:rsidRPr="000F495B">
        <w:t>The phase 1/2 dose finding study SNDX-6352-0503 confirmed the recommended Phase 2 dose as 1</w:t>
      </w:r>
      <w:r w:rsidR="002969D5">
        <w:t xml:space="preserve"> </w:t>
      </w:r>
      <w:r w:rsidRPr="000F495B">
        <w:t>mg/kg every two weeks, although the single pivotal Phase 2 study AGAVE-201 (SNDX-6352-0504) found that 0.3</w:t>
      </w:r>
      <w:r w:rsidR="002969D5">
        <w:t xml:space="preserve"> </w:t>
      </w:r>
      <w:r w:rsidRPr="000F495B">
        <w:t xml:space="preserve">mg/kg every two weeks was the safest and most efficacious dose when given long term in patients with recurrent or refractory cGVHD.  </w:t>
      </w:r>
    </w:p>
    <w:p w14:paraId="0A5E451B" w14:textId="77777777" w:rsidR="000F495B" w:rsidRPr="000F495B" w:rsidRDefault="000F495B" w:rsidP="00F716F5">
      <w:pPr>
        <w:pStyle w:val="Heading5"/>
      </w:pPr>
      <w:r w:rsidRPr="000F495B">
        <w:t>Study SNDX-6352-0504 (AGAVE-201)</w:t>
      </w:r>
    </w:p>
    <w:p w14:paraId="5D8DE051" w14:textId="447AE2FA" w:rsidR="000F495B" w:rsidRPr="000F495B" w:rsidRDefault="000F495B" w:rsidP="000F495B">
      <w:r w:rsidRPr="000F495B">
        <w:t>This study was a Phase 2 open-label, randomised, multicentre study evaluating the efficacy, safety, and tolerability of axatilimab at three different doses in patients with recurrent or refractory active cGVHD who have received at least two lines of systemic therapy, in line with the proposed indication. Prior therapies included TGA</w:t>
      </w:r>
      <w:r w:rsidR="00F716F5">
        <w:t>-</w:t>
      </w:r>
      <w:r w:rsidRPr="000F495B">
        <w:t>registered ruxolitinib and belumosudil, thus being relevant to the Australian context.</w:t>
      </w:r>
    </w:p>
    <w:p w14:paraId="26E37684" w14:textId="77777777" w:rsidR="000F495B" w:rsidRPr="000F495B" w:rsidRDefault="000F495B" w:rsidP="000F495B">
      <w:r w:rsidRPr="000F495B">
        <w:t>The study consisted of three periods, with screening of up to one month, treatment up to 24 months and follow up (safety follow-up for up to three months after last administration of axatilimab and OS follow-up for up to five years after cycle one day one). This study was conducted in 84 study centres in 15 countries.</w:t>
      </w:r>
    </w:p>
    <w:p w14:paraId="6FDC8D1C" w14:textId="6510C9F4" w:rsidR="000F495B" w:rsidRDefault="000F495B" w:rsidP="000F495B">
      <w:r w:rsidRPr="000F495B">
        <w:t>Eligible participants were randomised in a 1:1:1 ratio to one to the three axatilimab dose groups (0.3</w:t>
      </w:r>
      <w:r w:rsidR="002969D5">
        <w:t xml:space="preserve"> </w:t>
      </w:r>
      <w:r w:rsidRPr="000F495B">
        <w:t>mg/kg every two weeks IV, 1</w:t>
      </w:r>
      <w:r w:rsidR="002969D5">
        <w:t xml:space="preserve"> </w:t>
      </w:r>
      <w:r w:rsidRPr="000F495B">
        <w:t>mg/kg every two weeks IV or 3</w:t>
      </w:r>
      <w:r w:rsidR="002969D5">
        <w:t xml:space="preserve"> </w:t>
      </w:r>
      <w:r w:rsidRPr="000F495B">
        <w:t xml:space="preserve">mg/kg every four weeks IV). Participant assignments were stratified by severity of cGVHD (mild, mild/moderate versus severe) and prior use of at least one of the following therapies: ibrutinib, ruxolitinib, or belumosudil (prior therapy versus no prior therapy). Within each dose group, </w:t>
      </w:r>
      <w:r w:rsidR="008F7E49" w:rsidRPr="008F7E49">
        <w:t>Simon's optimal 2-stage design was implemented</w:t>
      </w:r>
      <w:r w:rsidR="00614E38">
        <w:t xml:space="preserve"> (Figure 2)</w:t>
      </w:r>
      <w:r w:rsidRPr="000F495B">
        <w:t>.</w:t>
      </w:r>
    </w:p>
    <w:p w14:paraId="4D290821" w14:textId="31CAA6E4" w:rsidR="00964074" w:rsidRDefault="00964074" w:rsidP="00964074">
      <w:pPr>
        <w:pStyle w:val="FigureTitle"/>
      </w:pPr>
      <w:r>
        <w:t xml:space="preserve">Figure 2. </w:t>
      </w:r>
      <w:r w:rsidRPr="00964074">
        <w:t>Study SNDX-6352-0504 (AGAVE-201)</w:t>
      </w:r>
      <w:r>
        <w:t xml:space="preserve"> design</w:t>
      </w:r>
    </w:p>
    <w:p w14:paraId="7D58D877" w14:textId="471ED084" w:rsidR="0018626D" w:rsidRDefault="0018626D" w:rsidP="000F495B">
      <w:r w:rsidRPr="0018626D">
        <w:rPr>
          <w:noProof/>
        </w:rPr>
        <w:drawing>
          <wp:inline distT="0" distB="0" distL="0" distR="0" wp14:anchorId="04322595" wp14:editId="2DCE8149">
            <wp:extent cx="5759450" cy="2121535"/>
            <wp:effectExtent l="0" t="0" r="0" b="0"/>
            <wp:docPr id="80805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58353" name=""/>
                    <pic:cNvPicPr/>
                  </pic:nvPicPr>
                  <pic:blipFill>
                    <a:blip r:embed="rId27"/>
                    <a:stretch>
                      <a:fillRect/>
                    </a:stretch>
                  </pic:blipFill>
                  <pic:spPr>
                    <a:xfrm>
                      <a:off x="0" y="0"/>
                      <a:ext cx="5759450" cy="2121535"/>
                    </a:xfrm>
                    <a:prstGeom prst="rect">
                      <a:avLst/>
                    </a:prstGeom>
                  </pic:spPr>
                </pic:pic>
              </a:graphicData>
            </a:graphic>
          </wp:inline>
        </w:drawing>
      </w:r>
    </w:p>
    <w:p w14:paraId="5FEFF7D9" w14:textId="77777777" w:rsidR="00834316" w:rsidRDefault="00834316" w:rsidP="00834316">
      <w:pPr>
        <w:pStyle w:val="FigureDescription"/>
      </w:pPr>
      <w:r>
        <w:t>* Efficacy assessment at 3 cycles.</w:t>
      </w:r>
    </w:p>
    <w:p w14:paraId="14042BA8" w14:textId="77777777" w:rsidR="00834316" w:rsidRDefault="00834316" w:rsidP="00834316">
      <w:pPr>
        <w:pStyle w:val="FigureDescription"/>
      </w:pPr>
      <w:r>
        <w:t>** Efficacy assessment at 6 cycles.</w:t>
      </w:r>
    </w:p>
    <w:p w14:paraId="6A08074D" w14:textId="7F0B8E1D" w:rsidR="00834316" w:rsidRDefault="00834316" w:rsidP="00834316">
      <w:pPr>
        <w:pStyle w:val="FigureDescription"/>
      </w:pPr>
      <w:r>
        <w:t>^ All participants enrolled at the selected dose(s) will be evaluated for efficacy.</w:t>
      </w:r>
    </w:p>
    <w:p w14:paraId="6C07ECF0" w14:textId="77777777" w:rsidR="00834316" w:rsidRDefault="00834316" w:rsidP="00834316">
      <w:pPr>
        <w:pStyle w:val="FigureDescription"/>
      </w:pPr>
    </w:p>
    <w:p w14:paraId="6F42E027" w14:textId="6817773F" w:rsidR="00834316" w:rsidRDefault="00814A78" w:rsidP="00834316">
      <w:r w:rsidRPr="00814A78">
        <w:t>The primary objective was to evaluate the ORR of axatilimab 0.3</w:t>
      </w:r>
      <w:r w:rsidR="002969D5">
        <w:t xml:space="preserve"> </w:t>
      </w:r>
      <w:r w:rsidRPr="00814A78">
        <w:t xml:space="preserve">mg/kg IV every two weeks, </w:t>
      </w:r>
      <w:r w:rsidR="002969D5">
        <w:br/>
      </w:r>
      <w:r w:rsidRPr="00814A78">
        <w:t>1</w:t>
      </w:r>
      <w:r w:rsidR="002969D5">
        <w:t xml:space="preserve"> </w:t>
      </w:r>
      <w:r w:rsidRPr="00814A78">
        <w:t>mg/kg IV every two weeks and 3</w:t>
      </w:r>
      <w:r w:rsidR="0096565A">
        <w:t xml:space="preserve"> </w:t>
      </w:r>
      <w:r w:rsidRPr="00814A78">
        <w:t xml:space="preserve">mg/kg IV every four weeks in participants with cGVHD, after </w:t>
      </w:r>
      <w:r w:rsidRPr="00814A78">
        <w:lastRenderedPageBreak/>
        <w:t>failure of at least two prior lines of therapy. The endpoint was ORR in the first six cycles as defined by the 2014 NIH Consensus Development Project on Criteria for Clinical Trials in cGVHD and is clinically appropriate in judging an anti-cGVHD effect.</w:t>
      </w:r>
      <w:r w:rsidR="00EB2EF5">
        <w:fldChar w:fldCharType="begin"/>
      </w:r>
      <w:r w:rsidR="00EB2EF5">
        <w:instrText xml:space="preserve"> NOTEREF _Ref229734149 \f \h </w:instrText>
      </w:r>
      <w:r w:rsidR="00EB2EF5">
        <w:fldChar w:fldCharType="separate"/>
      </w:r>
      <w:r w:rsidR="00EB2EF5" w:rsidRPr="00EB2EF5">
        <w:rPr>
          <w:rStyle w:val="FootnoteReference"/>
        </w:rPr>
        <w:t>2</w:t>
      </w:r>
      <w:r w:rsidR="00EB2EF5">
        <w:fldChar w:fldCharType="end"/>
      </w:r>
      <w:r w:rsidRPr="00814A78">
        <w:t xml:space="preserve"> The key secondary efficacy endpoint was to evaluate measures of clinical benefit by the proportion of participants with clinically significant improvement in </w:t>
      </w:r>
      <w:r w:rsidR="0096565A">
        <w:t xml:space="preserve">the </w:t>
      </w:r>
      <w:r w:rsidRPr="00814A78">
        <w:t>mLSS.</w:t>
      </w:r>
    </w:p>
    <w:p w14:paraId="2CDD3FB4" w14:textId="39D8DFBC" w:rsidR="00FC7155" w:rsidRDefault="00FC7155" w:rsidP="0096565A">
      <w:pPr>
        <w:pStyle w:val="TableTitle"/>
      </w:pPr>
      <w:r w:rsidRPr="00FC7155">
        <w:t>Table</w:t>
      </w:r>
      <w:r w:rsidR="00DA1446">
        <w:t xml:space="preserve"> 3.</w:t>
      </w:r>
      <w:r w:rsidRPr="00FC7155">
        <w:t xml:space="preserve"> Objectives and Endpoints</w:t>
      </w:r>
    </w:p>
    <w:p w14:paraId="2A212CD2" w14:textId="2ACE46C2" w:rsidR="002069B1" w:rsidRDefault="002069B1" w:rsidP="005D0B97">
      <w:r w:rsidRPr="002069B1">
        <w:rPr>
          <w:noProof/>
        </w:rPr>
        <w:drawing>
          <wp:inline distT="0" distB="0" distL="0" distR="0" wp14:anchorId="467D4795" wp14:editId="0099DACF">
            <wp:extent cx="5532599" cy="6348010"/>
            <wp:effectExtent l="0" t="0" r="0" b="0"/>
            <wp:docPr id="121647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7530" name=""/>
                    <pic:cNvPicPr/>
                  </pic:nvPicPr>
                  <pic:blipFill>
                    <a:blip r:embed="rId28"/>
                    <a:stretch>
                      <a:fillRect/>
                    </a:stretch>
                  </pic:blipFill>
                  <pic:spPr>
                    <a:xfrm>
                      <a:off x="0" y="0"/>
                      <a:ext cx="5532599" cy="6348010"/>
                    </a:xfrm>
                    <a:prstGeom prst="rect">
                      <a:avLst/>
                    </a:prstGeom>
                  </pic:spPr>
                </pic:pic>
              </a:graphicData>
            </a:graphic>
          </wp:inline>
        </w:drawing>
      </w:r>
    </w:p>
    <w:p w14:paraId="65890229" w14:textId="6A799CCD" w:rsidR="009C0DBB" w:rsidRDefault="009C0DBB" w:rsidP="0096565A">
      <w:pPr>
        <w:pStyle w:val="TableTitle"/>
      </w:pPr>
      <w:r w:rsidRPr="009C0DBB">
        <w:lastRenderedPageBreak/>
        <w:t>Table</w:t>
      </w:r>
      <w:r w:rsidR="00DA1446">
        <w:t xml:space="preserve"> 3.</w:t>
      </w:r>
      <w:r w:rsidRPr="009C0DBB">
        <w:t xml:space="preserve"> Objectives and Endpoints</w:t>
      </w:r>
      <w:r>
        <w:t xml:space="preserve"> (continued)</w:t>
      </w:r>
    </w:p>
    <w:p w14:paraId="4804EA66" w14:textId="5CC175E5" w:rsidR="00AB63A6" w:rsidRDefault="00AB63A6" w:rsidP="005D0B97">
      <w:r w:rsidRPr="00AB63A6">
        <w:rPr>
          <w:noProof/>
        </w:rPr>
        <w:drawing>
          <wp:inline distT="0" distB="0" distL="0" distR="0" wp14:anchorId="04D4AA3C" wp14:editId="6D9383AE">
            <wp:extent cx="5502117" cy="6942422"/>
            <wp:effectExtent l="0" t="0" r="3810" b="0"/>
            <wp:docPr id="584554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54971" name=""/>
                    <pic:cNvPicPr/>
                  </pic:nvPicPr>
                  <pic:blipFill>
                    <a:blip r:embed="rId29"/>
                    <a:stretch>
                      <a:fillRect/>
                    </a:stretch>
                  </pic:blipFill>
                  <pic:spPr>
                    <a:xfrm>
                      <a:off x="0" y="0"/>
                      <a:ext cx="5502117" cy="6942422"/>
                    </a:xfrm>
                    <a:prstGeom prst="rect">
                      <a:avLst/>
                    </a:prstGeom>
                  </pic:spPr>
                </pic:pic>
              </a:graphicData>
            </a:graphic>
          </wp:inline>
        </w:drawing>
      </w:r>
    </w:p>
    <w:p w14:paraId="4440A1DC" w14:textId="36795C26" w:rsidR="00D43AE9" w:rsidRDefault="00D43AE9" w:rsidP="00D43AE9">
      <w:r w:rsidRPr="00D43AE9">
        <w:t>Males and females aged two years or older who were allogeneic HSCT recipients with recurrent or refractory active cGVHD requiring systemic immune suppression after at least two lines of systemic treatment were eligible for the study.  Participants were to have a Karnofsky performance status or Lansky performance status of ≥60 to be eligible.</w:t>
      </w:r>
    </w:p>
    <w:p w14:paraId="491DC5C3" w14:textId="76F9E3BC" w:rsidR="00D43AE9" w:rsidRDefault="006B2B4A" w:rsidP="005D3C8F">
      <w:pPr>
        <w:pStyle w:val="TableTitle"/>
      </w:pPr>
      <w:r>
        <w:lastRenderedPageBreak/>
        <w:t>Table</w:t>
      </w:r>
      <w:r w:rsidR="00DA1446">
        <w:t xml:space="preserve"> 4</w:t>
      </w:r>
      <w:r>
        <w:t xml:space="preserve">. </w:t>
      </w:r>
      <w:r w:rsidR="005D3C8F" w:rsidRPr="005D3C8F">
        <w:t xml:space="preserve">Study </w:t>
      </w:r>
      <w:r w:rsidR="00DA1446">
        <w:t>t</w:t>
      </w:r>
      <w:r w:rsidR="005D3C8F" w:rsidRPr="005D3C8F">
        <w:t xml:space="preserve">reatment </w:t>
      </w:r>
      <w:r w:rsidR="00DA1446">
        <w:t>a</w:t>
      </w:r>
      <w:r w:rsidR="005D3C8F" w:rsidRPr="005D3C8F">
        <w:t>dministered</w:t>
      </w:r>
    </w:p>
    <w:p w14:paraId="522A94F6" w14:textId="504EAA06" w:rsidR="006B2B4A" w:rsidRDefault="006B2B4A" w:rsidP="00D43AE9">
      <w:r w:rsidRPr="006B2B4A">
        <w:rPr>
          <w:noProof/>
        </w:rPr>
        <w:drawing>
          <wp:inline distT="0" distB="0" distL="0" distR="0" wp14:anchorId="74DD8FCD" wp14:editId="30FB3C5C">
            <wp:extent cx="5759450" cy="2126615"/>
            <wp:effectExtent l="0" t="0" r="0" b="6985"/>
            <wp:docPr id="152504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47716"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759450" cy="2126615"/>
                    </a:xfrm>
                    <a:prstGeom prst="rect">
                      <a:avLst/>
                    </a:prstGeom>
                  </pic:spPr>
                </pic:pic>
              </a:graphicData>
            </a:graphic>
          </wp:inline>
        </w:drawing>
      </w:r>
    </w:p>
    <w:p w14:paraId="3F9F593A" w14:textId="0DDB85AC" w:rsidR="005D3C8F" w:rsidRDefault="0019705F" w:rsidP="00D43AE9">
      <w:r w:rsidRPr="0019705F">
        <w:t>The I</w:t>
      </w:r>
      <w:r w:rsidR="0050617C">
        <w:t xml:space="preserve">ntention-to-treat </w:t>
      </w:r>
      <w:r w:rsidRPr="0019705F">
        <w:t>population included 241 participants who were randomised to a dose level. The safety analysis set included 239 participants who received at least one dose of axatilimab during the study.</w:t>
      </w:r>
    </w:p>
    <w:p w14:paraId="15BA712E" w14:textId="200F07A1" w:rsidR="00BF75D0" w:rsidRDefault="00BF75D0" w:rsidP="00324022">
      <w:pPr>
        <w:pStyle w:val="TableTitle"/>
      </w:pPr>
      <w:r>
        <w:t>Table</w:t>
      </w:r>
      <w:r w:rsidR="00DA1446">
        <w:t xml:space="preserve"> 5</w:t>
      </w:r>
      <w:r>
        <w:t xml:space="preserve">. </w:t>
      </w:r>
      <w:r w:rsidR="00324022" w:rsidRPr="00324022">
        <w:t xml:space="preserve">Analysis </w:t>
      </w:r>
      <w:r w:rsidR="00DA1446">
        <w:t>p</w:t>
      </w:r>
      <w:r w:rsidR="00324022" w:rsidRPr="00324022">
        <w:t>opulations (</w:t>
      </w:r>
      <w:r w:rsidR="00DA1446">
        <w:t>a</w:t>
      </w:r>
      <w:r w:rsidR="00324022" w:rsidRPr="00324022">
        <w:t xml:space="preserve">ll </w:t>
      </w:r>
      <w:r w:rsidR="00DA1446">
        <w:t>s</w:t>
      </w:r>
      <w:r w:rsidR="00324022" w:rsidRPr="00324022">
        <w:t xml:space="preserve">creened </w:t>
      </w:r>
      <w:r w:rsidR="00DA1446">
        <w:t>p</w:t>
      </w:r>
      <w:r w:rsidR="00324022" w:rsidRPr="00324022">
        <w:t>opulation)</w:t>
      </w:r>
    </w:p>
    <w:p w14:paraId="77FE96EE" w14:textId="4D44B674" w:rsidR="00BF75D0" w:rsidRDefault="00BF75D0" w:rsidP="00D43AE9">
      <w:r w:rsidRPr="00BF75D0">
        <w:rPr>
          <w:noProof/>
        </w:rPr>
        <w:drawing>
          <wp:inline distT="0" distB="0" distL="0" distR="0" wp14:anchorId="601855DC" wp14:editId="31576B58">
            <wp:extent cx="5759450" cy="1370330"/>
            <wp:effectExtent l="0" t="0" r="0" b="1270"/>
            <wp:docPr id="187636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60906" name=""/>
                    <pic:cNvPicPr/>
                  </pic:nvPicPr>
                  <pic:blipFill>
                    <a:blip r:embed="rId32"/>
                    <a:stretch>
                      <a:fillRect/>
                    </a:stretch>
                  </pic:blipFill>
                  <pic:spPr>
                    <a:xfrm>
                      <a:off x="0" y="0"/>
                      <a:ext cx="5759450" cy="1370330"/>
                    </a:xfrm>
                    <a:prstGeom prst="rect">
                      <a:avLst/>
                    </a:prstGeom>
                  </pic:spPr>
                </pic:pic>
              </a:graphicData>
            </a:graphic>
          </wp:inline>
        </w:drawing>
      </w:r>
    </w:p>
    <w:p w14:paraId="23C32F33" w14:textId="77777777" w:rsidR="00EE09B0" w:rsidRDefault="00EE09B0" w:rsidP="00EE09B0">
      <w:r>
        <w:t>A total of 288 participants were screened. Of the 241 randomised, 239 received axatilimab and 2 were not treated. As of the data cut-off date, 98 participants (40.7%) had ongoing treatment, and 140 participants (58.1%) had discontinued treatment. Across all data groups the most common reasons for treatment discontinuation were progressive disease (19.9%), AEs (15.8%) and withdrawal of consent (9.1%).</w:t>
      </w:r>
    </w:p>
    <w:p w14:paraId="26E5B795" w14:textId="7CA298EA" w:rsidR="00EE09B0" w:rsidRDefault="00EE09B0" w:rsidP="00EE09B0">
      <w:pPr>
        <w:pStyle w:val="TableTitle"/>
      </w:pPr>
      <w:r>
        <w:lastRenderedPageBreak/>
        <w:t>Table</w:t>
      </w:r>
      <w:r w:rsidR="00DA1446">
        <w:t xml:space="preserve"> 6. </w:t>
      </w:r>
      <w:r>
        <w:t xml:space="preserve">Summary of </w:t>
      </w:r>
      <w:r w:rsidR="00DA1446">
        <w:t>d</w:t>
      </w:r>
      <w:r>
        <w:t xml:space="preserve">emographics and </w:t>
      </w:r>
      <w:r w:rsidR="00DA1446">
        <w:t>b</w:t>
      </w:r>
      <w:r>
        <w:t xml:space="preserve">aseline </w:t>
      </w:r>
      <w:r w:rsidR="00DA1446">
        <w:t>c</w:t>
      </w:r>
      <w:r>
        <w:t>haracteristics (Intent-to-Treat Population)</w:t>
      </w:r>
    </w:p>
    <w:p w14:paraId="3E62F6DD" w14:textId="2ED34A88" w:rsidR="00207928" w:rsidRPr="00B869A9" w:rsidRDefault="00D04E14" w:rsidP="005D0B97">
      <w:r w:rsidRPr="00D04E14">
        <w:rPr>
          <w:noProof/>
        </w:rPr>
        <w:drawing>
          <wp:inline distT="0" distB="0" distL="0" distR="0" wp14:anchorId="14BEFA6B" wp14:editId="7BF5B610">
            <wp:extent cx="5759450" cy="5175885"/>
            <wp:effectExtent l="0" t="0" r="0" b="5715"/>
            <wp:docPr id="1059010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10048" name=""/>
                    <pic:cNvPicPr/>
                  </pic:nvPicPr>
                  <pic:blipFill>
                    <a:blip r:embed="rId33"/>
                    <a:stretch>
                      <a:fillRect/>
                    </a:stretch>
                  </pic:blipFill>
                  <pic:spPr>
                    <a:xfrm>
                      <a:off x="0" y="0"/>
                      <a:ext cx="5759450" cy="5175885"/>
                    </a:xfrm>
                    <a:prstGeom prst="rect">
                      <a:avLst/>
                    </a:prstGeom>
                  </pic:spPr>
                </pic:pic>
              </a:graphicData>
            </a:graphic>
          </wp:inline>
        </w:drawing>
      </w:r>
      <w:r w:rsidR="00F57231" w:rsidRPr="00F57231">
        <w:rPr>
          <w:noProof/>
        </w:rPr>
        <w:drawing>
          <wp:inline distT="0" distB="0" distL="0" distR="0" wp14:anchorId="6955189B" wp14:editId="57DD0053">
            <wp:extent cx="5759450" cy="2156460"/>
            <wp:effectExtent l="0" t="0" r="0" b="0"/>
            <wp:docPr id="162641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19735" name=""/>
                    <pic:cNvPicPr/>
                  </pic:nvPicPr>
                  <pic:blipFill rotWithShape="1">
                    <a:blip r:embed="rId34"/>
                    <a:srcRect t="24451" b="332"/>
                    <a:stretch>
                      <a:fillRect/>
                    </a:stretch>
                  </pic:blipFill>
                  <pic:spPr bwMode="auto">
                    <a:xfrm>
                      <a:off x="0" y="0"/>
                      <a:ext cx="5759450" cy="2156460"/>
                    </a:xfrm>
                    <a:prstGeom prst="rect">
                      <a:avLst/>
                    </a:prstGeom>
                    <a:ln>
                      <a:noFill/>
                    </a:ln>
                    <a:extLst>
                      <a:ext uri="{53640926-AAD7-44D8-BBD7-CCE9431645EC}">
                        <a14:shadowObscured xmlns:a14="http://schemas.microsoft.com/office/drawing/2010/main"/>
                      </a:ext>
                    </a:extLst>
                  </pic:spPr>
                </pic:pic>
              </a:graphicData>
            </a:graphic>
          </wp:inline>
        </w:drawing>
      </w:r>
    </w:p>
    <w:p w14:paraId="3CD20738" w14:textId="77777777" w:rsidR="000D6475" w:rsidRDefault="000D6475" w:rsidP="000D6475">
      <w:pPr>
        <w:pStyle w:val="TableDescription"/>
      </w:pPr>
      <w:bookmarkStart w:id="47" w:name="_Toc98931928"/>
      <w:r>
        <w:t>a Data on race and/or ethnicity were not collected for 11 participants in France because of local regulations.</w:t>
      </w:r>
    </w:p>
    <w:p w14:paraId="58B4F2D8" w14:textId="606BC090" w:rsidR="00F57231" w:rsidRDefault="000D6475" w:rsidP="000D6475">
      <w:pPr>
        <w:pStyle w:val="TableDescription"/>
      </w:pPr>
      <w:r>
        <w:t>b Participants met the Karnofsky performance status ≥ 60 eligibility criterion at screening.</w:t>
      </w:r>
    </w:p>
    <w:p w14:paraId="58E88C12" w14:textId="3F607AEB" w:rsidR="000D6475" w:rsidRDefault="0098010B" w:rsidP="0098010B">
      <w:pPr>
        <w:pStyle w:val="TableTitle"/>
      </w:pPr>
      <w:r w:rsidRPr="0098010B">
        <w:lastRenderedPageBreak/>
        <w:t>Table</w:t>
      </w:r>
      <w:r w:rsidR="00DA1446">
        <w:t xml:space="preserve"> 7</w:t>
      </w:r>
      <w:r w:rsidR="00D04A2D">
        <w:t>.</w:t>
      </w:r>
      <w:r w:rsidRPr="0098010B">
        <w:t xml:space="preserve"> Baseline </w:t>
      </w:r>
      <w:r w:rsidR="00DA1446">
        <w:t>d</w:t>
      </w:r>
      <w:r w:rsidRPr="0098010B">
        <w:t xml:space="preserve">isease </w:t>
      </w:r>
      <w:r w:rsidR="00DA1446">
        <w:t>c</w:t>
      </w:r>
      <w:r w:rsidRPr="0098010B">
        <w:t>haracteristics (Intent-to-Treat Population)</w:t>
      </w:r>
    </w:p>
    <w:p w14:paraId="1F993CBC" w14:textId="653799D3" w:rsidR="0098010B" w:rsidRDefault="00D04A2D" w:rsidP="005D0B97">
      <w:r w:rsidRPr="00D04A2D">
        <w:rPr>
          <w:noProof/>
        </w:rPr>
        <w:drawing>
          <wp:inline distT="0" distB="0" distL="0" distR="0" wp14:anchorId="21152BC4" wp14:editId="2E29342D">
            <wp:extent cx="5131973" cy="4591050"/>
            <wp:effectExtent l="0" t="0" r="0" b="0"/>
            <wp:docPr id="44198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3769"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143856" cy="4601681"/>
                    </a:xfrm>
                    <a:prstGeom prst="rect">
                      <a:avLst/>
                    </a:prstGeom>
                  </pic:spPr>
                </pic:pic>
              </a:graphicData>
            </a:graphic>
          </wp:inline>
        </w:drawing>
      </w:r>
    </w:p>
    <w:p w14:paraId="0530BE1A" w14:textId="77777777" w:rsidR="001B1E12" w:rsidRDefault="001B1E12" w:rsidP="001B1E12">
      <w:pPr>
        <w:pStyle w:val="Heading6"/>
      </w:pPr>
      <w:r>
        <w:t>Results for the primary efficacy outcome</w:t>
      </w:r>
    </w:p>
    <w:p w14:paraId="1BC6A7BC" w14:textId="22078399" w:rsidR="001B1E12" w:rsidRDefault="001B1E12" w:rsidP="001B1E12">
      <w:r>
        <w:t>In terms of the primary endpoint of the study</w:t>
      </w:r>
      <w:r w:rsidR="001E5C71">
        <w:t xml:space="preserve"> (the </w:t>
      </w:r>
      <w:r>
        <w:t>ORR of each dose group in the first six cycles as assessed by investigator review of cGVHD response according to the NIH Response Criteria</w:t>
      </w:r>
      <w:r w:rsidR="001E5C71">
        <w:t>)</w:t>
      </w:r>
      <w:r>
        <w:t>, the study met its primary objective and showed that the lower bound of the 95% CI for ORR in the first six cycles exceeded 30% at each dose level.</w:t>
      </w:r>
    </w:p>
    <w:p w14:paraId="0B92E2A9" w14:textId="4F1061F3" w:rsidR="00161C9B" w:rsidRDefault="00161C9B" w:rsidP="00AD696B">
      <w:pPr>
        <w:pStyle w:val="TableTitle"/>
      </w:pPr>
      <w:r w:rsidRPr="00161C9B">
        <w:t>Table</w:t>
      </w:r>
      <w:r w:rsidR="00DA1446">
        <w:t xml:space="preserve"> 8. </w:t>
      </w:r>
      <w:r w:rsidRPr="00161C9B">
        <w:t xml:space="preserve">Summary of </w:t>
      </w:r>
      <w:r w:rsidR="00DA1446">
        <w:t>o</w:t>
      </w:r>
      <w:r w:rsidRPr="00161C9B">
        <w:t xml:space="preserve">verall </w:t>
      </w:r>
      <w:r w:rsidR="00DA1446">
        <w:t>r</w:t>
      </w:r>
      <w:r w:rsidRPr="00161C9B">
        <w:t xml:space="preserve">esponse in the </w:t>
      </w:r>
      <w:r w:rsidR="00DA1446">
        <w:t>f</w:t>
      </w:r>
      <w:r w:rsidRPr="00161C9B">
        <w:t xml:space="preserve">irst 6 </w:t>
      </w:r>
      <w:r w:rsidR="00DA1446">
        <w:t>c</w:t>
      </w:r>
      <w:r w:rsidRPr="00161C9B">
        <w:t>ycles (Intent-to-Treat Population)</w:t>
      </w:r>
    </w:p>
    <w:p w14:paraId="3D881AAB" w14:textId="7B11E7FD" w:rsidR="00AD696B" w:rsidRDefault="00AD696B" w:rsidP="005D0B97">
      <w:r w:rsidRPr="00AD696B">
        <w:rPr>
          <w:noProof/>
        </w:rPr>
        <w:drawing>
          <wp:inline distT="0" distB="0" distL="0" distR="0" wp14:anchorId="78FDD735" wp14:editId="1D983ECD">
            <wp:extent cx="5759450" cy="2182495"/>
            <wp:effectExtent l="0" t="0" r="0" b="8255"/>
            <wp:docPr id="114460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09961" name=""/>
                    <pic:cNvPicPr/>
                  </pic:nvPicPr>
                  <pic:blipFill>
                    <a:blip r:embed="rId37"/>
                    <a:stretch>
                      <a:fillRect/>
                    </a:stretch>
                  </pic:blipFill>
                  <pic:spPr>
                    <a:xfrm>
                      <a:off x="0" y="0"/>
                      <a:ext cx="5759450" cy="2182495"/>
                    </a:xfrm>
                    <a:prstGeom prst="rect">
                      <a:avLst/>
                    </a:prstGeom>
                  </pic:spPr>
                </pic:pic>
              </a:graphicData>
            </a:graphic>
          </wp:inline>
        </w:drawing>
      </w:r>
    </w:p>
    <w:p w14:paraId="0FB4FAB1" w14:textId="75579BA8" w:rsidR="00313737" w:rsidRDefault="00313737" w:rsidP="00313737">
      <w:pPr>
        <w:pStyle w:val="TableDescription"/>
      </w:pPr>
      <w:r>
        <w:t>a A participant was considered an objective responder if they had an overall response of CR or PR at any timepoint up to Day 176 or the beginning of Cycle 7, whichever was later.</w:t>
      </w:r>
    </w:p>
    <w:p w14:paraId="5D730D96" w14:textId="2D020E2D" w:rsidR="00313737" w:rsidRDefault="00313737" w:rsidP="00313737">
      <w:pPr>
        <w:pStyle w:val="TableDescription"/>
      </w:pPr>
      <w:r>
        <w:t>b Confidence intervals were calculated based on the exact method for binomial distributions.</w:t>
      </w:r>
    </w:p>
    <w:p w14:paraId="16B2BE6B" w14:textId="76514989" w:rsidR="003A6A3D" w:rsidRDefault="003A6A3D" w:rsidP="003A6A3D">
      <w:pPr>
        <w:pStyle w:val="FigureTitle"/>
      </w:pPr>
      <w:r w:rsidRPr="003A6A3D">
        <w:lastRenderedPageBreak/>
        <w:t>Figure</w:t>
      </w:r>
      <w:r w:rsidR="00E75E4F">
        <w:t xml:space="preserve"> 3.</w:t>
      </w:r>
      <w:r w:rsidRPr="003A6A3D">
        <w:t xml:space="preserve"> Forest </w:t>
      </w:r>
      <w:r w:rsidR="00E75E4F">
        <w:t>p</w:t>
      </w:r>
      <w:r w:rsidRPr="003A6A3D">
        <w:t xml:space="preserve">lots of </w:t>
      </w:r>
      <w:r w:rsidR="00E75E4F">
        <w:t>o</w:t>
      </w:r>
      <w:r w:rsidRPr="003A6A3D">
        <w:t xml:space="preserve">verall </w:t>
      </w:r>
      <w:r w:rsidR="00E75E4F">
        <w:t>r</w:t>
      </w:r>
      <w:r w:rsidRPr="003A6A3D">
        <w:t xml:space="preserve">esponse and 95% </w:t>
      </w:r>
      <w:r w:rsidR="00E75E4F">
        <w:t>c</w:t>
      </w:r>
      <w:r w:rsidRPr="003A6A3D">
        <w:t xml:space="preserve">onfidence </w:t>
      </w:r>
      <w:r w:rsidR="00E75E4F">
        <w:t>i</w:t>
      </w:r>
      <w:r w:rsidRPr="003A6A3D">
        <w:t xml:space="preserve">ntervals in the </w:t>
      </w:r>
      <w:r w:rsidR="00E75E4F">
        <w:t>f</w:t>
      </w:r>
      <w:r w:rsidRPr="003A6A3D">
        <w:t xml:space="preserve">irst 6 </w:t>
      </w:r>
      <w:r w:rsidR="00E75E4F">
        <w:t>c</w:t>
      </w:r>
      <w:r w:rsidRPr="003A6A3D">
        <w:t xml:space="preserve">ycles of axatilimab 0.3mg/kg Q2W (Intent-to-Treat </w:t>
      </w:r>
      <w:r w:rsidR="00E75E4F">
        <w:t>p</w:t>
      </w:r>
      <w:r w:rsidRPr="003A6A3D">
        <w:t>opulation)</w:t>
      </w:r>
    </w:p>
    <w:p w14:paraId="0A30F70B" w14:textId="5E685F17" w:rsidR="001D4DD0" w:rsidRDefault="001D4DD0" w:rsidP="005D0B97">
      <w:r w:rsidRPr="001D4DD0">
        <w:rPr>
          <w:noProof/>
        </w:rPr>
        <w:drawing>
          <wp:inline distT="0" distB="0" distL="0" distR="0" wp14:anchorId="6514DA48" wp14:editId="1FE2E672">
            <wp:extent cx="5850890" cy="3012531"/>
            <wp:effectExtent l="0" t="0" r="0" b="0"/>
            <wp:docPr id="73287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70288"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857035" cy="3015695"/>
                    </a:xfrm>
                    <a:prstGeom prst="rect">
                      <a:avLst/>
                    </a:prstGeom>
                  </pic:spPr>
                </pic:pic>
              </a:graphicData>
            </a:graphic>
          </wp:inline>
        </w:drawing>
      </w:r>
    </w:p>
    <w:p w14:paraId="18C744ED" w14:textId="68EBEE09" w:rsidR="00BF52D6" w:rsidRDefault="00BF52D6" w:rsidP="00BF52D6">
      <w:r>
        <w:t xml:space="preserve">The ORR in the first six cycles across subgroups was generally consistent with the ORR for the total population regardless of number of prior therapies (&lt;4, 4 to 6, or &gt;6), type of prior therapy </w:t>
      </w:r>
      <w:r w:rsidR="00B51255">
        <w:t>(</w:t>
      </w:r>
      <w:r>
        <w:t>ruxolitinib, ibrutinib, or belumosudil), best response to prior therapy (</w:t>
      </w:r>
      <w:r w:rsidR="00CB7D21">
        <w:t>complete response</w:t>
      </w:r>
      <w:r>
        <w:t xml:space="preserve"> or </w:t>
      </w:r>
      <w:r w:rsidR="00CB7D21">
        <w:t>partial response</w:t>
      </w:r>
      <w:r>
        <w:t>, no change or progression), or age of participants (&lt;17, 17 to &lt;65, or ≥65 years of age). It is noted</w:t>
      </w:r>
      <w:r w:rsidR="00B51255">
        <w:t>,</w:t>
      </w:r>
      <w:r>
        <w:t xml:space="preserve"> however, that only 7 participants (2.9%) were &lt;17 years of age, making interpretation of efficacy difficult in this subgroup. Sub analysis of those participants &lt; 17 years of age showed very wide confidence intervals.</w:t>
      </w:r>
    </w:p>
    <w:p w14:paraId="2FABF7DD" w14:textId="77777777" w:rsidR="00BF52D6" w:rsidRDefault="00BF52D6" w:rsidP="00BF52D6">
      <w:r>
        <w:t xml:space="preserve">The key secondary endpoint was the proportion of participants with a clinically significant improvement (&gt;7-point decrease from baseline) in normalised score using the mLSS. </w:t>
      </w:r>
    </w:p>
    <w:p w14:paraId="7350A2DD" w14:textId="3B4C74F1" w:rsidR="00BF52D6" w:rsidRDefault="00BF52D6" w:rsidP="00BF52D6">
      <w:r>
        <w:t xml:space="preserve">An improvement in the mLSS score of at least seven points on or before cycle seven day one was most commonly seen in the 0.3mg/kg every-two-week group (55.1%) and 1mg/kg every-two-week group (53.8%) as shown in </w:t>
      </w:r>
      <w:r w:rsidR="00DA1446">
        <w:t>T</w:t>
      </w:r>
      <w:r>
        <w:t>able</w:t>
      </w:r>
      <w:r w:rsidR="00DA1446">
        <w:t xml:space="preserve"> 9</w:t>
      </w:r>
      <w:r>
        <w:t xml:space="preserve">. </w:t>
      </w:r>
    </w:p>
    <w:p w14:paraId="528FF09F" w14:textId="0AB150CF" w:rsidR="00BF52D6" w:rsidRDefault="00BF52D6" w:rsidP="00BF52D6">
      <w:pPr>
        <w:pStyle w:val="TableTitle"/>
      </w:pPr>
      <w:r>
        <w:t>Table</w:t>
      </w:r>
      <w:r w:rsidR="00DA1446">
        <w:t xml:space="preserve"> 9.</w:t>
      </w:r>
      <w:r>
        <w:t xml:space="preserve"> Responder </w:t>
      </w:r>
      <w:r w:rsidR="00DA1446">
        <w:t>a</w:t>
      </w:r>
      <w:r>
        <w:t xml:space="preserve">nalysis </w:t>
      </w:r>
      <w:r w:rsidR="00DA1446">
        <w:t>b</w:t>
      </w:r>
      <w:r>
        <w:t xml:space="preserve">ased on the </w:t>
      </w:r>
      <w:r w:rsidR="00DA1446">
        <w:t>n</w:t>
      </w:r>
      <w:r>
        <w:t>ormalized mLSS (Intent-to-Treat Population)</w:t>
      </w:r>
    </w:p>
    <w:p w14:paraId="4DF2AF77" w14:textId="4656784D" w:rsidR="00217C06" w:rsidRDefault="00217C06" w:rsidP="005D0B97">
      <w:r w:rsidRPr="00217C06">
        <w:rPr>
          <w:noProof/>
        </w:rPr>
        <w:drawing>
          <wp:inline distT="0" distB="0" distL="0" distR="0" wp14:anchorId="7E51F1C5" wp14:editId="2762D811">
            <wp:extent cx="5759450" cy="1677035"/>
            <wp:effectExtent l="0" t="0" r="0" b="0"/>
            <wp:docPr id="83057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78663" name=""/>
                    <pic:cNvPicPr/>
                  </pic:nvPicPr>
                  <pic:blipFill>
                    <a:blip r:embed="rId40"/>
                    <a:stretch>
                      <a:fillRect/>
                    </a:stretch>
                  </pic:blipFill>
                  <pic:spPr>
                    <a:xfrm>
                      <a:off x="0" y="0"/>
                      <a:ext cx="5759450" cy="1677035"/>
                    </a:xfrm>
                    <a:prstGeom prst="rect">
                      <a:avLst/>
                    </a:prstGeom>
                  </pic:spPr>
                </pic:pic>
              </a:graphicData>
            </a:graphic>
          </wp:inline>
        </w:drawing>
      </w:r>
    </w:p>
    <w:p w14:paraId="7853FDA8" w14:textId="7ACA84E5" w:rsidR="000254E5" w:rsidRDefault="000254E5" w:rsidP="000254E5">
      <w:pPr>
        <w:pStyle w:val="TableDescription"/>
      </w:pPr>
      <w:r w:rsidRPr="000254E5">
        <w:t>Note: N corresponds to the number of participants with valid mLSS at baseline.</w:t>
      </w:r>
    </w:p>
    <w:p w14:paraId="4942CFA0" w14:textId="381E2E85" w:rsidR="004D3666" w:rsidRDefault="004D3666" w:rsidP="004D3666">
      <w:r>
        <w:t xml:space="preserve">In response to a question from the clinical evaluator to provide additional efficacy data in the young adult/paediatric population, the Sponsor provided data from 11 paediatric patients treated via the </w:t>
      </w:r>
      <w:r w:rsidR="005D19A4" w:rsidRPr="005D19A4">
        <w:t xml:space="preserve">Expanded Access Program </w:t>
      </w:r>
      <w:r w:rsidR="005D19A4">
        <w:t>(</w:t>
      </w:r>
      <w:r>
        <w:t>EAP</w:t>
      </w:r>
      <w:r w:rsidR="005D19A4">
        <w:t xml:space="preserve">; </w:t>
      </w:r>
      <w:r>
        <w:t>INCA34176-MA-GD-301)</w:t>
      </w:r>
    </w:p>
    <w:p w14:paraId="33E4D5FB" w14:textId="3F66749E" w:rsidR="00DD2E7D" w:rsidRDefault="005D19A4" w:rsidP="00DD2E7D">
      <w:r>
        <w:t xml:space="preserve">The EAP </w:t>
      </w:r>
      <w:r w:rsidR="00390298">
        <w:t>included</w:t>
      </w:r>
      <w:r w:rsidR="004D3666">
        <w:t xml:space="preserve"> participants &gt; 6 years old per the indication, who had active cGVHD and had failed at least 2 prior lines of systemic therapy. Participants were dosed with axatilimab at </w:t>
      </w:r>
      <w:r w:rsidR="004D3666">
        <w:lastRenderedPageBreak/>
        <w:t xml:space="preserve">0.3mg/kg Q2W at clinician discretion for as long as clinical benefit was observed and/or treatment withdrawal criteria were not met or until closure of the EAP due to commercial availability. No patients below the age of 6 years of age were treated in the EAP. There were 11 patients &lt; 17 years old enrolled on the EAP. By the date of data transfer (27 </w:t>
      </w:r>
      <w:r>
        <w:t>October</w:t>
      </w:r>
      <w:r w:rsidR="004D3666">
        <w:t xml:space="preserve"> 2025), all 11 patients had discontinued treatment on the EAP</w:t>
      </w:r>
      <w:r w:rsidR="00DA1446">
        <w:t xml:space="preserve"> (Table 10)</w:t>
      </w:r>
      <w:r w:rsidR="004D3666">
        <w:t>; the primary reasons for discontinuation were other (n=5), participant death (n=2) and participant transitioned to commercial product (n=2).</w:t>
      </w:r>
    </w:p>
    <w:p w14:paraId="1BB4BB3C" w14:textId="3FC85D3F" w:rsidR="00ED30E5" w:rsidRDefault="004D3666" w:rsidP="00DD2E7D">
      <w:pPr>
        <w:pStyle w:val="TableTitle"/>
        <w:rPr>
          <w:noProof/>
        </w:rPr>
      </w:pPr>
      <w:r>
        <w:t>Table</w:t>
      </w:r>
      <w:r w:rsidR="00DA1446">
        <w:t xml:space="preserve"> 10.</w:t>
      </w:r>
      <w:r>
        <w:t xml:space="preserve"> Summary of </w:t>
      </w:r>
      <w:r w:rsidR="00DA1446">
        <w:t>p</w:t>
      </w:r>
      <w:r>
        <w:t xml:space="preserve">articipant </w:t>
      </w:r>
      <w:r w:rsidR="00DA1446">
        <w:t>d</w:t>
      </w:r>
      <w:r>
        <w:t>isposition in the Expanded Access Program</w:t>
      </w:r>
    </w:p>
    <w:p w14:paraId="23EFE6FD" w14:textId="6B1F7338" w:rsidR="00B62EF9" w:rsidRDefault="00B62EF9" w:rsidP="005D0B97">
      <w:r w:rsidRPr="00B62EF9">
        <w:rPr>
          <w:noProof/>
        </w:rPr>
        <w:drawing>
          <wp:inline distT="0" distB="0" distL="0" distR="0" wp14:anchorId="30940D47" wp14:editId="0E2276AE">
            <wp:extent cx="5364480" cy="3177286"/>
            <wp:effectExtent l="0" t="0" r="7620" b="4445"/>
            <wp:docPr id="114591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4439"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368744" cy="3179811"/>
                    </a:xfrm>
                    <a:prstGeom prst="rect">
                      <a:avLst/>
                    </a:prstGeom>
                  </pic:spPr>
                </pic:pic>
              </a:graphicData>
            </a:graphic>
          </wp:inline>
        </w:drawing>
      </w:r>
    </w:p>
    <w:p w14:paraId="3150E1AA" w14:textId="7A672505" w:rsidR="00AD172D" w:rsidRDefault="00321BD6" w:rsidP="004D3666">
      <w:pPr>
        <w:pStyle w:val="TableTitle"/>
      </w:pPr>
      <w:r>
        <w:t>Table</w:t>
      </w:r>
      <w:r w:rsidR="00DA1446">
        <w:t xml:space="preserve"> 11</w:t>
      </w:r>
      <w:r>
        <w:t xml:space="preserve">. </w:t>
      </w:r>
      <w:r w:rsidR="00AD172D" w:rsidRPr="00AD172D">
        <w:t xml:space="preserve">Summary of </w:t>
      </w:r>
      <w:r w:rsidR="00DA1446">
        <w:t>p</w:t>
      </w:r>
      <w:r w:rsidR="00AD172D" w:rsidRPr="00AD172D">
        <w:t xml:space="preserve">articipant </w:t>
      </w:r>
      <w:r w:rsidR="00DA1446">
        <w:t>b</w:t>
      </w:r>
      <w:r w:rsidR="00AD172D" w:rsidRPr="00AD172D">
        <w:t xml:space="preserve">aseline </w:t>
      </w:r>
      <w:r w:rsidR="00DA1446">
        <w:t>c</w:t>
      </w:r>
      <w:r w:rsidR="00AD172D" w:rsidRPr="00AD172D">
        <w:t>haracteristics in the Expanded Access Program</w:t>
      </w:r>
    </w:p>
    <w:p w14:paraId="44532141" w14:textId="442FA05E" w:rsidR="00321BD6" w:rsidRDefault="00321BD6" w:rsidP="005D0B97">
      <w:r w:rsidRPr="001B2E58">
        <w:rPr>
          <w:noProof/>
        </w:rPr>
        <w:drawing>
          <wp:inline distT="0" distB="0" distL="0" distR="0" wp14:anchorId="7228033F" wp14:editId="7300F671">
            <wp:extent cx="5419725" cy="2667000"/>
            <wp:effectExtent l="0" t="0" r="9525" b="0"/>
            <wp:docPr id="1915135830"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35830" name="Picture 1" descr="A white sheet with black text&#10;&#10;AI-generated content may be incorrect."/>
                    <pic:cNvPicPr/>
                  </pic:nvPicPr>
                  <pic:blipFill rotWithShape="1">
                    <a:blip r:embed="rId43"/>
                    <a:srcRect b="5149"/>
                    <a:stretch>
                      <a:fillRect/>
                    </a:stretch>
                  </pic:blipFill>
                  <pic:spPr bwMode="auto">
                    <a:xfrm>
                      <a:off x="0" y="0"/>
                      <a:ext cx="5420016" cy="2667143"/>
                    </a:xfrm>
                    <a:prstGeom prst="rect">
                      <a:avLst/>
                    </a:prstGeom>
                    <a:ln>
                      <a:noFill/>
                    </a:ln>
                    <a:extLst>
                      <a:ext uri="{53640926-AAD7-44D8-BBD7-CCE9431645EC}">
                        <a14:shadowObscured xmlns:a14="http://schemas.microsoft.com/office/drawing/2010/main"/>
                      </a:ext>
                    </a:extLst>
                  </pic:spPr>
                </pic:pic>
              </a:graphicData>
            </a:graphic>
          </wp:inline>
        </w:drawing>
      </w:r>
    </w:p>
    <w:p w14:paraId="5F7311CC" w14:textId="463FF452" w:rsidR="002A5B31" w:rsidRDefault="002A5B31">
      <w:pPr>
        <w:rPr>
          <w:rFonts w:eastAsia="Cambria" w:cs="Times New Roman"/>
          <w:b/>
          <w:szCs w:val="22"/>
        </w:rPr>
      </w:pPr>
    </w:p>
    <w:p w14:paraId="51FFAB2C" w14:textId="132DCF36" w:rsidR="0031687D" w:rsidRDefault="0031687D" w:rsidP="004D3666">
      <w:pPr>
        <w:pStyle w:val="TableTitle"/>
      </w:pPr>
      <w:r w:rsidRPr="0031687D">
        <w:lastRenderedPageBreak/>
        <w:t>Table</w:t>
      </w:r>
      <w:r w:rsidR="00DA1446">
        <w:t xml:space="preserve"> 12.</w:t>
      </w:r>
      <w:r w:rsidRPr="0031687D">
        <w:t xml:space="preserve"> Overall </w:t>
      </w:r>
      <w:r w:rsidR="00DA1446">
        <w:t>s</w:t>
      </w:r>
      <w:r w:rsidRPr="0031687D">
        <w:t xml:space="preserve">ummary of </w:t>
      </w:r>
      <w:r w:rsidR="00DA1446">
        <w:t>t</w:t>
      </w:r>
      <w:r w:rsidRPr="0031687D">
        <w:t>reatment-</w:t>
      </w:r>
      <w:r w:rsidR="00DA1446">
        <w:t>e</w:t>
      </w:r>
      <w:r w:rsidRPr="0031687D">
        <w:t xml:space="preserve">mergent </w:t>
      </w:r>
      <w:r w:rsidR="002A5B31">
        <w:t>a</w:t>
      </w:r>
      <w:r w:rsidRPr="0031687D">
        <w:t xml:space="preserve">dverse </w:t>
      </w:r>
      <w:r w:rsidR="002A5B31">
        <w:t>e</w:t>
      </w:r>
      <w:r w:rsidRPr="0031687D">
        <w:t>vents in the Expanded Access Program</w:t>
      </w:r>
    </w:p>
    <w:p w14:paraId="05B329D4" w14:textId="6DB65BCD" w:rsidR="00E52592" w:rsidRDefault="00A41468" w:rsidP="005D0B97">
      <w:r w:rsidRPr="00A41468">
        <w:rPr>
          <w:noProof/>
        </w:rPr>
        <w:drawing>
          <wp:inline distT="0" distB="0" distL="0" distR="0" wp14:anchorId="07ECA7D6" wp14:editId="027F7519">
            <wp:extent cx="5425440" cy="2922081"/>
            <wp:effectExtent l="0" t="0" r="3810" b="0"/>
            <wp:docPr id="84972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25260"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434536" cy="2926980"/>
                    </a:xfrm>
                    <a:prstGeom prst="rect">
                      <a:avLst/>
                    </a:prstGeom>
                  </pic:spPr>
                </pic:pic>
              </a:graphicData>
            </a:graphic>
          </wp:inline>
        </w:drawing>
      </w:r>
    </w:p>
    <w:p w14:paraId="769E5D96" w14:textId="6C3C32F0" w:rsidR="00A41468" w:rsidRDefault="003C6F9F" w:rsidP="003C6F9F">
      <w:pPr>
        <w:pStyle w:val="TableTitle"/>
      </w:pPr>
      <w:r w:rsidRPr="003C6F9F">
        <w:t>Table</w:t>
      </w:r>
      <w:r w:rsidR="002A5B31">
        <w:t xml:space="preserve"> 13.</w:t>
      </w:r>
      <w:r w:rsidRPr="003C6F9F">
        <w:t xml:space="preserve"> Summary of </w:t>
      </w:r>
      <w:r w:rsidR="002A5B31">
        <w:t>t</w:t>
      </w:r>
      <w:r w:rsidRPr="003C6F9F">
        <w:t xml:space="preserve">reatment </w:t>
      </w:r>
      <w:r w:rsidR="002A5B31">
        <w:t>e</w:t>
      </w:r>
      <w:r w:rsidRPr="003C6F9F">
        <w:t xml:space="preserve">mergent </w:t>
      </w:r>
      <w:r w:rsidR="002A5B31">
        <w:t>a</w:t>
      </w:r>
      <w:r w:rsidRPr="003C6F9F">
        <w:t xml:space="preserve">dverse </w:t>
      </w:r>
      <w:r w:rsidR="002A5B31">
        <w:t>e</w:t>
      </w:r>
      <w:r w:rsidRPr="003C6F9F">
        <w:t xml:space="preserve">vents by AE </w:t>
      </w:r>
      <w:r w:rsidR="002A5B31">
        <w:t>t</w:t>
      </w:r>
      <w:r w:rsidRPr="003C6F9F">
        <w:t xml:space="preserve">erm in </w:t>
      </w:r>
      <w:r w:rsidR="002A5B31">
        <w:t>d</w:t>
      </w:r>
      <w:r w:rsidRPr="003C6F9F">
        <w:t xml:space="preserve">ecreasing </w:t>
      </w:r>
      <w:r w:rsidR="002A5B31">
        <w:t>o</w:t>
      </w:r>
      <w:r w:rsidRPr="003C6F9F">
        <w:t xml:space="preserve">rder of </w:t>
      </w:r>
      <w:r w:rsidR="002A5B31">
        <w:t>f</w:t>
      </w:r>
      <w:r w:rsidRPr="003C6F9F">
        <w:t xml:space="preserve">requency </w:t>
      </w:r>
      <w:r w:rsidR="002A5B31">
        <w:t>o</w:t>
      </w:r>
      <w:r w:rsidRPr="003C6F9F">
        <w:t xml:space="preserve">ccurring in &gt; 2 </w:t>
      </w:r>
      <w:r w:rsidR="002A5B31">
        <w:t>p</w:t>
      </w:r>
      <w:r w:rsidRPr="003C6F9F">
        <w:t>articipants in the Expanded Access Program</w:t>
      </w:r>
    </w:p>
    <w:p w14:paraId="53E5507D" w14:textId="1F4DBF1A" w:rsidR="008E794F" w:rsidRDefault="008E794F" w:rsidP="005D0B97">
      <w:r w:rsidRPr="00331B51">
        <w:rPr>
          <w:noProof/>
        </w:rPr>
        <w:drawing>
          <wp:inline distT="0" distB="0" distL="0" distR="0" wp14:anchorId="04A90D4F" wp14:editId="3C826007">
            <wp:extent cx="5400675" cy="3804139"/>
            <wp:effectExtent l="0" t="0" r="0" b="6350"/>
            <wp:docPr id="573058187" name="Picture 1" descr="A table of informati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58187" name="Picture 1" descr="A table of information with text&#10;&#10;AI-generated content may be incorrect."/>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5412086" cy="3812177"/>
                    </a:xfrm>
                    <a:prstGeom prst="rect">
                      <a:avLst/>
                    </a:prstGeom>
                  </pic:spPr>
                </pic:pic>
              </a:graphicData>
            </a:graphic>
          </wp:inline>
        </w:drawing>
      </w:r>
    </w:p>
    <w:p w14:paraId="615780F0" w14:textId="6574F7FE" w:rsidR="002A5B31" w:rsidRDefault="002A5B31">
      <w:pPr>
        <w:rPr>
          <w:rFonts w:eastAsia="Cambria" w:cs="Times New Roman"/>
          <w:b/>
          <w:szCs w:val="22"/>
        </w:rPr>
      </w:pPr>
    </w:p>
    <w:p w14:paraId="11A48315" w14:textId="25B9BB69" w:rsidR="003C6F9F" w:rsidRDefault="00CC7A6C" w:rsidP="003C6F9F">
      <w:pPr>
        <w:pStyle w:val="TableTitle"/>
      </w:pPr>
      <w:r w:rsidRPr="00CC7A6C">
        <w:lastRenderedPageBreak/>
        <w:t>Table</w:t>
      </w:r>
      <w:r w:rsidR="002A5B31">
        <w:t xml:space="preserve"> 14.</w:t>
      </w:r>
      <w:r w:rsidRPr="00CC7A6C">
        <w:t xml:space="preserve"> Summary of </w:t>
      </w:r>
      <w:r w:rsidR="002A5B31">
        <w:t>s</w:t>
      </w:r>
      <w:r w:rsidRPr="00CC7A6C">
        <w:t xml:space="preserve">erious </w:t>
      </w:r>
      <w:r w:rsidR="002A5B31">
        <w:t>t</w:t>
      </w:r>
      <w:r w:rsidRPr="00CC7A6C">
        <w:t>reatment-</w:t>
      </w:r>
      <w:r w:rsidR="002A5B31">
        <w:t>e</w:t>
      </w:r>
      <w:r w:rsidRPr="00CC7A6C">
        <w:t xml:space="preserve">mergent </w:t>
      </w:r>
      <w:r w:rsidR="002A5B31">
        <w:t>a</w:t>
      </w:r>
      <w:r w:rsidRPr="00CC7A6C">
        <w:t xml:space="preserve">dverse </w:t>
      </w:r>
      <w:r w:rsidR="002A5B31">
        <w:t>e</w:t>
      </w:r>
      <w:r w:rsidRPr="00CC7A6C">
        <w:t xml:space="preserve">vents by AE </w:t>
      </w:r>
      <w:r w:rsidR="002A5B31">
        <w:t>t</w:t>
      </w:r>
      <w:r w:rsidRPr="00CC7A6C">
        <w:t xml:space="preserve">erms in </w:t>
      </w:r>
      <w:r w:rsidR="002A5B31">
        <w:t>d</w:t>
      </w:r>
      <w:r w:rsidRPr="00CC7A6C">
        <w:t xml:space="preserve">ecreasing </w:t>
      </w:r>
      <w:r w:rsidR="002A5B31">
        <w:t>o</w:t>
      </w:r>
      <w:r w:rsidRPr="00CC7A6C">
        <w:t xml:space="preserve">rder of </w:t>
      </w:r>
      <w:r w:rsidR="002A5B31">
        <w:t>f</w:t>
      </w:r>
      <w:r w:rsidRPr="00CC7A6C">
        <w:t xml:space="preserve">requency in &gt;1 </w:t>
      </w:r>
      <w:r w:rsidR="002A5B31">
        <w:t>p</w:t>
      </w:r>
      <w:r w:rsidRPr="00CC7A6C">
        <w:t>articipants in the Expanded Access</w:t>
      </w:r>
      <w:r>
        <w:t xml:space="preserve"> Program</w:t>
      </w:r>
    </w:p>
    <w:p w14:paraId="4ECC0FB9" w14:textId="6FA25E8C" w:rsidR="007D589D" w:rsidRDefault="007B50D1" w:rsidP="005D0B97">
      <w:r w:rsidRPr="007B50D1">
        <w:rPr>
          <w:noProof/>
        </w:rPr>
        <w:drawing>
          <wp:inline distT="0" distB="0" distL="0" distR="0" wp14:anchorId="43121B5E" wp14:editId="3AD49DC8">
            <wp:extent cx="4911673" cy="4010025"/>
            <wp:effectExtent l="0" t="0" r="3810" b="0"/>
            <wp:docPr id="212767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70752"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4925473" cy="4021291"/>
                    </a:xfrm>
                    <a:prstGeom prst="rect">
                      <a:avLst/>
                    </a:prstGeom>
                  </pic:spPr>
                </pic:pic>
              </a:graphicData>
            </a:graphic>
          </wp:inline>
        </w:drawing>
      </w:r>
    </w:p>
    <w:p w14:paraId="3477F8FC" w14:textId="77777777" w:rsidR="006B350B" w:rsidRDefault="006B350B" w:rsidP="006B350B">
      <w:r>
        <w:t>The safety profile of axatilimab in the EAP appeared generally consistent with that observed in the AGAVE-201 clinical trial with no new or unexpected toxicities reported.</w:t>
      </w:r>
    </w:p>
    <w:p w14:paraId="7997996F" w14:textId="77777777" w:rsidR="006B350B" w:rsidRDefault="006B350B" w:rsidP="006B350B">
      <w:r>
        <w:t>Axatilimab effectiveness was captured on the EAP through physician-reported assessment of clinical benefit and response categorization, according to the NIH 2014 Consensus Criteria. These data were not monitored or centrally confirmed by the Sponsor.</w:t>
      </w:r>
    </w:p>
    <w:p w14:paraId="092B75C7" w14:textId="3900FCA9" w:rsidR="007B50D1" w:rsidRDefault="006B350B" w:rsidP="006B350B">
      <w:pPr>
        <w:pStyle w:val="TableTitle"/>
      </w:pPr>
      <w:r>
        <w:t>Table</w:t>
      </w:r>
      <w:r w:rsidR="002A5B31">
        <w:t xml:space="preserve"> 15. </w:t>
      </w:r>
      <w:r>
        <w:t xml:space="preserve"> Summary of </w:t>
      </w:r>
      <w:r w:rsidR="002A5B31">
        <w:t>b</w:t>
      </w:r>
      <w:r>
        <w:t xml:space="preserve">est </w:t>
      </w:r>
      <w:r w:rsidR="002A5B31">
        <w:t>r</w:t>
      </w:r>
      <w:r>
        <w:t xml:space="preserve">esponse </w:t>
      </w:r>
      <w:r w:rsidR="002A5B31">
        <w:t>d</w:t>
      </w:r>
      <w:r>
        <w:t xml:space="preserve">uring Expanded Access Program </w:t>
      </w:r>
      <w:r w:rsidR="002A5B31">
        <w:t>b</w:t>
      </w:r>
      <w:r>
        <w:t xml:space="preserve">ased on </w:t>
      </w:r>
      <w:r w:rsidR="002A5B31">
        <w:t>p</w:t>
      </w:r>
      <w:r>
        <w:t xml:space="preserve">hysician </w:t>
      </w:r>
      <w:r w:rsidR="002A5B31">
        <w:t>a</w:t>
      </w:r>
      <w:r>
        <w:t>ssessment</w:t>
      </w:r>
      <w:r w:rsidR="002A5B31">
        <w:t>.</w:t>
      </w:r>
    </w:p>
    <w:p w14:paraId="0D910F02" w14:textId="10F97082" w:rsidR="001B4CB1" w:rsidRDefault="001B4CB1" w:rsidP="005D0B97">
      <w:r w:rsidRPr="00DE77FE">
        <w:rPr>
          <w:noProof/>
        </w:rPr>
        <w:drawing>
          <wp:inline distT="0" distB="0" distL="0" distR="0" wp14:anchorId="4C5DE838" wp14:editId="0623B1D9">
            <wp:extent cx="4991100" cy="2510905"/>
            <wp:effectExtent l="0" t="0" r="0" b="3810"/>
            <wp:docPr id="1213911798" name="Picture 1" descr="A table of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11798" name="Picture 1" descr="A table of medical information&#10;&#10;AI-generated content may be incorrect."/>
                    <pic:cNvPicPr/>
                  </pic:nvPicPr>
                  <pic:blipFill rotWithShape="1">
                    <a:blip r:embed="rId50"/>
                    <a:srcRect r="8790" b="13675"/>
                    <a:stretch>
                      <a:fillRect/>
                    </a:stretch>
                  </pic:blipFill>
                  <pic:spPr bwMode="auto">
                    <a:xfrm>
                      <a:off x="0" y="0"/>
                      <a:ext cx="4999218" cy="2514989"/>
                    </a:xfrm>
                    <a:prstGeom prst="rect">
                      <a:avLst/>
                    </a:prstGeom>
                    <a:ln>
                      <a:noFill/>
                    </a:ln>
                    <a:extLst>
                      <a:ext uri="{53640926-AAD7-44D8-BBD7-CCE9431645EC}">
                        <a14:shadowObscured xmlns:a14="http://schemas.microsoft.com/office/drawing/2010/main"/>
                      </a:ext>
                    </a:extLst>
                  </pic:spPr>
                </pic:pic>
              </a:graphicData>
            </a:graphic>
          </wp:inline>
        </w:drawing>
      </w:r>
    </w:p>
    <w:p w14:paraId="6DA100B7" w14:textId="7C6C8265" w:rsidR="001B4CB1" w:rsidRDefault="001B4CB1" w:rsidP="006E00CB">
      <w:pPr>
        <w:pStyle w:val="TableDescription"/>
      </w:pPr>
      <w:r>
        <w:t>CR: complete response in all organs; PR: Partial response in at least one organ, no progression in others</w:t>
      </w:r>
      <w:r w:rsidR="00541CC7">
        <w:t xml:space="preserve">; MR: improvement in at least one organ plus worsening in at least one organ; SD: No change; PD: </w:t>
      </w:r>
      <w:r w:rsidR="006E00CB">
        <w:t xml:space="preserve">progression in at least one organ. </w:t>
      </w:r>
    </w:p>
    <w:p w14:paraId="1B8DECCF" w14:textId="77777777" w:rsidR="00402E8F" w:rsidRDefault="00402E8F" w:rsidP="006E00CB">
      <w:pPr>
        <w:pStyle w:val="TableDescription"/>
      </w:pPr>
    </w:p>
    <w:p w14:paraId="24FC28F3" w14:textId="1F3587A9" w:rsidR="00402E8F" w:rsidRPr="00402E8F" w:rsidRDefault="002A5B31" w:rsidP="00DD2E7D">
      <w:pPr>
        <w:pStyle w:val="Heading5"/>
      </w:pPr>
      <w:r w:rsidRPr="002A5B31">
        <w:lastRenderedPageBreak/>
        <w:t>Study INCA34176-358</w:t>
      </w:r>
      <w:r w:rsidR="00091A39">
        <w:t>: s</w:t>
      </w:r>
      <w:r w:rsidR="00402E8F" w:rsidRPr="00402E8F">
        <w:t>upportive clinical data in paediatric participants: (Japan)</w:t>
      </w:r>
    </w:p>
    <w:p w14:paraId="78BBC7B1" w14:textId="544526E9" w:rsidR="00402E8F" w:rsidRPr="00402E8F" w:rsidRDefault="00402E8F" w:rsidP="00402E8F">
      <w:r w:rsidRPr="00402E8F">
        <w:t>Additional data has been obtained in Study INCA34176-358 for Japanese participants &gt; 6 years old, who had active cGVHD and had failed at least 2 prior lines of systemic therapy. Participants were dosed with axatilimab at 0.3 mg/kg Q2W until progressive disease, a need for new systemic cGVHD therapy, unacceptable toxicity, or other discontinuation criteria were met.</w:t>
      </w:r>
    </w:p>
    <w:p w14:paraId="56E8D433" w14:textId="0FF0FE49" w:rsidR="00402E8F" w:rsidRPr="00402E8F" w:rsidRDefault="00402E8F" w:rsidP="00402E8F">
      <w:r w:rsidRPr="00402E8F">
        <w:t>There were 3 patients &lt; 17 years old enrolled in Study INCA34176-358. By the cutoff date (6 A</w:t>
      </w:r>
      <w:r w:rsidR="00833EDB">
        <w:t>ugust</w:t>
      </w:r>
      <w:r w:rsidRPr="00402E8F">
        <w:t xml:space="preserve"> 2025), 1 of these patients had discontinued treatment on the study; the primary reason for discontinuation was “other” (lung transplantation). The remaining 2 paediatric patients remained on treatment and in follow-up per protocol at the data cutoff.</w:t>
      </w:r>
    </w:p>
    <w:p w14:paraId="3D218EF4" w14:textId="77777777" w:rsidR="00402E8F" w:rsidRPr="00402E8F" w:rsidRDefault="00402E8F" w:rsidP="00402E8F">
      <w:r w:rsidRPr="00402E8F">
        <w:t>The safety profile of axatilimab in the paediatric population of Study INCA34176-358 appears consistent with that observed in the AGAVE-201 clinical study with no new or unexpected toxicities reported. Of the 3 participants &lt;17 years all experienced at least 1 TEAE; 1 (33.3%) experienced at least 1 serious TEAE; 0 experienced a fatal TEAE. No TEAEs occurred in &gt; 1 paediatric participant.</w:t>
      </w:r>
    </w:p>
    <w:p w14:paraId="4B760C18" w14:textId="6F463BE6" w:rsidR="00402E8F" w:rsidRDefault="00402E8F" w:rsidP="00402E8F">
      <w:pPr>
        <w:pStyle w:val="TableTitle"/>
      </w:pPr>
      <w:r w:rsidRPr="00402E8F">
        <w:t>Table</w:t>
      </w:r>
      <w:r w:rsidR="00091A39">
        <w:t xml:space="preserve"> 16.</w:t>
      </w:r>
      <w:r w:rsidRPr="00402E8F">
        <w:t xml:space="preserve"> Summary of </w:t>
      </w:r>
      <w:r w:rsidR="00091A39">
        <w:t>tr</w:t>
      </w:r>
      <w:r w:rsidRPr="00402E8F">
        <w:t>eatment‑</w:t>
      </w:r>
      <w:r w:rsidR="00091A39">
        <w:t>e</w:t>
      </w:r>
      <w:r w:rsidRPr="00402E8F">
        <w:t xml:space="preserve">mergent </w:t>
      </w:r>
      <w:r w:rsidR="00091A39">
        <w:t>a</w:t>
      </w:r>
      <w:r w:rsidRPr="00402E8F">
        <w:t xml:space="preserve">dverse </w:t>
      </w:r>
      <w:r w:rsidR="00091A39">
        <w:t>e</w:t>
      </w:r>
      <w:r w:rsidRPr="00402E8F">
        <w:t xml:space="preserve">vents by </w:t>
      </w:r>
      <w:r w:rsidR="00091A39">
        <w:t>p</w:t>
      </w:r>
      <w:r w:rsidRPr="00402E8F">
        <w:t xml:space="preserve">referred </w:t>
      </w:r>
      <w:r w:rsidR="00091A39">
        <w:t>t</w:t>
      </w:r>
      <w:r w:rsidRPr="00402E8F">
        <w:t>erm in INCA 34176-358</w:t>
      </w:r>
    </w:p>
    <w:p w14:paraId="41A589C7" w14:textId="1ACBDE08" w:rsidR="00AF581A" w:rsidRPr="00402E8F" w:rsidRDefault="00734943" w:rsidP="005D0B97">
      <w:r w:rsidRPr="00734943">
        <w:rPr>
          <w:noProof/>
        </w:rPr>
        <w:drawing>
          <wp:inline distT="0" distB="0" distL="0" distR="0" wp14:anchorId="1A119467" wp14:editId="720CE62F">
            <wp:extent cx="5759450" cy="2321560"/>
            <wp:effectExtent l="0" t="0" r="0" b="2540"/>
            <wp:docPr id="1268336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36384"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759450" cy="2321560"/>
                    </a:xfrm>
                    <a:prstGeom prst="rect">
                      <a:avLst/>
                    </a:prstGeom>
                  </pic:spPr>
                </pic:pic>
              </a:graphicData>
            </a:graphic>
          </wp:inline>
        </w:drawing>
      </w:r>
    </w:p>
    <w:p w14:paraId="223C8B0F" w14:textId="77777777" w:rsidR="00117918" w:rsidRDefault="00117918" w:rsidP="00117918">
      <w:r>
        <w:t>Axatilimab efficacy data are outlined in Table below. Investigators reported 1 partial response (33.3%) and 2 unchanged (66.6%) as the best response observed.</w:t>
      </w:r>
    </w:p>
    <w:p w14:paraId="131EF07A" w14:textId="48AE1370" w:rsidR="00402E8F" w:rsidRDefault="00117918" w:rsidP="00117918">
      <w:pPr>
        <w:pStyle w:val="TableTitle"/>
      </w:pPr>
      <w:r>
        <w:t>Table</w:t>
      </w:r>
      <w:r w:rsidR="00091A39">
        <w:t xml:space="preserve"> 17.</w:t>
      </w:r>
      <w:r>
        <w:t xml:space="preserve"> Summary of </w:t>
      </w:r>
      <w:r w:rsidR="00091A39">
        <w:t>b</w:t>
      </w:r>
      <w:r>
        <w:t xml:space="preserve">est </w:t>
      </w:r>
      <w:r w:rsidR="00091A39">
        <w:t>o</w:t>
      </w:r>
      <w:r>
        <w:t xml:space="preserve">verall </w:t>
      </w:r>
      <w:r w:rsidR="00091A39">
        <w:t>r</w:t>
      </w:r>
      <w:r>
        <w:t xml:space="preserve">esponse in the </w:t>
      </w:r>
      <w:r w:rsidR="00091A39">
        <w:t>f</w:t>
      </w:r>
      <w:r>
        <w:t xml:space="preserve">irst 6 </w:t>
      </w:r>
      <w:r w:rsidR="00091A39">
        <w:t>treatment c</w:t>
      </w:r>
      <w:r>
        <w:t>ycles</w:t>
      </w:r>
    </w:p>
    <w:p w14:paraId="5826A095" w14:textId="1249EAF7" w:rsidR="004061E3" w:rsidRDefault="001C051C" w:rsidP="005D0B97">
      <w:r w:rsidRPr="001C051C">
        <w:rPr>
          <w:noProof/>
        </w:rPr>
        <w:drawing>
          <wp:inline distT="0" distB="0" distL="0" distR="0" wp14:anchorId="38C7BA68" wp14:editId="77AF8592">
            <wp:extent cx="5759450" cy="1969135"/>
            <wp:effectExtent l="0" t="0" r="0" b="0"/>
            <wp:docPr id="148242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2386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5759450" cy="1969135"/>
                    </a:xfrm>
                    <a:prstGeom prst="rect">
                      <a:avLst/>
                    </a:prstGeom>
                  </pic:spPr>
                </pic:pic>
              </a:graphicData>
            </a:graphic>
          </wp:inline>
        </w:drawing>
      </w:r>
    </w:p>
    <w:p w14:paraId="2477E3E2" w14:textId="418FC6E8" w:rsidR="00117918" w:rsidRDefault="00957660" w:rsidP="001C051C">
      <w:pPr>
        <w:pStyle w:val="TableDescription"/>
      </w:pPr>
      <w:r>
        <w:t xml:space="preserve">Complete Response: complete response in all organs; Partial Response: partial response in at least 1 organ, no progression in others; Mixed Response: Improvement in at least 1 organ plus worsening in at least 1 organ; Unchanged: No change; Progression: Progression in at least 1 organ, no response in others. </w:t>
      </w:r>
    </w:p>
    <w:p w14:paraId="280D9F4E" w14:textId="77777777" w:rsidR="00F96C2E" w:rsidRDefault="00F96C2E" w:rsidP="00F96C2E">
      <w:pPr>
        <w:pStyle w:val="Heading4"/>
      </w:pPr>
      <w:bookmarkStart w:id="48" w:name="_Toc231299550"/>
      <w:r>
        <w:lastRenderedPageBreak/>
        <w:t>Safety</w:t>
      </w:r>
      <w:bookmarkEnd w:id="48"/>
    </w:p>
    <w:p w14:paraId="2DA545C2" w14:textId="77777777" w:rsidR="00F96C2E" w:rsidRDefault="00F96C2E" w:rsidP="00F96C2E">
      <w:r>
        <w:t>In the pivotal Phase 2 randomised, open-label uncontrolled study of axatilimab 0.3mg/kg every two weeks IV, 1mg/kg every two weeks IV, or 3mg/kg every four weeks IV (SNDX-6352-0504 [AGAVE-201]), most participants had at least one TEAE (97.9%) and 193 (80.8%) had at least one TEAE considered related to study drug by the investigators. A total of 144 participants (60.3%) had at least one TEAE that was grade 3 or higher and serious TEAEs occurred in 101 participants (42.3%), including 14 participants (5.9%) who had serious TEAEs.</w:t>
      </w:r>
    </w:p>
    <w:p w14:paraId="3871F5D3" w14:textId="77777777" w:rsidR="00F96C2E" w:rsidRDefault="00F96C2E" w:rsidP="00F96C2E">
      <w:r>
        <w:t xml:space="preserve">At least one TEAE resulted in either axatilimab discontinuation (for 37 participants, 15.5%), dose interruption (for 89 participants, 37.2%), or dose reduction (for 24 participants, 10.0%). There appeared to be no overall differences across the dose groups in TEAE numbers. </w:t>
      </w:r>
    </w:p>
    <w:p w14:paraId="06F06B09" w14:textId="77777777" w:rsidR="00F96C2E" w:rsidRDefault="00F96C2E" w:rsidP="00F96C2E">
      <w:r>
        <w:t>The majority (97.9%) of all study participants having at least one TEAE most frequently occurred in the following SOCs: investigations (69.5%), infections and infestations (72.0%) and general disorders and administration site conditions (51.0%). The most frequently occurring TEAEs (in &gt;20% of participants) were AST increase (35.6%), CPK increase (35.1%), lipase increase (28.9%), LDH increase (27.2%), ALT increase (24.7%) and fatigue (23.0%).</w:t>
      </w:r>
    </w:p>
    <w:p w14:paraId="5046E168" w14:textId="77777777" w:rsidR="00F96C2E" w:rsidRDefault="00F96C2E" w:rsidP="00F96C2E">
      <w:r>
        <w:t>For TEAEs occurring in &gt;10% of participants, the incidence was over twice as high in at least one of the higher dose groups (1mg/kg every two weeks and 3mg/kg every four weeks) versus participants in the 0.3mg/kg every-two-week dose group. These included AST elevation, CPK elevation, lipase elevation, blood LDH elevation, ALT elevation, amylase elevation, GGT elevation, periorbital oedema, hypophosphataemia, ALP increase, and hypertension.</w:t>
      </w:r>
    </w:p>
    <w:p w14:paraId="4A4221E8" w14:textId="77777777" w:rsidR="00F96C2E" w:rsidRDefault="00F96C2E" w:rsidP="00F96C2E">
      <w:r>
        <w:t>The most frequently occurring events in &gt;5% of participants of grade 3 or higher TEAE were pneumonia (8.4%), CPK increase (7.9%) and COVID-19 (5.4%). It is noted that increased CPK, GGT and GGT, cellulitis, lipase increase, periorbital oedema and AST increase was seen in greater numbers with the higher doses of axatilimab (1mg/kg every two weeks and 3mg/kg every four weeks) compared to 0.3mg/kg every two weeks.</w:t>
      </w:r>
    </w:p>
    <w:p w14:paraId="661B93ED" w14:textId="77777777" w:rsidR="00F96C2E" w:rsidRDefault="00F96C2E" w:rsidP="00F96C2E">
      <w:r>
        <w:t>A total of 14 participants (5.9%) had TEAEs with a fatal outcome, one, seven and six participants in each of the 0.3mg/kg every-two-week group, 1mg/kg every-two-week group and 3mg/kg every-four-week group, respectively (1.3%, 8.6% and 7.6%, respectively), suggesting a dose-response pattern. The only fatal TEAE in the 0.3mg/kg every-two-week group (dyspnoea) occurred in a participant with a medical history of severe cGVHD with lung involvement, arterial hypertension and respiratory insufficiency.</w:t>
      </w:r>
    </w:p>
    <w:p w14:paraId="4B06D259" w14:textId="77777777" w:rsidR="00F96C2E" w:rsidRDefault="00F96C2E" w:rsidP="00F96C2E">
      <w:r>
        <w:t>Serious TEAEs were seen in 42.3% of all study participants, most frequently being reported as pneumonia (7.9%), COVID-19 (4.6%), respiratory failure (3.3%) and cellulitis (2.5%). All other serious TEAEs occurred in less than 2% of participants. The 0.3mg/kg every-two-week dose group had a lower incidence of serious TEAEs.</w:t>
      </w:r>
    </w:p>
    <w:p w14:paraId="5FC085B5" w14:textId="77777777" w:rsidR="00F96C2E" w:rsidRDefault="00F96C2E" w:rsidP="00F96C2E">
      <w:r>
        <w:t xml:space="preserve">In the Phase 1/2 open-label multicentre dose escalation and dose expansion study (SNDX-6352-0503), all participants experienced at least one TEAE. total of 32 participants (80.0%) had a TEAE considered by the investigator to be related to study treatment. Eighteen (45.0%) had a serious TEAE of whom 6 (15.0%) had a serious TEAE considered to be related to study treatment. There was one fatal TEAE which was not considered to be related to study treatment. There were no notable differences between the participants who received 1mg/kg every two weeks and the total population. Additionally, regarding the pediatric participants, altogether there were 8 participants younger than 17 years in the integrated safety population, all of them in the safety pool. Only 3 participants were younger than 12 years of age (all were 7 years of old). </w:t>
      </w:r>
    </w:p>
    <w:p w14:paraId="77D667BD" w14:textId="77777777" w:rsidR="00F96C2E" w:rsidRDefault="00F96C2E" w:rsidP="00F96C2E">
      <w:r>
        <w:lastRenderedPageBreak/>
        <w:t xml:space="preserve">TEAEs of liver parameters included increased AST (77.4%), increased ALT (56.9%). These changes were usually lower in the 0.3mg/kg every-two-week group compared to the two high dose groups. </w:t>
      </w:r>
    </w:p>
    <w:p w14:paraId="710ADC30" w14:textId="7756A894" w:rsidR="001C051C" w:rsidRPr="00A41468" w:rsidRDefault="00F96C2E" w:rsidP="00F96C2E">
      <w:r>
        <w:t>The E-R safety analyses were conducted for participants from SNDX-6352-0503 and AGAVE-201. A total of 29/37 safety endpoints were associated with axatilimab steady-state AUC. The probability of these 29 AEs increased with axatilimab total exposure.</w:t>
      </w:r>
    </w:p>
    <w:p w14:paraId="2858B006" w14:textId="77777777" w:rsidR="00C22214" w:rsidRDefault="00C22214" w:rsidP="00C22214">
      <w:pPr>
        <w:pStyle w:val="Heading3"/>
        <w:rPr>
          <w:lang w:eastAsia="en-AU"/>
        </w:rPr>
      </w:pPr>
      <w:bookmarkStart w:id="49" w:name="_Toc314842514"/>
      <w:bookmarkStart w:id="50" w:name="_Toc103679298"/>
      <w:bookmarkStart w:id="51" w:name="_Toc231299551"/>
      <w:bookmarkEnd w:id="47"/>
      <w:r>
        <w:rPr>
          <w:lang w:eastAsia="en-AU"/>
        </w:rPr>
        <w:t>Risk management plan</w:t>
      </w:r>
      <w:bookmarkEnd w:id="49"/>
      <w:bookmarkEnd w:id="50"/>
      <w:bookmarkEnd w:id="51"/>
    </w:p>
    <w:p w14:paraId="017B17AD" w14:textId="77777777" w:rsidR="001F002D" w:rsidRDefault="001F002D" w:rsidP="001F002D">
      <w:bookmarkStart w:id="52" w:name="_Ref97629131"/>
      <w:bookmarkStart w:id="53" w:name="_Toc247691531"/>
      <w:bookmarkStart w:id="54" w:name="_Toc314842515"/>
      <w:r>
        <w:t xml:space="preserve">Specialised Therapeutics Alim Pty Ltd has submitted Core-RMP version 1.0 (dated 21 November 2024; DLP 7 April 2023) and ASA version 1.0 (dated April 2025) in support of this application.  </w:t>
      </w:r>
    </w:p>
    <w:p w14:paraId="780B1F9B" w14:textId="20827A2B" w:rsidR="001F002D" w:rsidRDefault="001F002D" w:rsidP="001F002D">
      <w:r>
        <w:t xml:space="preserve">The proposed summary of safety concerns and their associated risk monitoring and mitigation strategies are summarised </w:t>
      </w:r>
      <w:r w:rsidR="00091A39">
        <w:t>in Table 18.</w:t>
      </w:r>
    </w:p>
    <w:p w14:paraId="56B51A93" w14:textId="5ADA3BB6" w:rsidR="006A277A" w:rsidRDefault="00C22214" w:rsidP="00C22214">
      <w:pPr>
        <w:pStyle w:val="TableTitle"/>
      </w:pPr>
      <w:r>
        <w:t>Tabl</w:t>
      </w:r>
      <w:bookmarkEnd w:id="52"/>
      <w:r w:rsidR="00091A39">
        <w:t>e 18</w:t>
      </w:r>
      <w:r w:rsidR="003302FF">
        <w:rPr>
          <w:noProof/>
        </w:rPr>
        <w:t>.</w:t>
      </w:r>
      <w:r>
        <w:t xml:space="preserve"> Summary of safety concerns</w:t>
      </w:r>
    </w:p>
    <w:tbl>
      <w:tblPr>
        <w:tblStyle w:val="TableGrid"/>
        <w:tblW w:w="8957"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327"/>
        <w:gridCol w:w="3204"/>
        <w:gridCol w:w="851"/>
        <w:gridCol w:w="1276"/>
        <w:gridCol w:w="1134"/>
        <w:gridCol w:w="1165"/>
      </w:tblGrid>
      <w:tr w:rsidR="0094472B" w:rsidRPr="00593924" w14:paraId="5EABC7E5" w14:textId="77777777" w:rsidTr="005B7FF3">
        <w:trPr>
          <w:jc w:val="center"/>
        </w:trPr>
        <w:tc>
          <w:tcPr>
            <w:tcW w:w="4531" w:type="dxa"/>
            <w:gridSpan w:val="2"/>
            <w:vMerge w:val="restart"/>
            <w:shd w:val="clear" w:color="auto" w:fill="DEEAF6"/>
          </w:tcPr>
          <w:p w14:paraId="6A5FF543" w14:textId="77777777" w:rsidR="0094472B" w:rsidRPr="00593924" w:rsidRDefault="0094472B">
            <w:pPr>
              <w:pStyle w:val="Tabletext0"/>
              <w:rPr>
                <w:b/>
                <w:color w:val="263287"/>
                <w:kern w:val="0"/>
                <w:szCs w:val="20"/>
              </w:rPr>
            </w:pPr>
            <w:r w:rsidRPr="00593924">
              <w:rPr>
                <w:b/>
                <w:color w:val="263287"/>
                <w:kern w:val="0"/>
                <w:szCs w:val="20"/>
              </w:rPr>
              <w:t>Summary of safety concerns</w:t>
            </w:r>
          </w:p>
        </w:tc>
        <w:tc>
          <w:tcPr>
            <w:tcW w:w="2127" w:type="dxa"/>
            <w:gridSpan w:val="2"/>
            <w:shd w:val="clear" w:color="auto" w:fill="DEEAF6"/>
          </w:tcPr>
          <w:p w14:paraId="7E50ED91" w14:textId="77777777" w:rsidR="0094472B" w:rsidRPr="00593924" w:rsidRDefault="0094472B">
            <w:pPr>
              <w:pStyle w:val="Tabletext0"/>
              <w:rPr>
                <w:b/>
                <w:color w:val="263287"/>
                <w:kern w:val="0"/>
                <w:szCs w:val="20"/>
              </w:rPr>
            </w:pPr>
            <w:r w:rsidRPr="00593924">
              <w:rPr>
                <w:b/>
                <w:color w:val="263287"/>
                <w:kern w:val="0"/>
                <w:szCs w:val="20"/>
              </w:rPr>
              <w:t>Pharmacovigilance</w:t>
            </w:r>
          </w:p>
        </w:tc>
        <w:tc>
          <w:tcPr>
            <w:tcW w:w="2299" w:type="dxa"/>
            <w:gridSpan w:val="2"/>
            <w:shd w:val="clear" w:color="auto" w:fill="DEEAF6"/>
          </w:tcPr>
          <w:p w14:paraId="01B6D8E7" w14:textId="77777777" w:rsidR="0094472B" w:rsidRPr="00593924" w:rsidRDefault="0094472B">
            <w:pPr>
              <w:pStyle w:val="Tabletext0"/>
              <w:rPr>
                <w:b/>
                <w:color w:val="263287"/>
                <w:kern w:val="0"/>
                <w:szCs w:val="20"/>
              </w:rPr>
            </w:pPr>
            <w:r w:rsidRPr="00593924">
              <w:rPr>
                <w:b/>
                <w:color w:val="263287"/>
                <w:kern w:val="0"/>
                <w:szCs w:val="20"/>
              </w:rPr>
              <w:t>Risk Minimisation</w:t>
            </w:r>
          </w:p>
        </w:tc>
      </w:tr>
      <w:tr w:rsidR="0094472B" w:rsidRPr="00593924" w14:paraId="70F8064C" w14:textId="77777777" w:rsidTr="005B7FF3">
        <w:trPr>
          <w:jc w:val="center"/>
        </w:trPr>
        <w:tc>
          <w:tcPr>
            <w:tcW w:w="4531" w:type="dxa"/>
            <w:gridSpan w:val="2"/>
            <w:vMerge/>
            <w:shd w:val="clear" w:color="auto" w:fill="DEEAF6"/>
          </w:tcPr>
          <w:p w14:paraId="7F207BF3" w14:textId="77777777" w:rsidR="0094472B" w:rsidRPr="00593924" w:rsidRDefault="0094472B">
            <w:pPr>
              <w:pStyle w:val="Tabletext0"/>
              <w:rPr>
                <w:b/>
                <w:color w:val="263287"/>
                <w:kern w:val="0"/>
                <w:szCs w:val="20"/>
              </w:rPr>
            </w:pPr>
          </w:p>
        </w:tc>
        <w:tc>
          <w:tcPr>
            <w:tcW w:w="851" w:type="dxa"/>
            <w:shd w:val="clear" w:color="auto" w:fill="DEEAF6"/>
          </w:tcPr>
          <w:p w14:paraId="1C400F5E" w14:textId="77777777" w:rsidR="0094472B" w:rsidRPr="00593924" w:rsidRDefault="0094472B">
            <w:pPr>
              <w:pStyle w:val="Tabletext0"/>
              <w:rPr>
                <w:color w:val="263287"/>
                <w:kern w:val="0"/>
                <w:szCs w:val="20"/>
              </w:rPr>
            </w:pPr>
            <w:r w:rsidRPr="00593924">
              <w:rPr>
                <w:color w:val="263287"/>
                <w:kern w:val="0"/>
                <w:szCs w:val="20"/>
              </w:rPr>
              <w:t>Routine</w:t>
            </w:r>
          </w:p>
        </w:tc>
        <w:tc>
          <w:tcPr>
            <w:tcW w:w="1276" w:type="dxa"/>
            <w:shd w:val="clear" w:color="auto" w:fill="DEEAF6"/>
          </w:tcPr>
          <w:p w14:paraId="609A46D0" w14:textId="77777777" w:rsidR="0094472B" w:rsidRPr="00593924" w:rsidRDefault="0094472B">
            <w:pPr>
              <w:pStyle w:val="Tabletext0"/>
              <w:rPr>
                <w:color w:val="263287"/>
                <w:kern w:val="0"/>
                <w:szCs w:val="20"/>
              </w:rPr>
            </w:pPr>
            <w:r w:rsidRPr="00593924">
              <w:rPr>
                <w:color w:val="263287"/>
                <w:kern w:val="0"/>
                <w:szCs w:val="20"/>
              </w:rPr>
              <w:t>Additional</w:t>
            </w:r>
          </w:p>
        </w:tc>
        <w:tc>
          <w:tcPr>
            <w:tcW w:w="1134" w:type="dxa"/>
            <w:shd w:val="clear" w:color="auto" w:fill="DEEAF6"/>
          </w:tcPr>
          <w:p w14:paraId="199B8636" w14:textId="77777777" w:rsidR="0094472B" w:rsidRPr="00593924" w:rsidRDefault="0094472B">
            <w:pPr>
              <w:pStyle w:val="Tabletext0"/>
              <w:rPr>
                <w:color w:val="263287"/>
                <w:kern w:val="0"/>
                <w:szCs w:val="20"/>
              </w:rPr>
            </w:pPr>
            <w:r w:rsidRPr="00593924">
              <w:rPr>
                <w:color w:val="263287"/>
                <w:kern w:val="0"/>
                <w:szCs w:val="20"/>
              </w:rPr>
              <w:t>Routine</w:t>
            </w:r>
          </w:p>
        </w:tc>
        <w:tc>
          <w:tcPr>
            <w:tcW w:w="1161" w:type="dxa"/>
            <w:shd w:val="clear" w:color="auto" w:fill="DEEAF6"/>
          </w:tcPr>
          <w:p w14:paraId="7E7887A0" w14:textId="77777777" w:rsidR="0094472B" w:rsidRPr="00593924" w:rsidRDefault="0094472B">
            <w:pPr>
              <w:pStyle w:val="Tabletext0"/>
              <w:rPr>
                <w:color w:val="263287"/>
                <w:kern w:val="0"/>
                <w:szCs w:val="20"/>
              </w:rPr>
            </w:pPr>
            <w:r w:rsidRPr="00593924">
              <w:rPr>
                <w:color w:val="263287"/>
                <w:kern w:val="0"/>
                <w:szCs w:val="20"/>
              </w:rPr>
              <w:t>Additional</w:t>
            </w:r>
          </w:p>
        </w:tc>
      </w:tr>
      <w:tr w:rsidR="0094472B" w:rsidRPr="00593924" w14:paraId="47A1A76F" w14:textId="77777777" w:rsidTr="005B7FF3">
        <w:trPr>
          <w:jc w:val="center"/>
        </w:trPr>
        <w:tc>
          <w:tcPr>
            <w:tcW w:w="1327" w:type="dxa"/>
          </w:tcPr>
          <w:p w14:paraId="76169781" w14:textId="77777777" w:rsidR="0094472B" w:rsidRPr="00593924" w:rsidRDefault="0094472B">
            <w:pPr>
              <w:pStyle w:val="Tabletext0"/>
              <w:rPr>
                <w:b/>
                <w:kern w:val="0"/>
                <w:szCs w:val="20"/>
              </w:rPr>
            </w:pPr>
            <w:r w:rsidRPr="00593924">
              <w:rPr>
                <w:b/>
                <w:kern w:val="0"/>
                <w:szCs w:val="20"/>
              </w:rPr>
              <w:t>Important identified risks</w:t>
            </w:r>
          </w:p>
        </w:tc>
        <w:tc>
          <w:tcPr>
            <w:tcW w:w="3204" w:type="dxa"/>
          </w:tcPr>
          <w:p w14:paraId="5BBF207B" w14:textId="77777777" w:rsidR="0094472B" w:rsidRPr="00593924" w:rsidRDefault="0094472B">
            <w:pPr>
              <w:pStyle w:val="Tabletext0"/>
              <w:rPr>
                <w:kern w:val="0"/>
                <w:szCs w:val="20"/>
              </w:rPr>
            </w:pPr>
            <w:r w:rsidRPr="00593924">
              <w:rPr>
                <w:kern w:val="0"/>
                <w:szCs w:val="20"/>
              </w:rPr>
              <w:t>Infusion-Related Reactions</w:t>
            </w:r>
          </w:p>
        </w:tc>
        <w:tc>
          <w:tcPr>
            <w:tcW w:w="851" w:type="dxa"/>
            <w:vAlign w:val="center"/>
          </w:tcPr>
          <w:p w14:paraId="4E4DE8D2" w14:textId="77777777" w:rsidR="0094472B" w:rsidRPr="00593924" w:rsidRDefault="0094472B">
            <w:pPr>
              <w:pStyle w:val="Tabletext0"/>
              <w:jc w:val="center"/>
              <w:rPr>
                <w:kern w:val="0"/>
                <w:szCs w:val="20"/>
              </w:rPr>
            </w:pPr>
            <w:r w:rsidRPr="00593924">
              <w:rPr>
                <w:rFonts w:ascii="Wingdings" w:eastAsia="Wingdings" w:hAnsi="Wingdings" w:cs="Wingdings"/>
                <w:kern w:val="0"/>
                <w:szCs w:val="20"/>
              </w:rPr>
              <w:t>ü</w:t>
            </w:r>
          </w:p>
          <w:p w14:paraId="1DE9ADD6" w14:textId="77777777" w:rsidR="0094472B" w:rsidRPr="00593924" w:rsidRDefault="0094472B">
            <w:pPr>
              <w:pStyle w:val="Tabletext0"/>
              <w:jc w:val="center"/>
              <w:rPr>
                <w:kern w:val="0"/>
                <w:szCs w:val="20"/>
              </w:rPr>
            </w:pPr>
          </w:p>
          <w:p w14:paraId="28BEB3A6" w14:textId="77777777" w:rsidR="0094472B" w:rsidRPr="00593924" w:rsidRDefault="0094472B">
            <w:pPr>
              <w:pStyle w:val="Tabletext0"/>
              <w:jc w:val="center"/>
              <w:rPr>
                <w:kern w:val="0"/>
                <w:szCs w:val="20"/>
              </w:rPr>
            </w:pPr>
          </w:p>
        </w:tc>
        <w:tc>
          <w:tcPr>
            <w:tcW w:w="1276" w:type="dxa"/>
            <w:vAlign w:val="center"/>
          </w:tcPr>
          <w:p w14:paraId="36FEB707" w14:textId="77777777" w:rsidR="0094472B" w:rsidRPr="00593924" w:rsidRDefault="0094472B">
            <w:pPr>
              <w:pStyle w:val="Tabletext0"/>
              <w:jc w:val="center"/>
              <w:rPr>
                <w:kern w:val="0"/>
                <w:szCs w:val="20"/>
              </w:rPr>
            </w:pPr>
            <w:r w:rsidRPr="00593924">
              <w:rPr>
                <w:kern w:val="0"/>
                <w:szCs w:val="20"/>
              </w:rPr>
              <w:t>–</w:t>
            </w:r>
          </w:p>
          <w:p w14:paraId="64C06B92" w14:textId="77777777" w:rsidR="0094472B" w:rsidRPr="00593924" w:rsidRDefault="0094472B">
            <w:pPr>
              <w:pStyle w:val="Tabletext0"/>
              <w:jc w:val="center"/>
              <w:rPr>
                <w:kern w:val="0"/>
                <w:szCs w:val="20"/>
              </w:rPr>
            </w:pPr>
          </w:p>
          <w:p w14:paraId="44EBACAF" w14:textId="77777777" w:rsidR="0094472B" w:rsidRPr="00593924" w:rsidRDefault="0094472B">
            <w:pPr>
              <w:pStyle w:val="Tabletext0"/>
              <w:jc w:val="center"/>
              <w:rPr>
                <w:kern w:val="0"/>
                <w:szCs w:val="20"/>
              </w:rPr>
            </w:pPr>
          </w:p>
        </w:tc>
        <w:tc>
          <w:tcPr>
            <w:tcW w:w="1134" w:type="dxa"/>
            <w:vAlign w:val="center"/>
          </w:tcPr>
          <w:p w14:paraId="204C9DF4" w14:textId="77777777" w:rsidR="0094472B" w:rsidRPr="00593924" w:rsidRDefault="0094472B">
            <w:pPr>
              <w:pStyle w:val="Tabletext0"/>
              <w:jc w:val="center"/>
              <w:rPr>
                <w:kern w:val="0"/>
                <w:szCs w:val="20"/>
              </w:rPr>
            </w:pPr>
            <w:r w:rsidRPr="00593924">
              <w:rPr>
                <w:rFonts w:ascii="Wingdings" w:eastAsia="Wingdings" w:hAnsi="Wingdings" w:cs="Wingdings"/>
                <w:kern w:val="0"/>
                <w:szCs w:val="20"/>
              </w:rPr>
              <w:t>ü</w:t>
            </w:r>
          </w:p>
          <w:p w14:paraId="36544E17" w14:textId="77777777" w:rsidR="0094472B" w:rsidRPr="00593924" w:rsidRDefault="0094472B">
            <w:pPr>
              <w:pStyle w:val="Tabletext0"/>
              <w:rPr>
                <w:kern w:val="0"/>
                <w:szCs w:val="20"/>
              </w:rPr>
            </w:pPr>
          </w:p>
          <w:p w14:paraId="5B44A7E3" w14:textId="77777777" w:rsidR="0094472B" w:rsidRPr="00593924" w:rsidRDefault="0094472B">
            <w:pPr>
              <w:pStyle w:val="Tabletext0"/>
              <w:jc w:val="center"/>
              <w:rPr>
                <w:kern w:val="0"/>
                <w:szCs w:val="20"/>
              </w:rPr>
            </w:pPr>
          </w:p>
        </w:tc>
        <w:tc>
          <w:tcPr>
            <w:tcW w:w="1161" w:type="dxa"/>
            <w:vAlign w:val="center"/>
          </w:tcPr>
          <w:p w14:paraId="73E9A001" w14:textId="77777777" w:rsidR="0094472B" w:rsidRPr="00593924" w:rsidRDefault="0094472B">
            <w:pPr>
              <w:pStyle w:val="Tabletext0"/>
              <w:jc w:val="center"/>
              <w:rPr>
                <w:kern w:val="0"/>
                <w:szCs w:val="20"/>
              </w:rPr>
            </w:pPr>
            <w:r w:rsidRPr="00593924">
              <w:rPr>
                <w:kern w:val="0"/>
                <w:szCs w:val="20"/>
              </w:rPr>
              <w:t>–</w:t>
            </w:r>
          </w:p>
          <w:p w14:paraId="64AC3FD2" w14:textId="77777777" w:rsidR="0094472B" w:rsidRPr="00593924" w:rsidRDefault="0094472B">
            <w:pPr>
              <w:pStyle w:val="Tabletext0"/>
              <w:jc w:val="center"/>
              <w:rPr>
                <w:kern w:val="0"/>
                <w:szCs w:val="20"/>
              </w:rPr>
            </w:pPr>
          </w:p>
          <w:p w14:paraId="3F194610" w14:textId="77777777" w:rsidR="0094472B" w:rsidRPr="00593924" w:rsidRDefault="0094472B">
            <w:pPr>
              <w:pStyle w:val="Tabletext0"/>
              <w:jc w:val="center"/>
              <w:rPr>
                <w:kern w:val="0"/>
                <w:szCs w:val="20"/>
              </w:rPr>
            </w:pPr>
          </w:p>
        </w:tc>
      </w:tr>
      <w:tr w:rsidR="0094472B" w:rsidRPr="00593924" w14:paraId="08830BB4" w14:textId="77777777" w:rsidTr="005B7FF3">
        <w:trPr>
          <w:jc w:val="center"/>
        </w:trPr>
        <w:tc>
          <w:tcPr>
            <w:tcW w:w="1327" w:type="dxa"/>
          </w:tcPr>
          <w:p w14:paraId="1FA11C13" w14:textId="77777777" w:rsidR="0094472B" w:rsidRPr="00593924" w:rsidRDefault="0094472B">
            <w:pPr>
              <w:pStyle w:val="Tabletext0"/>
              <w:rPr>
                <w:b/>
                <w:kern w:val="0"/>
                <w:szCs w:val="20"/>
              </w:rPr>
            </w:pPr>
            <w:r w:rsidRPr="00593924">
              <w:rPr>
                <w:b/>
                <w:kern w:val="0"/>
                <w:szCs w:val="20"/>
              </w:rPr>
              <w:t>Important potential risks</w:t>
            </w:r>
          </w:p>
        </w:tc>
        <w:tc>
          <w:tcPr>
            <w:tcW w:w="3204" w:type="dxa"/>
          </w:tcPr>
          <w:p w14:paraId="02BEDB13" w14:textId="77777777" w:rsidR="0094472B" w:rsidRPr="00593924" w:rsidRDefault="0094472B">
            <w:pPr>
              <w:pStyle w:val="Tabletext0"/>
              <w:rPr>
                <w:kern w:val="0"/>
                <w:szCs w:val="20"/>
              </w:rPr>
            </w:pPr>
            <w:r w:rsidRPr="00593924">
              <w:rPr>
                <w:kern w:val="0"/>
                <w:szCs w:val="20"/>
              </w:rPr>
              <w:t>None</w:t>
            </w:r>
          </w:p>
        </w:tc>
        <w:tc>
          <w:tcPr>
            <w:tcW w:w="851" w:type="dxa"/>
            <w:vAlign w:val="center"/>
          </w:tcPr>
          <w:p w14:paraId="6EE71708" w14:textId="77777777" w:rsidR="0094472B" w:rsidRPr="00593924" w:rsidRDefault="0094472B">
            <w:pPr>
              <w:pStyle w:val="Tabletext0"/>
              <w:jc w:val="center"/>
              <w:rPr>
                <w:kern w:val="0"/>
                <w:szCs w:val="20"/>
              </w:rPr>
            </w:pPr>
            <w:r w:rsidRPr="00593924">
              <w:rPr>
                <w:rFonts w:ascii="Wingdings" w:eastAsia="Wingdings" w:hAnsi="Wingdings" w:cs="Wingdings"/>
                <w:kern w:val="0"/>
                <w:szCs w:val="20"/>
              </w:rPr>
              <w:t>ü</w:t>
            </w:r>
          </w:p>
          <w:p w14:paraId="326B716A" w14:textId="77777777" w:rsidR="0094472B" w:rsidRPr="00593924" w:rsidRDefault="0094472B">
            <w:pPr>
              <w:pStyle w:val="Tabletext0"/>
              <w:jc w:val="center"/>
              <w:rPr>
                <w:kern w:val="0"/>
                <w:szCs w:val="20"/>
              </w:rPr>
            </w:pPr>
          </w:p>
          <w:p w14:paraId="5EEAC274" w14:textId="77777777" w:rsidR="0094472B" w:rsidRPr="00593924" w:rsidRDefault="0094472B">
            <w:pPr>
              <w:pStyle w:val="Tabletext0"/>
              <w:jc w:val="center"/>
              <w:rPr>
                <w:kern w:val="0"/>
                <w:szCs w:val="20"/>
              </w:rPr>
            </w:pPr>
          </w:p>
        </w:tc>
        <w:tc>
          <w:tcPr>
            <w:tcW w:w="1276" w:type="dxa"/>
            <w:vAlign w:val="center"/>
          </w:tcPr>
          <w:p w14:paraId="6F32B8E6" w14:textId="77777777" w:rsidR="0094472B" w:rsidRPr="00593924" w:rsidRDefault="0094472B">
            <w:pPr>
              <w:pStyle w:val="Tabletext0"/>
              <w:jc w:val="center"/>
              <w:rPr>
                <w:kern w:val="0"/>
                <w:szCs w:val="20"/>
              </w:rPr>
            </w:pPr>
            <w:r w:rsidRPr="00593924">
              <w:rPr>
                <w:kern w:val="0"/>
                <w:szCs w:val="20"/>
              </w:rPr>
              <w:t>–</w:t>
            </w:r>
          </w:p>
          <w:p w14:paraId="07EC4AD1" w14:textId="77777777" w:rsidR="0094472B" w:rsidRPr="00593924" w:rsidRDefault="0094472B">
            <w:pPr>
              <w:pStyle w:val="Tabletext0"/>
              <w:jc w:val="center"/>
              <w:rPr>
                <w:kern w:val="0"/>
                <w:szCs w:val="20"/>
              </w:rPr>
            </w:pPr>
          </w:p>
          <w:p w14:paraId="0EFEDFC3" w14:textId="77777777" w:rsidR="0094472B" w:rsidRPr="00593924" w:rsidRDefault="0094472B">
            <w:pPr>
              <w:pStyle w:val="Tabletext0"/>
              <w:jc w:val="center"/>
              <w:rPr>
                <w:kern w:val="0"/>
                <w:szCs w:val="20"/>
              </w:rPr>
            </w:pPr>
          </w:p>
        </w:tc>
        <w:tc>
          <w:tcPr>
            <w:tcW w:w="1134" w:type="dxa"/>
            <w:vAlign w:val="center"/>
          </w:tcPr>
          <w:p w14:paraId="62DAF947" w14:textId="77777777" w:rsidR="0094472B" w:rsidRPr="00593924" w:rsidRDefault="0094472B">
            <w:pPr>
              <w:pStyle w:val="Tabletext0"/>
              <w:jc w:val="center"/>
              <w:rPr>
                <w:kern w:val="0"/>
                <w:szCs w:val="20"/>
              </w:rPr>
            </w:pPr>
            <w:r w:rsidRPr="00593924">
              <w:rPr>
                <w:rFonts w:ascii="Wingdings" w:eastAsia="Wingdings" w:hAnsi="Wingdings" w:cs="Wingdings"/>
                <w:kern w:val="0"/>
                <w:szCs w:val="20"/>
              </w:rPr>
              <w:t>ü</w:t>
            </w:r>
          </w:p>
          <w:p w14:paraId="059A16E7" w14:textId="77777777" w:rsidR="0094472B" w:rsidRPr="00593924" w:rsidRDefault="0094472B">
            <w:pPr>
              <w:pStyle w:val="Tabletext0"/>
              <w:jc w:val="center"/>
              <w:rPr>
                <w:kern w:val="0"/>
                <w:szCs w:val="20"/>
              </w:rPr>
            </w:pPr>
          </w:p>
          <w:p w14:paraId="036D43EF" w14:textId="77777777" w:rsidR="0094472B" w:rsidRPr="00593924" w:rsidRDefault="0094472B">
            <w:pPr>
              <w:pStyle w:val="Tabletext0"/>
              <w:jc w:val="center"/>
              <w:rPr>
                <w:kern w:val="0"/>
                <w:szCs w:val="20"/>
              </w:rPr>
            </w:pPr>
          </w:p>
        </w:tc>
        <w:tc>
          <w:tcPr>
            <w:tcW w:w="1161" w:type="dxa"/>
            <w:vAlign w:val="center"/>
          </w:tcPr>
          <w:p w14:paraId="11D3DB27" w14:textId="77777777" w:rsidR="0094472B" w:rsidRPr="00593924" w:rsidRDefault="0094472B">
            <w:pPr>
              <w:pStyle w:val="Tabletext0"/>
              <w:jc w:val="center"/>
              <w:rPr>
                <w:kern w:val="0"/>
                <w:szCs w:val="20"/>
              </w:rPr>
            </w:pPr>
            <w:r w:rsidRPr="00593924">
              <w:rPr>
                <w:kern w:val="0"/>
                <w:szCs w:val="20"/>
              </w:rPr>
              <w:t>–</w:t>
            </w:r>
          </w:p>
          <w:p w14:paraId="078B2AE8" w14:textId="77777777" w:rsidR="0094472B" w:rsidRPr="00593924" w:rsidRDefault="0094472B">
            <w:pPr>
              <w:pStyle w:val="Tabletext0"/>
              <w:jc w:val="center"/>
              <w:rPr>
                <w:kern w:val="0"/>
                <w:szCs w:val="20"/>
              </w:rPr>
            </w:pPr>
          </w:p>
          <w:p w14:paraId="00F9C18E" w14:textId="77777777" w:rsidR="0094472B" w:rsidRPr="00593924" w:rsidRDefault="0094472B">
            <w:pPr>
              <w:pStyle w:val="Tabletext0"/>
              <w:jc w:val="center"/>
              <w:rPr>
                <w:kern w:val="0"/>
                <w:szCs w:val="20"/>
              </w:rPr>
            </w:pPr>
          </w:p>
        </w:tc>
      </w:tr>
      <w:tr w:rsidR="0094472B" w:rsidRPr="00593924" w14:paraId="5737B1CB" w14:textId="77777777" w:rsidTr="005B7FF3">
        <w:trPr>
          <w:jc w:val="center"/>
        </w:trPr>
        <w:tc>
          <w:tcPr>
            <w:tcW w:w="1327" w:type="dxa"/>
          </w:tcPr>
          <w:p w14:paraId="2664A4D3" w14:textId="77777777" w:rsidR="0094472B" w:rsidRPr="00593924" w:rsidRDefault="0094472B">
            <w:pPr>
              <w:pStyle w:val="Tabletext0"/>
              <w:rPr>
                <w:b/>
                <w:kern w:val="0"/>
                <w:szCs w:val="20"/>
              </w:rPr>
            </w:pPr>
            <w:r w:rsidRPr="00593924">
              <w:rPr>
                <w:b/>
                <w:kern w:val="0"/>
                <w:szCs w:val="20"/>
              </w:rPr>
              <w:t>Missing information</w:t>
            </w:r>
          </w:p>
        </w:tc>
        <w:tc>
          <w:tcPr>
            <w:tcW w:w="3204" w:type="dxa"/>
          </w:tcPr>
          <w:p w14:paraId="7E140CFA" w14:textId="77777777" w:rsidR="0094472B" w:rsidRPr="00593924" w:rsidRDefault="0094472B">
            <w:pPr>
              <w:pStyle w:val="Tabletext0"/>
              <w:rPr>
                <w:kern w:val="0"/>
                <w:szCs w:val="20"/>
              </w:rPr>
            </w:pPr>
            <w:r w:rsidRPr="00593924">
              <w:rPr>
                <w:kern w:val="0"/>
                <w:szCs w:val="20"/>
              </w:rPr>
              <w:t>None</w:t>
            </w:r>
          </w:p>
        </w:tc>
        <w:tc>
          <w:tcPr>
            <w:tcW w:w="851" w:type="dxa"/>
            <w:vAlign w:val="center"/>
          </w:tcPr>
          <w:p w14:paraId="6242BE9A" w14:textId="77777777" w:rsidR="0094472B" w:rsidRPr="00593924" w:rsidRDefault="0094472B">
            <w:pPr>
              <w:pStyle w:val="Tabletext0"/>
              <w:jc w:val="center"/>
              <w:rPr>
                <w:kern w:val="0"/>
                <w:szCs w:val="20"/>
              </w:rPr>
            </w:pPr>
            <w:r w:rsidRPr="00593924">
              <w:rPr>
                <w:rFonts w:ascii="Wingdings" w:eastAsia="Wingdings" w:hAnsi="Wingdings" w:cs="Wingdings"/>
                <w:kern w:val="0"/>
                <w:szCs w:val="20"/>
              </w:rPr>
              <w:t>ü</w:t>
            </w:r>
          </w:p>
          <w:p w14:paraId="35971235" w14:textId="77777777" w:rsidR="0094472B" w:rsidRPr="00593924" w:rsidRDefault="0094472B">
            <w:pPr>
              <w:pStyle w:val="Tabletext0"/>
              <w:jc w:val="center"/>
              <w:rPr>
                <w:kern w:val="0"/>
                <w:szCs w:val="20"/>
              </w:rPr>
            </w:pPr>
          </w:p>
          <w:p w14:paraId="7FA2432E" w14:textId="77777777" w:rsidR="0094472B" w:rsidRPr="00593924" w:rsidRDefault="0094472B">
            <w:pPr>
              <w:pStyle w:val="Tabletext0"/>
              <w:jc w:val="center"/>
              <w:rPr>
                <w:kern w:val="0"/>
                <w:szCs w:val="20"/>
              </w:rPr>
            </w:pPr>
          </w:p>
        </w:tc>
        <w:tc>
          <w:tcPr>
            <w:tcW w:w="1276" w:type="dxa"/>
            <w:vAlign w:val="center"/>
          </w:tcPr>
          <w:p w14:paraId="0EF84A4E" w14:textId="77777777" w:rsidR="0094472B" w:rsidRPr="00593924" w:rsidRDefault="0094472B">
            <w:pPr>
              <w:pStyle w:val="Tabletext0"/>
              <w:jc w:val="center"/>
              <w:rPr>
                <w:kern w:val="0"/>
                <w:szCs w:val="20"/>
              </w:rPr>
            </w:pPr>
            <w:r w:rsidRPr="00593924">
              <w:rPr>
                <w:kern w:val="0"/>
                <w:szCs w:val="20"/>
              </w:rPr>
              <w:t>–</w:t>
            </w:r>
          </w:p>
          <w:p w14:paraId="664738EC" w14:textId="77777777" w:rsidR="0094472B" w:rsidRPr="00593924" w:rsidRDefault="0094472B">
            <w:pPr>
              <w:pStyle w:val="Tabletext0"/>
              <w:jc w:val="center"/>
              <w:rPr>
                <w:kern w:val="0"/>
                <w:szCs w:val="20"/>
              </w:rPr>
            </w:pPr>
          </w:p>
          <w:p w14:paraId="555FA47A" w14:textId="77777777" w:rsidR="0094472B" w:rsidRPr="00593924" w:rsidRDefault="0094472B">
            <w:pPr>
              <w:pStyle w:val="Tabletext0"/>
              <w:jc w:val="center"/>
              <w:rPr>
                <w:kern w:val="0"/>
                <w:szCs w:val="20"/>
              </w:rPr>
            </w:pPr>
          </w:p>
        </w:tc>
        <w:tc>
          <w:tcPr>
            <w:tcW w:w="1134" w:type="dxa"/>
            <w:vAlign w:val="center"/>
          </w:tcPr>
          <w:p w14:paraId="5135C7FE" w14:textId="77777777" w:rsidR="0094472B" w:rsidRPr="00593924" w:rsidRDefault="0094472B">
            <w:pPr>
              <w:pStyle w:val="Tabletext0"/>
              <w:jc w:val="center"/>
              <w:rPr>
                <w:kern w:val="0"/>
                <w:szCs w:val="20"/>
              </w:rPr>
            </w:pPr>
            <w:r w:rsidRPr="00593924">
              <w:rPr>
                <w:rFonts w:ascii="Wingdings" w:eastAsia="Wingdings" w:hAnsi="Wingdings" w:cs="Wingdings"/>
                <w:kern w:val="0"/>
                <w:szCs w:val="20"/>
              </w:rPr>
              <w:t>ü</w:t>
            </w:r>
          </w:p>
          <w:p w14:paraId="174635CA" w14:textId="77777777" w:rsidR="0094472B" w:rsidRPr="00593924" w:rsidRDefault="0094472B">
            <w:pPr>
              <w:pStyle w:val="Tabletext0"/>
              <w:jc w:val="center"/>
              <w:rPr>
                <w:kern w:val="0"/>
                <w:szCs w:val="20"/>
              </w:rPr>
            </w:pPr>
          </w:p>
          <w:p w14:paraId="7B8A4A0A" w14:textId="77777777" w:rsidR="0094472B" w:rsidRPr="00593924" w:rsidRDefault="0094472B">
            <w:pPr>
              <w:pStyle w:val="Tabletext0"/>
              <w:jc w:val="center"/>
              <w:rPr>
                <w:kern w:val="0"/>
                <w:szCs w:val="20"/>
              </w:rPr>
            </w:pPr>
          </w:p>
        </w:tc>
        <w:tc>
          <w:tcPr>
            <w:tcW w:w="1161" w:type="dxa"/>
            <w:vAlign w:val="center"/>
          </w:tcPr>
          <w:p w14:paraId="034762AA" w14:textId="77777777" w:rsidR="0094472B" w:rsidRPr="00593924" w:rsidRDefault="0094472B">
            <w:pPr>
              <w:pStyle w:val="Tabletext0"/>
              <w:jc w:val="center"/>
              <w:rPr>
                <w:kern w:val="0"/>
                <w:szCs w:val="20"/>
              </w:rPr>
            </w:pPr>
            <w:r w:rsidRPr="00593924">
              <w:rPr>
                <w:kern w:val="0"/>
                <w:szCs w:val="20"/>
              </w:rPr>
              <w:t>–</w:t>
            </w:r>
          </w:p>
          <w:p w14:paraId="64A0BF24" w14:textId="77777777" w:rsidR="0094472B" w:rsidRPr="00593924" w:rsidRDefault="0094472B">
            <w:pPr>
              <w:pStyle w:val="Tabletext0"/>
              <w:jc w:val="center"/>
              <w:rPr>
                <w:kern w:val="0"/>
                <w:szCs w:val="20"/>
              </w:rPr>
            </w:pPr>
          </w:p>
          <w:p w14:paraId="05D1A871" w14:textId="77777777" w:rsidR="0094472B" w:rsidRPr="00593924" w:rsidRDefault="0094472B">
            <w:pPr>
              <w:pStyle w:val="Tabletext0"/>
              <w:jc w:val="center"/>
              <w:rPr>
                <w:kern w:val="0"/>
                <w:szCs w:val="20"/>
              </w:rPr>
            </w:pPr>
          </w:p>
        </w:tc>
      </w:tr>
    </w:tbl>
    <w:p w14:paraId="478E0090" w14:textId="77777777" w:rsidR="00593924" w:rsidRDefault="00593924" w:rsidP="00FA1BC9">
      <w:pPr>
        <w:rPr>
          <w:szCs w:val="22"/>
        </w:rPr>
      </w:pPr>
      <w:bookmarkStart w:id="55" w:name="_Toc103679299"/>
    </w:p>
    <w:p w14:paraId="456C7934" w14:textId="1C6E1E52" w:rsidR="00FA1BC9"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55" w:history="1">
        <w:r w:rsidRPr="00BD5DBD">
          <w:rPr>
            <w:rStyle w:val="Hyperlink"/>
            <w:szCs w:val="22"/>
          </w:rPr>
          <w:t>risk management plans for medicines and biologicals</w:t>
        </w:r>
      </w:hyperlink>
      <w:r w:rsidRPr="00BD5DBD">
        <w:rPr>
          <w:szCs w:val="22"/>
        </w:rPr>
        <w:t xml:space="preserve"> and </w:t>
      </w:r>
      <w:hyperlink r:id="rId56" w:history="1">
        <w:r w:rsidRPr="00BD5DBD">
          <w:rPr>
            <w:rStyle w:val="Hyperlink"/>
            <w:szCs w:val="22"/>
          </w:rPr>
          <w:t>the TGA's risk management approach</w:t>
        </w:r>
      </w:hyperlink>
      <w:r w:rsidRPr="00BD5DBD">
        <w:rPr>
          <w:szCs w:val="22"/>
        </w:rPr>
        <w:t xml:space="preserve">. Information on the </w:t>
      </w:r>
      <w:hyperlink r:id="rId57"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58"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56" w:name="_Toc231299552"/>
      <w:r>
        <w:t>Risk-benefit analysis</w:t>
      </w:r>
      <w:bookmarkEnd w:id="53"/>
      <w:bookmarkEnd w:id="54"/>
      <w:bookmarkEnd w:id="55"/>
      <w:bookmarkEnd w:id="56"/>
    </w:p>
    <w:p w14:paraId="5974F78D" w14:textId="77777777" w:rsidR="00E4239C" w:rsidRDefault="00E4239C" w:rsidP="00E4239C">
      <w:pPr>
        <w:pStyle w:val="Heading4"/>
      </w:pPr>
      <w:bookmarkStart w:id="57" w:name="_Toc231299553"/>
      <w:r>
        <w:t>Efficacy</w:t>
      </w:r>
      <w:bookmarkEnd w:id="57"/>
    </w:p>
    <w:p w14:paraId="7749D1B5" w14:textId="77777777" w:rsidR="00E4239C" w:rsidRDefault="00E4239C" w:rsidP="00E4239C">
      <w:r>
        <w:t xml:space="preserve">A single pivotal Phase 2 open-label, multi-centre study (SNDX-6352-0504: AGAVE-201) assessing efficacy, safety and tolerability of axatilimab at three different doses in patients with recurrent or refractory active cGVHD who had previously received at least two lines of systemic therapy, in line with the proposed indication, was provided. Prior therapies included ruxolitinib and belumosudil, thus being relevant to the Australian context. </w:t>
      </w:r>
    </w:p>
    <w:p w14:paraId="65FF05C3" w14:textId="77777777" w:rsidR="00E4239C" w:rsidRDefault="00E4239C" w:rsidP="00E4239C">
      <w:r>
        <w:t xml:space="preserve">ADA positivity was seen in approximately 30% of samples assessed, a minority of these being baseline positive. ADA presence did not, however associate with any negative effects upon efficacy of axatilimab 0.3 mg/kg IV every 2 weeks. </w:t>
      </w:r>
    </w:p>
    <w:p w14:paraId="038CF12C" w14:textId="77777777" w:rsidR="00E4239C" w:rsidRDefault="00E4239C" w:rsidP="00E4239C">
      <w:r>
        <w:t xml:space="preserve">Each dose level achieved a significant overall response rate, the lower bound of the 95% CI for ORR in the first six cycles exceeding 30%. The ORR in the first six cycles across any treatment group was similar in subgroups of participants (demographics, underlying disease severity and </w:t>
      </w:r>
      <w:r>
        <w:lastRenderedPageBreak/>
        <w:t xml:space="preserve">duration of treatment history), although only 7 participants (2.9%) were &lt; 17 years of age, make efficacy interpretation difficult in the younger age group. Efficacy analysis in this small subgroup revealed very wide confidence intervals. </w:t>
      </w:r>
    </w:p>
    <w:p w14:paraId="510CC49A" w14:textId="77777777" w:rsidR="00E4239C" w:rsidRDefault="00E4239C" w:rsidP="00E4239C">
      <w:r>
        <w:t>The 0.3 mg/kg Q2W dosage cohort did not adequately represent patients under the age of 12; however, age was not associated with any distinct differences in PK or exposure after accounting for the impact of body weight across the age range of 7 to 81 years. It is uncertain whether the reduced exposure at body weights less than 40 kg may affect efficacy, as patients weighing less than 40 kg experienced a lower exposure following 0.3 mg/kg Q2W compared to patients weighing 40 kg and above. In AGAVE-201, the 0.3 mg/kg Q2W cohort was allotted to a single patient weighing less than 40 kg. Despite the fact that the dose was escalated from 0.3 mg/kg Q2W to 1 mg/kg Q2W in Cycle 4, the patient did not respond within the first six cycles (BOR for stable disease). Therefore, a safe and efficacious dosage of axatilimab has not been established for patient populations weighing less than 40 kg, including paediatrics and adults.</w:t>
      </w:r>
    </w:p>
    <w:p w14:paraId="71DF3ACF" w14:textId="77777777" w:rsidR="00E4239C" w:rsidRDefault="00E4239C" w:rsidP="00E4239C">
      <w:r>
        <w:t>In the Study SNDX-6352-0504, only four patients under the age of 17 were administered axatilimab at a dosage of 0.3 mg/kg Q2W, while only one patient under the age of 17 was administered axatilimab in the Study SNDX-6352-0503. The pathogenesis and natural history of cGVHD appear identical in paediatric and adult patients. Furthermore, the treatment regimen is consistent for both paediatric and adult patients. Consequently, it appears reasonable to extrapolate the efficacy of the disease from the adequate and well-controlled study in adults to paediatric patients if exposure can be matched, given the biological comparability of the disease across the age range. The development programme did not adequately represent paediatric patients under the age of 12 (N=1 received 0.3 mg/kg Q2W); however, there was sufficient clinical data to characterise the exposure profile in patients 6 years and older weighing at least 40 kg. In contrast, there is no information regarding the safety or PK of the drug in paediatric patients who are smaller in size. As a result, the extrapolation potential is restricted, necessitating additional research to ascertain an effective dosage for the smaller paediatric patients.</w:t>
      </w:r>
    </w:p>
    <w:p w14:paraId="1BE00280" w14:textId="77777777" w:rsidR="00E4239C" w:rsidRDefault="00E4239C" w:rsidP="00E4239C">
      <w:r>
        <w:t>The axatilimab dose- and exposure-response relationships indicate that there is an increase in safety events, including Grade3 and serious adverse events (AEs) and AEs that result in dosage reduction and discontinuation. However, no additional efficacy benefit was observed at higher axatilimab exposures in patients with a higher body weight following 0.3 mg/kg Q2W. The maximum dose limit of 35 mg Q2W is supported by clinical safety data, popPK analysis, and E-R analyses of efficacy and safety. This dose is equivalent to a 0.3 mg/kg dose in a 118 kg patient, which is the highest body weight included in the 0.3 mg/kg Q2W cohort in AGAVE-201.</w:t>
      </w:r>
    </w:p>
    <w:p w14:paraId="7BCCA02B" w14:textId="77777777" w:rsidR="00E4239C" w:rsidRDefault="00E4239C" w:rsidP="00E4239C">
      <w:r>
        <w:t>The AGAVE-201 trial investigated three dosing regimens: 0.3 mg/kg Q2W, 1 mg/kg Q2W, and 3 mg/kg Q4W. The sponsor's proposed fixed dose regimen was not investigated in any of the clinical data presented in this application. This is an attempt to optimise the PK exposure metrics that were observed subsequent to the administration of the 0.3 mg/kg Q2W dosage. The predicted axatilimab exposures in the target paediatric and adult populations following the proposed fixed dose regimen did not adequately match those observed following the clinically studied 0.3 mg/kg Q2W dosage. Axatilimab dosage of 0.3 mg/ kg Q2W has an acceptable benefit-risk profile; however, the proposed fixed dose regimen is not comparable to the 0.3 mg/kg Q2W dosage across the range of body weight in the general patient population. The proposed fixed dosing regimen is expected to produce substantial exposure differences in certain body weight subgroups when contrasted with the 0.3 mg/kg Q2W dosing regimen that is supported by clinical data from Study AGAVE-201. The proposed paediatric fixed dosage is not adequately supported by the population PK (popPK) or the E-R assessment, as there are significant differences in predicted exposure compared to the 0.3 mg/kg Q2W dosage at certain body weights.</w:t>
      </w:r>
    </w:p>
    <w:p w14:paraId="7429903F" w14:textId="77777777" w:rsidR="00E4239C" w:rsidRDefault="00E4239C" w:rsidP="00E4239C">
      <w:r>
        <w:lastRenderedPageBreak/>
        <w:t>The activity of axatilimab for the treatment of adult and paediatric patients 6 years and older weighing at least 40 kg with cGVHD after failure of at least two prior lines of systemic therapy is established by the 75% ORR by Cycle 7 Day 1, with a lower bound of 64% and substantial durability in the 0.3 mg/kg every 2 weeks dosage arm of Study AGAVE-201. Additionally, a 7-point reduction in mLSS score was experienced by 56% of patients.</w:t>
      </w:r>
    </w:p>
    <w:p w14:paraId="798FC030" w14:textId="115E0AFC" w:rsidR="00E4239C" w:rsidRDefault="00E4239C" w:rsidP="00E4239C">
      <w:r>
        <w:t>It is determined that the proposed, fixed dosage is inadequately supported. Consequently, the following prescribing instructions</w:t>
      </w:r>
      <w:r w:rsidR="00297AC5">
        <w:t xml:space="preserve"> are suggested</w:t>
      </w:r>
      <w:r>
        <w:t>: 0.3 mg/kg Q2W for adult and paediatric patients aged 6 years and older who weigh a minimum of 40 kg, with a maximum dosage of 35 mg Q2W.</w:t>
      </w:r>
    </w:p>
    <w:p w14:paraId="1ACCE2A8" w14:textId="77777777" w:rsidR="00E4239C" w:rsidRDefault="00E4239C" w:rsidP="00E4239C">
      <w:pPr>
        <w:pStyle w:val="Heading4"/>
      </w:pPr>
      <w:bookmarkStart w:id="58" w:name="_Toc231299554"/>
      <w:r>
        <w:t>Safety</w:t>
      </w:r>
      <w:bookmarkEnd w:id="58"/>
    </w:p>
    <w:p w14:paraId="41200C31" w14:textId="77777777" w:rsidR="00E4239C" w:rsidRDefault="00E4239C" w:rsidP="00E4239C">
      <w:r>
        <w:t xml:space="preserve">Adverse events were observed in a variety of Phase 1 and Phase 2 studies, often in a dose-dependent manner. These events included abnormal liver function tests, elevated CPK, lipase, amylase, infusion-related reactions, and infections. A reported event was periorbital oedema. In the pivotal Phase 2 study AGAVE-201, the lowest dose studied, 0.3mg/kg every two weeks, exhibited the most favourable safety profile of the three dose levels. Immunogenicity (anti-drug antibodies) were frequently observed; however, they were not associated with an adverse impact on the safety profile of axatilimab 0.3 mg/kg IV administered every 2 weeks. The dose that was found to be most safe was 0.3 mg/kg q2w (n=79) and was well-tolerated. The safety database was of sufficient size to evaluate safety, except for the paediatric cohort. </w:t>
      </w:r>
    </w:p>
    <w:p w14:paraId="05808062" w14:textId="77777777" w:rsidR="00E4239C" w:rsidRDefault="00E4239C" w:rsidP="00E4239C">
      <w:r>
        <w:t>In comparison to 1 mg/kg Q2W or 3 mg/kgQ4W, the 0.3 mg/kg Q2W dosage was associated with lower exposure and, as a result, reduced rates of select TEAEs. This supports the safety of the 0.3 mg/kg Q2W dosage. It is also suggested that the likelihood of multiple TEAEs increases with increased exposure in patients who receive 0.3 mg/kg Q2W. Exposure was inversely proportional to body weight following 0.3 mg/kg Q2W. The clinical pharmacology assessment recommends a maximum dose cap of 35 mg Q2W for the 0.3 mg/kg Q2W dosage, because of the increased risk of TEAEs at higher exposure, the absence of clear efficacy benefits at higher exposure, and the absence of clinical safety data in patients weighing over 118 kg who received 0.3 mg/kg Q2W.</w:t>
      </w:r>
    </w:p>
    <w:p w14:paraId="2DC9D524" w14:textId="77777777" w:rsidR="00E4239C" w:rsidRDefault="00E4239C" w:rsidP="00E4239C">
      <w:r>
        <w:t>In general, the E-R safety analysis and the safety data support a dosage of 0.3 mg/kg (maximum 35 mg) for adult and paediatric patients aged 6 years and older who weigh 40 kg or more, and they demonstrate an acceptable safety profile.</w:t>
      </w:r>
    </w:p>
    <w:p w14:paraId="33029FFE" w14:textId="77777777" w:rsidR="00E4239C" w:rsidRDefault="00E4239C" w:rsidP="00E4239C">
      <w:pPr>
        <w:pStyle w:val="Heading4"/>
      </w:pPr>
      <w:bookmarkStart w:id="59" w:name="_Toc231299555"/>
      <w:r>
        <w:t>Conclusions</w:t>
      </w:r>
      <w:bookmarkEnd w:id="59"/>
    </w:p>
    <w:p w14:paraId="06C0ABEB" w14:textId="77777777" w:rsidR="00E4239C" w:rsidRDefault="00E4239C" w:rsidP="00E4239C">
      <w:r>
        <w:t xml:space="preserve">It is concluded that the optimal dosage of axatilimab for patients aged 6 years and older who weigh a minimum of 40 kg is 0.3 mg/kg Q2W, with a maximum of 35 mg. This recommendation is founded on the following reasons: (i) The axatilimab exposures following the proposed fixed dose regimen and the clinically studied 0.3 mg/ kg Q2W dosage are significantly different, which may impact efficacy or safety outcomes. (ii) The potential for a higher safety risk at higher exposures with higher body weight following 0.3 mg/ kg Q2W without a maximum dose cap is also present. (iii) All of the clinical evidence presented, including AGAVE-201, EAP access programme, and Study INCA34176-358, only included patients aged 6 years and older. </w:t>
      </w:r>
    </w:p>
    <w:p w14:paraId="5C95E404" w14:textId="28900547" w:rsidR="00E4239C" w:rsidRPr="00E4239C" w:rsidRDefault="00E4239C" w:rsidP="00E4239C">
      <w:r>
        <w:t>For the treatment of recurrent or refractory cGVHD in adult and paediatric patients aged 6 years and older and weighing 40 kg or more, the PPK and E-R efficacy and safety analyses indicate a favourable benefit-risk profile for 0.3 mg/kg (maximum 35 mg) Q2W after at least two prior lines of systemic therapy.</w:t>
      </w:r>
    </w:p>
    <w:p w14:paraId="307F236C" w14:textId="7FD19BD3" w:rsidR="00C22214" w:rsidRPr="002E238E" w:rsidRDefault="0046285C" w:rsidP="00C22214">
      <w:pPr>
        <w:pStyle w:val="Heading2"/>
      </w:pPr>
      <w:bookmarkStart w:id="60" w:name="_Toc247691532"/>
      <w:bookmarkStart w:id="61" w:name="_Toc314842516"/>
      <w:bookmarkStart w:id="62" w:name="_Toc103679300"/>
      <w:bookmarkStart w:id="63" w:name="_Toc231299556"/>
      <w:r>
        <w:lastRenderedPageBreak/>
        <w:t>Assessment</w:t>
      </w:r>
      <w:r w:rsidR="00190853">
        <w:t xml:space="preserve"> </w:t>
      </w:r>
      <w:r>
        <w:t>o</w:t>
      </w:r>
      <w:r w:rsidR="00C22214">
        <w:t>utcome</w:t>
      </w:r>
      <w:bookmarkEnd w:id="60"/>
      <w:bookmarkEnd w:id="61"/>
      <w:bookmarkEnd w:id="62"/>
      <w:bookmarkEnd w:id="63"/>
    </w:p>
    <w:p w14:paraId="4EF22939" w14:textId="063A9FB4"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6D3DF0">
        <w:t>Niktimvo</w:t>
      </w:r>
      <w:r w:rsidR="001A313D">
        <w:t xml:space="preserve"> (</w:t>
      </w:r>
      <w:r w:rsidR="001A313D" w:rsidRPr="001A313D">
        <w:t>axatilimab</w:t>
      </w:r>
      <w:r w:rsidR="001A313D">
        <w:t>)</w:t>
      </w:r>
      <w:r w:rsidR="001A313D" w:rsidRPr="001A313D">
        <w:t xml:space="preserve"> </w:t>
      </w:r>
      <w:r w:rsidRPr="0017005C">
        <w:t>for the following</w:t>
      </w:r>
      <w:r w:rsidR="001A313D">
        <w:t xml:space="preserve"> </w:t>
      </w:r>
      <w:r w:rsidRPr="0017005C">
        <w:t>indication:</w:t>
      </w:r>
    </w:p>
    <w:p w14:paraId="62112EB4" w14:textId="0D56FB32" w:rsidR="00545DC6" w:rsidRPr="0017005C" w:rsidRDefault="00545DC6" w:rsidP="00545DC6">
      <w:pPr>
        <w:pStyle w:val="Indication"/>
      </w:pPr>
      <w:r w:rsidRPr="00545DC6">
        <w:t>Axatilimab is indicated for the treatment of chronic graft-versus host disease (cGVHD) after failure of at least two prior lines of systemic therapy in adult and paediatric patients 6 years and older weighing at least 40 kg</w:t>
      </w:r>
    </w:p>
    <w:p w14:paraId="0D732DA4" w14:textId="74882685" w:rsidR="00854D98" w:rsidRDefault="00854D98" w:rsidP="004B2938">
      <w:pPr>
        <w:pStyle w:val="Heading4"/>
      </w:pPr>
      <w:bookmarkStart w:id="64" w:name="_Toc231299557"/>
      <w:bookmarkStart w:id="65" w:name="_Toc103679301"/>
      <w:r w:rsidRPr="00D23139">
        <w:t>Specific conditions of registration</w:t>
      </w:r>
      <w:bookmarkEnd w:id="64"/>
      <w:r w:rsidRPr="00D23139">
        <w:t xml:space="preserve"> </w:t>
      </w:r>
      <w:bookmarkEnd w:id="65"/>
    </w:p>
    <w:p w14:paraId="6E72B7DD" w14:textId="36DA98BB" w:rsidR="006302E5" w:rsidRDefault="006D3DF0" w:rsidP="006302E5">
      <w:r>
        <w:t>Niktimvo</w:t>
      </w:r>
      <w:r w:rsidR="006302E5">
        <w:t xml:space="preserve"> (axatilimab) is to be included in the Black Triangle Scheme. The PI and CMI for </w:t>
      </w:r>
      <w:r>
        <w:t>Niktimvo</w:t>
      </w:r>
      <w:r w:rsidR="006302E5">
        <w:t xml:space="preserve"> must include the black triangle symbol and mandatory accompanying text for five years, which starts from the date of first supply of the product.</w:t>
      </w:r>
    </w:p>
    <w:p w14:paraId="44CEEA2D" w14:textId="65FF7836" w:rsidR="006302E5" w:rsidRDefault="006302E5" w:rsidP="006302E5">
      <w:r>
        <w:t xml:space="preserve">The </w:t>
      </w:r>
      <w:r w:rsidR="006D3DF0">
        <w:t>Niktimvo</w:t>
      </w:r>
      <w:r>
        <w:t xml:space="preserve"> Core-Risk Management Plan (RMP) (version 1.0, dated 21 November 2024; data lock point 07 April 2023), with Australia-Specific Annex (ASA) (version 1.0, dated April 2025), included with submission PM-2025-02541-1-2, and any subsequent revisions, as agreed with the TGA will be implemented in Australia.</w:t>
      </w:r>
    </w:p>
    <w:p w14:paraId="37FFE05D" w14:textId="2BBB17D1" w:rsidR="006302E5" w:rsidRDefault="006302E5" w:rsidP="006302E5">
      <w:r>
        <w:t>An obligatory component of risk management plans is routine pharmacovigilance. Routine pharmacovigilance includes the submission of periodic safety update reports (PSURs).</w:t>
      </w:r>
    </w:p>
    <w:p w14:paraId="1D0C2F3D" w14:textId="7BABE705" w:rsidR="006302E5" w:rsidRDefault="006302E5" w:rsidP="006302E5">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10CBE3AA" w14:textId="77777777" w:rsidR="006302E5" w:rsidRDefault="006302E5" w:rsidP="006302E5">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34A4F69C" w14:textId="77777777" w:rsidR="006302E5" w:rsidRDefault="006302E5" w:rsidP="006302E5">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0067B282" w14:textId="40CE5B85" w:rsidR="006302E5" w:rsidRDefault="006302E5" w:rsidP="006302E5">
      <w:pPr>
        <w:pStyle w:val="Heading5"/>
      </w:pPr>
      <w:r>
        <w:t>Laboratory testing &amp; compliance with Certified Product Details (CPD)</w:t>
      </w:r>
    </w:p>
    <w:p w14:paraId="2537D8DB" w14:textId="3074783C" w:rsidR="006302E5" w:rsidRDefault="006302E5" w:rsidP="006302E5">
      <w:pPr>
        <w:pStyle w:val="ListBullet"/>
      </w:pPr>
      <w:r>
        <w:t xml:space="preserve">All batches of </w:t>
      </w:r>
      <w:r w:rsidR="006D3DF0">
        <w:t>Niktimvo</w:t>
      </w:r>
      <w:r>
        <w:t xml:space="preserve"> axatilimab 22 mg/0.44 mL solution for injection glass vial and </w:t>
      </w:r>
      <w:r w:rsidR="006D3DF0">
        <w:t>Niktimvo</w:t>
      </w:r>
      <w:r>
        <w:t xml:space="preserve"> axatilimab 9 mg/0.18 mL solution for injection glass vial supplied in Australia must comply with the product details and specifications approved during evaluation and detailed in the Certified Product Details (CPD).</w:t>
      </w:r>
    </w:p>
    <w:p w14:paraId="6A8702CE" w14:textId="5F50BC49" w:rsidR="006302E5" w:rsidRDefault="006302E5" w:rsidP="006302E5">
      <w:pPr>
        <w:pStyle w:val="ListBullet"/>
      </w:pPr>
      <w: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46AD9EB1" w14:textId="206D3134" w:rsidR="006302E5" w:rsidRDefault="006302E5" w:rsidP="009E4CBE">
      <w:pPr>
        <w:pStyle w:val="Heading5"/>
      </w:pPr>
      <w:r>
        <w:lastRenderedPageBreak/>
        <w:t>Certified Product Details</w:t>
      </w:r>
    </w:p>
    <w:p w14:paraId="5D947063" w14:textId="77777777" w:rsidR="006302E5" w:rsidRDefault="006302E5" w:rsidP="006302E5">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4A0A6D3" w14:textId="25924FF8" w:rsidR="006302E5" w:rsidRPr="006302E5" w:rsidRDefault="006302E5" w:rsidP="006302E5">
      <w:r>
        <w:t>A template for preparation of CPD for biological prescription medicines can be obtained from the TGA website</w:t>
      </w:r>
      <w:r w:rsidR="009E4CBE">
        <w:t>:</w:t>
      </w:r>
    </w:p>
    <w:p w14:paraId="430651E7" w14:textId="72474F09" w:rsidR="0033413A" w:rsidRDefault="004C138A" w:rsidP="0033413A">
      <w:hyperlink r:id="rId59" w:history="1">
        <w:r>
          <w:rPr>
            <w:rStyle w:val="Hyperlink"/>
          </w:rPr>
          <w:t>Certified Product Details guidance</w:t>
        </w:r>
      </w:hyperlink>
    </w:p>
    <w:p w14:paraId="215CB1F5" w14:textId="2935E48D" w:rsidR="00AB3F3C" w:rsidRDefault="004C138A" w:rsidP="0033413A">
      <w:hyperlink r:id="rId60" w:history="1">
        <w:r>
          <w:rPr>
            <w:color w:val="0000FF"/>
            <w:u w:val="single"/>
          </w:rPr>
          <w:t>Certified Product Details form</w:t>
        </w:r>
      </w:hyperlink>
    </w:p>
    <w:p w14:paraId="0F9C1952" w14:textId="46BD475E" w:rsidR="00BA657C" w:rsidRPr="00BA657C" w:rsidRDefault="00BA657C" w:rsidP="005D0B97">
      <w:pPr>
        <w:pStyle w:val="Heading2"/>
      </w:pPr>
      <w:bookmarkStart w:id="66" w:name="_Toc231299558"/>
      <w:bookmarkStart w:id="67" w:name="_Toc196738290"/>
      <w:r w:rsidRPr="00BA657C">
        <w:t>Product Information and Consumer Medicine Information</w:t>
      </w:r>
      <w:bookmarkEnd w:id="66"/>
      <w:r w:rsidRPr="00BA657C">
        <w:t xml:space="preserve"> </w:t>
      </w:r>
      <w:bookmarkEnd w:id="67"/>
    </w:p>
    <w:p w14:paraId="5F276616" w14:textId="6667B73D" w:rsidR="004D0933" w:rsidRPr="004D0933" w:rsidRDefault="004D0933" w:rsidP="004D0933">
      <w:bookmarkStart w:id="68" w:name="_Hlk200021736"/>
      <w:r w:rsidRPr="004D0933">
        <w:t xml:space="preserve">For the most recent Product Information (PI) and Consumer Medicine Information (CMI), please refer to the TGA </w:t>
      </w:r>
      <w:hyperlink r:id="rId61" w:history="1">
        <w:r w:rsidRPr="004D0933">
          <w:rPr>
            <w:rStyle w:val="Hyperlink"/>
          </w:rPr>
          <w:t>PI/CMI search facility.</w:t>
        </w:r>
      </w:hyperlink>
    </w:p>
    <w:bookmarkEnd w:id="68"/>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2"/>
          <w:footerReference w:type="default" r:id="rId6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4"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02AEC">
            <w:pPr>
              <w:pStyle w:val="Address"/>
              <w:jc w:val="center"/>
              <w:rPr>
                <w:rStyle w:val="Hyperlink"/>
                <w:b/>
                <w:color w:val="auto"/>
                <w:sz w:val="22"/>
              </w:rPr>
            </w:pPr>
            <w:hyperlink r:id="rId65"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66"/>
      <w:footerReference w:type="first" r:id="rId6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A0257" w14:textId="77777777" w:rsidR="00C94F5B" w:rsidRDefault="00C94F5B" w:rsidP="00F02AEC">
      <w:pPr>
        <w:spacing w:after="0" w:line="240" w:lineRule="auto"/>
      </w:pPr>
      <w:r>
        <w:separator/>
      </w:r>
    </w:p>
  </w:endnote>
  <w:endnote w:type="continuationSeparator" w:id="0">
    <w:p w14:paraId="334CEBD6" w14:textId="77777777" w:rsidR="00C94F5B" w:rsidRDefault="00C94F5B"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58247"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58248"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58246"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797"/>
      <w:gridCol w:w="1275"/>
    </w:tblGrid>
    <w:tr w:rsidR="007452E8" w:rsidRPr="004A3084" w14:paraId="6266BC33" w14:textId="77777777" w:rsidTr="009E4CBE">
      <w:trPr>
        <w:trHeight w:val="423"/>
      </w:trPr>
      <w:tc>
        <w:tcPr>
          <w:tcW w:w="7797" w:type="dxa"/>
          <w:tcBorders>
            <w:top w:val="single" w:sz="4" w:space="0" w:color="auto"/>
          </w:tcBorders>
        </w:tcPr>
        <w:p w14:paraId="3C421323" w14:textId="29F1FAD4" w:rsidR="007452E8" w:rsidRPr="00B0507B" w:rsidRDefault="007E4FF8" w:rsidP="007452E8">
          <w:pPr>
            <w:pStyle w:val="Footer"/>
          </w:pPr>
          <w:r w:rsidRPr="00B0507B">
            <w:rPr>
              <w:noProof/>
            </w:rPr>
            <mc:AlternateContent>
              <mc:Choice Requires="wps">
                <w:drawing>
                  <wp:anchor distT="0" distB="0" distL="0" distR="0" simplePos="0" relativeHeight="251658249" behindDoc="0" locked="0" layoutInCell="1" allowOverlap="1" wp14:anchorId="17DC9217" wp14:editId="6D91AF89">
                    <wp:simplePos x="0" y="0"/>
                    <wp:positionH relativeFrom="page">
                      <wp:posOffset>2541270</wp:posOffset>
                    </wp:positionH>
                    <wp:positionV relativeFrom="page">
                      <wp:posOffset>137160</wp:posOffset>
                    </wp:positionV>
                    <wp:extent cx="622300" cy="391160"/>
                    <wp:effectExtent l="0" t="0" r="6350" b="0"/>
                    <wp:wrapNone/>
                    <wp:docPr id="84197400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C9217" id="_x0000_t202" coordsize="21600,21600" o:spt="202" path="m,l,21600r21600,l21600,xe">
                    <v:stroke joinstyle="miter"/>
                    <v:path gradientshapeok="t" o:connecttype="rect"/>
                  </v:shapetype>
                  <v:shape id="Text Box 9" o:spid="_x0000_s1033" type="#_x0000_t202" alt="OFFICIAL" style="position:absolute;margin-left:200.1pt;margin-top:10.8pt;width:49pt;height:30.8pt;z-index:251658249;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" filled="f" stroked="f">
                    <v:textbox style="mso-fit-shape-to-text:t" inset="0,0,0,15pt">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B0507B">
            <w:t xml:space="preserve">AusPAR - </w:t>
          </w:r>
          <w:r w:rsidR="001D2614" w:rsidRPr="00B0507B">
            <w:t xml:space="preserve">Niktimvo </w:t>
          </w:r>
          <w:r w:rsidR="007452E8" w:rsidRPr="00B0507B">
            <w:t xml:space="preserve">- </w:t>
          </w:r>
          <w:r w:rsidR="001D2614" w:rsidRPr="00B0507B">
            <w:t xml:space="preserve">axatilimab </w:t>
          </w:r>
          <w:r w:rsidR="008C754C" w:rsidRPr="00B0507B">
            <w:t>-</w:t>
          </w:r>
          <w:r w:rsidR="007452E8" w:rsidRPr="00B0507B">
            <w:t xml:space="preserve"> </w:t>
          </w:r>
          <w:r w:rsidR="001D2614" w:rsidRPr="00B0507B">
            <w:t xml:space="preserve">Specialised Therapeutics Alim Pty Ltd </w:t>
          </w:r>
          <w:r w:rsidR="007452E8" w:rsidRPr="00B0507B">
            <w:t xml:space="preserve">- </w:t>
          </w:r>
          <w:r w:rsidR="001C38FE" w:rsidRPr="00B0507B">
            <w:t>PM-2025-02541-1-2 – Type A</w:t>
          </w:r>
          <w:r w:rsidR="007452E8" w:rsidRPr="00B0507B">
            <w:br/>
            <w:t>Date of Finalisation</w:t>
          </w:r>
          <w:r w:rsidR="00B0507B" w:rsidRPr="00B0507B">
            <w:t>: 2 June 2026</w:t>
          </w:r>
        </w:p>
      </w:tc>
      <w:tc>
        <w:tcPr>
          <w:tcW w:w="1275"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58250"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DFAF8" w14:textId="77777777" w:rsidR="00C94F5B" w:rsidRDefault="00C94F5B" w:rsidP="00F02AEC">
      <w:pPr>
        <w:spacing w:after="0" w:line="240" w:lineRule="auto"/>
      </w:pPr>
      <w:r>
        <w:separator/>
      </w:r>
    </w:p>
  </w:footnote>
  <w:footnote w:type="continuationSeparator" w:id="0">
    <w:p w14:paraId="1C319475" w14:textId="77777777" w:rsidR="00C94F5B" w:rsidRDefault="00C94F5B"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F9FC7B8" w14:textId="3FA329E2" w:rsidR="00E909C5" w:rsidRDefault="00E909C5">
      <w:pPr>
        <w:pStyle w:val="FootnoteText"/>
      </w:pPr>
      <w:r>
        <w:rPr>
          <w:rStyle w:val="FootnoteReference"/>
        </w:rPr>
        <w:footnoteRef/>
      </w:r>
      <w:r>
        <w:t xml:space="preserve"> </w:t>
      </w:r>
      <w:r w:rsidRPr="00E909C5">
        <w:t>Jagasia MH, Greinix HT, Arora M, Williams KM, Wolff D, Cowen EW, Palmer J, Weisdorf D, Treister NS, Cheng GS, Kerr H, Stratton P, Duarte RF, McDonald GB, Inamoto Y, Vigorito A, Arai S, Datiles MB, Jacobsohn D, Heller T, Kitko CL, Mitchell SA, Martin PJ, Shulman H, Wu RS, Cutler CS, Vogelsang GB, Lee SJ, Pavletic SZ, Flowers ME. National Institutes of Health Consensus Development Project on Criteria for Clinical Trials in Chronic Graft-versus-Host Disease: I. The 2014 Diagnosis and Staging Working Group report. Biol Blood Marrow Transplant. 2015 Mar;21(3):389-401.e1. doi: 10.1016/j.bbmt.2014.12.001. Epub 2014 Dec 18. PMID: 25529383; PMCID: PMC4329079.</w:t>
      </w:r>
    </w:p>
  </w:footnote>
  <w:footnote w:id="3">
    <w:p w14:paraId="1FA6049F" w14:textId="1A6244EA" w:rsidR="003816C0" w:rsidRDefault="003816C0">
      <w:pPr>
        <w:pStyle w:val="FootnoteText"/>
      </w:pPr>
      <w:r>
        <w:rPr>
          <w:rStyle w:val="FootnoteReference"/>
        </w:rPr>
        <w:footnoteRef/>
      </w:r>
      <w:r>
        <w:t xml:space="preserve"> </w:t>
      </w:r>
      <w:r w:rsidRPr="003816C0">
        <w:t>Qayed M, Wang T, Hemmer MT, Spellman S, Arora M, Couriel D, Alousi A, Pidala J, Abdel-Azim H, Aljurf M, Ayas M, Bitan M, Cairo M, Choi SW, Dandoy C, Delgado D, Gale RP, Hale G, Frangoul H, Kamble RT, Kharfan-Dabaja M, Lehman L, Levine J, MacMillan M, Marks DI, Nishihori T, Olsson RF, Hematti P, Ringden O, Saad A, Satwani P, Savani BN, Schultz KR, Seo S, Shenoy S, Waller EK, Yu L, Horowitz MM, Horan J. Influence of Age on Acute and Chronic GVHD in Children Undergoing HLA-Identical Sibling Bone Marrow Transplantation for Acute Leukemia: Implications for Prophylaxis. Biol Blood Marrow Transplant. 2018 Mar;24(3):521-528. doi: 10.1016/j.bbmt.2017.11.004. Epub 2017 Nov 16. PMID: 29155316; PMCID: PMC5826854.</w:t>
      </w:r>
    </w:p>
  </w:footnote>
  <w:footnote w:id="4">
    <w:p w14:paraId="34B452CB" w14:textId="6C039ABD" w:rsidR="00586884" w:rsidRDefault="00586884">
      <w:pPr>
        <w:pStyle w:val="FootnoteText"/>
      </w:pPr>
      <w:r>
        <w:rPr>
          <w:rStyle w:val="FootnoteReference"/>
        </w:rPr>
        <w:footnoteRef/>
      </w:r>
      <w:r>
        <w:t xml:space="preserve"> </w:t>
      </w:r>
      <w:r w:rsidRPr="00586884">
        <w:t>Mirza AS, Tandon A, Jenneman D, Cao S, Brimer T, Kumar A, Kidd M, Khimani F, Faramand R, Mishra A, Liu H, Nishihori T, Perez L, Lazaryan A, Bejanyan N, Nieder M, Anasetti C, Pidala J, Elmariah H. Outcomes Following Intolerance to Tacrolimus/Sirolimus Graft-versus-Host Disease Prophylaxis for Allogeneic Hematopoietic Cell Transplantation. Transplant Cell Ther. 2022 Apr;28(4):185.e1-185.e7. doi: 10.1016/j.jtct.2022.01.003. Epub 2022 Jan 10. PMID: 35017119.</w:t>
      </w:r>
    </w:p>
  </w:footnote>
  <w:footnote w:id="5">
    <w:p w14:paraId="15EA810E" w14:textId="29A0B173" w:rsidR="004F1BE4" w:rsidRDefault="004F1BE4">
      <w:pPr>
        <w:pStyle w:val="FootnoteText"/>
      </w:pPr>
      <w:r>
        <w:rPr>
          <w:rStyle w:val="FootnoteReference"/>
        </w:rPr>
        <w:footnoteRef/>
      </w:r>
      <w:r>
        <w:t xml:space="preserve"> </w:t>
      </w:r>
      <w:r w:rsidR="002D303E" w:rsidRPr="002D303E">
        <w:t>Novitzky-Basso I, Schain F, Batyrbekova N, Webb T, Remberger M, Keating A, Mattsson J. Population-based real-world registry study to evaluate clinical outcomes of chronic graft-versus-host disease. PLoS One. 2023 Mar 9;18(3):e0282753. doi: 10.1371/journal.pone.0282753. PMID: 36893113; PMCID: PMC9997892.</w:t>
      </w:r>
    </w:p>
  </w:footnote>
  <w:footnote w:id="6">
    <w:p w14:paraId="6D7224D8" w14:textId="6CFD659F" w:rsidR="00637A57" w:rsidRDefault="00637A57">
      <w:pPr>
        <w:pStyle w:val="FootnoteText"/>
      </w:pPr>
      <w:r>
        <w:rPr>
          <w:rStyle w:val="FootnoteReference"/>
        </w:rPr>
        <w:footnoteRef/>
      </w:r>
      <w:r>
        <w:t xml:space="preserve"> </w:t>
      </w:r>
      <w:r w:rsidR="000B118C" w:rsidRPr="000B118C">
        <w:t>Farhadfar,</w:t>
      </w:r>
      <w:r w:rsidR="000B118C">
        <w:t xml:space="preserve"> N, </w:t>
      </w:r>
      <w:r w:rsidR="000B118C" w:rsidRPr="000B118C">
        <w:t xml:space="preserve"> Al-Mansour</w:t>
      </w:r>
      <w:r w:rsidR="000B118C">
        <w:t xml:space="preserve"> Z</w:t>
      </w:r>
      <w:r w:rsidR="000B118C" w:rsidRPr="000B118C">
        <w:t xml:space="preserve">, </w:t>
      </w:r>
      <w:r w:rsidR="00EB3A7D">
        <w:t xml:space="preserve">W </w:t>
      </w:r>
      <w:r w:rsidR="000B118C" w:rsidRPr="000B118C">
        <w:t>Tao</w:t>
      </w:r>
      <w:r w:rsidR="00EB3A7D">
        <w:t>,</w:t>
      </w:r>
      <w:r w:rsidR="000B118C" w:rsidRPr="000B118C">
        <w:t xml:space="preserve"> Chen</w:t>
      </w:r>
      <w:r w:rsidR="00EB3A7D">
        <w:t xml:space="preserve"> K</w:t>
      </w:r>
      <w:r w:rsidR="000B118C" w:rsidRPr="000B118C">
        <w:t>, Pidala</w:t>
      </w:r>
      <w:r w:rsidR="00EB3A7D">
        <w:t xml:space="preserve"> J</w:t>
      </w:r>
      <w:r w:rsidR="000B118C" w:rsidRPr="000B118C">
        <w:t>, MacMillan</w:t>
      </w:r>
      <w:r w:rsidR="00EB3A7D">
        <w:t xml:space="preserve"> ML</w:t>
      </w:r>
      <w:r w:rsidR="000B118C" w:rsidRPr="000B118C">
        <w:t>, Carrie</w:t>
      </w:r>
      <w:r w:rsidR="00EB3A7D">
        <w:t xml:space="preserve"> LK</w:t>
      </w:r>
      <w:r w:rsidR="000B118C" w:rsidRPr="000B118C">
        <w:t>, Spellman</w:t>
      </w:r>
      <w:r w:rsidR="00EB3A7D">
        <w:t xml:space="preserve"> SR</w:t>
      </w:r>
      <w:r w:rsidR="000B118C" w:rsidRPr="000B118C">
        <w:t>, Wingard</w:t>
      </w:r>
      <w:r w:rsidR="00EB3A7D">
        <w:t xml:space="preserve"> JR</w:t>
      </w:r>
      <w:r w:rsidR="000B118C" w:rsidRPr="000B118C">
        <w:t>, Lee</w:t>
      </w:r>
      <w:r w:rsidR="00EB3A7D">
        <w:t xml:space="preserve"> SJ. </w:t>
      </w:r>
      <w:r w:rsidR="008B3EFE" w:rsidRPr="008B3EFE">
        <w:t>Racial, Ethnic and Socioeconomic Disparity in Outcomes of Patients with Chronic Graft-Versus-Host Disease: A CIBMTR Analysis</w:t>
      </w:r>
      <w:r w:rsidR="008B3EFE">
        <w:t xml:space="preserve">. </w:t>
      </w:r>
      <w:r w:rsidR="008B3EFE" w:rsidRPr="008B3EFE">
        <w:t>Blood (2022) 140 (Supplement 1): 5108–5109.</w:t>
      </w:r>
    </w:p>
  </w:footnote>
  <w:footnote w:id="7">
    <w:p w14:paraId="4841B9B3" w14:textId="0CB1067A" w:rsidR="00883FA9" w:rsidRDefault="00883FA9">
      <w:pPr>
        <w:pStyle w:val="FootnoteText"/>
      </w:pPr>
      <w:r>
        <w:rPr>
          <w:rStyle w:val="FootnoteReference"/>
        </w:rPr>
        <w:footnoteRef/>
      </w:r>
      <w:r>
        <w:t xml:space="preserve"> </w:t>
      </w:r>
      <w:r w:rsidRPr="00883FA9">
        <w:t>Bashey</w:t>
      </w:r>
      <w:r>
        <w:t xml:space="preserve"> A, </w:t>
      </w:r>
      <w:r w:rsidRPr="00883FA9">
        <w:t>Zhang</w:t>
      </w:r>
      <w:r>
        <w:t xml:space="preserve"> X</w:t>
      </w:r>
      <w:r w:rsidRPr="00883FA9">
        <w:t>, Morris</w:t>
      </w:r>
      <w:r>
        <w:t xml:space="preserve"> LE</w:t>
      </w:r>
      <w:r w:rsidRPr="00883FA9">
        <w:t>, Holland</w:t>
      </w:r>
      <w:r>
        <w:t xml:space="preserve"> HK</w:t>
      </w:r>
      <w:r w:rsidRPr="00883FA9">
        <w:t>, Solh</w:t>
      </w:r>
      <w:r>
        <w:t xml:space="preserve"> M, </w:t>
      </w:r>
      <w:r w:rsidRPr="00883FA9">
        <w:t>Solomon</w:t>
      </w:r>
      <w:r>
        <w:t xml:space="preserve"> SR. </w:t>
      </w:r>
      <w:r w:rsidR="00FF5EDD" w:rsidRPr="00FF5EDD">
        <w:t>Improved Survival of Patients Diagnosed with Severe (Grade 3-4) Acute GVHD or Severe NIH Grade Chronic GVHD in the Current Era Compared to Historic Controls</w:t>
      </w:r>
      <w:r w:rsidR="00FF5EDD">
        <w:t xml:space="preserve">. </w:t>
      </w:r>
      <w:r w:rsidR="00FF5EDD" w:rsidRPr="00FF5EDD">
        <w:t>Blood (2019) 134 (Supplement_1): 2006.</w:t>
      </w:r>
    </w:p>
  </w:footnote>
  <w:footnote w:id="8">
    <w:p w14:paraId="78BC045C" w14:textId="66288BF0" w:rsidR="006E451C" w:rsidRDefault="006E451C">
      <w:pPr>
        <w:pStyle w:val="FootnoteText"/>
      </w:pPr>
      <w:r>
        <w:rPr>
          <w:rStyle w:val="FootnoteReference"/>
        </w:rPr>
        <w:footnoteRef/>
      </w:r>
      <w:r>
        <w:t xml:space="preserve"> </w:t>
      </w:r>
      <w:r w:rsidRPr="006E451C">
        <w:t>Martini DJ, Chen YB, DeFilipp Z. Recent FDA Approvals in the Treatment of Graft-Versus-Host Disease. Oncologist. 2022 Aug 5;27(8):685-693. doi: 10.1093/oncolo/oyac076. PMID: 35443042; PMCID: PMC9355804.</w:t>
      </w:r>
    </w:p>
  </w:footnote>
  <w:footnote w:id="9">
    <w:p w14:paraId="480489B8" w14:textId="331052E8" w:rsidR="009D7268" w:rsidRDefault="009D7268" w:rsidP="009D7268">
      <w:pPr>
        <w:pStyle w:val="FootnoteText"/>
      </w:pPr>
      <w:r>
        <w:rPr>
          <w:rStyle w:val="FootnoteReference"/>
        </w:rPr>
        <w:footnoteRef/>
      </w:r>
      <w:r>
        <w:t xml:space="preserve"> Alexander KA, Flynn R, Lineburg KE, et al. CSF-1-dependant donor-derived macrophages mediate chronic graft-versus-host disease. J Clin Invest 2014;124:4266-4280.</w:t>
      </w:r>
    </w:p>
  </w:footnote>
  <w:footnote w:id="10">
    <w:p w14:paraId="596D286F" w14:textId="061455E9" w:rsidR="007339F2" w:rsidRDefault="007339F2">
      <w:pPr>
        <w:pStyle w:val="FootnoteText"/>
      </w:pPr>
      <w:r>
        <w:rPr>
          <w:rStyle w:val="FootnoteReference"/>
        </w:rPr>
        <w:footnoteRef/>
      </w:r>
      <w:r>
        <w:t xml:space="preserve"> </w:t>
      </w:r>
      <w:r w:rsidRPr="007339F2">
        <w:t xml:space="preserve">International Conference on Harmonisation of Technical Requirements for Registration of Pharmaceuticals for Human Use. </w:t>
      </w:r>
      <w:hyperlink r:id="rId1" w:history="1">
        <w:r w:rsidRPr="007339F2">
          <w:rPr>
            <w:rStyle w:val="Hyperlink"/>
          </w:rPr>
          <w:t xml:space="preserve"> ICH S6 (R1) Preclinical safety evaluation of biotechnology-derived pharmaceuticals - Scientific guideline</w:t>
        </w:r>
      </w:hyperlink>
      <w:r w:rsidRPr="007339F2">
        <w:t>. 2011.</w:t>
      </w:r>
    </w:p>
  </w:footnote>
  <w:footnote w:id="11">
    <w:p w14:paraId="2DEE0969" w14:textId="6FB0C3D8" w:rsidR="007311A5" w:rsidRDefault="007311A5">
      <w:pPr>
        <w:pStyle w:val="FootnoteText"/>
      </w:pPr>
      <w:r>
        <w:rPr>
          <w:rStyle w:val="FootnoteReference"/>
        </w:rPr>
        <w:footnoteRef/>
      </w:r>
      <w:r>
        <w:t xml:space="preserve"> </w:t>
      </w:r>
      <w:r w:rsidRPr="007311A5">
        <w:t>Alexander KA, Flynn R, Lineburg KE, Kuns RD, Teal BE, Olver SD, Lor M, Raffelt NC, Koyama M, Leveque L, Le Texier L, Melino M, Markey KA, Varelias A, Engwerda C, Serody JS, Janela B, Ginhoux F, Clouston AD, Blazar BR, Hill GR, MacDonald KP. CSF-1-dependant donor-derived macrophages mediate chronic graft-versus-host disease. J Clin Invest. 2014 Oct;124(10):4266-80. doi: 10.1172/JCI75935. Epub 2014 Aug 26. PMID: 25157821; PMCID: PMC4191032.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58242"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58243"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58241"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19FC1D7" w:rsidR="007452E8" w:rsidRDefault="007E4FF8" w:rsidP="007452E8">
    <w:pPr>
      <w:pStyle w:val="Header"/>
    </w:pPr>
    <w:r>
      <w:rPr>
        <w:noProof/>
      </w:rPr>
      <mc:AlternateContent>
        <mc:Choice Requires="wps">
          <w:drawing>
            <wp:anchor distT="0" distB="0" distL="0" distR="0" simplePos="0" relativeHeight="251658244" behindDoc="0" locked="0" layoutInCell="1" allowOverlap="1" wp14:anchorId="28DC3F9E" wp14:editId="3D6537B9">
              <wp:simplePos x="899770" y="365760"/>
              <wp:positionH relativeFrom="page">
                <wp:align>center</wp:align>
              </wp:positionH>
              <wp:positionV relativeFrom="page">
                <wp:align>top</wp:align>
              </wp:positionV>
              <wp:extent cx="622300" cy="391160"/>
              <wp:effectExtent l="0" t="0" r="6350" b="8890"/>
              <wp:wrapNone/>
              <wp:docPr id="1773556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C3F9E"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58245"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6CD3EE2"/>
    <w:multiLevelType w:val="hybridMultilevel"/>
    <w:tmpl w:val="4D6CB4CE"/>
    <w:lvl w:ilvl="0" w:tplc="ED02005E">
      <w:numFmt w:val="bullet"/>
      <w:lvlText w:val=""/>
      <w:lvlJc w:val="left"/>
      <w:pPr>
        <w:ind w:left="398" w:hanging="228"/>
      </w:pPr>
      <w:rPr>
        <w:rFonts w:ascii="Symbol" w:eastAsia="Symbol" w:hAnsi="Symbol" w:cs="Symbol" w:hint="default"/>
        <w:b w:val="0"/>
        <w:bCs w:val="0"/>
        <w:i w:val="0"/>
        <w:iCs w:val="0"/>
        <w:spacing w:val="0"/>
        <w:w w:val="100"/>
        <w:sz w:val="22"/>
        <w:szCs w:val="22"/>
        <w:lang w:val="en-US" w:eastAsia="en-US" w:bidi="ar-SA"/>
      </w:rPr>
    </w:lvl>
    <w:lvl w:ilvl="1" w:tplc="981875E6">
      <w:numFmt w:val="bullet"/>
      <w:lvlText w:val="•"/>
      <w:lvlJc w:val="left"/>
      <w:pPr>
        <w:ind w:left="1323" w:hanging="228"/>
      </w:pPr>
      <w:rPr>
        <w:rFonts w:hint="default"/>
        <w:lang w:val="en-US" w:eastAsia="en-US" w:bidi="ar-SA"/>
      </w:rPr>
    </w:lvl>
    <w:lvl w:ilvl="2" w:tplc="60A4CD98">
      <w:numFmt w:val="bullet"/>
      <w:lvlText w:val="•"/>
      <w:lvlJc w:val="left"/>
      <w:pPr>
        <w:ind w:left="2247" w:hanging="228"/>
      </w:pPr>
      <w:rPr>
        <w:rFonts w:hint="default"/>
        <w:lang w:val="en-US" w:eastAsia="en-US" w:bidi="ar-SA"/>
      </w:rPr>
    </w:lvl>
    <w:lvl w:ilvl="3" w:tplc="CD8866D8">
      <w:numFmt w:val="bullet"/>
      <w:lvlText w:val="•"/>
      <w:lvlJc w:val="left"/>
      <w:pPr>
        <w:ind w:left="3171" w:hanging="228"/>
      </w:pPr>
      <w:rPr>
        <w:rFonts w:hint="default"/>
        <w:lang w:val="en-US" w:eastAsia="en-US" w:bidi="ar-SA"/>
      </w:rPr>
    </w:lvl>
    <w:lvl w:ilvl="4" w:tplc="0CD000B0">
      <w:numFmt w:val="bullet"/>
      <w:lvlText w:val="•"/>
      <w:lvlJc w:val="left"/>
      <w:pPr>
        <w:ind w:left="4095" w:hanging="228"/>
      </w:pPr>
      <w:rPr>
        <w:rFonts w:hint="default"/>
        <w:lang w:val="en-US" w:eastAsia="en-US" w:bidi="ar-SA"/>
      </w:rPr>
    </w:lvl>
    <w:lvl w:ilvl="5" w:tplc="99784132">
      <w:numFmt w:val="bullet"/>
      <w:lvlText w:val="•"/>
      <w:lvlJc w:val="left"/>
      <w:pPr>
        <w:ind w:left="5019" w:hanging="228"/>
      </w:pPr>
      <w:rPr>
        <w:rFonts w:hint="default"/>
        <w:lang w:val="en-US" w:eastAsia="en-US" w:bidi="ar-SA"/>
      </w:rPr>
    </w:lvl>
    <w:lvl w:ilvl="6" w:tplc="82C2D4F8">
      <w:numFmt w:val="bullet"/>
      <w:lvlText w:val="•"/>
      <w:lvlJc w:val="left"/>
      <w:pPr>
        <w:ind w:left="5943" w:hanging="228"/>
      </w:pPr>
      <w:rPr>
        <w:rFonts w:hint="default"/>
        <w:lang w:val="en-US" w:eastAsia="en-US" w:bidi="ar-SA"/>
      </w:rPr>
    </w:lvl>
    <w:lvl w:ilvl="7" w:tplc="F0822CE0">
      <w:numFmt w:val="bullet"/>
      <w:lvlText w:val="•"/>
      <w:lvlJc w:val="left"/>
      <w:pPr>
        <w:ind w:left="6867" w:hanging="228"/>
      </w:pPr>
      <w:rPr>
        <w:rFonts w:hint="default"/>
        <w:lang w:val="en-US" w:eastAsia="en-US" w:bidi="ar-SA"/>
      </w:rPr>
    </w:lvl>
    <w:lvl w:ilvl="8" w:tplc="1310D540">
      <w:numFmt w:val="bullet"/>
      <w:lvlText w:val="•"/>
      <w:lvlJc w:val="left"/>
      <w:pPr>
        <w:ind w:left="7791" w:hanging="228"/>
      </w:pPr>
      <w:rPr>
        <w:rFonts w:hint="default"/>
        <w:lang w:val="en-US" w:eastAsia="en-US" w:bidi="ar-SA"/>
      </w:rPr>
    </w:lvl>
  </w:abstractNum>
  <w:abstractNum w:abstractNumId="7" w15:restartNumberingAfterBreak="0">
    <w:nsid w:val="34E33720"/>
    <w:multiLevelType w:val="hybridMultilevel"/>
    <w:tmpl w:val="032AE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1"/>
  </w:num>
  <w:num w:numId="5" w16cid:durableId="1652950129">
    <w:abstractNumId w:val="5"/>
  </w:num>
  <w:num w:numId="6" w16cid:durableId="1053193207">
    <w:abstractNumId w:val="9"/>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1"/>
  </w:num>
  <w:num w:numId="10" w16cid:durableId="2108043357">
    <w:abstractNumId w:val="4"/>
  </w:num>
  <w:num w:numId="11" w16cid:durableId="1725904230">
    <w:abstractNumId w:val="8"/>
  </w:num>
  <w:num w:numId="12" w16cid:durableId="141579354">
    <w:abstractNumId w:val="12"/>
  </w:num>
  <w:num w:numId="13" w16cid:durableId="283735081">
    <w:abstractNumId w:val="13"/>
  </w:num>
  <w:num w:numId="14" w16cid:durableId="630088915">
    <w:abstractNumId w:val="7"/>
  </w:num>
  <w:num w:numId="15" w16cid:durableId="1437672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1064C"/>
    <w:rsid w:val="0001384A"/>
    <w:rsid w:val="00021C13"/>
    <w:rsid w:val="000254E5"/>
    <w:rsid w:val="00032229"/>
    <w:rsid w:val="00032A0F"/>
    <w:rsid w:val="00034668"/>
    <w:rsid w:val="00040D8D"/>
    <w:rsid w:val="0004613A"/>
    <w:rsid w:val="00046423"/>
    <w:rsid w:val="000477F5"/>
    <w:rsid w:val="0005067C"/>
    <w:rsid w:val="0006104E"/>
    <w:rsid w:val="000640BD"/>
    <w:rsid w:val="00065839"/>
    <w:rsid w:val="00065FDF"/>
    <w:rsid w:val="000662C2"/>
    <w:rsid w:val="0006693A"/>
    <w:rsid w:val="00077844"/>
    <w:rsid w:val="00083763"/>
    <w:rsid w:val="0009023D"/>
    <w:rsid w:val="00090510"/>
    <w:rsid w:val="00091610"/>
    <w:rsid w:val="000917AE"/>
    <w:rsid w:val="00091A39"/>
    <w:rsid w:val="00094B81"/>
    <w:rsid w:val="00095C6A"/>
    <w:rsid w:val="00096B28"/>
    <w:rsid w:val="000975AA"/>
    <w:rsid w:val="000A1A6D"/>
    <w:rsid w:val="000B118C"/>
    <w:rsid w:val="000B6B15"/>
    <w:rsid w:val="000C25A7"/>
    <w:rsid w:val="000C34ED"/>
    <w:rsid w:val="000D6475"/>
    <w:rsid w:val="000D78EC"/>
    <w:rsid w:val="000D7934"/>
    <w:rsid w:val="000D7CCC"/>
    <w:rsid w:val="000E2434"/>
    <w:rsid w:val="000E2597"/>
    <w:rsid w:val="000E504E"/>
    <w:rsid w:val="000E6746"/>
    <w:rsid w:val="000F3B0F"/>
    <w:rsid w:val="000F495B"/>
    <w:rsid w:val="000F7B51"/>
    <w:rsid w:val="00101BEE"/>
    <w:rsid w:val="00101CE6"/>
    <w:rsid w:val="00101FB1"/>
    <w:rsid w:val="00103A9A"/>
    <w:rsid w:val="0010558A"/>
    <w:rsid w:val="001101FF"/>
    <w:rsid w:val="00111989"/>
    <w:rsid w:val="00113F9F"/>
    <w:rsid w:val="00114025"/>
    <w:rsid w:val="00117918"/>
    <w:rsid w:val="00117F2A"/>
    <w:rsid w:val="0012473C"/>
    <w:rsid w:val="00127A74"/>
    <w:rsid w:val="0013132F"/>
    <w:rsid w:val="00131B1B"/>
    <w:rsid w:val="0013306D"/>
    <w:rsid w:val="0013528C"/>
    <w:rsid w:val="001374BD"/>
    <w:rsid w:val="00143E63"/>
    <w:rsid w:val="001442A2"/>
    <w:rsid w:val="00144F7B"/>
    <w:rsid w:val="001468CA"/>
    <w:rsid w:val="001500A8"/>
    <w:rsid w:val="00154421"/>
    <w:rsid w:val="00155D85"/>
    <w:rsid w:val="00161C9B"/>
    <w:rsid w:val="00162D58"/>
    <w:rsid w:val="001633D9"/>
    <w:rsid w:val="00165D28"/>
    <w:rsid w:val="0017005C"/>
    <w:rsid w:val="00171386"/>
    <w:rsid w:val="00175CD8"/>
    <w:rsid w:val="00175F35"/>
    <w:rsid w:val="00182BD8"/>
    <w:rsid w:val="0018626D"/>
    <w:rsid w:val="00190853"/>
    <w:rsid w:val="0019705F"/>
    <w:rsid w:val="001975F5"/>
    <w:rsid w:val="001A2E56"/>
    <w:rsid w:val="001A313D"/>
    <w:rsid w:val="001A76F9"/>
    <w:rsid w:val="001B06FF"/>
    <w:rsid w:val="001B1703"/>
    <w:rsid w:val="001B1E12"/>
    <w:rsid w:val="001B4CB1"/>
    <w:rsid w:val="001C051C"/>
    <w:rsid w:val="001C1C2E"/>
    <w:rsid w:val="001C31A1"/>
    <w:rsid w:val="001C38FE"/>
    <w:rsid w:val="001C3FA2"/>
    <w:rsid w:val="001C5EE2"/>
    <w:rsid w:val="001D0077"/>
    <w:rsid w:val="001D2614"/>
    <w:rsid w:val="001D4DD0"/>
    <w:rsid w:val="001D57DD"/>
    <w:rsid w:val="001E3F86"/>
    <w:rsid w:val="001E407B"/>
    <w:rsid w:val="001E545E"/>
    <w:rsid w:val="001E5C71"/>
    <w:rsid w:val="001E67FE"/>
    <w:rsid w:val="001E7FC6"/>
    <w:rsid w:val="001F002D"/>
    <w:rsid w:val="001F2502"/>
    <w:rsid w:val="001F70A5"/>
    <w:rsid w:val="0020235D"/>
    <w:rsid w:val="0020369B"/>
    <w:rsid w:val="002069B1"/>
    <w:rsid w:val="00207928"/>
    <w:rsid w:val="00207B4D"/>
    <w:rsid w:val="00210F9B"/>
    <w:rsid w:val="002117B1"/>
    <w:rsid w:val="002125D4"/>
    <w:rsid w:val="00214DA6"/>
    <w:rsid w:val="00217C06"/>
    <w:rsid w:val="00217CCE"/>
    <w:rsid w:val="002203B1"/>
    <w:rsid w:val="00225E13"/>
    <w:rsid w:val="00226F39"/>
    <w:rsid w:val="002334AD"/>
    <w:rsid w:val="00236F91"/>
    <w:rsid w:val="00241B60"/>
    <w:rsid w:val="00243824"/>
    <w:rsid w:val="002500CC"/>
    <w:rsid w:val="0025785B"/>
    <w:rsid w:val="00257969"/>
    <w:rsid w:val="00265CD1"/>
    <w:rsid w:val="002700F3"/>
    <w:rsid w:val="0027721C"/>
    <w:rsid w:val="00277839"/>
    <w:rsid w:val="00277A99"/>
    <w:rsid w:val="00280048"/>
    <w:rsid w:val="00283CC1"/>
    <w:rsid w:val="0028489E"/>
    <w:rsid w:val="002848DE"/>
    <w:rsid w:val="00286F93"/>
    <w:rsid w:val="0028794E"/>
    <w:rsid w:val="0029154F"/>
    <w:rsid w:val="002924A1"/>
    <w:rsid w:val="002969D5"/>
    <w:rsid w:val="0029733B"/>
    <w:rsid w:val="00297AC5"/>
    <w:rsid w:val="002A24D2"/>
    <w:rsid w:val="002A5841"/>
    <w:rsid w:val="002A5B31"/>
    <w:rsid w:val="002B1EDF"/>
    <w:rsid w:val="002B2061"/>
    <w:rsid w:val="002B33C3"/>
    <w:rsid w:val="002B3BDE"/>
    <w:rsid w:val="002C0DE1"/>
    <w:rsid w:val="002C1034"/>
    <w:rsid w:val="002C1232"/>
    <w:rsid w:val="002C1E44"/>
    <w:rsid w:val="002C45E1"/>
    <w:rsid w:val="002C55B5"/>
    <w:rsid w:val="002C5C92"/>
    <w:rsid w:val="002C5E29"/>
    <w:rsid w:val="002C74F2"/>
    <w:rsid w:val="002D0478"/>
    <w:rsid w:val="002D303E"/>
    <w:rsid w:val="002D369A"/>
    <w:rsid w:val="002D4B18"/>
    <w:rsid w:val="002D7127"/>
    <w:rsid w:val="002E2901"/>
    <w:rsid w:val="002E2FF1"/>
    <w:rsid w:val="002E4E5E"/>
    <w:rsid w:val="002F599E"/>
    <w:rsid w:val="002F7ADC"/>
    <w:rsid w:val="003008D8"/>
    <w:rsid w:val="00301D9A"/>
    <w:rsid w:val="00302A7B"/>
    <w:rsid w:val="00303959"/>
    <w:rsid w:val="00306E72"/>
    <w:rsid w:val="003125A6"/>
    <w:rsid w:val="00312AC3"/>
    <w:rsid w:val="00313737"/>
    <w:rsid w:val="00314430"/>
    <w:rsid w:val="003163BC"/>
    <w:rsid w:val="0031687D"/>
    <w:rsid w:val="003212D9"/>
    <w:rsid w:val="00321BD6"/>
    <w:rsid w:val="003232DB"/>
    <w:rsid w:val="0032351A"/>
    <w:rsid w:val="00324022"/>
    <w:rsid w:val="00324B33"/>
    <w:rsid w:val="00324C39"/>
    <w:rsid w:val="00327488"/>
    <w:rsid w:val="003302FF"/>
    <w:rsid w:val="0033060F"/>
    <w:rsid w:val="00332DA7"/>
    <w:rsid w:val="0033413A"/>
    <w:rsid w:val="00336FE1"/>
    <w:rsid w:val="00337BD8"/>
    <w:rsid w:val="0034220F"/>
    <w:rsid w:val="00342D56"/>
    <w:rsid w:val="003456E7"/>
    <w:rsid w:val="00346EC2"/>
    <w:rsid w:val="003477F9"/>
    <w:rsid w:val="003511B5"/>
    <w:rsid w:val="0035444D"/>
    <w:rsid w:val="00356D62"/>
    <w:rsid w:val="00363EE3"/>
    <w:rsid w:val="00370AAE"/>
    <w:rsid w:val="003735F3"/>
    <w:rsid w:val="00374729"/>
    <w:rsid w:val="0037664E"/>
    <w:rsid w:val="00376B53"/>
    <w:rsid w:val="003816C0"/>
    <w:rsid w:val="00384DAB"/>
    <w:rsid w:val="00387298"/>
    <w:rsid w:val="00387984"/>
    <w:rsid w:val="00390298"/>
    <w:rsid w:val="00395140"/>
    <w:rsid w:val="003A2422"/>
    <w:rsid w:val="003A6871"/>
    <w:rsid w:val="003A6A3D"/>
    <w:rsid w:val="003B149C"/>
    <w:rsid w:val="003B737B"/>
    <w:rsid w:val="003C0FDB"/>
    <w:rsid w:val="003C1192"/>
    <w:rsid w:val="003C5385"/>
    <w:rsid w:val="003C55E2"/>
    <w:rsid w:val="003C63D5"/>
    <w:rsid w:val="003C6F9F"/>
    <w:rsid w:val="003C7AA8"/>
    <w:rsid w:val="003D71A1"/>
    <w:rsid w:val="003F033B"/>
    <w:rsid w:val="003F0403"/>
    <w:rsid w:val="003F1C0F"/>
    <w:rsid w:val="003F33C2"/>
    <w:rsid w:val="004029E7"/>
    <w:rsid w:val="00402DC7"/>
    <w:rsid w:val="00402E8F"/>
    <w:rsid w:val="004060F7"/>
    <w:rsid w:val="004061E3"/>
    <w:rsid w:val="00407E03"/>
    <w:rsid w:val="004136EC"/>
    <w:rsid w:val="004155E7"/>
    <w:rsid w:val="00415CD6"/>
    <w:rsid w:val="0041688F"/>
    <w:rsid w:val="00421571"/>
    <w:rsid w:val="0042376F"/>
    <w:rsid w:val="004246B8"/>
    <w:rsid w:val="004248F1"/>
    <w:rsid w:val="00432F98"/>
    <w:rsid w:val="00433318"/>
    <w:rsid w:val="00436F0F"/>
    <w:rsid w:val="00437701"/>
    <w:rsid w:val="0044115F"/>
    <w:rsid w:val="004411D9"/>
    <w:rsid w:val="00442A56"/>
    <w:rsid w:val="00443B77"/>
    <w:rsid w:val="004444B0"/>
    <w:rsid w:val="00445695"/>
    <w:rsid w:val="0045060B"/>
    <w:rsid w:val="00450770"/>
    <w:rsid w:val="00455479"/>
    <w:rsid w:val="00457FD6"/>
    <w:rsid w:val="004626FF"/>
    <w:rsid w:val="0046285C"/>
    <w:rsid w:val="00470A52"/>
    <w:rsid w:val="00471BD5"/>
    <w:rsid w:val="00477C4E"/>
    <w:rsid w:val="00477F07"/>
    <w:rsid w:val="00481503"/>
    <w:rsid w:val="00481D12"/>
    <w:rsid w:val="00482D8E"/>
    <w:rsid w:val="004854A6"/>
    <w:rsid w:val="004903AD"/>
    <w:rsid w:val="00491A55"/>
    <w:rsid w:val="00494C3E"/>
    <w:rsid w:val="00497DF1"/>
    <w:rsid w:val="004A20BC"/>
    <w:rsid w:val="004A2B9C"/>
    <w:rsid w:val="004A2D48"/>
    <w:rsid w:val="004A318E"/>
    <w:rsid w:val="004A45D4"/>
    <w:rsid w:val="004A57E8"/>
    <w:rsid w:val="004B0854"/>
    <w:rsid w:val="004B0DF9"/>
    <w:rsid w:val="004B2938"/>
    <w:rsid w:val="004B3081"/>
    <w:rsid w:val="004B4A09"/>
    <w:rsid w:val="004B51B0"/>
    <w:rsid w:val="004C138A"/>
    <w:rsid w:val="004C41CE"/>
    <w:rsid w:val="004C48A9"/>
    <w:rsid w:val="004C631B"/>
    <w:rsid w:val="004C6ABD"/>
    <w:rsid w:val="004D0933"/>
    <w:rsid w:val="004D1F6A"/>
    <w:rsid w:val="004D2F00"/>
    <w:rsid w:val="004D31D8"/>
    <w:rsid w:val="004D35D1"/>
    <w:rsid w:val="004D3666"/>
    <w:rsid w:val="004D4AD5"/>
    <w:rsid w:val="004D5388"/>
    <w:rsid w:val="004D7A43"/>
    <w:rsid w:val="004E378D"/>
    <w:rsid w:val="004E4300"/>
    <w:rsid w:val="004E5E1B"/>
    <w:rsid w:val="004E7F16"/>
    <w:rsid w:val="004F18EC"/>
    <w:rsid w:val="004F1BE4"/>
    <w:rsid w:val="00500D68"/>
    <w:rsid w:val="00504020"/>
    <w:rsid w:val="0050425D"/>
    <w:rsid w:val="0050617C"/>
    <w:rsid w:val="0051406A"/>
    <w:rsid w:val="00514099"/>
    <w:rsid w:val="0052271B"/>
    <w:rsid w:val="00530ACF"/>
    <w:rsid w:val="00531712"/>
    <w:rsid w:val="00532E25"/>
    <w:rsid w:val="0053377D"/>
    <w:rsid w:val="00535DFE"/>
    <w:rsid w:val="005373B5"/>
    <w:rsid w:val="00537AB7"/>
    <w:rsid w:val="005402BB"/>
    <w:rsid w:val="00541CC7"/>
    <w:rsid w:val="00545DC6"/>
    <w:rsid w:val="00546233"/>
    <w:rsid w:val="0054669B"/>
    <w:rsid w:val="005542BC"/>
    <w:rsid w:val="00557684"/>
    <w:rsid w:val="00560EC1"/>
    <w:rsid w:val="005610D1"/>
    <w:rsid w:val="00561F20"/>
    <w:rsid w:val="00562950"/>
    <w:rsid w:val="00562F42"/>
    <w:rsid w:val="00564F47"/>
    <w:rsid w:val="0056522D"/>
    <w:rsid w:val="00565739"/>
    <w:rsid w:val="0056748F"/>
    <w:rsid w:val="0056766D"/>
    <w:rsid w:val="00575215"/>
    <w:rsid w:val="005775D0"/>
    <w:rsid w:val="00581138"/>
    <w:rsid w:val="00583AF8"/>
    <w:rsid w:val="00583F2C"/>
    <w:rsid w:val="0058575E"/>
    <w:rsid w:val="00586884"/>
    <w:rsid w:val="0058783C"/>
    <w:rsid w:val="00587D6D"/>
    <w:rsid w:val="005911AE"/>
    <w:rsid w:val="005926E2"/>
    <w:rsid w:val="0059313A"/>
    <w:rsid w:val="00593924"/>
    <w:rsid w:val="00594170"/>
    <w:rsid w:val="00594BE6"/>
    <w:rsid w:val="0059664D"/>
    <w:rsid w:val="005A54EA"/>
    <w:rsid w:val="005B023F"/>
    <w:rsid w:val="005B02A2"/>
    <w:rsid w:val="005B1417"/>
    <w:rsid w:val="005B45D9"/>
    <w:rsid w:val="005B69CF"/>
    <w:rsid w:val="005B70C8"/>
    <w:rsid w:val="005B7FF3"/>
    <w:rsid w:val="005C3F07"/>
    <w:rsid w:val="005C4B46"/>
    <w:rsid w:val="005C5DC5"/>
    <w:rsid w:val="005D003E"/>
    <w:rsid w:val="005D0B97"/>
    <w:rsid w:val="005D0E1E"/>
    <w:rsid w:val="005D112E"/>
    <w:rsid w:val="005D19A4"/>
    <w:rsid w:val="005D2089"/>
    <w:rsid w:val="005D3C8F"/>
    <w:rsid w:val="005D4762"/>
    <w:rsid w:val="005D5491"/>
    <w:rsid w:val="005D54D9"/>
    <w:rsid w:val="005D6F3B"/>
    <w:rsid w:val="005D7514"/>
    <w:rsid w:val="005E0FC6"/>
    <w:rsid w:val="005E1A7B"/>
    <w:rsid w:val="005E231F"/>
    <w:rsid w:val="005E752B"/>
    <w:rsid w:val="0060000A"/>
    <w:rsid w:val="00602D6E"/>
    <w:rsid w:val="00604566"/>
    <w:rsid w:val="00605C05"/>
    <w:rsid w:val="006063CD"/>
    <w:rsid w:val="00611351"/>
    <w:rsid w:val="0061184C"/>
    <w:rsid w:val="0061217D"/>
    <w:rsid w:val="006129AE"/>
    <w:rsid w:val="00614E38"/>
    <w:rsid w:val="00626286"/>
    <w:rsid w:val="00626C17"/>
    <w:rsid w:val="006277A1"/>
    <w:rsid w:val="006302E5"/>
    <w:rsid w:val="00631A54"/>
    <w:rsid w:val="00633BD7"/>
    <w:rsid w:val="00634580"/>
    <w:rsid w:val="00634884"/>
    <w:rsid w:val="006351D9"/>
    <w:rsid w:val="00637130"/>
    <w:rsid w:val="00637A57"/>
    <w:rsid w:val="00637F0E"/>
    <w:rsid w:val="006423F2"/>
    <w:rsid w:val="006428C5"/>
    <w:rsid w:val="00647B9D"/>
    <w:rsid w:val="00650234"/>
    <w:rsid w:val="0066044B"/>
    <w:rsid w:val="006630AA"/>
    <w:rsid w:val="00663544"/>
    <w:rsid w:val="006659A1"/>
    <w:rsid w:val="00666539"/>
    <w:rsid w:val="00666911"/>
    <w:rsid w:val="00675F81"/>
    <w:rsid w:val="00677A1D"/>
    <w:rsid w:val="006808E1"/>
    <w:rsid w:val="0068143E"/>
    <w:rsid w:val="0068507D"/>
    <w:rsid w:val="00691315"/>
    <w:rsid w:val="00691AF2"/>
    <w:rsid w:val="00692B80"/>
    <w:rsid w:val="00692CCD"/>
    <w:rsid w:val="00692D51"/>
    <w:rsid w:val="00694DD7"/>
    <w:rsid w:val="0069636B"/>
    <w:rsid w:val="006A1762"/>
    <w:rsid w:val="006A19CE"/>
    <w:rsid w:val="006A1F0B"/>
    <w:rsid w:val="006A277A"/>
    <w:rsid w:val="006A5973"/>
    <w:rsid w:val="006A790F"/>
    <w:rsid w:val="006B04F3"/>
    <w:rsid w:val="006B2B4A"/>
    <w:rsid w:val="006B350B"/>
    <w:rsid w:val="006B45C6"/>
    <w:rsid w:val="006B5E64"/>
    <w:rsid w:val="006B7126"/>
    <w:rsid w:val="006C3583"/>
    <w:rsid w:val="006C6731"/>
    <w:rsid w:val="006C6B86"/>
    <w:rsid w:val="006D3DF0"/>
    <w:rsid w:val="006D4553"/>
    <w:rsid w:val="006D4A35"/>
    <w:rsid w:val="006D6B44"/>
    <w:rsid w:val="006D6D8C"/>
    <w:rsid w:val="006D70BA"/>
    <w:rsid w:val="006E00CB"/>
    <w:rsid w:val="006E0F71"/>
    <w:rsid w:val="006E27FE"/>
    <w:rsid w:val="006E2EFB"/>
    <w:rsid w:val="006E451C"/>
    <w:rsid w:val="006E494D"/>
    <w:rsid w:val="006E5237"/>
    <w:rsid w:val="006E6059"/>
    <w:rsid w:val="006E6AE0"/>
    <w:rsid w:val="00701110"/>
    <w:rsid w:val="00702E91"/>
    <w:rsid w:val="0070330F"/>
    <w:rsid w:val="00703624"/>
    <w:rsid w:val="007046ED"/>
    <w:rsid w:val="0070541F"/>
    <w:rsid w:val="007072A1"/>
    <w:rsid w:val="00710137"/>
    <w:rsid w:val="0071060C"/>
    <w:rsid w:val="00710BC5"/>
    <w:rsid w:val="007121CA"/>
    <w:rsid w:val="0071233D"/>
    <w:rsid w:val="007133C2"/>
    <w:rsid w:val="007177EF"/>
    <w:rsid w:val="0072003B"/>
    <w:rsid w:val="00721059"/>
    <w:rsid w:val="007211E6"/>
    <w:rsid w:val="0072200F"/>
    <w:rsid w:val="007220C4"/>
    <w:rsid w:val="00722E1E"/>
    <w:rsid w:val="00725439"/>
    <w:rsid w:val="007305ED"/>
    <w:rsid w:val="007311A5"/>
    <w:rsid w:val="007311B9"/>
    <w:rsid w:val="00732361"/>
    <w:rsid w:val="007339F2"/>
    <w:rsid w:val="00734943"/>
    <w:rsid w:val="00734CCB"/>
    <w:rsid w:val="007357B9"/>
    <w:rsid w:val="00740AB9"/>
    <w:rsid w:val="00741AB9"/>
    <w:rsid w:val="00742D03"/>
    <w:rsid w:val="00744216"/>
    <w:rsid w:val="00744DDF"/>
    <w:rsid w:val="007452E8"/>
    <w:rsid w:val="00746990"/>
    <w:rsid w:val="00747093"/>
    <w:rsid w:val="007507BD"/>
    <w:rsid w:val="00750D70"/>
    <w:rsid w:val="00752584"/>
    <w:rsid w:val="007575D0"/>
    <w:rsid w:val="007649F2"/>
    <w:rsid w:val="00764ACE"/>
    <w:rsid w:val="00765B57"/>
    <w:rsid w:val="007662E0"/>
    <w:rsid w:val="00771CC9"/>
    <w:rsid w:val="0077576D"/>
    <w:rsid w:val="007762CD"/>
    <w:rsid w:val="00776E9C"/>
    <w:rsid w:val="007816D8"/>
    <w:rsid w:val="00784150"/>
    <w:rsid w:val="00785C0B"/>
    <w:rsid w:val="0079184A"/>
    <w:rsid w:val="00793272"/>
    <w:rsid w:val="0079499A"/>
    <w:rsid w:val="00794B64"/>
    <w:rsid w:val="007967C3"/>
    <w:rsid w:val="007A0A33"/>
    <w:rsid w:val="007A5E1A"/>
    <w:rsid w:val="007B04DE"/>
    <w:rsid w:val="007B0AE6"/>
    <w:rsid w:val="007B383D"/>
    <w:rsid w:val="007B50D1"/>
    <w:rsid w:val="007B6183"/>
    <w:rsid w:val="007C0F0B"/>
    <w:rsid w:val="007C3D88"/>
    <w:rsid w:val="007C57BC"/>
    <w:rsid w:val="007C5B09"/>
    <w:rsid w:val="007D04CA"/>
    <w:rsid w:val="007D0A2B"/>
    <w:rsid w:val="007D0C54"/>
    <w:rsid w:val="007D12A1"/>
    <w:rsid w:val="007D40E5"/>
    <w:rsid w:val="007D4138"/>
    <w:rsid w:val="007D589D"/>
    <w:rsid w:val="007E4178"/>
    <w:rsid w:val="007E4FF8"/>
    <w:rsid w:val="007E5DF6"/>
    <w:rsid w:val="007E6443"/>
    <w:rsid w:val="007F0A77"/>
    <w:rsid w:val="007F1E37"/>
    <w:rsid w:val="007F50D3"/>
    <w:rsid w:val="007F5435"/>
    <w:rsid w:val="007F6B1F"/>
    <w:rsid w:val="008013F0"/>
    <w:rsid w:val="00803926"/>
    <w:rsid w:val="00803C4A"/>
    <w:rsid w:val="00803CE2"/>
    <w:rsid w:val="008042BF"/>
    <w:rsid w:val="00804897"/>
    <w:rsid w:val="00814A78"/>
    <w:rsid w:val="00816EB2"/>
    <w:rsid w:val="00821D2F"/>
    <w:rsid w:val="0082218F"/>
    <w:rsid w:val="008329DB"/>
    <w:rsid w:val="00833CE1"/>
    <w:rsid w:val="00833EDB"/>
    <w:rsid w:val="00834316"/>
    <w:rsid w:val="00834F89"/>
    <w:rsid w:val="00835D8D"/>
    <w:rsid w:val="008361C5"/>
    <w:rsid w:val="0083628F"/>
    <w:rsid w:val="00837AB9"/>
    <w:rsid w:val="00843960"/>
    <w:rsid w:val="00850637"/>
    <w:rsid w:val="00854D98"/>
    <w:rsid w:val="0085751E"/>
    <w:rsid w:val="00860B29"/>
    <w:rsid w:val="008622E8"/>
    <w:rsid w:val="00864054"/>
    <w:rsid w:val="008645EE"/>
    <w:rsid w:val="00864FF0"/>
    <w:rsid w:val="008667B7"/>
    <w:rsid w:val="00866B84"/>
    <w:rsid w:val="00866DFA"/>
    <w:rsid w:val="00870144"/>
    <w:rsid w:val="0087072C"/>
    <w:rsid w:val="00871312"/>
    <w:rsid w:val="00872A66"/>
    <w:rsid w:val="00873D7A"/>
    <w:rsid w:val="00877CB3"/>
    <w:rsid w:val="008804CF"/>
    <w:rsid w:val="00882D58"/>
    <w:rsid w:val="00882F19"/>
    <w:rsid w:val="00883D35"/>
    <w:rsid w:val="00883FA9"/>
    <w:rsid w:val="00884569"/>
    <w:rsid w:val="00887725"/>
    <w:rsid w:val="00887A51"/>
    <w:rsid w:val="0089038A"/>
    <w:rsid w:val="00890D9B"/>
    <w:rsid w:val="00891C6C"/>
    <w:rsid w:val="00893CCD"/>
    <w:rsid w:val="0089518B"/>
    <w:rsid w:val="008964B3"/>
    <w:rsid w:val="008B0BD0"/>
    <w:rsid w:val="008B1CB5"/>
    <w:rsid w:val="008B3EFE"/>
    <w:rsid w:val="008C020D"/>
    <w:rsid w:val="008C2D69"/>
    <w:rsid w:val="008C3325"/>
    <w:rsid w:val="008C4579"/>
    <w:rsid w:val="008C49C6"/>
    <w:rsid w:val="008C754C"/>
    <w:rsid w:val="008D0CAC"/>
    <w:rsid w:val="008D0F30"/>
    <w:rsid w:val="008D2580"/>
    <w:rsid w:val="008D381B"/>
    <w:rsid w:val="008D56C9"/>
    <w:rsid w:val="008D56CA"/>
    <w:rsid w:val="008D6A54"/>
    <w:rsid w:val="008E0629"/>
    <w:rsid w:val="008E2585"/>
    <w:rsid w:val="008E2D7A"/>
    <w:rsid w:val="008E794F"/>
    <w:rsid w:val="008F3215"/>
    <w:rsid w:val="008F4A62"/>
    <w:rsid w:val="008F7256"/>
    <w:rsid w:val="008F7E49"/>
    <w:rsid w:val="00900AD2"/>
    <w:rsid w:val="0090424C"/>
    <w:rsid w:val="0090605E"/>
    <w:rsid w:val="00906C74"/>
    <w:rsid w:val="009108CE"/>
    <w:rsid w:val="0091222D"/>
    <w:rsid w:val="00915A9F"/>
    <w:rsid w:val="00926638"/>
    <w:rsid w:val="00930D58"/>
    <w:rsid w:val="00935AAA"/>
    <w:rsid w:val="0094472B"/>
    <w:rsid w:val="00944FF6"/>
    <w:rsid w:val="0095031E"/>
    <w:rsid w:val="00951D51"/>
    <w:rsid w:val="00954297"/>
    <w:rsid w:val="00955B59"/>
    <w:rsid w:val="00957660"/>
    <w:rsid w:val="00960A56"/>
    <w:rsid w:val="00961104"/>
    <w:rsid w:val="00964074"/>
    <w:rsid w:val="009652F2"/>
    <w:rsid w:val="0096565A"/>
    <w:rsid w:val="00966EF1"/>
    <w:rsid w:val="00967223"/>
    <w:rsid w:val="009751F7"/>
    <w:rsid w:val="0098010B"/>
    <w:rsid w:val="00981422"/>
    <w:rsid w:val="0098168B"/>
    <w:rsid w:val="0098350E"/>
    <w:rsid w:val="0099090E"/>
    <w:rsid w:val="00990C12"/>
    <w:rsid w:val="00990CF0"/>
    <w:rsid w:val="0099404F"/>
    <w:rsid w:val="00996856"/>
    <w:rsid w:val="00996FA5"/>
    <w:rsid w:val="009A350D"/>
    <w:rsid w:val="009B5662"/>
    <w:rsid w:val="009C0DBB"/>
    <w:rsid w:val="009C2211"/>
    <w:rsid w:val="009C40E8"/>
    <w:rsid w:val="009C45C5"/>
    <w:rsid w:val="009D2059"/>
    <w:rsid w:val="009D2976"/>
    <w:rsid w:val="009D7268"/>
    <w:rsid w:val="009D75DB"/>
    <w:rsid w:val="009E152B"/>
    <w:rsid w:val="009E4CBE"/>
    <w:rsid w:val="009E6858"/>
    <w:rsid w:val="009E6F8C"/>
    <w:rsid w:val="009F405F"/>
    <w:rsid w:val="009F5685"/>
    <w:rsid w:val="00A01C56"/>
    <w:rsid w:val="00A1272F"/>
    <w:rsid w:val="00A170E7"/>
    <w:rsid w:val="00A30ACE"/>
    <w:rsid w:val="00A32C50"/>
    <w:rsid w:val="00A35071"/>
    <w:rsid w:val="00A358E7"/>
    <w:rsid w:val="00A41283"/>
    <w:rsid w:val="00A41468"/>
    <w:rsid w:val="00A4380B"/>
    <w:rsid w:val="00A4660A"/>
    <w:rsid w:val="00A50061"/>
    <w:rsid w:val="00A51A2D"/>
    <w:rsid w:val="00A5596B"/>
    <w:rsid w:val="00A560D0"/>
    <w:rsid w:val="00A60526"/>
    <w:rsid w:val="00A63C07"/>
    <w:rsid w:val="00A63D9B"/>
    <w:rsid w:val="00A704DC"/>
    <w:rsid w:val="00A720A7"/>
    <w:rsid w:val="00A73D3D"/>
    <w:rsid w:val="00A81F63"/>
    <w:rsid w:val="00A83071"/>
    <w:rsid w:val="00A87172"/>
    <w:rsid w:val="00A93DC6"/>
    <w:rsid w:val="00A9411A"/>
    <w:rsid w:val="00A97B0C"/>
    <w:rsid w:val="00AA2DA9"/>
    <w:rsid w:val="00AA4A4B"/>
    <w:rsid w:val="00AA6682"/>
    <w:rsid w:val="00AA763D"/>
    <w:rsid w:val="00AB0408"/>
    <w:rsid w:val="00AB0613"/>
    <w:rsid w:val="00AB1870"/>
    <w:rsid w:val="00AB1A64"/>
    <w:rsid w:val="00AB3F3C"/>
    <w:rsid w:val="00AB63A6"/>
    <w:rsid w:val="00AB7C5C"/>
    <w:rsid w:val="00AB7CBF"/>
    <w:rsid w:val="00AC3310"/>
    <w:rsid w:val="00AD0111"/>
    <w:rsid w:val="00AD089E"/>
    <w:rsid w:val="00AD0B68"/>
    <w:rsid w:val="00AD172D"/>
    <w:rsid w:val="00AD2DED"/>
    <w:rsid w:val="00AD40C3"/>
    <w:rsid w:val="00AD4C72"/>
    <w:rsid w:val="00AD5451"/>
    <w:rsid w:val="00AD5A26"/>
    <w:rsid w:val="00AD5D5E"/>
    <w:rsid w:val="00AD696B"/>
    <w:rsid w:val="00AE1947"/>
    <w:rsid w:val="00AF0C9D"/>
    <w:rsid w:val="00AF1C8B"/>
    <w:rsid w:val="00AF299B"/>
    <w:rsid w:val="00AF2A83"/>
    <w:rsid w:val="00AF2EF7"/>
    <w:rsid w:val="00AF313C"/>
    <w:rsid w:val="00AF581A"/>
    <w:rsid w:val="00AF7E43"/>
    <w:rsid w:val="00B0056B"/>
    <w:rsid w:val="00B009D9"/>
    <w:rsid w:val="00B02AE0"/>
    <w:rsid w:val="00B03F25"/>
    <w:rsid w:val="00B0507B"/>
    <w:rsid w:val="00B05326"/>
    <w:rsid w:val="00B1397C"/>
    <w:rsid w:val="00B14545"/>
    <w:rsid w:val="00B14E60"/>
    <w:rsid w:val="00B1755B"/>
    <w:rsid w:val="00B17BA2"/>
    <w:rsid w:val="00B2229C"/>
    <w:rsid w:val="00B26DC3"/>
    <w:rsid w:val="00B30B9D"/>
    <w:rsid w:val="00B33AE4"/>
    <w:rsid w:val="00B357FC"/>
    <w:rsid w:val="00B4574D"/>
    <w:rsid w:val="00B468E1"/>
    <w:rsid w:val="00B46BC0"/>
    <w:rsid w:val="00B46DFB"/>
    <w:rsid w:val="00B51255"/>
    <w:rsid w:val="00B5141B"/>
    <w:rsid w:val="00B54BA4"/>
    <w:rsid w:val="00B55681"/>
    <w:rsid w:val="00B57942"/>
    <w:rsid w:val="00B57AAD"/>
    <w:rsid w:val="00B62EF9"/>
    <w:rsid w:val="00B6374E"/>
    <w:rsid w:val="00B72B16"/>
    <w:rsid w:val="00B759F2"/>
    <w:rsid w:val="00B80408"/>
    <w:rsid w:val="00B81397"/>
    <w:rsid w:val="00B863E7"/>
    <w:rsid w:val="00B869A9"/>
    <w:rsid w:val="00B925DB"/>
    <w:rsid w:val="00B95A51"/>
    <w:rsid w:val="00B967FF"/>
    <w:rsid w:val="00B96C49"/>
    <w:rsid w:val="00B974B9"/>
    <w:rsid w:val="00BA3F6D"/>
    <w:rsid w:val="00BA4BE6"/>
    <w:rsid w:val="00BA4FC0"/>
    <w:rsid w:val="00BA61E0"/>
    <w:rsid w:val="00BA657C"/>
    <w:rsid w:val="00BA7F7D"/>
    <w:rsid w:val="00BB1C14"/>
    <w:rsid w:val="00BB37C8"/>
    <w:rsid w:val="00BB3FDF"/>
    <w:rsid w:val="00BB6847"/>
    <w:rsid w:val="00BB7578"/>
    <w:rsid w:val="00BB7F8F"/>
    <w:rsid w:val="00BC3B5A"/>
    <w:rsid w:val="00BC7032"/>
    <w:rsid w:val="00BC716A"/>
    <w:rsid w:val="00BD07DF"/>
    <w:rsid w:val="00BD15C7"/>
    <w:rsid w:val="00BD26F4"/>
    <w:rsid w:val="00BD5DBD"/>
    <w:rsid w:val="00BD5DF6"/>
    <w:rsid w:val="00BE0041"/>
    <w:rsid w:val="00BE4B5C"/>
    <w:rsid w:val="00BE640F"/>
    <w:rsid w:val="00BE65D3"/>
    <w:rsid w:val="00BE6D2A"/>
    <w:rsid w:val="00BF13E3"/>
    <w:rsid w:val="00BF4638"/>
    <w:rsid w:val="00BF502D"/>
    <w:rsid w:val="00BF5130"/>
    <w:rsid w:val="00BF52D6"/>
    <w:rsid w:val="00BF5440"/>
    <w:rsid w:val="00BF5E42"/>
    <w:rsid w:val="00BF75D0"/>
    <w:rsid w:val="00C00844"/>
    <w:rsid w:val="00C059D0"/>
    <w:rsid w:val="00C07551"/>
    <w:rsid w:val="00C1109F"/>
    <w:rsid w:val="00C12D65"/>
    <w:rsid w:val="00C133AB"/>
    <w:rsid w:val="00C14291"/>
    <w:rsid w:val="00C20B56"/>
    <w:rsid w:val="00C22214"/>
    <w:rsid w:val="00C26F72"/>
    <w:rsid w:val="00C309A7"/>
    <w:rsid w:val="00C335AB"/>
    <w:rsid w:val="00C375B4"/>
    <w:rsid w:val="00C407AB"/>
    <w:rsid w:val="00C47B56"/>
    <w:rsid w:val="00C50B7E"/>
    <w:rsid w:val="00C52B7B"/>
    <w:rsid w:val="00C547CD"/>
    <w:rsid w:val="00C570FF"/>
    <w:rsid w:val="00C57CEA"/>
    <w:rsid w:val="00C60FEC"/>
    <w:rsid w:val="00C62B1C"/>
    <w:rsid w:val="00C6574E"/>
    <w:rsid w:val="00C663D1"/>
    <w:rsid w:val="00C707FD"/>
    <w:rsid w:val="00C73E86"/>
    <w:rsid w:val="00C76DEB"/>
    <w:rsid w:val="00C811D8"/>
    <w:rsid w:val="00C816C6"/>
    <w:rsid w:val="00C85976"/>
    <w:rsid w:val="00C8612C"/>
    <w:rsid w:val="00C863A7"/>
    <w:rsid w:val="00C869C3"/>
    <w:rsid w:val="00C912F4"/>
    <w:rsid w:val="00C9156F"/>
    <w:rsid w:val="00C94F5B"/>
    <w:rsid w:val="00C9581A"/>
    <w:rsid w:val="00C96AAB"/>
    <w:rsid w:val="00C96D3F"/>
    <w:rsid w:val="00C97723"/>
    <w:rsid w:val="00C97D29"/>
    <w:rsid w:val="00CA0EAA"/>
    <w:rsid w:val="00CB0550"/>
    <w:rsid w:val="00CB6813"/>
    <w:rsid w:val="00CB6CF1"/>
    <w:rsid w:val="00CB7D21"/>
    <w:rsid w:val="00CC26B9"/>
    <w:rsid w:val="00CC7A6C"/>
    <w:rsid w:val="00CD664B"/>
    <w:rsid w:val="00CE33FF"/>
    <w:rsid w:val="00CE3A0A"/>
    <w:rsid w:val="00CF6A55"/>
    <w:rsid w:val="00CF6DC6"/>
    <w:rsid w:val="00CF6DCF"/>
    <w:rsid w:val="00D0195E"/>
    <w:rsid w:val="00D01DDB"/>
    <w:rsid w:val="00D04A2D"/>
    <w:rsid w:val="00D04E14"/>
    <w:rsid w:val="00D078BE"/>
    <w:rsid w:val="00D13F8A"/>
    <w:rsid w:val="00D144D7"/>
    <w:rsid w:val="00D16F60"/>
    <w:rsid w:val="00D22981"/>
    <w:rsid w:val="00D3349B"/>
    <w:rsid w:val="00D3540F"/>
    <w:rsid w:val="00D360B7"/>
    <w:rsid w:val="00D424A8"/>
    <w:rsid w:val="00D430C7"/>
    <w:rsid w:val="00D43AE9"/>
    <w:rsid w:val="00D43E9D"/>
    <w:rsid w:val="00D45B4E"/>
    <w:rsid w:val="00D53496"/>
    <w:rsid w:val="00D6036F"/>
    <w:rsid w:val="00D62877"/>
    <w:rsid w:val="00D63760"/>
    <w:rsid w:val="00D6703F"/>
    <w:rsid w:val="00D734EB"/>
    <w:rsid w:val="00D764E2"/>
    <w:rsid w:val="00D82713"/>
    <w:rsid w:val="00D86F00"/>
    <w:rsid w:val="00D918D5"/>
    <w:rsid w:val="00D94C8E"/>
    <w:rsid w:val="00D9600C"/>
    <w:rsid w:val="00DA1446"/>
    <w:rsid w:val="00DA4C19"/>
    <w:rsid w:val="00DA644B"/>
    <w:rsid w:val="00DB1372"/>
    <w:rsid w:val="00DB192C"/>
    <w:rsid w:val="00DB1CF3"/>
    <w:rsid w:val="00DB5425"/>
    <w:rsid w:val="00DB72A6"/>
    <w:rsid w:val="00DB7F5C"/>
    <w:rsid w:val="00DC1F14"/>
    <w:rsid w:val="00DC33AF"/>
    <w:rsid w:val="00DC6611"/>
    <w:rsid w:val="00DD2283"/>
    <w:rsid w:val="00DD272C"/>
    <w:rsid w:val="00DD2E7D"/>
    <w:rsid w:val="00DD5AFB"/>
    <w:rsid w:val="00DD5B68"/>
    <w:rsid w:val="00DE1344"/>
    <w:rsid w:val="00DE33F8"/>
    <w:rsid w:val="00DF1CFD"/>
    <w:rsid w:val="00DF5BFE"/>
    <w:rsid w:val="00DF7D10"/>
    <w:rsid w:val="00E044F1"/>
    <w:rsid w:val="00E0523F"/>
    <w:rsid w:val="00E13FE2"/>
    <w:rsid w:val="00E20BFB"/>
    <w:rsid w:val="00E20FE9"/>
    <w:rsid w:val="00E23E50"/>
    <w:rsid w:val="00E24A5C"/>
    <w:rsid w:val="00E26213"/>
    <w:rsid w:val="00E274DF"/>
    <w:rsid w:val="00E33398"/>
    <w:rsid w:val="00E34D66"/>
    <w:rsid w:val="00E362C4"/>
    <w:rsid w:val="00E4044C"/>
    <w:rsid w:val="00E4239C"/>
    <w:rsid w:val="00E46CC2"/>
    <w:rsid w:val="00E47E0C"/>
    <w:rsid w:val="00E47ED2"/>
    <w:rsid w:val="00E51813"/>
    <w:rsid w:val="00E523A5"/>
    <w:rsid w:val="00E52592"/>
    <w:rsid w:val="00E52C0B"/>
    <w:rsid w:val="00E53D3F"/>
    <w:rsid w:val="00E5579B"/>
    <w:rsid w:val="00E57FF4"/>
    <w:rsid w:val="00E679D1"/>
    <w:rsid w:val="00E67C1C"/>
    <w:rsid w:val="00E719F7"/>
    <w:rsid w:val="00E72B4C"/>
    <w:rsid w:val="00E75E4F"/>
    <w:rsid w:val="00E768E8"/>
    <w:rsid w:val="00E77663"/>
    <w:rsid w:val="00E85209"/>
    <w:rsid w:val="00E87E0D"/>
    <w:rsid w:val="00E909C5"/>
    <w:rsid w:val="00E91F11"/>
    <w:rsid w:val="00E9706D"/>
    <w:rsid w:val="00EA27FD"/>
    <w:rsid w:val="00EA3AF4"/>
    <w:rsid w:val="00EA3C8D"/>
    <w:rsid w:val="00EA72A7"/>
    <w:rsid w:val="00EA7769"/>
    <w:rsid w:val="00EB2EF5"/>
    <w:rsid w:val="00EB3A7D"/>
    <w:rsid w:val="00ED30E5"/>
    <w:rsid w:val="00ED4C42"/>
    <w:rsid w:val="00EE09B0"/>
    <w:rsid w:val="00EE4B01"/>
    <w:rsid w:val="00EF3F0B"/>
    <w:rsid w:val="00EF5583"/>
    <w:rsid w:val="00F00F9B"/>
    <w:rsid w:val="00F0289D"/>
    <w:rsid w:val="00F02AEC"/>
    <w:rsid w:val="00F0549F"/>
    <w:rsid w:val="00F07572"/>
    <w:rsid w:val="00F157FC"/>
    <w:rsid w:val="00F30AF3"/>
    <w:rsid w:val="00F339A7"/>
    <w:rsid w:val="00F33EBF"/>
    <w:rsid w:val="00F341B8"/>
    <w:rsid w:val="00F41B63"/>
    <w:rsid w:val="00F42AF5"/>
    <w:rsid w:val="00F43CD1"/>
    <w:rsid w:val="00F45AE0"/>
    <w:rsid w:val="00F47E60"/>
    <w:rsid w:val="00F57231"/>
    <w:rsid w:val="00F57421"/>
    <w:rsid w:val="00F60CF2"/>
    <w:rsid w:val="00F657B4"/>
    <w:rsid w:val="00F70570"/>
    <w:rsid w:val="00F716F5"/>
    <w:rsid w:val="00F71F24"/>
    <w:rsid w:val="00F72725"/>
    <w:rsid w:val="00F7649F"/>
    <w:rsid w:val="00F8045C"/>
    <w:rsid w:val="00F8083B"/>
    <w:rsid w:val="00F82D1B"/>
    <w:rsid w:val="00F8448B"/>
    <w:rsid w:val="00F84ABB"/>
    <w:rsid w:val="00F8568E"/>
    <w:rsid w:val="00F865A7"/>
    <w:rsid w:val="00F90886"/>
    <w:rsid w:val="00F9205E"/>
    <w:rsid w:val="00F96C2E"/>
    <w:rsid w:val="00FA0754"/>
    <w:rsid w:val="00FA1BC9"/>
    <w:rsid w:val="00FA49C3"/>
    <w:rsid w:val="00FB236E"/>
    <w:rsid w:val="00FB3F7B"/>
    <w:rsid w:val="00FB4191"/>
    <w:rsid w:val="00FB4C2A"/>
    <w:rsid w:val="00FC2107"/>
    <w:rsid w:val="00FC48FE"/>
    <w:rsid w:val="00FC6F56"/>
    <w:rsid w:val="00FC7155"/>
    <w:rsid w:val="00FD0E10"/>
    <w:rsid w:val="00FE087C"/>
    <w:rsid w:val="00FE50B1"/>
    <w:rsid w:val="00FE79A0"/>
    <w:rsid w:val="00FF0939"/>
    <w:rsid w:val="00FF1C39"/>
    <w:rsid w:val="00FF5EDD"/>
    <w:rsid w:val="00FF6051"/>
    <w:rsid w:val="0A3D7EA9"/>
    <w:rsid w:val="0DF64396"/>
    <w:rsid w:val="124825BC"/>
    <w:rsid w:val="1397B605"/>
    <w:rsid w:val="1885E0C0"/>
    <w:rsid w:val="1B66E5B5"/>
    <w:rsid w:val="22719E0F"/>
    <w:rsid w:val="2C95B2BF"/>
    <w:rsid w:val="2E716F2F"/>
    <w:rsid w:val="30F38BCB"/>
    <w:rsid w:val="36005AD4"/>
    <w:rsid w:val="38E4E719"/>
    <w:rsid w:val="40AE5420"/>
    <w:rsid w:val="4404A6B6"/>
    <w:rsid w:val="4545EB5D"/>
    <w:rsid w:val="4BFD539A"/>
    <w:rsid w:val="5C8CB3E2"/>
    <w:rsid w:val="61CD125D"/>
    <w:rsid w:val="627F5DE6"/>
    <w:rsid w:val="65B75DFE"/>
    <w:rsid w:val="6CE47593"/>
    <w:rsid w:val="78376601"/>
    <w:rsid w:val="7B7C2C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494EDEDB-7A43-4D05-956D-65C850FE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2700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Bold SemiConden" w:hAnsi="Bahnschrift SemiBold SemiConde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autoRedefine/>
    <w:qFormat/>
    <w:rsid w:val="00B96C49"/>
    <w:pPr>
      <w:spacing w:before="120"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autoRedefine/>
    <w:qFormat/>
    <w:rsid w:val="00B96C49"/>
    <w:pPr>
      <w:keepNext/>
      <w:spacing w:before="120" w:line="240" w:lineRule="auto"/>
      <w:contextualSpacing/>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autoRedefine/>
    <w:qFormat/>
    <w:rsid w:val="00B96C49"/>
    <w:rPr>
      <w:b w:val="0"/>
      <w:sz w:val="18"/>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2700F3"/>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955B59"/>
    <w:pPr>
      <w:widowControl w:val="0"/>
      <w:autoSpaceDE w:val="0"/>
      <w:autoSpaceDN w:val="0"/>
      <w:spacing w:after="0" w:line="240" w:lineRule="auto"/>
      <w:ind w:left="108"/>
    </w:pPr>
    <w:rPr>
      <w:rFonts w:ascii="Times New Roman" w:eastAsia="Times New Roman" w:hAnsi="Times New Roman" w:cs="Times New Roman"/>
      <w:szCs w:val="22"/>
      <w:lang w:val="en-US"/>
    </w:rPr>
  </w:style>
  <w:style w:type="paragraph" w:customStyle="1" w:styleId="Tabletext0">
    <w:name w:val="Table text"/>
    <w:basedOn w:val="Normal"/>
    <w:link w:val="TabletextChar"/>
    <w:qFormat/>
    <w:rsid w:val="0094472B"/>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94472B"/>
    <w:rPr>
      <w:rFonts w:ascii="Cambria" w:eastAsia="Times New Roman" w:hAnsi="Cambria" w:cs="Times New Roman"/>
      <w:snapToGrid w:val="0"/>
      <w:kern w:val="16"/>
      <w:szCs w:val="24"/>
    </w:rPr>
  </w:style>
  <w:style w:type="character" w:styleId="Mention">
    <w:name w:val="Mention"/>
    <w:basedOn w:val="DefaultParagraphFont"/>
    <w:uiPriority w:val="99"/>
    <w:unhideWhenUsed/>
    <w:rsid w:val="006E6A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tga.gov.au/resources/artg/492525" TargetMode="External"/><Relationship Id="rId42" Type="http://schemas.microsoft.com/office/2007/relationships/hdphoto" Target="media/hdphoto4.wdp"/><Relationship Id="rId47" Type="http://schemas.microsoft.com/office/2007/relationships/hdphoto" Target="media/hdphoto6.wdp"/><Relationship Id="rId63" Type="http://schemas.openxmlformats.org/officeDocument/2006/relationships/footer" Target="footer4.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tga.gov.au/products/medicines/find-information-about-medicine/prescribing-medicines-pregnancy-database"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microsoft.com/office/2007/relationships/hdphoto" Target="media/hdphoto5.wdp"/><Relationship Id="rId53" Type="http://schemas.openxmlformats.org/officeDocument/2006/relationships/image" Target="media/image23.png"/><Relationship Id="rId58" Type="http://schemas.openxmlformats.org/officeDocument/2006/relationships/hyperlink" Target="https://www.tga.gov.au/resources/resource/guidance/risk-management-plans-medicines-and-biologicals/australia-specific-annex-eu-rmp" TargetMode="External"/><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s://www.ebs.tga.gov.au/" TargetMode="External"/><Relationship Id="rId19" Type="http://schemas.openxmlformats.org/officeDocument/2006/relationships/hyperlink" Target="mailto:tga.copyright@tga.gov.au" TargetMode="External"/><Relationship Id="rId14" Type="http://schemas.openxmlformats.org/officeDocument/2006/relationships/footer" Target="footer2.xml"/><Relationship Id="rId22" Type="http://schemas.openxmlformats.org/officeDocument/2006/relationships/hyperlink" Target="https://www.tga.gov.au/black-triangle-schem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hyperlink" Target="https://www.tga.gov.au/tgas-risk-management-approach" TargetMode="External"/><Relationship Id="rId64" Type="http://schemas.openxmlformats.org/officeDocument/2006/relationships/hyperlink" Target="mailto:info@tga.gov.au"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obstetric-drug-information-services"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https://www.tga.gov.au/resources/guidance/submitting-certified-product-details-cpd-biological-prescription-medicines" TargetMode="External"/><Relationship Id="rId67" Type="http://schemas.openxmlformats.org/officeDocument/2006/relationships/footer" Target="footer5.xml"/><Relationship Id="rId20" Type="http://schemas.openxmlformats.org/officeDocument/2006/relationships/hyperlink" Target="https://www.tga.gov.au/resources/artg/492526" TargetMode="External"/><Relationship Id="rId41" Type="http://schemas.openxmlformats.org/officeDocument/2006/relationships/image" Target="media/image16.png"/><Relationship Id="rId54" Type="http://schemas.microsoft.com/office/2007/relationships/hdphoto" Target="media/hdphoto9.wdp"/><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ebs.tga.gov.au/" TargetMode="External"/><Relationship Id="rId28" Type="http://schemas.openxmlformats.org/officeDocument/2006/relationships/image" Target="media/image6.png"/><Relationship Id="rId36" Type="http://schemas.microsoft.com/office/2007/relationships/hdphoto" Target="media/hdphoto2.wdp"/><Relationship Id="rId49" Type="http://schemas.microsoft.com/office/2007/relationships/hdphoto" Target="media/hdphoto7.wdp"/><Relationship Id="rId57" Type="http://schemas.openxmlformats.org/officeDocument/2006/relationships/hyperlink" Target="https://www.tga.gov.au/resources/resource/guidance/risk-management-plans-medicines-and-biologicals/australia-specific-annex-eu-rmp" TargetMode="External"/><Relationship Id="rId10" Type="http://schemas.openxmlformats.org/officeDocument/2006/relationships/endnotes" Target="endnotes.xml"/><Relationship Id="rId31" Type="http://schemas.microsoft.com/office/2007/relationships/hdphoto" Target="media/hdphoto1.wdp"/><Relationship Id="rId44" Type="http://schemas.openxmlformats.org/officeDocument/2006/relationships/image" Target="media/image18.png"/><Relationship Id="rId52" Type="http://schemas.microsoft.com/office/2007/relationships/hdphoto" Target="media/hdphoto8.wdp"/><Relationship Id="rId60" Type="http://schemas.openxmlformats.org/officeDocument/2006/relationships/hyperlink" Target="https://www.tga.gov.au/resources/resources/forms/certified-product-details-cpd-biological-prescription-medicines" TargetMode="External"/><Relationship Id="rId65"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39" Type="http://schemas.microsoft.com/office/2007/relationships/hdphoto" Target="media/hdphoto3.wdp"/><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hyperlink" Target="https://www.tga.gov.au/publication/risk-management-plans-medicines-and-biologica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ich-s6-r1-preclinical-safety-evaluation-biotechnology-derived-pharmaceuticals-scientific-guidel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E52A38EF923540BEFA1B6FC451B16A" ma:contentTypeVersion="22" ma:contentTypeDescription="Create a new document." ma:contentTypeScope="" ma:versionID="97aa6808fc108c4615749d26fbfd60e8">
  <xsd:schema xmlns:xsd="http://www.w3.org/2001/XMLSchema" xmlns:xs="http://www.w3.org/2001/XMLSchema" xmlns:p="http://schemas.microsoft.com/office/2006/metadata/properties" xmlns:ns1="http://schemas.microsoft.com/sharepoint/v3" xmlns:ns2="98462ecd-b279-436c-b43a-bb013e125fa9" xmlns:ns3="a347395a-ef1c-43fd-82de-fcdafe8321f5" targetNamespace="http://schemas.microsoft.com/office/2006/metadata/properties" ma:root="true" ma:fieldsID="337bac68e0a8b04491d1bf5929ec915a" ns1:_="" ns2:_="" ns3:_="">
    <xsd:import namespace="http://schemas.microsoft.com/sharepoint/v3"/>
    <xsd:import namespace="98462ecd-b279-436c-b43a-bb013e125fa9"/>
    <xsd:import namespace="a347395a-ef1c-43fd-82de-fcdafe8321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Approvedby_x002f_on" minOccurs="0"/>
                <xsd:element ref="ns2:MediaServiceObjectDetectorVersions" minOccurs="0"/>
                <xsd:element ref="ns2:MediaServiceDateTaken" minOccurs="0"/>
                <xsd:element ref="ns2:MediaLengthInSeconds" minOccurs="0"/>
                <xsd:element ref="ns2:MediaServiceSearchProperties" minOccurs="0"/>
                <xsd:element ref="ns2:Comments" minOccurs="0"/>
                <xsd:element ref="ns2:Comment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62ecd-b279-436c-b43a-bb013e125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f40b0f-2eae-4ca5-9139-7527fc530ceb" ma:termSetId="09814cd3-568e-fe90-9814-8d621ff8fb84" ma:anchorId="fba54fb3-c3e1-fe81-a776-ca4b69148c4d" ma:open="true" ma:isKeyword="false">
      <xsd:complexType>
        <xsd:sequence>
          <xsd:element ref="pc:Terms" minOccurs="0" maxOccurs="1"/>
        </xsd:sequence>
      </xsd:complexType>
    </xsd:element>
    <xsd:element name="Approvedby_x002f_on" ma:index="23" nillable="true" ma:displayName="Approved by/on" ma:format="Dropdown" ma:internalName="Approvedby_x002f_on">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Comments" ma:index="28" nillable="true" ma:displayName="Comments " ma:format="Dropdown" ma:internalName="Comments">
      <xsd:simpleType>
        <xsd:restriction base="dms:Text">
          <xsd:maxLength value="255"/>
        </xsd:restriction>
      </xsd:simpleType>
    </xsd:element>
    <xsd:element name="Comments0" ma:index="29" nillable="true" ma:displayName="Notes" ma:format="Dropdown" ma:internalName="Comment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47395a-ef1c-43fd-82de-fcdafe8321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17a6c1-93c0-41d7-ba66-fe0b630fe297}" ma:internalName="TaxCatchAll" ma:showField="CatchAllData" ma:web="a347395a-ef1c-43fd-82de-fcdafe832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omments0 xmlns="98462ecd-b279-436c-b43a-bb013e125fa9" xsi:nil="true"/>
    <Approvedby_x002f_on xmlns="98462ecd-b279-436c-b43a-bb013e125fa9" xsi:nil="true"/>
    <lcf76f155ced4ddcb4097134ff3c332f xmlns="98462ecd-b279-436c-b43a-bb013e125fa9">
      <Terms xmlns="http://schemas.microsoft.com/office/infopath/2007/PartnerControls"/>
    </lcf76f155ced4ddcb4097134ff3c332f>
    <_ip_UnifiedCompliancePolicyProperties xmlns="http://schemas.microsoft.com/sharepoint/v3" xsi:nil="true"/>
    <Comments xmlns="98462ecd-b279-436c-b43a-bb013e125fa9" xsi:nil="true"/>
    <TaxCatchAll xmlns="a347395a-ef1c-43fd-82de-fcdafe8321f5" xsi:nil="true"/>
  </documentManagement>
</p:properties>
</file>

<file path=customXml/itemProps1.xml><?xml version="1.0" encoding="utf-8"?>
<ds:datastoreItem xmlns:ds="http://schemas.openxmlformats.org/officeDocument/2006/customXml" ds:itemID="{382357BD-0F5F-4FDF-98C5-EE21E1BFD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462ecd-b279-436c-b43a-bb013e125fa9"/>
    <ds:schemaRef ds:uri="a347395a-ef1c-43fd-82de-fcdafe832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44D85A81-8E46-405E-97BD-8B66EBF98776}">
  <ds:schemaRefs>
    <ds:schemaRef ds:uri="http://schemas.microsoft.com/sharepoint/v3/contenttype/forms"/>
  </ds:schemaRefs>
</ds:datastoreItem>
</file>

<file path=customXml/itemProps4.xml><?xml version="1.0" encoding="utf-8"?>
<ds:datastoreItem xmlns:ds="http://schemas.openxmlformats.org/officeDocument/2006/customXml" ds:itemID="{324566CF-C816-4564-A6B6-59D885952487}">
  <ds:schemaRefs>
    <ds:schemaRef ds:uri="http://schemas.microsoft.com/office/2006/metadata/properties"/>
    <ds:schemaRef ds:uri="http://schemas.microsoft.com/office/infopath/2007/PartnerControls"/>
    <ds:schemaRef ds:uri="http://schemas.microsoft.com/sharepoint/v3"/>
    <ds:schemaRef ds:uri="98462ecd-b279-436c-b43a-bb013e125fa9"/>
    <ds:schemaRef ds:uri="a347395a-ef1c-43fd-82de-fcdafe8321f5"/>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31</Pages>
  <Words>8535</Words>
  <Characters>49594</Characters>
  <Application>Microsoft Office Word</Application>
  <DocSecurity>0</DocSecurity>
  <Lines>1012</Lines>
  <Paragraphs>593</Paragraphs>
  <ScaleCrop>false</ScaleCrop>
  <HeadingPairs>
    <vt:vector size="2" baseType="variant">
      <vt:variant>
        <vt:lpstr>Title</vt:lpstr>
      </vt:variant>
      <vt:variant>
        <vt:i4>1</vt:i4>
      </vt:variant>
    </vt:vector>
  </HeadingPairs>
  <TitlesOfParts>
    <vt:vector size="1" baseType="lpstr">
      <vt:lpstr>Australian public assessment report for Niktimvo</vt:lpstr>
    </vt:vector>
  </TitlesOfParts>
  <Company>Department of Health, Disabilities and Ageing</Company>
  <LinksUpToDate>false</LinksUpToDate>
  <CharactersWithSpaces>57536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Niktimvo</dc:title>
  <dc:subject>Prescription medicines</dc:subject>
  <dc:creator>Therapeutic Goods Administration</dc:creator>
  <cp:keywords/>
  <dc:description/>
  <cp:lastModifiedBy>LACK, Janet</cp:lastModifiedBy>
  <cp:revision>3</cp:revision>
  <dcterms:created xsi:type="dcterms:W3CDTF">2026-06-15T01:57:00Z</dcterms:created>
  <dcterms:modified xsi:type="dcterms:W3CDTF">2026-06-15T05:45:00Z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0x0101002AE52A38EF923540BEFA1B6FC451B16A</vt:lpwstr>
  </property>
  <property fmtid="{D5CDD505-2E9C-101B-9397-08002B2CF9AE}" pid="17" name="MediaServiceImageTags">
    <vt:lpwstr/>
  </property>
  <property fmtid="{D5CDD505-2E9C-101B-9397-08002B2CF9AE}" pid="18" name="docLang">
    <vt:lpwstr>en</vt:lpwstr>
  </property>
</Properties>
</file>