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36089D0D" w:rsidR="00F02AEC" w:rsidRPr="00215D48" w:rsidRDefault="00346EC2" w:rsidP="007452E8">
            <w:pPr>
              <w:pStyle w:val="Title"/>
            </w:pPr>
            <w:r w:rsidRPr="00346EC2">
              <w:t xml:space="preserve">Australian Public Assessment Report for </w:t>
            </w:r>
            <w:proofErr w:type="spellStart"/>
            <w:r w:rsidR="00424C07">
              <w:t>Livdelzi</w:t>
            </w:r>
            <w:proofErr w:type="spellEnd"/>
          </w:p>
        </w:tc>
      </w:tr>
      <w:tr w:rsidR="00F02AEC" w:rsidRPr="00215D48" w14:paraId="318A40A3" w14:textId="77777777" w:rsidTr="00346EC2">
        <w:trPr>
          <w:trHeight w:val="995"/>
        </w:trPr>
        <w:tc>
          <w:tcPr>
            <w:tcW w:w="8720" w:type="dxa"/>
          </w:tcPr>
          <w:p w14:paraId="1AA7C701" w14:textId="684A8151" w:rsidR="00F02AEC" w:rsidRPr="00215D48" w:rsidRDefault="00346EC2" w:rsidP="007452E8">
            <w:pPr>
              <w:pStyle w:val="Subtitle"/>
              <w:ind w:left="0"/>
            </w:pPr>
            <w:r w:rsidRPr="00346EC2">
              <w:t>Active ingredient</w:t>
            </w:r>
            <w:r w:rsidR="00E8020F">
              <w:t xml:space="preserve">: </w:t>
            </w:r>
            <w:proofErr w:type="spellStart"/>
            <w:r w:rsidR="00E8020F">
              <w:t>Seladelpar</w:t>
            </w:r>
            <w:proofErr w:type="spellEnd"/>
          </w:p>
        </w:tc>
      </w:tr>
      <w:tr w:rsidR="00346EC2" w:rsidRPr="00215D48" w14:paraId="362CCAE4" w14:textId="77777777" w:rsidTr="007452E8">
        <w:trPr>
          <w:trHeight w:val="1916"/>
        </w:trPr>
        <w:tc>
          <w:tcPr>
            <w:tcW w:w="8720" w:type="dxa"/>
          </w:tcPr>
          <w:p w14:paraId="709C45C0" w14:textId="52EC8C1D" w:rsidR="00346EC2" w:rsidRPr="00215D48" w:rsidRDefault="00346EC2" w:rsidP="007452E8">
            <w:pPr>
              <w:pStyle w:val="Subtitle"/>
              <w:ind w:left="0"/>
            </w:pPr>
            <w:r w:rsidRPr="00346EC2">
              <w:t xml:space="preserve">Sponsor: </w:t>
            </w:r>
            <w:r w:rsidR="00E8020F">
              <w:t>Gilead Sciences Pty Ltd</w:t>
            </w:r>
          </w:p>
        </w:tc>
      </w:tr>
      <w:tr w:rsidR="00F02AEC" w:rsidRPr="00215D48" w14:paraId="37F2AA1F" w14:textId="77777777" w:rsidTr="007452E8">
        <w:tc>
          <w:tcPr>
            <w:tcW w:w="8720" w:type="dxa"/>
          </w:tcPr>
          <w:p w14:paraId="1FDE8DCD" w14:textId="0110571E" w:rsidR="00F02AEC" w:rsidRPr="00215D48" w:rsidRDefault="007C68AA" w:rsidP="007452E8">
            <w:pPr>
              <w:pStyle w:val="Date"/>
            </w:pPr>
            <w:r>
              <w:t>May</w:t>
            </w:r>
            <w:r w:rsidR="00F178AC">
              <w:t xml:space="preserve"> 2026</w:t>
            </w:r>
          </w:p>
        </w:tc>
      </w:tr>
    </w:tbl>
    <w:p w14:paraId="73752706" w14:textId="77777777" w:rsidR="00F02AEC" w:rsidRPr="00215D48" w:rsidRDefault="00F02AEC" w:rsidP="007452E8">
      <w:pPr>
        <w:pStyle w:val="ListBullet"/>
        <w:numPr>
          <w:ilvl w:val="0"/>
          <w:numId w:val="0"/>
        </w:numPr>
        <w:sectPr w:rsidR="00F02AEC" w:rsidRPr="00215D48" w:rsidSect="00CB055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038D0DA4" w:rsidR="00346EC2" w:rsidRPr="00391B0C" w:rsidRDefault="00346EC2" w:rsidP="0056766D">
      <w:pPr>
        <w:pStyle w:val="ListBullet"/>
      </w:pPr>
      <w:r w:rsidRPr="00391B0C">
        <w:t xml:space="preserve">The Therapeutic Goods Administration (TGA) is part of the Australian Government </w:t>
      </w:r>
      <w:r w:rsidRPr="00C22214">
        <w:t>Department of Health</w:t>
      </w:r>
      <w:r w:rsidR="0006693A">
        <w:t>, Disability</w:t>
      </w:r>
      <w:r w:rsidRPr="00C22214">
        <w:t xml:space="preserve"> and Ag</w:t>
      </w:r>
      <w:r w:rsidR="0006693A">
        <w:t>eing</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1C976CB8"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7" w:history="1">
        <w:r w:rsidRPr="00A63C07">
          <w:rPr>
            <w:rStyle w:val="Hyperlink"/>
          </w:rPr>
          <w:t>TGA website</w:t>
        </w:r>
      </w:hyperlink>
      <w:r w:rsidRPr="003C6D1F">
        <w:t>.</w:t>
      </w:r>
    </w:p>
    <w:p w14:paraId="737B7A99" w14:textId="77777777" w:rsidR="00346EC2" w:rsidRDefault="00346EC2" w:rsidP="00346EC2">
      <w:pPr>
        <w:pStyle w:val="NonTOCHeading20"/>
      </w:pPr>
      <w:r>
        <w:t xml:space="preserve">About </w:t>
      </w:r>
      <w:proofErr w:type="spellStart"/>
      <w:r>
        <w:t>AusPARs</w:t>
      </w:r>
      <w:proofErr w:type="spellEnd"/>
    </w:p>
    <w:p w14:paraId="631B2209" w14:textId="010FE2EE" w:rsidR="00346EC2" w:rsidRPr="003C6D1F" w:rsidRDefault="00346EC2" w:rsidP="00346EC2">
      <w:pPr>
        <w:pStyle w:val="ListBullet"/>
      </w:pPr>
      <w:r>
        <w:t>The</w:t>
      </w:r>
      <w:r w:rsidRPr="003C6D1F">
        <w:t xml:space="preserve"> Australian Public Assessment Report (</w:t>
      </w:r>
      <w:proofErr w:type="spellStart"/>
      <w:r w:rsidRPr="003C6D1F">
        <w:t>AusPAR</w:t>
      </w:r>
      <w:proofErr w:type="spellEnd"/>
      <w:r w:rsidRPr="003C6D1F">
        <w:t>) provides information about the evaluation of a prescription medicine and the considerations that led the TGA to approve or not approve a prescription medicine submission.</w:t>
      </w:r>
      <w:r>
        <w:t xml:space="preserve"> Further information can be found in </w:t>
      </w:r>
      <w:hyperlink r:id="rId18" w:history="1">
        <w:r w:rsidRPr="005A2EB8">
          <w:rPr>
            <w:rStyle w:val="Hyperlink"/>
          </w:rPr>
          <w:t>Australian Public Assessment Report (</w:t>
        </w:r>
        <w:proofErr w:type="spellStart"/>
        <w:r w:rsidRPr="005A2EB8">
          <w:rPr>
            <w:rStyle w:val="Hyperlink"/>
          </w:rPr>
          <w:t>AusPAR</w:t>
        </w:r>
        <w:proofErr w:type="spellEnd"/>
        <w:r w:rsidRPr="005A2EB8">
          <w:rPr>
            <w:rStyle w:val="Hyperlink"/>
          </w:rPr>
          <w:t>) guidance</w:t>
        </w:r>
      </w:hyperlink>
      <w:r>
        <w:t>.</w:t>
      </w:r>
    </w:p>
    <w:p w14:paraId="22F5A730" w14:textId="77777777" w:rsidR="00346EC2" w:rsidRPr="003C6D1F" w:rsidRDefault="00346EC2" w:rsidP="00346EC2">
      <w:pPr>
        <w:pStyle w:val="ListBullet"/>
      </w:pPr>
      <w:proofErr w:type="spellStart"/>
      <w:r w:rsidRPr="003C6D1F">
        <w:t>AusPARs</w:t>
      </w:r>
      <w:proofErr w:type="spellEnd"/>
      <w:r w:rsidRPr="003C6D1F">
        <w:t xml:space="preserve"> are prepared and published by the TGA.</w:t>
      </w:r>
    </w:p>
    <w:p w14:paraId="451B8FD7" w14:textId="77777777" w:rsidR="00346EC2" w:rsidRPr="003C6D1F" w:rsidRDefault="00346EC2" w:rsidP="00346EC2">
      <w:pPr>
        <w:pStyle w:val="ListBullet"/>
      </w:pPr>
      <w:proofErr w:type="spellStart"/>
      <w:r w:rsidRPr="003C6D1F">
        <w:t>AusPAR</w:t>
      </w:r>
      <w:r>
        <w:t>s</w:t>
      </w:r>
      <w:proofErr w:type="spellEnd"/>
      <w:r>
        <w:t xml:space="preserve"> are </w:t>
      </w:r>
      <w:r w:rsidRPr="003C6D1F">
        <w:t>static document</w:t>
      </w:r>
      <w:r>
        <w:t xml:space="preserve">s that </w:t>
      </w:r>
      <w:r w:rsidRPr="003C6D1F">
        <w:t>provide information that relates to a submission at a particular point in time.</w:t>
      </w:r>
      <w:r>
        <w:t xml:space="preserve"> The publication of an </w:t>
      </w:r>
      <w:proofErr w:type="spellStart"/>
      <w:r>
        <w:t>AusPAR</w:t>
      </w:r>
      <w:proofErr w:type="spellEnd"/>
      <w:r>
        <w:t xml:space="preserve"> is an important part of the transparency of the TGA’s decision-making process.</w:t>
      </w:r>
    </w:p>
    <w:p w14:paraId="4D69F5CF" w14:textId="77777777" w:rsidR="00346EC2" w:rsidRPr="003C6D1F" w:rsidRDefault="00346EC2" w:rsidP="00346EC2">
      <w:pPr>
        <w:pStyle w:val="ListBullet"/>
      </w:pPr>
      <w:r w:rsidRPr="003C6D1F">
        <w:t xml:space="preserve">A new </w:t>
      </w:r>
      <w:proofErr w:type="spellStart"/>
      <w:r w:rsidRPr="003C6D1F">
        <w:t>AusPAR</w:t>
      </w:r>
      <w:proofErr w:type="spellEnd"/>
      <w:r w:rsidRPr="003C6D1F">
        <w:t xml:space="preserve">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48688B49" w:rsidR="00175CD8" w:rsidRPr="00346EC2" w:rsidRDefault="00F02AEC" w:rsidP="00346EC2">
      <w:pPr>
        <w:pStyle w:val="LegalCopy"/>
        <w:rPr>
          <w:rFonts w:cs="Arial"/>
        </w:rPr>
      </w:pPr>
      <w:r w:rsidRPr="00215D48">
        <w:rPr>
          <w:rFonts w:cs="Arial"/>
        </w:rPr>
        <w:t>© Commonwealth of Australia 20</w:t>
      </w:r>
      <w:r>
        <w:rPr>
          <w:rFonts w:cs="Arial"/>
        </w:rPr>
        <w:t>2</w:t>
      </w:r>
      <w:r w:rsidR="00AA6080">
        <w:rPr>
          <w:rFonts w:cs="Arial"/>
        </w:rPr>
        <w:t>6</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9" w:history="1">
        <w:r w:rsidRPr="00215D48">
          <w:rPr>
            <w:rStyle w:val="Hyperlink"/>
            <w:rFonts w:cs="Arial"/>
          </w:rPr>
          <w:t>tga.copyright@tga.gov.au</w:t>
        </w:r>
      </w:hyperlink>
      <w:r w:rsidRPr="00215D48">
        <w:rPr>
          <w:rFonts w:cs="Arial"/>
        </w:rPr>
        <w:t>&gt;.</w:t>
      </w:r>
    </w:p>
    <w:sdt>
      <w:sdtPr>
        <w:rPr>
          <w:rFonts w:ascii="Cambria" w:eastAsiaTheme="minorEastAsia" w:hAnsi="Cambria" w:cstheme="minorBidi"/>
          <w:b w:val="0"/>
          <w:color w:val="auto"/>
          <w:sz w:val="22"/>
          <w:szCs w:val="22"/>
        </w:rPr>
        <w:id w:val="21514769"/>
        <w:docPartObj>
          <w:docPartGallery w:val="Table of Contents"/>
          <w:docPartUnique/>
        </w:docPartObj>
      </w:sdtPr>
      <w:sdtEndPr/>
      <w:sdtContent>
        <w:p w14:paraId="0A6ADA2B" w14:textId="77777777" w:rsidR="00F02AEC" w:rsidRPr="00215D48" w:rsidRDefault="00F02AEC" w:rsidP="007452E8">
          <w:pPr>
            <w:pStyle w:val="NonTOCheading2"/>
          </w:pPr>
          <w:r w:rsidRPr="00215D48">
            <w:t>Contents</w:t>
          </w:r>
        </w:p>
        <w:p w14:paraId="78056821" w14:textId="1A1C7B31" w:rsidR="009E1951"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233197001" w:history="1">
            <w:r w:rsidR="009E1951" w:rsidRPr="00436D3B">
              <w:rPr>
                <w:rStyle w:val="Hyperlink"/>
                <w:noProof/>
              </w:rPr>
              <w:t>List of abbreviations</w:t>
            </w:r>
            <w:r w:rsidR="009E1951">
              <w:rPr>
                <w:noProof/>
                <w:webHidden/>
              </w:rPr>
              <w:tab/>
            </w:r>
            <w:r w:rsidR="009E1951">
              <w:rPr>
                <w:noProof/>
                <w:webHidden/>
              </w:rPr>
              <w:fldChar w:fldCharType="begin"/>
            </w:r>
            <w:r w:rsidR="009E1951">
              <w:rPr>
                <w:noProof/>
                <w:webHidden/>
              </w:rPr>
              <w:instrText xml:space="preserve"> PAGEREF _Toc233197001 \h </w:instrText>
            </w:r>
            <w:r w:rsidR="009E1951">
              <w:rPr>
                <w:noProof/>
                <w:webHidden/>
              </w:rPr>
            </w:r>
            <w:r w:rsidR="009E1951">
              <w:rPr>
                <w:noProof/>
                <w:webHidden/>
              </w:rPr>
              <w:fldChar w:fldCharType="separate"/>
            </w:r>
            <w:r w:rsidR="009E1951">
              <w:rPr>
                <w:noProof/>
                <w:webHidden/>
              </w:rPr>
              <w:t>4</w:t>
            </w:r>
            <w:r w:rsidR="009E1951">
              <w:rPr>
                <w:noProof/>
                <w:webHidden/>
              </w:rPr>
              <w:fldChar w:fldCharType="end"/>
            </w:r>
          </w:hyperlink>
        </w:p>
        <w:p w14:paraId="0278A690" w14:textId="3B013B5E" w:rsidR="009E1951" w:rsidRDefault="009E195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33197002" w:history="1">
            <w:r w:rsidRPr="00436D3B">
              <w:rPr>
                <w:rStyle w:val="Hyperlink"/>
                <w:noProof/>
              </w:rPr>
              <w:t>Product submission</w:t>
            </w:r>
            <w:r>
              <w:rPr>
                <w:noProof/>
                <w:webHidden/>
              </w:rPr>
              <w:tab/>
            </w:r>
            <w:r>
              <w:rPr>
                <w:noProof/>
                <w:webHidden/>
              </w:rPr>
              <w:fldChar w:fldCharType="begin"/>
            </w:r>
            <w:r>
              <w:rPr>
                <w:noProof/>
                <w:webHidden/>
              </w:rPr>
              <w:instrText xml:space="preserve"> PAGEREF _Toc233197002 \h </w:instrText>
            </w:r>
            <w:r>
              <w:rPr>
                <w:noProof/>
                <w:webHidden/>
              </w:rPr>
            </w:r>
            <w:r>
              <w:rPr>
                <w:noProof/>
                <w:webHidden/>
              </w:rPr>
              <w:fldChar w:fldCharType="separate"/>
            </w:r>
            <w:r>
              <w:rPr>
                <w:noProof/>
                <w:webHidden/>
              </w:rPr>
              <w:t>8</w:t>
            </w:r>
            <w:r>
              <w:rPr>
                <w:noProof/>
                <w:webHidden/>
              </w:rPr>
              <w:fldChar w:fldCharType="end"/>
            </w:r>
          </w:hyperlink>
        </w:p>
        <w:p w14:paraId="699A9D6E" w14:textId="314A2C22" w:rsidR="009E1951" w:rsidRDefault="009E195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3197003" w:history="1">
            <w:r w:rsidRPr="00436D3B">
              <w:rPr>
                <w:rStyle w:val="Hyperlink"/>
                <w:noProof/>
                <w:lang w:eastAsia="en-AU"/>
              </w:rPr>
              <w:t>Submission details</w:t>
            </w:r>
            <w:r>
              <w:rPr>
                <w:noProof/>
                <w:webHidden/>
              </w:rPr>
              <w:tab/>
            </w:r>
            <w:r>
              <w:rPr>
                <w:noProof/>
                <w:webHidden/>
              </w:rPr>
              <w:fldChar w:fldCharType="begin"/>
            </w:r>
            <w:r>
              <w:rPr>
                <w:noProof/>
                <w:webHidden/>
              </w:rPr>
              <w:instrText xml:space="preserve"> PAGEREF _Toc233197003 \h </w:instrText>
            </w:r>
            <w:r>
              <w:rPr>
                <w:noProof/>
                <w:webHidden/>
              </w:rPr>
            </w:r>
            <w:r>
              <w:rPr>
                <w:noProof/>
                <w:webHidden/>
              </w:rPr>
              <w:fldChar w:fldCharType="separate"/>
            </w:r>
            <w:r>
              <w:rPr>
                <w:noProof/>
                <w:webHidden/>
              </w:rPr>
              <w:t>8</w:t>
            </w:r>
            <w:r>
              <w:rPr>
                <w:noProof/>
                <w:webHidden/>
              </w:rPr>
              <w:fldChar w:fldCharType="end"/>
            </w:r>
          </w:hyperlink>
        </w:p>
        <w:p w14:paraId="6B966ADD" w14:textId="6063ABD4" w:rsidR="009E1951" w:rsidRDefault="009E195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3197004" w:history="1">
            <w:r w:rsidRPr="00436D3B">
              <w:rPr>
                <w:rStyle w:val="Hyperlink"/>
                <w:noProof/>
              </w:rPr>
              <w:t>Product background</w:t>
            </w:r>
            <w:r>
              <w:rPr>
                <w:noProof/>
                <w:webHidden/>
              </w:rPr>
              <w:tab/>
            </w:r>
            <w:r>
              <w:rPr>
                <w:noProof/>
                <w:webHidden/>
              </w:rPr>
              <w:fldChar w:fldCharType="begin"/>
            </w:r>
            <w:r>
              <w:rPr>
                <w:noProof/>
                <w:webHidden/>
              </w:rPr>
              <w:instrText xml:space="preserve"> PAGEREF _Toc233197004 \h </w:instrText>
            </w:r>
            <w:r>
              <w:rPr>
                <w:noProof/>
                <w:webHidden/>
              </w:rPr>
            </w:r>
            <w:r>
              <w:rPr>
                <w:noProof/>
                <w:webHidden/>
              </w:rPr>
              <w:fldChar w:fldCharType="separate"/>
            </w:r>
            <w:r>
              <w:rPr>
                <w:noProof/>
                <w:webHidden/>
              </w:rPr>
              <w:t>9</w:t>
            </w:r>
            <w:r>
              <w:rPr>
                <w:noProof/>
                <w:webHidden/>
              </w:rPr>
              <w:fldChar w:fldCharType="end"/>
            </w:r>
          </w:hyperlink>
        </w:p>
        <w:p w14:paraId="048E9254" w14:textId="7722B501" w:rsidR="009E1951" w:rsidRDefault="009E195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197005" w:history="1">
            <w:r w:rsidRPr="00436D3B">
              <w:rPr>
                <w:rStyle w:val="Hyperlink"/>
                <w:noProof/>
              </w:rPr>
              <w:t>Disease or condition – Primary biliary cholangitis (PBC)</w:t>
            </w:r>
            <w:r>
              <w:rPr>
                <w:noProof/>
                <w:webHidden/>
              </w:rPr>
              <w:tab/>
            </w:r>
            <w:r>
              <w:rPr>
                <w:noProof/>
                <w:webHidden/>
              </w:rPr>
              <w:fldChar w:fldCharType="begin"/>
            </w:r>
            <w:r>
              <w:rPr>
                <w:noProof/>
                <w:webHidden/>
              </w:rPr>
              <w:instrText xml:space="preserve"> PAGEREF _Toc233197005 \h </w:instrText>
            </w:r>
            <w:r>
              <w:rPr>
                <w:noProof/>
                <w:webHidden/>
              </w:rPr>
            </w:r>
            <w:r>
              <w:rPr>
                <w:noProof/>
                <w:webHidden/>
              </w:rPr>
              <w:fldChar w:fldCharType="separate"/>
            </w:r>
            <w:r>
              <w:rPr>
                <w:noProof/>
                <w:webHidden/>
              </w:rPr>
              <w:t>9</w:t>
            </w:r>
            <w:r>
              <w:rPr>
                <w:noProof/>
                <w:webHidden/>
              </w:rPr>
              <w:fldChar w:fldCharType="end"/>
            </w:r>
          </w:hyperlink>
        </w:p>
        <w:p w14:paraId="6C9065AC" w14:textId="181DCF76" w:rsidR="009E1951" w:rsidRDefault="009E195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197006" w:history="1">
            <w:r w:rsidRPr="00436D3B">
              <w:rPr>
                <w:rStyle w:val="Hyperlink"/>
                <w:noProof/>
              </w:rPr>
              <w:t>Current treatment options</w:t>
            </w:r>
            <w:r>
              <w:rPr>
                <w:noProof/>
                <w:webHidden/>
              </w:rPr>
              <w:tab/>
            </w:r>
            <w:r>
              <w:rPr>
                <w:noProof/>
                <w:webHidden/>
              </w:rPr>
              <w:fldChar w:fldCharType="begin"/>
            </w:r>
            <w:r>
              <w:rPr>
                <w:noProof/>
                <w:webHidden/>
              </w:rPr>
              <w:instrText xml:space="preserve"> PAGEREF _Toc233197006 \h </w:instrText>
            </w:r>
            <w:r>
              <w:rPr>
                <w:noProof/>
                <w:webHidden/>
              </w:rPr>
            </w:r>
            <w:r>
              <w:rPr>
                <w:noProof/>
                <w:webHidden/>
              </w:rPr>
              <w:fldChar w:fldCharType="separate"/>
            </w:r>
            <w:r>
              <w:rPr>
                <w:noProof/>
                <w:webHidden/>
              </w:rPr>
              <w:t>9</w:t>
            </w:r>
            <w:r>
              <w:rPr>
                <w:noProof/>
                <w:webHidden/>
              </w:rPr>
              <w:fldChar w:fldCharType="end"/>
            </w:r>
          </w:hyperlink>
        </w:p>
        <w:p w14:paraId="7A996A6C" w14:textId="5C6B25CD" w:rsidR="009E1951" w:rsidRDefault="009E195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197007" w:history="1">
            <w:r w:rsidRPr="00436D3B">
              <w:rPr>
                <w:rStyle w:val="Hyperlink"/>
                <w:noProof/>
              </w:rPr>
              <w:t>Clinical rationale</w:t>
            </w:r>
            <w:r>
              <w:rPr>
                <w:noProof/>
                <w:webHidden/>
              </w:rPr>
              <w:tab/>
            </w:r>
            <w:r>
              <w:rPr>
                <w:noProof/>
                <w:webHidden/>
              </w:rPr>
              <w:fldChar w:fldCharType="begin"/>
            </w:r>
            <w:r>
              <w:rPr>
                <w:noProof/>
                <w:webHidden/>
              </w:rPr>
              <w:instrText xml:space="preserve"> PAGEREF _Toc233197007 \h </w:instrText>
            </w:r>
            <w:r>
              <w:rPr>
                <w:noProof/>
                <w:webHidden/>
              </w:rPr>
            </w:r>
            <w:r>
              <w:rPr>
                <w:noProof/>
                <w:webHidden/>
              </w:rPr>
              <w:fldChar w:fldCharType="separate"/>
            </w:r>
            <w:r>
              <w:rPr>
                <w:noProof/>
                <w:webHidden/>
              </w:rPr>
              <w:t>10</w:t>
            </w:r>
            <w:r>
              <w:rPr>
                <w:noProof/>
                <w:webHidden/>
              </w:rPr>
              <w:fldChar w:fldCharType="end"/>
            </w:r>
          </w:hyperlink>
        </w:p>
        <w:p w14:paraId="6A94A3A6" w14:textId="373AC389" w:rsidR="009E1951" w:rsidRDefault="009E195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3197008" w:history="1">
            <w:r w:rsidRPr="00436D3B">
              <w:rPr>
                <w:rStyle w:val="Hyperlink"/>
                <w:noProof/>
              </w:rPr>
              <w:t>Regulatory status</w:t>
            </w:r>
            <w:r>
              <w:rPr>
                <w:noProof/>
                <w:webHidden/>
              </w:rPr>
              <w:tab/>
            </w:r>
            <w:r>
              <w:rPr>
                <w:noProof/>
                <w:webHidden/>
              </w:rPr>
              <w:fldChar w:fldCharType="begin"/>
            </w:r>
            <w:r>
              <w:rPr>
                <w:noProof/>
                <w:webHidden/>
              </w:rPr>
              <w:instrText xml:space="preserve"> PAGEREF _Toc233197008 \h </w:instrText>
            </w:r>
            <w:r>
              <w:rPr>
                <w:noProof/>
                <w:webHidden/>
              </w:rPr>
            </w:r>
            <w:r>
              <w:rPr>
                <w:noProof/>
                <w:webHidden/>
              </w:rPr>
              <w:fldChar w:fldCharType="separate"/>
            </w:r>
            <w:r>
              <w:rPr>
                <w:noProof/>
                <w:webHidden/>
              </w:rPr>
              <w:t>10</w:t>
            </w:r>
            <w:r>
              <w:rPr>
                <w:noProof/>
                <w:webHidden/>
              </w:rPr>
              <w:fldChar w:fldCharType="end"/>
            </w:r>
          </w:hyperlink>
        </w:p>
        <w:p w14:paraId="6356FF3A" w14:textId="27B31F9D" w:rsidR="009E1951" w:rsidRDefault="009E195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197009" w:history="1">
            <w:r w:rsidRPr="00436D3B">
              <w:rPr>
                <w:rStyle w:val="Hyperlink"/>
                <w:noProof/>
              </w:rPr>
              <w:t>Australian regulatory status</w:t>
            </w:r>
            <w:r>
              <w:rPr>
                <w:noProof/>
                <w:webHidden/>
              </w:rPr>
              <w:tab/>
            </w:r>
            <w:r>
              <w:rPr>
                <w:noProof/>
                <w:webHidden/>
              </w:rPr>
              <w:fldChar w:fldCharType="begin"/>
            </w:r>
            <w:r>
              <w:rPr>
                <w:noProof/>
                <w:webHidden/>
              </w:rPr>
              <w:instrText xml:space="preserve"> PAGEREF _Toc233197009 \h </w:instrText>
            </w:r>
            <w:r>
              <w:rPr>
                <w:noProof/>
                <w:webHidden/>
              </w:rPr>
            </w:r>
            <w:r>
              <w:rPr>
                <w:noProof/>
                <w:webHidden/>
              </w:rPr>
              <w:fldChar w:fldCharType="separate"/>
            </w:r>
            <w:r>
              <w:rPr>
                <w:noProof/>
                <w:webHidden/>
              </w:rPr>
              <w:t>10</w:t>
            </w:r>
            <w:r>
              <w:rPr>
                <w:noProof/>
                <w:webHidden/>
              </w:rPr>
              <w:fldChar w:fldCharType="end"/>
            </w:r>
          </w:hyperlink>
        </w:p>
        <w:p w14:paraId="1B8A51CD" w14:textId="62D6377A" w:rsidR="009E1951" w:rsidRDefault="009E195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197010" w:history="1">
            <w:r w:rsidRPr="00436D3B">
              <w:rPr>
                <w:rStyle w:val="Hyperlink"/>
                <w:noProof/>
              </w:rPr>
              <w:t>International regulatory status</w:t>
            </w:r>
            <w:r>
              <w:rPr>
                <w:noProof/>
                <w:webHidden/>
              </w:rPr>
              <w:tab/>
            </w:r>
            <w:r>
              <w:rPr>
                <w:noProof/>
                <w:webHidden/>
              </w:rPr>
              <w:fldChar w:fldCharType="begin"/>
            </w:r>
            <w:r>
              <w:rPr>
                <w:noProof/>
                <w:webHidden/>
              </w:rPr>
              <w:instrText xml:space="preserve"> PAGEREF _Toc233197010 \h </w:instrText>
            </w:r>
            <w:r>
              <w:rPr>
                <w:noProof/>
                <w:webHidden/>
              </w:rPr>
            </w:r>
            <w:r>
              <w:rPr>
                <w:noProof/>
                <w:webHidden/>
              </w:rPr>
              <w:fldChar w:fldCharType="separate"/>
            </w:r>
            <w:r>
              <w:rPr>
                <w:noProof/>
                <w:webHidden/>
              </w:rPr>
              <w:t>10</w:t>
            </w:r>
            <w:r>
              <w:rPr>
                <w:noProof/>
                <w:webHidden/>
              </w:rPr>
              <w:fldChar w:fldCharType="end"/>
            </w:r>
          </w:hyperlink>
        </w:p>
        <w:p w14:paraId="2470F75F" w14:textId="5E4E9EA9" w:rsidR="009E1951" w:rsidRDefault="009E195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33197011" w:history="1">
            <w:r w:rsidRPr="00436D3B">
              <w:rPr>
                <w:rStyle w:val="Hyperlink"/>
                <w:noProof/>
              </w:rPr>
              <w:t>Registration timeline</w:t>
            </w:r>
            <w:r>
              <w:rPr>
                <w:noProof/>
                <w:webHidden/>
              </w:rPr>
              <w:tab/>
            </w:r>
            <w:r>
              <w:rPr>
                <w:noProof/>
                <w:webHidden/>
              </w:rPr>
              <w:fldChar w:fldCharType="begin"/>
            </w:r>
            <w:r>
              <w:rPr>
                <w:noProof/>
                <w:webHidden/>
              </w:rPr>
              <w:instrText xml:space="preserve"> PAGEREF _Toc233197011 \h </w:instrText>
            </w:r>
            <w:r>
              <w:rPr>
                <w:noProof/>
                <w:webHidden/>
              </w:rPr>
            </w:r>
            <w:r>
              <w:rPr>
                <w:noProof/>
                <w:webHidden/>
              </w:rPr>
              <w:fldChar w:fldCharType="separate"/>
            </w:r>
            <w:r>
              <w:rPr>
                <w:noProof/>
                <w:webHidden/>
              </w:rPr>
              <w:t>12</w:t>
            </w:r>
            <w:r>
              <w:rPr>
                <w:noProof/>
                <w:webHidden/>
              </w:rPr>
              <w:fldChar w:fldCharType="end"/>
            </w:r>
          </w:hyperlink>
        </w:p>
        <w:p w14:paraId="1CCEBF72" w14:textId="1C5E06D3" w:rsidR="009E1951" w:rsidRDefault="009E195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33197012" w:history="1">
            <w:r w:rsidRPr="00436D3B">
              <w:rPr>
                <w:rStyle w:val="Hyperlink"/>
                <w:noProof/>
              </w:rPr>
              <w:t>Assessment overview</w:t>
            </w:r>
            <w:r>
              <w:rPr>
                <w:noProof/>
                <w:webHidden/>
              </w:rPr>
              <w:tab/>
            </w:r>
            <w:r>
              <w:rPr>
                <w:noProof/>
                <w:webHidden/>
              </w:rPr>
              <w:fldChar w:fldCharType="begin"/>
            </w:r>
            <w:r>
              <w:rPr>
                <w:noProof/>
                <w:webHidden/>
              </w:rPr>
              <w:instrText xml:space="preserve"> PAGEREF _Toc233197012 \h </w:instrText>
            </w:r>
            <w:r>
              <w:rPr>
                <w:noProof/>
                <w:webHidden/>
              </w:rPr>
            </w:r>
            <w:r>
              <w:rPr>
                <w:noProof/>
                <w:webHidden/>
              </w:rPr>
              <w:fldChar w:fldCharType="separate"/>
            </w:r>
            <w:r>
              <w:rPr>
                <w:noProof/>
                <w:webHidden/>
              </w:rPr>
              <w:t>12</w:t>
            </w:r>
            <w:r>
              <w:rPr>
                <w:noProof/>
                <w:webHidden/>
              </w:rPr>
              <w:fldChar w:fldCharType="end"/>
            </w:r>
          </w:hyperlink>
        </w:p>
        <w:p w14:paraId="42933A47" w14:textId="3889E44F" w:rsidR="009E1951" w:rsidRDefault="009E195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3197013" w:history="1">
            <w:r w:rsidRPr="00436D3B">
              <w:rPr>
                <w:rStyle w:val="Hyperlink"/>
                <w:noProof/>
              </w:rPr>
              <w:t>Quality evaluation summary</w:t>
            </w:r>
            <w:r>
              <w:rPr>
                <w:noProof/>
                <w:webHidden/>
              </w:rPr>
              <w:tab/>
            </w:r>
            <w:r>
              <w:rPr>
                <w:noProof/>
                <w:webHidden/>
              </w:rPr>
              <w:fldChar w:fldCharType="begin"/>
            </w:r>
            <w:r>
              <w:rPr>
                <w:noProof/>
                <w:webHidden/>
              </w:rPr>
              <w:instrText xml:space="preserve"> PAGEREF _Toc233197013 \h </w:instrText>
            </w:r>
            <w:r>
              <w:rPr>
                <w:noProof/>
                <w:webHidden/>
              </w:rPr>
            </w:r>
            <w:r>
              <w:rPr>
                <w:noProof/>
                <w:webHidden/>
              </w:rPr>
              <w:fldChar w:fldCharType="separate"/>
            </w:r>
            <w:r>
              <w:rPr>
                <w:noProof/>
                <w:webHidden/>
              </w:rPr>
              <w:t>12</w:t>
            </w:r>
            <w:r>
              <w:rPr>
                <w:noProof/>
                <w:webHidden/>
              </w:rPr>
              <w:fldChar w:fldCharType="end"/>
            </w:r>
          </w:hyperlink>
        </w:p>
        <w:p w14:paraId="252F82AC" w14:textId="6816F33B" w:rsidR="009E1951" w:rsidRDefault="009E195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197014" w:history="1">
            <w:r w:rsidRPr="00436D3B">
              <w:rPr>
                <w:rStyle w:val="Hyperlink"/>
                <w:noProof/>
              </w:rPr>
              <w:t>Recommendation from the quality evaluator</w:t>
            </w:r>
            <w:r>
              <w:rPr>
                <w:noProof/>
                <w:webHidden/>
              </w:rPr>
              <w:tab/>
            </w:r>
            <w:r>
              <w:rPr>
                <w:noProof/>
                <w:webHidden/>
              </w:rPr>
              <w:fldChar w:fldCharType="begin"/>
            </w:r>
            <w:r>
              <w:rPr>
                <w:noProof/>
                <w:webHidden/>
              </w:rPr>
              <w:instrText xml:space="preserve"> PAGEREF _Toc233197014 \h </w:instrText>
            </w:r>
            <w:r>
              <w:rPr>
                <w:noProof/>
                <w:webHidden/>
              </w:rPr>
            </w:r>
            <w:r>
              <w:rPr>
                <w:noProof/>
                <w:webHidden/>
              </w:rPr>
              <w:fldChar w:fldCharType="separate"/>
            </w:r>
            <w:r>
              <w:rPr>
                <w:noProof/>
                <w:webHidden/>
              </w:rPr>
              <w:t>13</w:t>
            </w:r>
            <w:r>
              <w:rPr>
                <w:noProof/>
                <w:webHidden/>
              </w:rPr>
              <w:fldChar w:fldCharType="end"/>
            </w:r>
          </w:hyperlink>
        </w:p>
        <w:p w14:paraId="2AB4C1E6" w14:textId="23318106" w:rsidR="009E1951" w:rsidRDefault="009E195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3197015" w:history="1">
            <w:r w:rsidRPr="00436D3B">
              <w:rPr>
                <w:rStyle w:val="Hyperlink"/>
                <w:noProof/>
              </w:rPr>
              <w:t>Nonclinical evaluation summary</w:t>
            </w:r>
            <w:r>
              <w:rPr>
                <w:noProof/>
                <w:webHidden/>
              </w:rPr>
              <w:tab/>
            </w:r>
            <w:r>
              <w:rPr>
                <w:noProof/>
                <w:webHidden/>
              </w:rPr>
              <w:fldChar w:fldCharType="begin"/>
            </w:r>
            <w:r>
              <w:rPr>
                <w:noProof/>
                <w:webHidden/>
              </w:rPr>
              <w:instrText xml:space="preserve"> PAGEREF _Toc233197015 \h </w:instrText>
            </w:r>
            <w:r>
              <w:rPr>
                <w:noProof/>
                <w:webHidden/>
              </w:rPr>
            </w:r>
            <w:r>
              <w:rPr>
                <w:noProof/>
                <w:webHidden/>
              </w:rPr>
              <w:fldChar w:fldCharType="separate"/>
            </w:r>
            <w:r>
              <w:rPr>
                <w:noProof/>
                <w:webHidden/>
              </w:rPr>
              <w:t>13</w:t>
            </w:r>
            <w:r>
              <w:rPr>
                <w:noProof/>
                <w:webHidden/>
              </w:rPr>
              <w:fldChar w:fldCharType="end"/>
            </w:r>
          </w:hyperlink>
        </w:p>
        <w:p w14:paraId="737F5DFB" w14:textId="664E7E7F" w:rsidR="009E1951" w:rsidRDefault="009E195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197016" w:history="1">
            <w:r w:rsidRPr="00436D3B">
              <w:rPr>
                <w:rStyle w:val="Hyperlink"/>
                <w:noProof/>
              </w:rPr>
              <w:t>Recommendation from the non-clinical evaluator</w:t>
            </w:r>
            <w:r>
              <w:rPr>
                <w:noProof/>
                <w:webHidden/>
              </w:rPr>
              <w:tab/>
            </w:r>
            <w:r>
              <w:rPr>
                <w:noProof/>
                <w:webHidden/>
              </w:rPr>
              <w:fldChar w:fldCharType="begin"/>
            </w:r>
            <w:r>
              <w:rPr>
                <w:noProof/>
                <w:webHidden/>
              </w:rPr>
              <w:instrText xml:space="preserve"> PAGEREF _Toc233197016 \h </w:instrText>
            </w:r>
            <w:r>
              <w:rPr>
                <w:noProof/>
                <w:webHidden/>
              </w:rPr>
            </w:r>
            <w:r>
              <w:rPr>
                <w:noProof/>
                <w:webHidden/>
              </w:rPr>
              <w:fldChar w:fldCharType="separate"/>
            </w:r>
            <w:r>
              <w:rPr>
                <w:noProof/>
                <w:webHidden/>
              </w:rPr>
              <w:t>14</w:t>
            </w:r>
            <w:r>
              <w:rPr>
                <w:noProof/>
                <w:webHidden/>
              </w:rPr>
              <w:fldChar w:fldCharType="end"/>
            </w:r>
          </w:hyperlink>
        </w:p>
        <w:p w14:paraId="784566AF" w14:textId="7BA87E69" w:rsidR="009E1951" w:rsidRDefault="009E195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3197017" w:history="1">
            <w:r w:rsidRPr="00436D3B">
              <w:rPr>
                <w:rStyle w:val="Hyperlink"/>
                <w:noProof/>
              </w:rPr>
              <w:t>Clinical evaluation summary</w:t>
            </w:r>
            <w:r>
              <w:rPr>
                <w:noProof/>
                <w:webHidden/>
              </w:rPr>
              <w:tab/>
            </w:r>
            <w:r>
              <w:rPr>
                <w:noProof/>
                <w:webHidden/>
              </w:rPr>
              <w:fldChar w:fldCharType="begin"/>
            </w:r>
            <w:r>
              <w:rPr>
                <w:noProof/>
                <w:webHidden/>
              </w:rPr>
              <w:instrText xml:space="preserve"> PAGEREF _Toc233197017 \h </w:instrText>
            </w:r>
            <w:r>
              <w:rPr>
                <w:noProof/>
                <w:webHidden/>
              </w:rPr>
            </w:r>
            <w:r>
              <w:rPr>
                <w:noProof/>
                <w:webHidden/>
              </w:rPr>
              <w:fldChar w:fldCharType="separate"/>
            </w:r>
            <w:r>
              <w:rPr>
                <w:noProof/>
                <w:webHidden/>
              </w:rPr>
              <w:t>15</w:t>
            </w:r>
            <w:r>
              <w:rPr>
                <w:noProof/>
                <w:webHidden/>
              </w:rPr>
              <w:fldChar w:fldCharType="end"/>
            </w:r>
          </w:hyperlink>
        </w:p>
        <w:p w14:paraId="19813532" w14:textId="33C6C47B" w:rsidR="009E1951" w:rsidRDefault="009E195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197018" w:history="1">
            <w:r w:rsidRPr="00436D3B">
              <w:rPr>
                <w:rStyle w:val="Hyperlink"/>
                <w:noProof/>
              </w:rPr>
              <w:t>Summary of clinical studies</w:t>
            </w:r>
            <w:r>
              <w:rPr>
                <w:noProof/>
                <w:webHidden/>
              </w:rPr>
              <w:tab/>
            </w:r>
            <w:r>
              <w:rPr>
                <w:noProof/>
                <w:webHidden/>
              </w:rPr>
              <w:fldChar w:fldCharType="begin"/>
            </w:r>
            <w:r>
              <w:rPr>
                <w:noProof/>
                <w:webHidden/>
              </w:rPr>
              <w:instrText xml:space="preserve"> PAGEREF _Toc233197018 \h </w:instrText>
            </w:r>
            <w:r>
              <w:rPr>
                <w:noProof/>
                <w:webHidden/>
              </w:rPr>
            </w:r>
            <w:r>
              <w:rPr>
                <w:noProof/>
                <w:webHidden/>
              </w:rPr>
              <w:fldChar w:fldCharType="separate"/>
            </w:r>
            <w:r>
              <w:rPr>
                <w:noProof/>
                <w:webHidden/>
              </w:rPr>
              <w:t>15</w:t>
            </w:r>
            <w:r>
              <w:rPr>
                <w:noProof/>
                <w:webHidden/>
              </w:rPr>
              <w:fldChar w:fldCharType="end"/>
            </w:r>
          </w:hyperlink>
        </w:p>
        <w:p w14:paraId="0CE28F1E" w14:textId="3A79634B" w:rsidR="009E1951" w:rsidRDefault="009E195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197019" w:history="1">
            <w:r w:rsidRPr="00436D3B">
              <w:rPr>
                <w:rStyle w:val="Hyperlink"/>
                <w:noProof/>
              </w:rPr>
              <w:t>Efficacy evaluation</w:t>
            </w:r>
            <w:r>
              <w:rPr>
                <w:noProof/>
                <w:webHidden/>
              </w:rPr>
              <w:tab/>
            </w:r>
            <w:r>
              <w:rPr>
                <w:noProof/>
                <w:webHidden/>
              </w:rPr>
              <w:fldChar w:fldCharType="begin"/>
            </w:r>
            <w:r>
              <w:rPr>
                <w:noProof/>
                <w:webHidden/>
              </w:rPr>
              <w:instrText xml:space="preserve"> PAGEREF _Toc233197019 \h </w:instrText>
            </w:r>
            <w:r>
              <w:rPr>
                <w:noProof/>
                <w:webHidden/>
              </w:rPr>
            </w:r>
            <w:r>
              <w:rPr>
                <w:noProof/>
                <w:webHidden/>
              </w:rPr>
              <w:fldChar w:fldCharType="separate"/>
            </w:r>
            <w:r>
              <w:rPr>
                <w:noProof/>
                <w:webHidden/>
              </w:rPr>
              <w:t>15</w:t>
            </w:r>
            <w:r>
              <w:rPr>
                <w:noProof/>
                <w:webHidden/>
              </w:rPr>
              <w:fldChar w:fldCharType="end"/>
            </w:r>
          </w:hyperlink>
        </w:p>
        <w:p w14:paraId="6A991E1B" w14:textId="6AFC2F86" w:rsidR="009E1951" w:rsidRDefault="009E195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197020" w:history="1">
            <w:r w:rsidRPr="00436D3B">
              <w:rPr>
                <w:rStyle w:val="Hyperlink"/>
                <w:noProof/>
              </w:rPr>
              <w:t>Safety evaluation summary</w:t>
            </w:r>
            <w:r>
              <w:rPr>
                <w:noProof/>
                <w:webHidden/>
              </w:rPr>
              <w:tab/>
            </w:r>
            <w:r>
              <w:rPr>
                <w:noProof/>
                <w:webHidden/>
              </w:rPr>
              <w:fldChar w:fldCharType="begin"/>
            </w:r>
            <w:r>
              <w:rPr>
                <w:noProof/>
                <w:webHidden/>
              </w:rPr>
              <w:instrText xml:space="preserve"> PAGEREF _Toc233197020 \h </w:instrText>
            </w:r>
            <w:r>
              <w:rPr>
                <w:noProof/>
                <w:webHidden/>
              </w:rPr>
            </w:r>
            <w:r>
              <w:rPr>
                <w:noProof/>
                <w:webHidden/>
              </w:rPr>
              <w:fldChar w:fldCharType="separate"/>
            </w:r>
            <w:r>
              <w:rPr>
                <w:noProof/>
                <w:webHidden/>
              </w:rPr>
              <w:t>24</w:t>
            </w:r>
            <w:r>
              <w:rPr>
                <w:noProof/>
                <w:webHidden/>
              </w:rPr>
              <w:fldChar w:fldCharType="end"/>
            </w:r>
          </w:hyperlink>
        </w:p>
        <w:p w14:paraId="0F24D218" w14:textId="1C49B899" w:rsidR="009E1951" w:rsidRDefault="009E195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3197021" w:history="1">
            <w:r w:rsidRPr="00436D3B">
              <w:rPr>
                <w:rStyle w:val="Hyperlink"/>
                <w:noProof/>
                <w:lang w:eastAsia="en-AU"/>
              </w:rPr>
              <w:t>Risk management plan</w:t>
            </w:r>
            <w:r>
              <w:rPr>
                <w:noProof/>
                <w:webHidden/>
              </w:rPr>
              <w:tab/>
            </w:r>
            <w:r>
              <w:rPr>
                <w:noProof/>
                <w:webHidden/>
              </w:rPr>
              <w:fldChar w:fldCharType="begin"/>
            </w:r>
            <w:r>
              <w:rPr>
                <w:noProof/>
                <w:webHidden/>
              </w:rPr>
              <w:instrText xml:space="preserve"> PAGEREF _Toc233197021 \h </w:instrText>
            </w:r>
            <w:r>
              <w:rPr>
                <w:noProof/>
                <w:webHidden/>
              </w:rPr>
            </w:r>
            <w:r>
              <w:rPr>
                <w:noProof/>
                <w:webHidden/>
              </w:rPr>
              <w:fldChar w:fldCharType="separate"/>
            </w:r>
            <w:r>
              <w:rPr>
                <w:noProof/>
                <w:webHidden/>
              </w:rPr>
              <w:t>27</w:t>
            </w:r>
            <w:r>
              <w:rPr>
                <w:noProof/>
                <w:webHidden/>
              </w:rPr>
              <w:fldChar w:fldCharType="end"/>
            </w:r>
          </w:hyperlink>
        </w:p>
        <w:p w14:paraId="129CA5DC" w14:textId="2AEAEE45" w:rsidR="009E1951" w:rsidRDefault="009E195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3197022" w:history="1">
            <w:r w:rsidRPr="00436D3B">
              <w:rPr>
                <w:rStyle w:val="Hyperlink"/>
                <w:noProof/>
              </w:rPr>
              <w:t>Risk-benefit analysis</w:t>
            </w:r>
            <w:r>
              <w:rPr>
                <w:noProof/>
                <w:webHidden/>
              </w:rPr>
              <w:tab/>
            </w:r>
            <w:r>
              <w:rPr>
                <w:noProof/>
                <w:webHidden/>
              </w:rPr>
              <w:fldChar w:fldCharType="begin"/>
            </w:r>
            <w:r>
              <w:rPr>
                <w:noProof/>
                <w:webHidden/>
              </w:rPr>
              <w:instrText xml:space="preserve"> PAGEREF _Toc233197022 \h </w:instrText>
            </w:r>
            <w:r>
              <w:rPr>
                <w:noProof/>
                <w:webHidden/>
              </w:rPr>
            </w:r>
            <w:r>
              <w:rPr>
                <w:noProof/>
                <w:webHidden/>
              </w:rPr>
              <w:fldChar w:fldCharType="separate"/>
            </w:r>
            <w:r>
              <w:rPr>
                <w:noProof/>
                <w:webHidden/>
              </w:rPr>
              <w:t>27</w:t>
            </w:r>
            <w:r>
              <w:rPr>
                <w:noProof/>
                <w:webHidden/>
              </w:rPr>
              <w:fldChar w:fldCharType="end"/>
            </w:r>
          </w:hyperlink>
        </w:p>
        <w:p w14:paraId="1E9392CF" w14:textId="187F941F" w:rsidR="009E1951" w:rsidRDefault="009E195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197023" w:history="1">
            <w:r w:rsidRPr="00436D3B">
              <w:rPr>
                <w:rStyle w:val="Hyperlink"/>
                <w:noProof/>
              </w:rPr>
              <w:t>Delegate’s considerations</w:t>
            </w:r>
            <w:r>
              <w:rPr>
                <w:noProof/>
                <w:webHidden/>
              </w:rPr>
              <w:tab/>
            </w:r>
            <w:r>
              <w:rPr>
                <w:noProof/>
                <w:webHidden/>
              </w:rPr>
              <w:fldChar w:fldCharType="begin"/>
            </w:r>
            <w:r>
              <w:rPr>
                <w:noProof/>
                <w:webHidden/>
              </w:rPr>
              <w:instrText xml:space="preserve"> PAGEREF _Toc233197023 \h </w:instrText>
            </w:r>
            <w:r>
              <w:rPr>
                <w:noProof/>
                <w:webHidden/>
              </w:rPr>
            </w:r>
            <w:r>
              <w:rPr>
                <w:noProof/>
                <w:webHidden/>
              </w:rPr>
              <w:fldChar w:fldCharType="separate"/>
            </w:r>
            <w:r>
              <w:rPr>
                <w:noProof/>
                <w:webHidden/>
              </w:rPr>
              <w:t>27</w:t>
            </w:r>
            <w:r>
              <w:rPr>
                <w:noProof/>
                <w:webHidden/>
              </w:rPr>
              <w:fldChar w:fldCharType="end"/>
            </w:r>
          </w:hyperlink>
        </w:p>
        <w:p w14:paraId="1E73D748" w14:textId="5E5994C9" w:rsidR="009E1951" w:rsidRDefault="009E195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197024" w:history="1">
            <w:r w:rsidRPr="00436D3B">
              <w:rPr>
                <w:rStyle w:val="Hyperlink"/>
                <w:noProof/>
              </w:rPr>
              <w:t>Proposed action</w:t>
            </w:r>
            <w:r>
              <w:rPr>
                <w:noProof/>
                <w:webHidden/>
              </w:rPr>
              <w:tab/>
            </w:r>
            <w:r>
              <w:rPr>
                <w:noProof/>
                <w:webHidden/>
              </w:rPr>
              <w:fldChar w:fldCharType="begin"/>
            </w:r>
            <w:r>
              <w:rPr>
                <w:noProof/>
                <w:webHidden/>
              </w:rPr>
              <w:instrText xml:space="preserve"> PAGEREF _Toc233197024 \h </w:instrText>
            </w:r>
            <w:r>
              <w:rPr>
                <w:noProof/>
                <w:webHidden/>
              </w:rPr>
            </w:r>
            <w:r>
              <w:rPr>
                <w:noProof/>
                <w:webHidden/>
              </w:rPr>
              <w:fldChar w:fldCharType="separate"/>
            </w:r>
            <w:r>
              <w:rPr>
                <w:noProof/>
                <w:webHidden/>
              </w:rPr>
              <w:t>30</w:t>
            </w:r>
            <w:r>
              <w:rPr>
                <w:noProof/>
                <w:webHidden/>
              </w:rPr>
              <w:fldChar w:fldCharType="end"/>
            </w:r>
          </w:hyperlink>
        </w:p>
        <w:p w14:paraId="5D16B4F4" w14:textId="7DD40E59" w:rsidR="009E1951" w:rsidRDefault="009E195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3197025" w:history="1">
            <w:r w:rsidRPr="00436D3B">
              <w:rPr>
                <w:rStyle w:val="Hyperlink"/>
                <w:noProof/>
              </w:rPr>
              <w:t>Independent expert advice</w:t>
            </w:r>
            <w:r>
              <w:rPr>
                <w:noProof/>
                <w:webHidden/>
              </w:rPr>
              <w:tab/>
            </w:r>
            <w:r>
              <w:rPr>
                <w:noProof/>
                <w:webHidden/>
              </w:rPr>
              <w:fldChar w:fldCharType="begin"/>
            </w:r>
            <w:r>
              <w:rPr>
                <w:noProof/>
                <w:webHidden/>
              </w:rPr>
              <w:instrText xml:space="preserve"> PAGEREF _Toc233197025 \h </w:instrText>
            </w:r>
            <w:r>
              <w:rPr>
                <w:noProof/>
                <w:webHidden/>
              </w:rPr>
            </w:r>
            <w:r>
              <w:rPr>
                <w:noProof/>
                <w:webHidden/>
              </w:rPr>
              <w:fldChar w:fldCharType="separate"/>
            </w:r>
            <w:r>
              <w:rPr>
                <w:noProof/>
                <w:webHidden/>
              </w:rPr>
              <w:t>30</w:t>
            </w:r>
            <w:r>
              <w:rPr>
                <w:noProof/>
                <w:webHidden/>
              </w:rPr>
              <w:fldChar w:fldCharType="end"/>
            </w:r>
          </w:hyperlink>
        </w:p>
        <w:p w14:paraId="4B28DFA3" w14:textId="28235754" w:rsidR="009E1951" w:rsidRDefault="009E195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3197026" w:history="1">
            <w:r w:rsidRPr="00436D3B">
              <w:rPr>
                <w:rStyle w:val="Hyperlink"/>
                <w:noProof/>
              </w:rPr>
              <w:t>Advisory Committee on Medicines considerations</w:t>
            </w:r>
            <w:r>
              <w:rPr>
                <w:noProof/>
                <w:webHidden/>
              </w:rPr>
              <w:tab/>
            </w:r>
            <w:r>
              <w:rPr>
                <w:noProof/>
                <w:webHidden/>
              </w:rPr>
              <w:fldChar w:fldCharType="begin"/>
            </w:r>
            <w:r>
              <w:rPr>
                <w:noProof/>
                <w:webHidden/>
              </w:rPr>
              <w:instrText xml:space="preserve"> PAGEREF _Toc233197026 \h </w:instrText>
            </w:r>
            <w:r>
              <w:rPr>
                <w:noProof/>
                <w:webHidden/>
              </w:rPr>
            </w:r>
            <w:r>
              <w:rPr>
                <w:noProof/>
                <w:webHidden/>
              </w:rPr>
              <w:fldChar w:fldCharType="separate"/>
            </w:r>
            <w:r>
              <w:rPr>
                <w:noProof/>
                <w:webHidden/>
              </w:rPr>
              <w:t>30</w:t>
            </w:r>
            <w:r>
              <w:rPr>
                <w:noProof/>
                <w:webHidden/>
              </w:rPr>
              <w:fldChar w:fldCharType="end"/>
            </w:r>
          </w:hyperlink>
        </w:p>
        <w:p w14:paraId="7A1858BD" w14:textId="3C126954" w:rsidR="009E1951" w:rsidRDefault="009E195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33197027" w:history="1">
            <w:r w:rsidRPr="00436D3B">
              <w:rPr>
                <w:rStyle w:val="Hyperlink"/>
                <w:noProof/>
              </w:rPr>
              <w:t>Assessment outcome</w:t>
            </w:r>
            <w:r>
              <w:rPr>
                <w:noProof/>
                <w:webHidden/>
              </w:rPr>
              <w:tab/>
            </w:r>
            <w:r>
              <w:rPr>
                <w:noProof/>
                <w:webHidden/>
              </w:rPr>
              <w:fldChar w:fldCharType="begin"/>
            </w:r>
            <w:r>
              <w:rPr>
                <w:noProof/>
                <w:webHidden/>
              </w:rPr>
              <w:instrText xml:space="preserve"> PAGEREF _Toc233197027 \h </w:instrText>
            </w:r>
            <w:r>
              <w:rPr>
                <w:noProof/>
                <w:webHidden/>
              </w:rPr>
            </w:r>
            <w:r>
              <w:rPr>
                <w:noProof/>
                <w:webHidden/>
              </w:rPr>
              <w:fldChar w:fldCharType="separate"/>
            </w:r>
            <w:r>
              <w:rPr>
                <w:noProof/>
                <w:webHidden/>
              </w:rPr>
              <w:t>31</w:t>
            </w:r>
            <w:r>
              <w:rPr>
                <w:noProof/>
                <w:webHidden/>
              </w:rPr>
              <w:fldChar w:fldCharType="end"/>
            </w:r>
          </w:hyperlink>
        </w:p>
        <w:p w14:paraId="1311336A" w14:textId="528A1A63" w:rsidR="009E1951" w:rsidRDefault="009E195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33197028" w:history="1">
            <w:r w:rsidRPr="00436D3B">
              <w:rPr>
                <w:rStyle w:val="Hyperlink"/>
                <w:noProof/>
              </w:rPr>
              <w:t>Specific conditions of registration</w:t>
            </w:r>
            <w:r>
              <w:rPr>
                <w:noProof/>
                <w:webHidden/>
              </w:rPr>
              <w:tab/>
            </w:r>
            <w:r>
              <w:rPr>
                <w:noProof/>
                <w:webHidden/>
              </w:rPr>
              <w:fldChar w:fldCharType="begin"/>
            </w:r>
            <w:r>
              <w:rPr>
                <w:noProof/>
                <w:webHidden/>
              </w:rPr>
              <w:instrText xml:space="preserve"> PAGEREF _Toc233197028 \h </w:instrText>
            </w:r>
            <w:r>
              <w:rPr>
                <w:noProof/>
                <w:webHidden/>
              </w:rPr>
            </w:r>
            <w:r>
              <w:rPr>
                <w:noProof/>
                <w:webHidden/>
              </w:rPr>
              <w:fldChar w:fldCharType="separate"/>
            </w:r>
            <w:r>
              <w:rPr>
                <w:noProof/>
                <w:webHidden/>
              </w:rPr>
              <w:t>32</w:t>
            </w:r>
            <w:r>
              <w:rPr>
                <w:noProof/>
                <w:webHidden/>
              </w:rPr>
              <w:fldChar w:fldCharType="end"/>
            </w:r>
          </w:hyperlink>
        </w:p>
        <w:p w14:paraId="15EE1A97" w14:textId="38FFF714" w:rsidR="009E1951" w:rsidRDefault="009E195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3197029" w:history="1">
            <w:r w:rsidRPr="00436D3B">
              <w:rPr>
                <w:rStyle w:val="Hyperlink"/>
                <w:noProof/>
              </w:rPr>
              <w:t>Product Information and Consumer Medicine Information</w:t>
            </w:r>
            <w:r>
              <w:rPr>
                <w:noProof/>
                <w:webHidden/>
              </w:rPr>
              <w:tab/>
            </w:r>
            <w:r>
              <w:rPr>
                <w:noProof/>
                <w:webHidden/>
              </w:rPr>
              <w:fldChar w:fldCharType="begin"/>
            </w:r>
            <w:r>
              <w:rPr>
                <w:noProof/>
                <w:webHidden/>
              </w:rPr>
              <w:instrText xml:space="preserve"> PAGEREF _Toc233197029 \h </w:instrText>
            </w:r>
            <w:r>
              <w:rPr>
                <w:noProof/>
                <w:webHidden/>
              </w:rPr>
            </w:r>
            <w:r>
              <w:rPr>
                <w:noProof/>
                <w:webHidden/>
              </w:rPr>
              <w:fldChar w:fldCharType="separate"/>
            </w:r>
            <w:r>
              <w:rPr>
                <w:noProof/>
                <w:webHidden/>
              </w:rPr>
              <w:t>32</w:t>
            </w:r>
            <w:r>
              <w:rPr>
                <w:noProof/>
                <w:webHidden/>
              </w:rPr>
              <w:fldChar w:fldCharType="end"/>
            </w:r>
          </w:hyperlink>
        </w:p>
        <w:p w14:paraId="77659F2D" w14:textId="6A7EC55B" w:rsidR="00F02AEC" w:rsidRPr="00215D48" w:rsidRDefault="00F02AEC" w:rsidP="007452E8">
          <w:r w:rsidRPr="00215D48">
            <w:fldChar w:fldCharType="end"/>
          </w:r>
        </w:p>
      </w:sdtContent>
    </w:sdt>
    <w:p w14:paraId="10987AE2" w14:textId="77777777" w:rsidR="00F02AEC" w:rsidRPr="00215D48" w:rsidRDefault="00F02AEC" w:rsidP="00473EF7">
      <w:r w:rsidRPr="00215D48">
        <w:br w:type="page"/>
      </w:r>
    </w:p>
    <w:p w14:paraId="1E73AB93" w14:textId="77777777" w:rsidR="00324B33" w:rsidRDefault="00324B33" w:rsidP="00324B33">
      <w:pPr>
        <w:pStyle w:val="Heading2"/>
      </w:pPr>
      <w:bookmarkStart w:id="0" w:name="_Toc98931917"/>
      <w:bookmarkStart w:id="1" w:name="_Toc103679287"/>
      <w:bookmarkStart w:id="2" w:name="_Toc323739589"/>
      <w:bookmarkStart w:id="3" w:name="_Toc356305216"/>
      <w:bookmarkStart w:id="4" w:name="_Toc233197001"/>
      <w:r>
        <w:lastRenderedPageBreak/>
        <w:t>List of abbreviations</w:t>
      </w:r>
      <w:bookmarkEnd w:id="0"/>
      <w:bookmarkEnd w:id="1"/>
      <w:bookmarkEnd w:id="4"/>
    </w:p>
    <w:tbl>
      <w:tblPr>
        <w:tblStyle w:val="TableTGAblue2023"/>
        <w:tblW w:w="5000" w:type="pct"/>
        <w:tblLook w:val="04A0" w:firstRow="1" w:lastRow="0" w:firstColumn="1" w:lastColumn="0" w:noHBand="0" w:noVBand="1"/>
      </w:tblPr>
      <w:tblGrid>
        <w:gridCol w:w="2175"/>
        <w:gridCol w:w="6887"/>
      </w:tblGrid>
      <w:tr w:rsidR="00324B33" w:rsidRPr="00D01DDB" w14:paraId="2117AEF6" w14:textId="77777777" w:rsidTr="00BD5DBD">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00" w:type="pct"/>
          </w:tcPr>
          <w:p w14:paraId="1207B6A7" w14:textId="67F7D360" w:rsidR="00324B33" w:rsidRPr="00D01DDB" w:rsidRDefault="00324B33" w:rsidP="00324B33">
            <w:pPr>
              <w:rPr>
                <w:szCs w:val="22"/>
              </w:rPr>
            </w:pPr>
            <w:r w:rsidRPr="00D01DDB">
              <w:rPr>
                <w:szCs w:val="22"/>
              </w:rPr>
              <w:t>Abbreviation</w:t>
            </w:r>
          </w:p>
        </w:tc>
        <w:tc>
          <w:tcPr>
            <w:tcW w:w="3800" w:type="pct"/>
          </w:tcPr>
          <w:p w14:paraId="4CF6D0CD" w14:textId="2974FA0B"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Meaning</w:t>
            </w:r>
          </w:p>
        </w:tc>
      </w:tr>
      <w:tr w:rsidR="00C87979" w:rsidRPr="00C87979" w14:paraId="16C5C8C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6DE09A4" w14:textId="2CF6CE04" w:rsidR="00C87979" w:rsidRPr="009156B9" w:rsidRDefault="00C87979" w:rsidP="00C87979">
            <w:pPr>
              <w:rPr>
                <w:szCs w:val="22"/>
              </w:rPr>
            </w:pPr>
            <w:r w:rsidRPr="009156B9">
              <w:rPr>
                <w:rFonts w:eastAsia="Times New Roman"/>
                <w:szCs w:val="22"/>
              </w:rPr>
              <w:t>AE</w:t>
            </w:r>
          </w:p>
        </w:tc>
        <w:tc>
          <w:tcPr>
            <w:tcW w:w="3800" w:type="pct"/>
          </w:tcPr>
          <w:p w14:paraId="4F24A873" w14:textId="134A4699" w:rsidR="00C87979" w:rsidRPr="009156B9" w:rsidRDefault="00C87979" w:rsidP="00C87979">
            <w:pPr>
              <w:cnfStyle w:val="000000000000" w:firstRow="0" w:lastRow="0" w:firstColumn="0" w:lastColumn="0" w:oddVBand="0" w:evenVBand="0" w:oddHBand="0" w:evenHBand="0" w:firstRowFirstColumn="0" w:firstRowLastColumn="0" w:lastRowFirstColumn="0" w:lastRowLastColumn="0"/>
              <w:rPr>
                <w:szCs w:val="22"/>
              </w:rPr>
            </w:pPr>
            <w:r w:rsidRPr="009156B9">
              <w:rPr>
                <w:rFonts w:eastAsia="Times New Roman"/>
                <w:szCs w:val="22"/>
              </w:rPr>
              <w:t>Adverse Event</w:t>
            </w:r>
          </w:p>
        </w:tc>
      </w:tr>
      <w:tr w:rsidR="003760E6" w:rsidRPr="00C87979" w14:paraId="377CF8C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1EAF842" w14:textId="601A6FCA" w:rsidR="003760E6" w:rsidRPr="009156B9" w:rsidRDefault="003760E6" w:rsidP="003760E6">
            <w:pPr>
              <w:rPr>
                <w:rFonts w:eastAsia="Times New Roman"/>
                <w:szCs w:val="22"/>
              </w:rPr>
            </w:pPr>
            <w:r w:rsidRPr="009156B9">
              <w:rPr>
                <w:rFonts w:eastAsia="Times New Roman"/>
                <w:szCs w:val="22"/>
              </w:rPr>
              <w:t>ALP</w:t>
            </w:r>
          </w:p>
        </w:tc>
        <w:tc>
          <w:tcPr>
            <w:tcW w:w="3800" w:type="pct"/>
          </w:tcPr>
          <w:p w14:paraId="0E42E5F7" w14:textId="713F845A" w:rsidR="003760E6" w:rsidRPr="009156B9" w:rsidRDefault="003760E6" w:rsidP="003760E6">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Alkaline Phosphatase</w:t>
            </w:r>
          </w:p>
        </w:tc>
      </w:tr>
      <w:tr w:rsidR="00005C71" w:rsidRPr="00C87979" w14:paraId="3FD39C6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9976973" w14:textId="13FBD273" w:rsidR="00005C71" w:rsidRPr="009156B9" w:rsidRDefault="00005C71" w:rsidP="00005C71">
            <w:pPr>
              <w:rPr>
                <w:rFonts w:eastAsia="Times New Roman"/>
                <w:szCs w:val="22"/>
              </w:rPr>
            </w:pPr>
            <w:r w:rsidRPr="009156B9">
              <w:rPr>
                <w:rFonts w:eastAsia="Times New Roman"/>
                <w:szCs w:val="22"/>
              </w:rPr>
              <w:t>ALT</w:t>
            </w:r>
          </w:p>
        </w:tc>
        <w:tc>
          <w:tcPr>
            <w:tcW w:w="3800" w:type="pct"/>
          </w:tcPr>
          <w:p w14:paraId="00B52185" w14:textId="3EC554FA" w:rsidR="00005C71" w:rsidRPr="009156B9" w:rsidRDefault="00005C71" w:rsidP="00005C71">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Alanine Aminotransferase</w:t>
            </w:r>
          </w:p>
        </w:tc>
      </w:tr>
      <w:tr w:rsidR="00005C71" w:rsidRPr="00C87979" w14:paraId="41B09CF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6DCB34A" w14:textId="215BE108" w:rsidR="00005C71" w:rsidRPr="009156B9" w:rsidRDefault="00005C71" w:rsidP="00005C71">
            <w:pPr>
              <w:rPr>
                <w:rFonts w:eastAsia="Times New Roman"/>
                <w:szCs w:val="22"/>
              </w:rPr>
            </w:pPr>
            <w:r w:rsidRPr="009156B9">
              <w:rPr>
                <w:rFonts w:eastAsia="Times New Roman"/>
                <w:szCs w:val="22"/>
              </w:rPr>
              <w:t>AMA</w:t>
            </w:r>
          </w:p>
        </w:tc>
        <w:tc>
          <w:tcPr>
            <w:tcW w:w="3800" w:type="pct"/>
          </w:tcPr>
          <w:p w14:paraId="3BD6FCE4" w14:textId="5CD4AED8" w:rsidR="00005C71" w:rsidRPr="009156B9" w:rsidRDefault="00005C71" w:rsidP="00005C71">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Anti-Mitochondrial Antibodies</w:t>
            </w:r>
          </w:p>
        </w:tc>
      </w:tr>
      <w:tr w:rsidR="00005C71" w:rsidRPr="00C87979" w14:paraId="78CC540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D7A0831" w14:textId="6644847C" w:rsidR="00005C71" w:rsidRPr="009156B9" w:rsidRDefault="00005C71" w:rsidP="00005C71">
            <w:pPr>
              <w:rPr>
                <w:rFonts w:eastAsia="Times New Roman"/>
                <w:szCs w:val="22"/>
              </w:rPr>
            </w:pPr>
            <w:r w:rsidRPr="009156B9">
              <w:rPr>
                <w:rFonts w:eastAsia="Times New Roman"/>
                <w:szCs w:val="22"/>
              </w:rPr>
              <w:t>ANA</w:t>
            </w:r>
          </w:p>
        </w:tc>
        <w:tc>
          <w:tcPr>
            <w:tcW w:w="3800" w:type="pct"/>
          </w:tcPr>
          <w:p w14:paraId="7D992FD1" w14:textId="6D9B7817" w:rsidR="00005C71" w:rsidRPr="009156B9" w:rsidRDefault="00005C71" w:rsidP="00005C71">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Anti-Nuclear Antibodies</w:t>
            </w:r>
          </w:p>
        </w:tc>
      </w:tr>
      <w:tr w:rsidR="00005C71" w:rsidRPr="00C87979" w14:paraId="7927213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5B1D8C6" w14:textId="005AEB8B" w:rsidR="00005C71" w:rsidRPr="009156B9" w:rsidRDefault="00005C71" w:rsidP="00005C71">
            <w:pPr>
              <w:rPr>
                <w:rFonts w:eastAsia="Times New Roman"/>
                <w:szCs w:val="22"/>
              </w:rPr>
            </w:pPr>
            <w:r w:rsidRPr="009156B9">
              <w:rPr>
                <w:rFonts w:eastAsia="Times New Roman"/>
                <w:szCs w:val="22"/>
              </w:rPr>
              <w:t>AST</w:t>
            </w:r>
          </w:p>
        </w:tc>
        <w:tc>
          <w:tcPr>
            <w:tcW w:w="3800" w:type="pct"/>
          </w:tcPr>
          <w:p w14:paraId="52D60FC0" w14:textId="3B0AD73D" w:rsidR="00005C71" w:rsidRPr="009156B9" w:rsidRDefault="00005C71" w:rsidP="00005C71">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Aspartate Aminotransferase</w:t>
            </w:r>
          </w:p>
        </w:tc>
      </w:tr>
      <w:tr w:rsidR="00005C71" w:rsidRPr="00C87979" w14:paraId="4948BFA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40F8809" w14:textId="29F00B4A" w:rsidR="00005C71" w:rsidRPr="009156B9" w:rsidRDefault="00005C71" w:rsidP="00005C71">
            <w:pPr>
              <w:rPr>
                <w:rFonts w:eastAsia="Times New Roman"/>
                <w:szCs w:val="22"/>
              </w:rPr>
            </w:pPr>
            <w:r w:rsidRPr="009156B9">
              <w:rPr>
                <w:rFonts w:eastAsia="Times New Roman"/>
                <w:szCs w:val="22"/>
              </w:rPr>
              <w:t>AUC</w:t>
            </w:r>
          </w:p>
        </w:tc>
        <w:tc>
          <w:tcPr>
            <w:tcW w:w="3800" w:type="pct"/>
          </w:tcPr>
          <w:p w14:paraId="02E293B2" w14:textId="78EDECB9" w:rsidR="00005C71" w:rsidRPr="009156B9" w:rsidRDefault="00005C71" w:rsidP="00005C71">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Area Under the Plasma Concentration-Time Curve</w:t>
            </w:r>
          </w:p>
        </w:tc>
      </w:tr>
      <w:tr w:rsidR="00005C71" w:rsidRPr="00C87979" w14:paraId="5304CCF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C7C6353" w14:textId="5A9F630D" w:rsidR="00005C71" w:rsidRPr="009156B9" w:rsidRDefault="00005C71" w:rsidP="00005C71">
            <w:pPr>
              <w:rPr>
                <w:rFonts w:eastAsia="Times New Roman"/>
                <w:szCs w:val="22"/>
              </w:rPr>
            </w:pPr>
            <w:r w:rsidRPr="009156B9">
              <w:rPr>
                <w:rFonts w:eastAsia="Times New Roman"/>
                <w:szCs w:val="22"/>
              </w:rPr>
              <w:t>BCRP</w:t>
            </w:r>
          </w:p>
        </w:tc>
        <w:tc>
          <w:tcPr>
            <w:tcW w:w="3800" w:type="pct"/>
          </w:tcPr>
          <w:p w14:paraId="3AFB3AA0" w14:textId="2FA7CEA7" w:rsidR="00005C71" w:rsidRPr="009156B9" w:rsidRDefault="00005C71" w:rsidP="00005C71">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Breast Cancer Resistance Protein</w:t>
            </w:r>
          </w:p>
        </w:tc>
      </w:tr>
      <w:tr w:rsidR="00005C71" w:rsidRPr="00C87979" w14:paraId="18E68C6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793C9CB" w14:textId="53AFA9D8" w:rsidR="00005C71" w:rsidRPr="009156B9" w:rsidRDefault="00005C71" w:rsidP="00005C71">
            <w:pPr>
              <w:rPr>
                <w:rFonts w:eastAsia="Times New Roman"/>
                <w:szCs w:val="22"/>
              </w:rPr>
            </w:pPr>
            <w:r w:rsidRPr="009156B9">
              <w:rPr>
                <w:rFonts w:eastAsia="Times New Roman"/>
                <w:szCs w:val="22"/>
              </w:rPr>
              <w:t>BCS</w:t>
            </w:r>
          </w:p>
        </w:tc>
        <w:tc>
          <w:tcPr>
            <w:tcW w:w="3800" w:type="pct"/>
          </w:tcPr>
          <w:p w14:paraId="3BB1390D" w14:textId="1513A0C2" w:rsidR="00005C71" w:rsidRPr="009156B9" w:rsidRDefault="00005C71" w:rsidP="00005C71">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Biopharmaceutics Classification System</w:t>
            </w:r>
          </w:p>
        </w:tc>
      </w:tr>
      <w:tr w:rsidR="00005C71" w:rsidRPr="00C87979" w14:paraId="53B3983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FCFB0D0" w14:textId="2D0AEB6C" w:rsidR="00005C71" w:rsidRPr="009156B9" w:rsidRDefault="00005C71" w:rsidP="00005C71">
            <w:pPr>
              <w:rPr>
                <w:rFonts w:eastAsia="Times New Roman"/>
                <w:szCs w:val="22"/>
              </w:rPr>
            </w:pPr>
            <w:r w:rsidRPr="009156B9">
              <w:rPr>
                <w:rFonts w:eastAsia="Times New Roman"/>
                <w:szCs w:val="22"/>
              </w:rPr>
              <w:t>BMI</w:t>
            </w:r>
          </w:p>
        </w:tc>
        <w:tc>
          <w:tcPr>
            <w:tcW w:w="3800" w:type="pct"/>
          </w:tcPr>
          <w:p w14:paraId="6DBF01C3" w14:textId="16F669E0" w:rsidR="00005C71" w:rsidRPr="009156B9" w:rsidRDefault="00005C71" w:rsidP="00005C71">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Body Mass Index</w:t>
            </w:r>
          </w:p>
        </w:tc>
      </w:tr>
      <w:tr w:rsidR="00942E2C" w:rsidRPr="00C87979" w14:paraId="36DD857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49DD7B2" w14:textId="31D4D16C" w:rsidR="00942E2C" w:rsidRPr="009156B9" w:rsidRDefault="00942E2C" w:rsidP="00942E2C">
            <w:pPr>
              <w:rPr>
                <w:rFonts w:eastAsia="Times New Roman"/>
                <w:szCs w:val="22"/>
              </w:rPr>
            </w:pPr>
            <w:r w:rsidRPr="009156B9">
              <w:rPr>
                <w:rFonts w:eastAsia="Times New Roman"/>
                <w:szCs w:val="22"/>
              </w:rPr>
              <w:t>C4</w:t>
            </w:r>
          </w:p>
        </w:tc>
        <w:tc>
          <w:tcPr>
            <w:tcW w:w="3800" w:type="pct"/>
          </w:tcPr>
          <w:p w14:paraId="4668A061" w14:textId="4C72F03B"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7α-Hydroxy-4-Cholesten-3-One</w:t>
            </w:r>
          </w:p>
        </w:tc>
      </w:tr>
      <w:tr w:rsidR="00942E2C" w:rsidRPr="00C87979" w14:paraId="34F01C8F"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AC2523E" w14:textId="7076D2A9" w:rsidR="00942E2C" w:rsidRPr="009156B9" w:rsidRDefault="00942E2C" w:rsidP="00942E2C">
            <w:pPr>
              <w:rPr>
                <w:rFonts w:eastAsia="Times New Roman"/>
                <w:szCs w:val="22"/>
              </w:rPr>
            </w:pPr>
            <w:r w:rsidRPr="009156B9">
              <w:rPr>
                <w:rFonts w:eastAsia="Times New Roman"/>
                <w:szCs w:val="22"/>
              </w:rPr>
              <w:t>CCDS</w:t>
            </w:r>
          </w:p>
        </w:tc>
        <w:tc>
          <w:tcPr>
            <w:tcW w:w="3800" w:type="pct"/>
          </w:tcPr>
          <w:p w14:paraId="3BD9FDF3" w14:textId="197C8553"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Company Core Data Sheet</w:t>
            </w:r>
          </w:p>
        </w:tc>
      </w:tr>
      <w:tr w:rsidR="00942E2C" w:rsidRPr="00C87979" w14:paraId="08F3FF7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0F65060" w14:textId="5913723B" w:rsidR="00942E2C" w:rsidRPr="009156B9" w:rsidRDefault="00942E2C" w:rsidP="00942E2C">
            <w:pPr>
              <w:rPr>
                <w:rFonts w:eastAsia="Times New Roman"/>
                <w:szCs w:val="22"/>
              </w:rPr>
            </w:pPr>
            <w:r w:rsidRPr="009156B9">
              <w:rPr>
                <w:rFonts w:eastAsia="Times New Roman"/>
                <w:szCs w:val="22"/>
              </w:rPr>
              <w:t>CERC</w:t>
            </w:r>
          </w:p>
        </w:tc>
        <w:tc>
          <w:tcPr>
            <w:tcW w:w="3800" w:type="pct"/>
          </w:tcPr>
          <w:p w14:paraId="447649A4" w14:textId="5A121A4C"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Critical Events Review Committee</w:t>
            </w:r>
          </w:p>
        </w:tc>
      </w:tr>
      <w:tr w:rsidR="00942E2C" w:rsidRPr="00C87979" w14:paraId="72756FC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86412F9" w14:textId="0387BFC9" w:rsidR="00942E2C" w:rsidRPr="009156B9" w:rsidRDefault="00942E2C" w:rsidP="00942E2C">
            <w:pPr>
              <w:rPr>
                <w:rFonts w:eastAsia="Times New Roman"/>
                <w:szCs w:val="22"/>
              </w:rPr>
            </w:pPr>
            <w:r w:rsidRPr="009156B9">
              <w:rPr>
                <w:rFonts w:eastAsia="Times New Roman"/>
                <w:szCs w:val="22"/>
              </w:rPr>
              <w:t>CHMP</w:t>
            </w:r>
          </w:p>
        </w:tc>
        <w:tc>
          <w:tcPr>
            <w:tcW w:w="3800" w:type="pct"/>
          </w:tcPr>
          <w:p w14:paraId="2238A743" w14:textId="09D54443"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Committee for Medicinal Products for Human Use</w:t>
            </w:r>
          </w:p>
        </w:tc>
      </w:tr>
      <w:tr w:rsidR="00942E2C" w:rsidRPr="00C87979" w14:paraId="2C8818FF"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F5A9269" w14:textId="55A86155" w:rsidR="00942E2C" w:rsidRPr="009156B9" w:rsidRDefault="00942E2C" w:rsidP="00942E2C">
            <w:pPr>
              <w:rPr>
                <w:rFonts w:eastAsia="Times New Roman"/>
                <w:szCs w:val="22"/>
              </w:rPr>
            </w:pPr>
            <w:r w:rsidRPr="009156B9">
              <w:rPr>
                <w:rFonts w:eastAsia="Times New Roman"/>
                <w:szCs w:val="22"/>
              </w:rPr>
              <w:t>CI</w:t>
            </w:r>
          </w:p>
        </w:tc>
        <w:tc>
          <w:tcPr>
            <w:tcW w:w="3800" w:type="pct"/>
          </w:tcPr>
          <w:p w14:paraId="40AF9F89" w14:textId="37AACD0D"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Confidence Interval</w:t>
            </w:r>
          </w:p>
        </w:tc>
      </w:tr>
      <w:tr w:rsidR="00942E2C" w:rsidRPr="00C87979" w14:paraId="16F2BAB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ECF435F" w14:textId="2E893707" w:rsidR="00942E2C" w:rsidRPr="009156B9" w:rsidRDefault="00942E2C" w:rsidP="00942E2C">
            <w:pPr>
              <w:rPr>
                <w:rFonts w:eastAsia="Times New Roman"/>
                <w:szCs w:val="22"/>
              </w:rPr>
            </w:pPr>
            <w:r w:rsidRPr="009156B9">
              <w:rPr>
                <w:rFonts w:eastAsia="Times New Roman"/>
                <w:szCs w:val="22"/>
              </w:rPr>
              <w:t>CK</w:t>
            </w:r>
          </w:p>
        </w:tc>
        <w:tc>
          <w:tcPr>
            <w:tcW w:w="3800" w:type="pct"/>
          </w:tcPr>
          <w:p w14:paraId="40584F9B" w14:textId="6110D012"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Creatine Kinase</w:t>
            </w:r>
          </w:p>
        </w:tc>
      </w:tr>
      <w:tr w:rsidR="00942E2C" w:rsidRPr="00C87979" w14:paraId="6429429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D56CDC2" w14:textId="5D0B3C25" w:rsidR="00942E2C" w:rsidRPr="009156B9" w:rsidRDefault="00942E2C" w:rsidP="00942E2C">
            <w:pPr>
              <w:rPr>
                <w:rFonts w:eastAsia="Times New Roman"/>
                <w:szCs w:val="22"/>
              </w:rPr>
            </w:pPr>
            <w:proofErr w:type="spellStart"/>
            <w:r w:rsidRPr="009156B9">
              <w:rPr>
                <w:rFonts w:eastAsia="Times New Roman"/>
                <w:szCs w:val="22"/>
              </w:rPr>
              <w:t>Cmax</w:t>
            </w:r>
            <w:proofErr w:type="spellEnd"/>
          </w:p>
        </w:tc>
        <w:tc>
          <w:tcPr>
            <w:tcW w:w="3800" w:type="pct"/>
          </w:tcPr>
          <w:p w14:paraId="46206757" w14:textId="130F5014"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Maximum Plasma Concentration</w:t>
            </w:r>
          </w:p>
        </w:tc>
      </w:tr>
      <w:tr w:rsidR="00942E2C" w:rsidRPr="00C87979" w14:paraId="0194015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72153CB" w14:textId="4D7FD3AD" w:rsidR="00942E2C" w:rsidRPr="009156B9" w:rsidRDefault="00942E2C" w:rsidP="00942E2C">
            <w:pPr>
              <w:rPr>
                <w:rFonts w:eastAsia="Times New Roman"/>
                <w:szCs w:val="22"/>
              </w:rPr>
            </w:pPr>
            <w:r w:rsidRPr="009156B9">
              <w:rPr>
                <w:rFonts w:eastAsia="Times New Roman"/>
                <w:szCs w:val="22"/>
              </w:rPr>
              <w:t>CMH</w:t>
            </w:r>
          </w:p>
        </w:tc>
        <w:tc>
          <w:tcPr>
            <w:tcW w:w="3800" w:type="pct"/>
          </w:tcPr>
          <w:p w14:paraId="24984B78" w14:textId="3BE86778"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Cochran-Mantel-Haenszel</w:t>
            </w:r>
          </w:p>
        </w:tc>
      </w:tr>
      <w:tr w:rsidR="00942E2C" w:rsidRPr="00C87979" w14:paraId="4891EF9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DBADF36" w14:textId="21A0DB82" w:rsidR="00942E2C" w:rsidRPr="009156B9" w:rsidRDefault="00942E2C" w:rsidP="00942E2C">
            <w:pPr>
              <w:rPr>
                <w:rFonts w:eastAsia="Times New Roman"/>
                <w:szCs w:val="22"/>
              </w:rPr>
            </w:pPr>
            <w:r w:rsidRPr="009156B9">
              <w:rPr>
                <w:rFonts w:eastAsia="Times New Roman"/>
                <w:szCs w:val="22"/>
              </w:rPr>
              <w:t>COVID-19</w:t>
            </w:r>
          </w:p>
        </w:tc>
        <w:tc>
          <w:tcPr>
            <w:tcW w:w="3800" w:type="pct"/>
          </w:tcPr>
          <w:p w14:paraId="7511D7D5" w14:textId="3311BC6E"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Coronavirus Disease 2019</w:t>
            </w:r>
          </w:p>
        </w:tc>
      </w:tr>
      <w:tr w:rsidR="00942E2C" w:rsidRPr="00C87979" w14:paraId="01A6533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5053CAB" w14:textId="64D40C45" w:rsidR="00942E2C" w:rsidRPr="009156B9" w:rsidRDefault="00942E2C" w:rsidP="00942E2C">
            <w:pPr>
              <w:rPr>
                <w:rFonts w:eastAsia="Times New Roman"/>
                <w:szCs w:val="22"/>
              </w:rPr>
            </w:pPr>
            <w:r w:rsidRPr="009156B9">
              <w:rPr>
                <w:rFonts w:eastAsia="Times New Roman"/>
                <w:szCs w:val="22"/>
              </w:rPr>
              <w:t>CP</w:t>
            </w:r>
          </w:p>
        </w:tc>
        <w:tc>
          <w:tcPr>
            <w:tcW w:w="3800" w:type="pct"/>
          </w:tcPr>
          <w:p w14:paraId="74F54D60" w14:textId="35E7AD5A"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Child-Pugh Classification</w:t>
            </w:r>
          </w:p>
        </w:tc>
      </w:tr>
      <w:tr w:rsidR="00942E2C" w:rsidRPr="00C87979" w14:paraId="68FBA9B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9292D33" w14:textId="19AB4A78" w:rsidR="00942E2C" w:rsidRPr="009156B9" w:rsidRDefault="00942E2C" w:rsidP="00942E2C">
            <w:pPr>
              <w:rPr>
                <w:rFonts w:eastAsia="Times New Roman"/>
                <w:szCs w:val="22"/>
              </w:rPr>
            </w:pPr>
            <w:r w:rsidRPr="009156B9">
              <w:rPr>
                <w:rFonts w:eastAsia="Times New Roman"/>
                <w:szCs w:val="22"/>
              </w:rPr>
              <w:t>CPRC</w:t>
            </w:r>
          </w:p>
        </w:tc>
        <w:tc>
          <w:tcPr>
            <w:tcW w:w="3800" w:type="pct"/>
          </w:tcPr>
          <w:p w14:paraId="4BB7E5E7" w14:textId="5B54A7C5"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proofErr w:type="spellStart"/>
            <w:r w:rsidRPr="009156B9">
              <w:rPr>
                <w:rFonts w:eastAsia="Times New Roman"/>
                <w:szCs w:val="22"/>
              </w:rPr>
              <w:t>Clinico</w:t>
            </w:r>
            <w:proofErr w:type="spellEnd"/>
            <w:r w:rsidRPr="009156B9">
              <w:rPr>
                <w:rFonts w:eastAsia="Times New Roman"/>
                <w:szCs w:val="22"/>
              </w:rPr>
              <w:t>-Pathological Review Committee</w:t>
            </w:r>
          </w:p>
        </w:tc>
      </w:tr>
      <w:tr w:rsidR="00942E2C" w:rsidRPr="00C87979" w14:paraId="6274AB5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1530E65" w14:textId="30DD4D45" w:rsidR="00942E2C" w:rsidRPr="009156B9" w:rsidRDefault="00942E2C" w:rsidP="00942E2C">
            <w:pPr>
              <w:rPr>
                <w:rFonts w:eastAsia="Times New Roman"/>
                <w:szCs w:val="22"/>
              </w:rPr>
            </w:pPr>
            <w:r w:rsidRPr="009156B9">
              <w:rPr>
                <w:rFonts w:eastAsia="Times New Roman"/>
                <w:szCs w:val="22"/>
              </w:rPr>
              <w:t>CrCl</w:t>
            </w:r>
          </w:p>
        </w:tc>
        <w:tc>
          <w:tcPr>
            <w:tcW w:w="3800" w:type="pct"/>
          </w:tcPr>
          <w:p w14:paraId="6A5BE532" w14:textId="34EA19CC"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Creatinine Clearance</w:t>
            </w:r>
          </w:p>
        </w:tc>
      </w:tr>
      <w:tr w:rsidR="00942E2C" w:rsidRPr="00C87979" w14:paraId="66BBCFD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49DF189" w14:textId="4E218874" w:rsidR="00942E2C" w:rsidRPr="009156B9" w:rsidRDefault="00942E2C" w:rsidP="00942E2C">
            <w:pPr>
              <w:rPr>
                <w:rFonts w:eastAsia="Times New Roman"/>
                <w:szCs w:val="22"/>
              </w:rPr>
            </w:pPr>
            <w:r w:rsidRPr="009156B9">
              <w:rPr>
                <w:rFonts w:eastAsia="Times New Roman"/>
                <w:szCs w:val="22"/>
              </w:rPr>
              <w:t>CSR</w:t>
            </w:r>
          </w:p>
        </w:tc>
        <w:tc>
          <w:tcPr>
            <w:tcW w:w="3800" w:type="pct"/>
          </w:tcPr>
          <w:p w14:paraId="6A47FCD8" w14:textId="777CB50F"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Clinical Study Report</w:t>
            </w:r>
          </w:p>
        </w:tc>
      </w:tr>
      <w:tr w:rsidR="00942E2C" w:rsidRPr="00C87979" w14:paraId="35724F7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796B579" w14:textId="7D5ECDB5" w:rsidR="00942E2C" w:rsidRPr="009156B9" w:rsidRDefault="00942E2C" w:rsidP="00942E2C">
            <w:pPr>
              <w:rPr>
                <w:rFonts w:eastAsia="Times New Roman"/>
                <w:szCs w:val="22"/>
              </w:rPr>
            </w:pPr>
            <w:r w:rsidRPr="009156B9">
              <w:rPr>
                <w:rFonts w:eastAsia="Times New Roman"/>
                <w:szCs w:val="22"/>
              </w:rPr>
              <w:t>CTCAE</w:t>
            </w:r>
          </w:p>
        </w:tc>
        <w:tc>
          <w:tcPr>
            <w:tcW w:w="3800" w:type="pct"/>
          </w:tcPr>
          <w:p w14:paraId="1BBCCF88" w14:textId="39069E47"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Common Terminology Criteria for Adverse Events</w:t>
            </w:r>
          </w:p>
        </w:tc>
      </w:tr>
      <w:tr w:rsidR="00942E2C" w:rsidRPr="00C87979" w14:paraId="4DF298D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F73B28F" w14:textId="6EDF22B6" w:rsidR="00942E2C" w:rsidRPr="009156B9" w:rsidRDefault="00942E2C" w:rsidP="00942E2C">
            <w:pPr>
              <w:rPr>
                <w:rFonts w:eastAsia="Times New Roman"/>
                <w:szCs w:val="22"/>
              </w:rPr>
            </w:pPr>
            <w:r w:rsidRPr="009156B9">
              <w:rPr>
                <w:rFonts w:eastAsia="Times New Roman"/>
                <w:szCs w:val="22"/>
              </w:rPr>
              <w:t>CYP</w:t>
            </w:r>
          </w:p>
        </w:tc>
        <w:tc>
          <w:tcPr>
            <w:tcW w:w="3800" w:type="pct"/>
          </w:tcPr>
          <w:p w14:paraId="44961D66" w14:textId="01438473"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Cytochrome P450</w:t>
            </w:r>
          </w:p>
        </w:tc>
      </w:tr>
      <w:tr w:rsidR="00942E2C" w:rsidRPr="00C87979" w14:paraId="6DB1253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0B7572A" w14:textId="3FEEA5C6" w:rsidR="00942E2C" w:rsidRPr="009156B9" w:rsidRDefault="00942E2C" w:rsidP="00942E2C">
            <w:pPr>
              <w:rPr>
                <w:rFonts w:eastAsia="Times New Roman"/>
                <w:szCs w:val="22"/>
              </w:rPr>
            </w:pPr>
            <w:r w:rsidRPr="009156B9">
              <w:rPr>
                <w:rFonts w:eastAsia="Times New Roman"/>
                <w:szCs w:val="22"/>
              </w:rPr>
              <w:t>DDI</w:t>
            </w:r>
          </w:p>
        </w:tc>
        <w:tc>
          <w:tcPr>
            <w:tcW w:w="3800" w:type="pct"/>
          </w:tcPr>
          <w:p w14:paraId="2497C6C4" w14:textId="415A6649"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Drug-Drug Interaction</w:t>
            </w:r>
          </w:p>
        </w:tc>
      </w:tr>
      <w:tr w:rsidR="00942E2C" w:rsidRPr="00C87979" w14:paraId="545915F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48588D8" w14:textId="78AC8F80" w:rsidR="00942E2C" w:rsidRPr="009156B9" w:rsidRDefault="00942E2C" w:rsidP="00942E2C">
            <w:pPr>
              <w:rPr>
                <w:rFonts w:eastAsia="Times New Roman"/>
                <w:szCs w:val="22"/>
              </w:rPr>
            </w:pPr>
            <w:r w:rsidRPr="009156B9">
              <w:rPr>
                <w:rFonts w:eastAsia="Times New Roman"/>
                <w:szCs w:val="22"/>
              </w:rPr>
              <w:t>DILI</w:t>
            </w:r>
          </w:p>
        </w:tc>
        <w:tc>
          <w:tcPr>
            <w:tcW w:w="3800" w:type="pct"/>
          </w:tcPr>
          <w:p w14:paraId="61DF7359" w14:textId="0F0A1B7D"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Drug-Induced Liver Injury</w:t>
            </w:r>
          </w:p>
        </w:tc>
      </w:tr>
      <w:tr w:rsidR="00942E2C" w:rsidRPr="00C87979" w14:paraId="5DADA76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152834A" w14:textId="69FC4600" w:rsidR="00942E2C" w:rsidRPr="009156B9" w:rsidRDefault="00942E2C" w:rsidP="00942E2C">
            <w:pPr>
              <w:rPr>
                <w:rFonts w:eastAsia="Times New Roman"/>
                <w:szCs w:val="22"/>
              </w:rPr>
            </w:pPr>
            <w:r w:rsidRPr="009156B9">
              <w:rPr>
                <w:rFonts w:eastAsia="Times New Roman"/>
                <w:szCs w:val="22"/>
              </w:rPr>
              <w:t>DSIC</w:t>
            </w:r>
          </w:p>
        </w:tc>
        <w:tc>
          <w:tcPr>
            <w:tcW w:w="3800" w:type="pct"/>
          </w:tcPr>
          <w:p w14:paraId="45836B06" w14:textId="0E166C8F"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Drug Substance in Capsule</w:t>
            </w:r>
          </w:p>
        </w:tc>
      </w:tr>
      <w:tr w:rsidR="00942E2C" w:rsidRPr="00C87979" w14:paraId="439C6B3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F031E28" w14:textId="62C987ED" w:rsidR="00942E2C" w:rsidRPr="009156B9" w:rsidRDefault="00942E2C" w:rsidP="00942E2C">
            <w:pPr>
              <w:rPr>
                <w:rFonts w:eastAsia="Times New Roman"/>
                <w:szCs w:val="22"/>
              </w:rPr>
            </w:pPr>
            <w:r w:rsidRPr="009156B9">
              <w:rPr>
                <w:rFonts w:eastAsia="Times New Roman"/>
                <w:szCs w:val="22"/>
              </w:rPr>
              <w:t>DSMB</w:t>
            </w:r>
          </w:p>
        </w:tc>
        <w:tc>
          <w:tcPr>
            <w:tcW w:w="3800" w:type="pct"/>
          </w:tcPr>
          <w:p w14:paraId="55A8B108" w14:textId="6870675C"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Data Safety Monitoring Board</w:t>
            </w:r>
          </w:p>
        </w:tc>
      </w:tr>
      <w:tr w:rsidR="00942E2C" w:rsidRPr="00C87979" w14:paraId="6D39DE2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AE83408" w14:textId="600C8470" w:rsidR="00942E2C" w:rsidRPr="009156B9" w:rsidRDefault="00942E2C" w:rsidP="00942E2C">
            <w:pPr>
              <w:rPr>
                <w:rFonts w:eastAsia="Times New Roman"/>
                <w:szCs w:val="22"/>
              </w:rPr>
            </w:pPr>
            <w:r w:rsidRPr="009156B9">
              <w:rPr>
                <w:rFonts w:eastAsia="Times New Roman"/>
                <w:szCs w:val="22"/>
              </w:rPr>
              <w:t>ECG</w:t>
            </w:r>
          </w:p>
        </w:tc>
        <w:tc>
          <w:tcPr>
            <w:tcW w:w="3800" w:type="pct"/>
          </w:tcPr>
          <w:p w14:paraId="2920DFE3" w14:textId="5B41A9B5"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Electrocardiogram</w:t>
            </w:r>
          </w:p>
        </w:tc>
      </w:tr>
      <w:tr w:rsidR="00942E2C" w:rsidRPr="00C87979" w14:paraId="025D983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DA3D826" w14:textId="5BA41126" w:rsidR="00942E2C" w:rsidRPr="009156B9" w:rsidRDefault="00942E2C" w:rsidP="00942E2C">
            <w:pPr>
              <w:rPr>
                <w:rFonts w:eastAsia="Times New Roman"/>
                <w:szCs w:val="22"/>
              </w:rPr>
            </w:pPr>
            <w:proofErr w:type="spellStart"/>
            <w:r w:rsidRPr="009156B9">
              <w:rPr>
                <w:rFonts w:eastAsia="Times New Roman"/>
                <w:szCs w:val="22"/>
              </w:rPr>
              <w:t>eDISH</w:t>
            </w:r>
            <w:proofErr w:type="spellEnd"/>
          </w:p>
        </w:tc>
        <w:tc>
          <w:tcPr>
            <w:tcW w:w="3800" w:type="pct"/>
          </w:tcPr>
          <w:p w14:paraId="61A7EDE0" w14:textId="4032C2FD"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Evaluation of Drug-Induced Serious Hepatotoxicity</w:t>
            </w:r>
          </w:p>
        </w:tc>
      </w:tr>
      <w:tr w:rsidR="00942E2C" w:rsidRPr="009156B9" w14:paraId="479F3CE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8FEF764" w14:textId="42F0925B" w:rsidR="00942E2C" w:rsidRPr="009156B9" w:rsidRDefault="00942E2C" w:rsidP="00942E2C">
            <w:pPr>
              <w:rPr>
                <w:rFonts w:eastAsia="Times New Roman"/>
                <w:szCs w:val="22"/>
              </w:rPr>
            </w:pPr>
            <w:r w:rsidRPr="009156B9">
              <w:rPr>
                <w:rFonts w:eastAsia="Times New Roman"/>
                <w:szCs w:val="22"/>
              </w:rPr>
              <w:t>eGFR</w:t>
            </w:r>
          </w:p>
        </w:tc>
        <w:tc>
          <w:tcPr>
            <w:tcW w:w="3800" w:type="pct"/>
          </w:tcPr>
          <w:p w14:paraId="58657751" w14:textId="222B937D"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Estimated Glomerular Filtration Rate</w:t>
            </w:r>
          </w:p>
        </w:tc>
      </w:tr>
      <w:tr w:rsidR="00942E2C" w:rsidRPr="009156B9" w14:paraId="7E6F121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411303C" w14:textId="06167EDD" w:rsidR="00942E2C" w:rsidRPr="009156B9" w:rsidRDefault="00942E2C" w:rsidP="00942E2C">
            <w:pPr>
              <w:rPr>
                <w:rFonts w:eastAsia="Times New Roman"/>
                <w:szCs w:val="22"/>
              </w:rPr>
            </w:pPr>
            <w:r w:rsidRPr="009156B9">
              <w:rPr>
                <w:rFonts w:eastAsia="Times New Roman"/>
                <w:szCs w:val="22"/>
              </w:rPr>
              <w:lastRenderedPageBreak/>
              <w:t>EMA</w:t>
            </w:r>
          </w:p>
        </w:tc>
        <w:tc>
          <w:tcPr>
            <w:tcW w:w="3800" w:type="pct"/>
          </w:tcPr>
          <w:p w14:paraId="42743055" w14:textId="280D8AE0"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European Medicines Agency</w:t>
            </w:r>
          </w:p>
        </w:tc>
      </w:tr>
      <w:tr w:rsidR="00942E2C" w:rsidRPr="009156B9" w14:paraId="7239B49F"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F74A789" w14:textId="2AD32FE0" w:rsidR="00942E2C" w:rsidRPr="009156B9" w:rsidRDefault="00942E2C" w:rsidP="00942E2C">
            <w:pPr>
              <w:rPr>
                <w:rFonts w:eastAsia="Times New Roman"/>
                <w:szCs w:val="22"/>
              </w:rPr>
            </w:pPr>
            <w:r w:rsidRPr="009156B9">
              <w:rPr>
                <w:rFonts w:eastAsia="Times New Roman"/>
                <w:szCs w:val="22"/>
              </w:rPr>
              <w:t>EMEA</w:t>
            </w:r>
          </w:p>
        </w:tc>
        <w:tc>
          <w:tcPr>
            <w:tcW w:w="3800" w:type="pct"/>
          </w:tcPr>
          <w:p w14:paraId="794BF66D" w14:textId="02E05E73"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Europe, the Middle East, and Africa</w:t>
            </w:r>
          </w:p>
        </w:tc>
      </w:tr>
      <w:tr w:rsidR="00942E2C" w:rsidRPr="009156B9" w14:paraId="42B6DD3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C8EA27F" w14:textId="5758A8F2" w:rsidR="00942E2C" w:rsidRPr="009156B9" w:rsidRDefault="00942E2C" w:rsidP="00942E2C">
            <w:pPr>
              <w:rPr>
                <w:rFonts w:eastAsia="Times New Roman"/>
                <w:szCs w:val="22"/>
              </w:rPr>
            </w:pPr>
            <w:r w:rsidRPr="009156B9">
              <w:rPr>
                <w:rFonts w:eastAsia="Times New Roman"/>
                <w:szCs w:val="22"/>
              </w:rPr>
              <w:t>EOT</w:t>
            </w:r>
          </w:p>
        </w:tc>
        <w:tc>
          <w:tcPr>
            <w:tcW w:w="3800" w:type="pct"/>
          </w:tcPr>
          <w:p w14:paraId="26FC9397" w14:textId="7F563F4D"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End of Treatment</w:t>
            </w:r>
          </w:p>
        </w:tc>
      </w:tr>
      <w:tr w:rsidR="00942E2C" w:rsidRPr="009156B9" w14:paraId="7DB45A4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BE5E7FD" w14:textId="2AC762B0" w:rsidR="00942E2C" w:rsidRPr="009156B9" w:rsidRDefault="00942E2C" w:rsidP="00942E2C">
            <w:pPr>
              <w:rPr>
                <w:rFonts w:eastAsia="Times New Roman"/>
                <w:szCs w:val="22"/>
              </w:rPr>
            </w:pPr>
            <w:r w:rsidRPr="009156B9">
              <w:rPr>
                <w:rFonts w:eastAsia="Times New Roman"/>
                <w:szCs w:val="22"/>
              </w:rPr>
              <w:t>E-R</w:t>
            </w:r>
          </w:p>
        </w:tc>
        <w:tc>
          <w:tcPr>
            <w:tcW w:w="3800" w:type="pct"/>
          </w:tcPr>
          <w:p w14:paraId="5E0194BF" w14:textId="3E21BB33"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Exposure-Response Analysis</w:t>
            </w:r>
          </w:p>
        </w:tc>
      </w:tr>
      <w:tr w:rsidR="00942E2C" w:rsidRPr="009156B9" w14:paraId="333143C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9050C26" w14:textId="2F177563" w:rsidR="00942E2C" w:rsidRPr="009156B9" w:rsidRDefault="00942E2C" w:rsidP="00942E2C">
            <w:pPr>
              <w:rPr>
                <w:rFonts w:eastAsia="Times New Roman"/>
                <w:szCs w:val="22"/>
              </w:rPr>
            </w:pPr>
            <w:r w:rsidRPr="009156B9">
              <w:rPr>
                <w:rFonts w:eastAsia="Times New Roman"/>
                <w:szCs w:val="22"/>
              </w:rPr>
              <w:t>FDA</w:t>
            </w:r>
          </w:p>
        </w:tc>
        <w:tc>
          <w:tcPr>
            <w:tcW w:w="3800" w:type="pct"/>
          </w:tcPr>
          <w:p w14:paraId="61AFE000" w14:textId="31FF12FC"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Food and Drug Administration</w:t>
            </w:r>
          </w:p>
        </w:tc>
      </w:tr>
      <w:tr w:rsidR="00942E2C" w:rsidRPr="009156B9" w14:paraId="798126C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F6F6EEC" w14:textId="6AB9228A" w:rsidR="00942E2C" w:rsidRPr="009156B9" w:rsidRDefault="00942E2C" w:rsidP="00942E2C">
            <w:pPr>
              <w:rPr>
                <w:rFonts w:eastAsia="Times New Roman"/>
                <w:szCs w:val="22"/>
              </w:rPr>
            </w:pPr>
            <w:r w:rsidRPr="009156B9">
              <w:rPr>
                <w:rFonts w:eastAsia="Times New Roman"/>
                <w:szCs w:val="22"/>
              </w:rPr>
              <w:t>FGF</w:t>
            </w:r>
          </w:p>
        </w:tc>
        <w:tc>
          <w:tcPr>
            <w:tcW w:w="3800" w:type="pct"/>
          </w:tcPr>
          <w:p w14:paraId="20FF342B" w14:textId="5B6EF35B"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Fibroblast Growth Factor</w:t>
            </w:r>
          </w:p>
        </w:tc>
      </w:tr>
      <w:tr w:rsidR="00942E2C" w:rsidRPr="009156B9" w14:paraId="5DE0A6D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945DC82" w14:textId="0E6C8D8D" w:rsidR="00942E2C" w:rsidRPr="009156B9" w:rsidRDefault="00942E2C" w:rsidP="00942E2C">
            <w:pPr>
              <w:rPr>
                <w:rFonts w:eastAsia="Times New Roman"/>
                <w:szCs w:val="22"/>
              </w:rPr>
            </w:pPr>
            <w:r w:rsidRPr="009156B9">
              <w:rPr>
                <w:rFonts w:eastAsia="Times New Roman"/>
                <w:szCs w:val="22"/>
              </w:rPr>
              <w:t>FMQ</w:t>
            </w:r>
          </w:p>
        </w:tc>
        <w:tc>
          <w:tcPr>
            <w:tcW w:w="3800" w:type="pct"/>
          </w:tcPr>
          <w:p w14:paraId="78292796" w14:textId="757F03BB"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FDA Medical Query</w:t>
            </w:r>
          </w:p>
        </w:tc>
      </w:tr>
      <w:tr w:rsidR="00942E2C" w:rsidRPr="009156B9" w14:paraId="1AE0A55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C428CFF" w14:textId="3734D18E" w:rsidR="00942E2C" w:rsidRPr="009156B9" w:rsidRDefault="00942E2C" w:rsidP="00942E2C">
            <w:pPr>
              <w:rPr>
                <w:rFonts w:eastAsia="Times New Roman"/>
                <w:szCs w:val="22"/>
              </w:rPr>
            </w:pPr>
            <w:r w:rsidRPr="009156B9">
              <w:rPr>
                <w:rFonts w:eastAsia="Times New Roman"/>
                <w:szCs w:val="22"/>
              </w:rPr>
              <w:t>FXR</w:t>
            </w:r>
          </w:p>
        </w:tc>
        <w:tc>
          <w:tcPr>
            <w:tcW w:w="3800" w:type="pct"/>
          </w:tcPr>
          <w:p w14:paraId="002808A7" w14:textId="0058049D"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proofErr w:type="spellStart"/>
            <w:r w:rsidRPr="009156B9">
              <w:rPr>
                <w:rFonts w:eastAsia="Times New Roman"/>
                <w:szCs w:val="22"/>
              </w:rPr>
              <w:t>Farnesoid</w:t>
            </w:r>
            <w:proofErr w:type="spellEnd"/>
            <w:r w:rsidRPr="009156B9">
              <w:rPr>
                <w:rFonts w:eastAsia="Times New Roman"/>
                <w:szCs w:val="22"/>
              </w:rPr>
              <w:t xml:space="preserve"> X Receptor</w:t>
            </w:r>
          </w:p>
        </w:tc>
      </w:tr>
      <w:tr w:rsidR="00942E2C" w:rsidRPr="009156B9" w14:paraId="7D0A8A2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2F4AF8D" w14:textId="1863D397" w:rsidR="00942E2C" w:rsidRPr="009156B9" w:rsidRDefault="00942E2C" w:rsidP="00942E2C">
            <w:pPr>
              <w:rPr>
                <w:rFonts w:eastAsia="Times New Roman"/>
                <w:szCs w:val="22"/>
              </w:rPr>
            </w:pPr>
            <w:r w:rsidRPr="009156B9">
              <w:rPr>
                <w:rFonts w:eastAsia="Times New Roman"/>
                <w:szCs w:val="22"/>
              </w:rPr>
              <w:t>GCP</w:t>
            </w:r>
          </w:p>
        </w:tc>
        <w:tc>
          <w:tcPr>
            <w:tcW w:w="3800" w:type="pct"/>
          </w:tcPr>
          <w:p w14:paraId="2FFFA285" w14:textId="48B9096B"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Good Clinical Practice</w:t>
            </w:r>
          </w:p>
        </w:tc>
      </w:tr>
      <w:tr w:rsidR="00942E2C" w:rsidRPr="009156B9" w14:paraId="0B549B0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53E7274" w14:textId="47CB10C9" w:rsidR="00942E2C" w:rsidRPr="009156B9" w:rsidRDefault="00942E2C" w:rsidP="00942E2C">
            <w:pPr>
              <w:rPr>
                <w:rFonts w:eastAsia="Times New Roman"/>
                <w:szCs w:val="22"/>
              </w:rPr>
            </w:pPr>
            <w:r w:rsidRPr="009156B9">
              <w:rPr>
                <w:rFonts w:eastAsia="Times New Roman"/>
                <w:szCs w:val="22"/>
              </w:rPr>
              <w:t>GGT</w:t>
            </w:r>
          </w:p>
        </w:tc>
        <w:tc>
          <w:tcPr>
            <w:tcW w:w="3800" w:type="pct"/>
          </w:tcPr>
          <w:p w14:paraId="57B9BB55" w14:textId="544FDB4A"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Gamma-Glutamyl Transferase</w:t>
            </w:r>
          </w:p>
        </w:tc>
      </w:tr>
      <w:tr w:rsidR="00942E2C" w:rsidRPr="009156B9" w14:paraId="7686C3A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95119C7" w14:textId="2B0D0BBA" w:rsidR="00942E2C" w:rsidRPr="009156B9" w:rsidRDefault="00942E2C" w:rsidP="00942E2C">
            <w:pPr>
              <w:rPr>
                <w:rFonts w:eastAsia="Times New Roman"/>
                <w:szCs w:val="22"/>
              </w:rPr>
            </w:pPr>
            <w:r w:rsidRPr="009156B9">
              <w:rPr>
                <w:rFonts w:eastAsia="Times New Roman"/>
                <w:szCs w:val="22"/>
              </w:rPr>
              <w:t>HDL</w:t>
            </w:r>
          </w:p>
        </w:tc>
        <w:tc>
          <w:tcPr>
            <w:tcW w:w="3800" w:type="pct"/>
          </w:tcPr>
          <w:p w14:paraId="1756C315" w14:textId="2E87B69D"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High-Density Lipoprotein</w:t>
            </w:r>
          </w:p>
        </w:tc>
      </w:tr>
      <w:tr w:rsidR="00942E2C" w:rsidRPr="009156B9" w14:paraId="5336847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24958C8" w14:textId="6D8456CA" w:rsidR="00942E2C" w:rsidRPr="009156B9" w:rsidRDefault="00942E2C" w:rsidP="00942E2C">
            <w:pPr>
              <w:rPr>
                <w:rFonts w:eastAsia="Times New Roman"/>
                <w:szCs w:val="22"/>
              </w:rPr>
            </w:pPr>
            <w:r w:rsidRPr="009156B9">
              <w:rPr>
                <w:rFonts w:eastAsia="Times New Roman"/>
                <w:szCs w:val="22"/>
              </w:rPr>
              <w:t>HI</w:t>
            </w:r>
          </w:p>
        </w:tc>
        <w:tc>
          <w:tcPr>
            <w:tcW w:w="3800" w:type="pct"/>
          </w:tcPr>
          <w:p w14:paraId="32DFEA91" w14:textId="09027EDE"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Hepatic Impairment</w:t>
            </w:r>
          </w:p>
        </w:tc>
      </w:tr>
      <w:tr w:rsidR="00942E2C" w:rsidRPr="009156B9" w14:paraId="421B77C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6E140C2" w14:textId="32CE782A" w:rsidR="00942E2C" w:rsidRPr="009156B9" w:rsidRDefault="00942E2C" w:rsidP="00942E2C">
            <w:pPr>
              <w:rPr>
                <w:rFonts w:eastAsia="Times New Roman"/>
                <w:szCs w:val="22"/>
              </w:rPr>
            </w:pPr>
            <w:proofErr w:type="spellStart"/>
            <w:r w:rsidRPr="009156B9">
              <w:rPr>
                <w:rFonts w:eastAsia="Times New Roman"/>
                <w:szCs w:val="22"/>
              </w:rPr>
              <w:t>HoFH</w:t>
            </w:r>
            <w:proofErr w:type="spellEnd"/>
          </w:p>
        </w:tc>
        <w:tc>
          <w:tcPr>
            <w:tcW w:w="3800" w:type="pct"/>
          </w:tcPr>
          <w:p w14:paraId="2A7E15EA" w14:textId="35E4B48E"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Homozygous Familial Hypercholesterolemia</w:t>
            </w:r>
          </w:p>
        </w:tc>
      </w:tr>
      <w:tr w:rsidR="00942E2C" w:rsidRPr="009156B9" w14:paraId="5F77558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6FFBDFA" w14:textId="001A11DD" w:rsidR="00942E2C" w:rsidRPr="009156B9" w:rsidRDefault="00942E2C" w:rsidP="00942E2C">
            <w:pPr>
              <w:rPr>
                <w:rFonts w:eastAsia="Times New Roman"/>
                <w:szCs w:val="22"/>
              </w:rPr>
            </w:pPr>
            <w:r w:rsidRPr="009156B9">
              <w:rPr>
                <w:rFonts w:eastAsia="Times New Roman"/>
                <w:szCs w:val="22"/>
              </w:rPr>
              <w:t>ICH</w:t>
            </w:r>
          </w:p>
        </w:tc>
        <w:tc>
          <w:tcPr>
            <w:tcW w:w="3800" w:type="pct"/>
          </w:tcPr>
          <w:p w14:paraId="3C27D731" w14:textId="032C06A2"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International Council for Harmonisation</w:t>
            </w:r>
          </w:p>
        </w:tc>
      </w:tr>
      <w:tr w:rsidR="00942E2C" w:rsidRPr="009156B9" w14:paraId="3AB66D3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03EE6DB" w14:textId="03889CE5" w:rsidR="00942E2C" w:rsidRPr="009156B9" w:rsidRDefault="00942E2C" w:rsidP="00942E2C">
            <w:pPr>
              <w:rPr>
                <w:rFonts w:eastAsia="Times New Roman"/>
                <w:szCs w:val="22"/>
              </w:rPr>
            </w:pPr>
            <w:r w:rsidRPr="009156B9">
              <w:rPr>
                <w:rFonts w:eastAsia="Times New Roman"/>
                <w:szCs w:val="22"/>
              </w:rPr>
              <w:t>IL-31</w:t>
            </w:r>
          </w:p>
        </w:tc>
        <w:tc>
          <w:tcPr>
            <w:tcW w:w="3800" w:type="pct"/>
          </w:tcPr>
          <w:p w14:paraId="482B2850" w14:textId="2AF79C5D"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Interleukin-31</w:t>
            </w:r>
          </w:p>
        </w:tc>
      </w:tr>
      <w:tr w:rsidR="00942E2C" w:rsidRPr="009156B9" w14:paraId="41EE177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2316024" w14:textId="66066F7E" w:rsidR="00942E2C" w:rsidRPr="009156B9" w:rsidRDefault="00942E2C" w:rsidP="00942E2C">
            <w:pPr>
              <w:rPr>
                <w:rFonts w:eastAsia="Times New Roman"/>
                <w:szCs w:val="22"/>
              </w:rPr>
            </w:pPr>
            <w:r w:rsidRPr="009156B9">
              <w:rPr>
                <w:rFonts w:eastAsia="Times New Roman"/>
                <w:szCs w:val="22"/>
              </w:rPr>
              <w:t>ITT</w:t>
            </w:r>
          </w:p>
        </w:tc>
        <w:tc>
          <w:tcPr>
            <w:tcW w:w="3800" w:type="pct"/>
          </w:tcPr>
          <w:p w14:paraId="4B421A0C" w14:textId="1FF01103"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Intent-to-Treat</w:t>
            </w:r>
          </w:p>
        </w:tc>
      </w:tr>
      <w:tr w:rsidR="00942E2C" w:rsidRPr="009156B9" w14:paraId="11D3255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2393327" w14:textId="6C4D0AAB" w:rsidR="00942E2C" w:rsidRPr="009156B9" w:rsidRDefault="00942E2C" w:rsidP="00942E2C">
            <w:pPr>
              <w:rPr>
                <w:rFonts w:eastAsia="Times New Roman"/>
                <w:szCs w:val="22"/>
              </w:rPr>
            </w:pPr>
            <w:r w:rsidRPr="009156B9">
              <w:rPr>
                <w:rFonts w:eastAsia="Times New Roman"/>
                <w:szCs w:val="22"/>
              </w:rPr>
              <w:t>LDL</w:t>
            </w:r>
          </w:p>
        </w:tc>
        <w:tc>
          <w:tcPr>
            <w:tcW w:w="3800" w:type="pct"/>
          </w:tcPr>
          <w:p w14:paraId="776C53AE" w14:textId="629F3090"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Low-Density Lipoprotein</w:t>
            </w:r>
          </w:p>
        </w:tc>
      </w:tr>
      <w:tr w:rsidR="00942E2C" w:rsidRPr="009156B9" w14:paraId="4D810DC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C69F2F3" w14:textId="6AF9938E" w:rsidR="00942E2C" w:rsidRPr="009156B9" w:rsidRDefault="00942E2C" w:rsidP="00942E2C">
            <w:pPr>
              <w:rPr>
                <w:rFonts w:eastAsia="Times New Roman"/>
                <w:szCs w:val="22"/>
              </w:rPr>
            </w:pPr>
            <w:r w:rsidRPr="009156B9">
              <w:rPr>
                <w:rFonts w:eastAsia="Times New Roman"/>
                <w:szCs w:val="22"/>
              </w:rPr>
              <w:t>LLN</w:t>
            </w:r>
          </w:p>
        </w:tc>
        <w:tc>
          <w:tcPr>
            <w:tcW w:w="3800" w:type="pct"/>
          </w:tcPr>
          <w:p w14:paraId="579A1769" w14:textId="039EA4C0"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Lower Limit of Normal</w:t>
            </w:r>
          </w:p>
        </w:tc>
      </w:tr>
      <w:tr w:rsidR="00942E2C" w:rsidRPr="009156B9" w14:paraId="7808CFC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DA6E445" w14:textId="05185213" w:rsidR="00942E2C" w:rsidRPr="009156B9" w:rsidRDefault="00942E2C" w:rsidP="00942E2C">
            <w:pPr>
              <w:rPr>
                <w:rFonts w:eastAsia="Times New Roman"/>
                <w:szCs w:val="22"/>
              </w:rPr>
            </w:pPr>
            <w:r w:rsidRPr="009156B9">
              <w:rPr>
                <w:rFonts w:eastAsia="Times New Roman"/>
                <w:szCs w:val="22"/>
              </w:rPr>
              <w:t>LS</w:t>
            </w:r>
          </w:p>
        </w:tc>
        <w:tc>
          <w:tcPr>
            <w:tcW w:w="3800" w:type="pct"/>
          </w:tcPr>
          <w:p w14:paraId="268FDC72" w14:textId="111166B7"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Least Squares</w:t>
            </w:r>
          </w:p>
        </w:tc>
      </w:tr>
      <w:tr w:rsidR="00942E2C" w:rsidRPr="009156B9" w14:paraId="63DB226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3EEFFB3" w14:textId="68C3E963" w:rsidR="00942E2C" w:rsidRPr="009156B9" w:rsidRDefault="00942E2C" w:rsidP="00942E2C">
            <w:pPr>
              <w:rPr>
                <w:rFonts w:eastAsia="Times New Roman"/>
                <w:szCs w:val="22"/>
              </w:rPr>
            </w:pPr>
            <w:r w:rsidRPr="009156B9">
              <w:rPr>
                <w:rFonts w:eastAsia="Times New Roman"/>
                <w:szCs w:val="22"/>
              </w:rPr>
              <w:t>MAA</w:t>
            </w:r>
          </w:p>
        </w:tc>
        <w:tc>
          <w:tcPr>
            <w:tcW w:w="3800" w:type="pct"/>
          </w:tcPr>
          <w:p w14:paraId="42D44155" w14:textId="3EDD739A"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Marketing Authorisation Application</w:t>
            </w:r>
          </w:p>
        </w:tc>
      </w:tr>
      <w:tr w:rsidR="00942E2C" w:rsidRPr="009156B9" w14:paraId="48BF0A2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40F96F6" w14:textId="63F499E2" w:rsidR="00942E2C" w:rsidRPr="009156B9" w:rsidRDefault="00942E2C" w:rsidP="00942E2C">
            <w:pPr>
              <w:rPr>
                <w:rFonts w:eastAsia="Times New Roman"/>
                <w:szCs w:val="22"/>
              </w:rPr>
            </w:pPr>
            <w:r w:rsidRPr="009156B9">
              <w:rPr>
                <w:rFonts w:eastAsia="Times New Roman"/>
                <w:szCs w:val="22"/>
              </w:rPr>
              <w:t>MDRD</w:t>
            </w:r>
          </w:p>
        </w:tc>
        <w:tc>
          <w:tcPr>
            <w:tcW w:w="3800" w:type="pct"/>
          </w:tcPr>
          <w:p w14:paraId="751F319B" w14:textId="39C063A5"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Modification of Diet in Renal Disease</w:t>
            </w:r>
          </w:p>
        </w:tc>
      </w:tr>
      <w:tr w:rsidR="00942E2C" w:rsidRPr="009156B9" w14:paraId="3ABB5CC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100F1BF" w14:textId="40E2CA95" w:rsidR="00942E2C" w:rsidRPr="009156B9" w:rsidRDefault="00942E2C" w:rsidP="00942E2C">
            <w:pPr>
              <w:rPr>
                <w:rFonts w:eastAsia="Times New Roman"/>
                <w:szCs w:val="22"/>
              </w:rPr>
            </w:pPr>
            <w:r w:rsidRPr="009156B9">
              <w:rPr>
                <w:rFonts w:eastAsia="Times New Roman"/>
                <w:szCs w:val="22"/>
              </w:rPr>
              <w:t>MedDRA</w:t>
            </w:r>
          </w:p>
        </w:tc>
        <w:tc>
          <w:tcPr>
            <w:tcW w:w="3800" w:type="pct"/>
          </w:tcPr>
          <w:p w14:paraId="2C46FF42" w14:textId="578287E0"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Medical Dictionary for Regulatory Activities</w:t>
            </w:r>
          </w:p>
        </w:tc>
      </w:tr>
      <w:tr w:rsidR="00942E2C" w:rsidRPr="009156B9" w14:paraId="0A6123C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169F58B" w14:textId="4BA666A7" w:rsidR="00942E2C" w:rsidRPr="009156B9" w:rsidRDefault="00942E2C" w:rsidP="00942E2C">
            <w:pPr>
              <w:rPr>
                <w:rFonts w:eastAsia="Times New Roman"/>
                <w:szCs w:val="22"/>
              </w:rPr>
            </w:pPr>
            <w:r w:rsidRPr="009156B9">
              <w:rPr>
                <w:rFonts w:eastAsia="Times New Roman"/>
                <w:szCs w:val="22"/>
              </w:rPr>
              <w:t>MELD</w:t>
            </w:r>
          </w:p>
        </w:tc>
        <w:tc>
          <w:tcPr>
            <w:tcW w:w="3800" w:type="pct"/>
          </w:tcPr>
          <w:p w14:paraId="08FDC452" w14:textId="49BCFAF2"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Model for End-Stage Liver Disease</w:t>
            </w:r>
          </w:p>
        </w:tc>
      </w:tr>
      <w:tr w:rsidR="00942E2C" w:rsidRPr="009156B9" w14:paraId="5F5E07B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1D575E0" w14:textId="355ADCC9" w:rsidR="00942E2C" w:rsidRPr="009156B9" w:rsidRDefault="00942E2C" w:rsidP="00942E2C">
            <w:pPr>
              <w:rPr>
                <w:rFonts w:eastAsia="Times New Roman"/>
                <w:szCs w:val="22"/>
              </w:rPr>
            </w:pPr>
            <w:r w:rsidRPr="009156B9">
              <w:rPr>
                <w:rFonts w:eastAsia="Times New Roman"/>
                <w:szCs w:val="22"/>
              </w:rPr>
              <w:t>MHRA</w:t>
            </w:r>
          </w:p>
        </w:tc>
        <w:tc>
          <w:tcPr>
            <w:tcW w:w="3800" w:type="pct"/>
          </w:tcPr>
          <w:p w14:paraId="6517DBF4" w14:textId="79D4D4AC"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Medicines and Healthcare Products Regulatory Agency</w:t>
            </w:r>
          </w:p>
        </w:tc>
      </w:tr>
      <w:tr w:rsidR="00942E2C" w:rsidRPr="009156B9" w14:paraId="47A3FB2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317A7EB" w14:textId="78E7FF4E" w:rsidR="00942E2C" w:rsidRPr="009156B9" w:rsidRDefault="00942E2C" w:rsidP="00942E2C">
            <w:pPr>
              <w:rPr>
                <w:rFonts w:eastAsia="Times New Roman"/>
                <w:szCs w:val="22"/>
              </w:rPr>
            </w:pPr>
            <w:proofErr w:type="spellStart"/>
            <w:r w:rsidRPr="009156B9">
              <w:rPr>
                <w:rFonts w:eastAsia="Times New Roman"/>
                <w:szCs w:val="22"/>
              </w:rPr>
              <w:t>mITT</w:t>
            </w:r>
            <w:proofErr w:type="spellEnd"/>
          </w:p>
        </w:tc>
        <w:tc>
          <w:tcPr>
            <w:tcW w:w="3800" w:type="pct"/>
          </w:tcPr>
          <w:p w14:paraId="2D91A642" w14:textId="773A4D3E"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Modified Intent-to-Treat</w:t>
            </w:r>
          </w:p>
        </w:tc>
      </w:tr>
      <w:tr w:rsidR="00942E2C" w:rsidRPr="009156B9" w14:paraId="2DDFD73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791A606" w14:textId="7F4F5E05" w:rsidR="00942E2C" w:rsidRPr="009156B9" w:rsidRDefault="00942E2C" w:rsidP="00942E2C">
            <w:pPr>
              <w:rPr>
                <w:rFonts w:eastAsia="Times New Roman"/>
                <w:szCs w:val="22"/>
              </w:rPr>
            </w:pPr>
            <w:r w:rsidRPr="009156B9">
              <w:rPr>
                <w:rFonts w:eastAsia="Times New Roman"/>
                <w:szCs w:val="22"/>
              </w:rPr>
              <w:t>MMRM</w:t>
            </w:r>
          </w:p>
        </w:tc>
        <w:tc>
          <w:tcPr>
            <w:tcW w:w="3800" w:type="pct"/>
          </w:tcPr>
          <w:p w14:paraId="599B1775" w14:textId="22D6E340"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Mixed-Effect Model Repeated Measure</w:t>
            </w:r>
          </w:p>
        </w:tc>
      </w:tr>
      <w:tr w:rsidR="00942E2C" w:rsidRPr="009156B9" w14:paraId="221A96D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CB7DDFB" w14:textId="71194ED4" w:rsidR="00942E2C" w:rsidRPr="009156B9" w:rsidRDefault="00942E2C" w:rsidP="00942E2C">
            <w:pPr>
              <w:rPr>
                <w:rFonts w:eastAsia="Times New Roman"/>
                <w:szCs w:val="22"/>
              </w:rPr>
            </w:pPr>
            <w:r w:rsidRPr="009156B9">
              <w:rPr>
                <w:rFonts w:eastAsia="Times New Roman"/>
                <w:szCs w:val="22"/>
              </w:rPr>
              <w:t>MRL</w:t>
            </w:r>
          </w:p>
        </w:tc>
        <w:tc>
          <w:tcPr>
            <w:tcW w:w="3800" w:type="pct"/>
          </w:tcPr>
          <w:p w14:paraId="54CB9B88" w14:textId="72F218F8"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proofErr w:type="spellStart"/>
            <w:r w:rsidRPr="009156B9">
              <w:rPr>
                <w:rFonts w:eastAsia="Times New Roman"/>
                <w:szCs w:val="22"/>
              </w:rPr>
              <w:t>Medpace</w:t>
            </w:r>
            <w:proofErr w:type="spellEnd"/>
            <w:r w:rsidRPr="009156B9">
              <w:rPr>
                <w:rFonts w:eastAsia="Times New Roman"/>
                <w:szCs w:val="22"/>
              </w:rPr>
              <w:t xml:space="preserve"> Reference Laboratories</w:t>
            </w:r>
          </w:p>
        </w:tc>
      </w:tr>
      <w:tr w:rsidR="00942E2C" w:rsidRPr="009156B9" w14:paraId="597D983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4AB675F" w14:textId="4245C65B" w:rsidR="00942E2C" w:rsidRPr="009156B9" w:rsidRDefault="00942E2C" w:rsidP="00942E2C">
            <w:pPr>
              <w:rPr>
                <w:rFonts w:eastAsia="Times New Roman"/>
                <w:szCs w:val="22"/>
              </w:rPr>
            </w:pPr>
            <w:r w:rsidRPr="009156B9">
              <w:rPr>
                <w:rFonts w:eastAsia="Times New Roman"/>
                <w:szCs w:val="22"/>
              </w:rPr>
              <w:t>MSPN</w:t>
            </w:r>
          </w:p>
        </w:tc>
        <w:tc>
          <w:tcPr>
            <w:tcW w:w="3800" w:type="pct"/>
          </w:tcPr>
          <w:p w14:paraId="4EA98C71" w14:textId="09D7705F"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Moderate-to-Severe Pruritus NRS</w:t>
            </w:r>
          </w:p>
        </w:tc>
      </w:tr>
      <w:tr w:rsidR="00942E2C" w:rsidRPr="009156B9" w14:paraId="5FC7E81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73AE0E5" w14:textId="132023FC" w:rsidR="00942E2C" w:rsidRPr="009156B9" w:rsidRDefault="00942E2C" w:rsidP="00942E2C">
            <w:pPr>
              <w:rPr>
                <w:rFonts w:eastAsia="Times New Roman"/>
                <w:szCs w:val="22"/>
              </w:rPr>
            </w:pPr>
            <w:r w:rsidRPr="009156B9">
              <w:rPr>
                <w:rFonts w:eastAsia="Times New Roman"/>
                <w:szCs w:val="22"/>
              </w:rPr>
              <w:t>NASH</w:t>
            </w:r>
          </w:p>
        </w:tc>
        <w:tc>
          <w:tcPr>
            <w:tcW w:w="3800" w:type="pct"/>
          </w:tcPr>
          <w:p w14:paraId="18D28869" w14:textId="53113BA9" w:rsidR="00942E2C" w:rsidRPr="009156B9" w:rsidRDefault="00942E2C" w:rsidP="00942E2C">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Non-alcoholic Steatohepatitis</w:t>
            </w:r>
          </w:p>
        </w:tc>
      </w:tr>
      <w:tr w:rsidR="00570385" w:rsidRPr="009156B9" w14:paraId="4FE9578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A9CEA0A" w14:textId="04DC6A81" w:rsidR="00570385" w:rsidRPr="009156B9" w:rsidRDefault="00570385" w:rsidP="00570385">
            <w:pPr>
              <w:rPr>
                <w:rFonts w:eastAsia="Times New Roman"/>
                <w:szCs w:val="22"/>
              </w:rPr>
            </w:pPr>
            <w:r w:rsidRPr="009156B9">
              <w:rPr>
                <w:rFonts w:eastAsia="Times New Roman"/>
                <w:szCs w:val="22"/>
              </w:rPr>
              <w:t>NCA</w:t>
            </w:r>
          </w:p>
        </w:tc>
        <w:tc>
          <w:tcPr>
            <w:tcW w:w="3800" w:type="pct"/>
          </w:tcPr>
          <w:p w14:paraId="40CB3CD4" w14:textId="16EE94E8"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National Competent Authority</w:t>
            </w:r>
          </w:p>
        </w:tc>
      </w:tr>
      <w:tr w:rsidR="00570385" w:rsidRPr="009156B9" w14:paraId="07B747E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4CF9590" w14:textId="59D34B0B" w:rsidR="00570385" w:rsidRPr="009156B9" w:rsidRDefault="00570385" w:rsidP="00570385">
            <w:pPr>
              <w:rPr>
                <w:rFonts w:eastAsia="Times New Roman"/>
                <w:szCs w:val="22"/>
              </w:rPr>
            </w:pPr>
            <w:r w:rsidRPr="009156B9">
              <w:rPr>
                <w:rFonts w:eastAsia="Times New Roman"/>
                <w:szCs w:val="22"/>
              </w:rPr>
              <w:t>NCI</w:t>
            </w:r>
          </w:p>
        </w:tc>
        <w:tc>
          <w:tcPr>
            <w:tcW w:w="3800" w:type="pct"/>
          </w:tcPr>
          <w:p w14:paraId="6AA99B4A" w14:textId="19F2B8C5"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National Cancer Institute</w:t>
            </w:r>
          </w:p>
        </w:tc>
      </w:tr>
      <w:tr w:rsidR="00570385" w:rsidRPr="009156B9" w14:paraId="31164C1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F832851" w14:textId="0FA713E5" w:rsidR="00570385" w:rsidRPr="009156B9" w:rsidRDefault="00570385" w:rsidP="00570385">
            <w:pPr>
              <w:rPr>
                <w:rFonts w:eastAsia="Times New Roman"/>
                <w:szCs w:val="22"/>
              </w:rPr>
            </w:pPr>
            <w:r w:rsidRPr="009156B9">
              <w:rPr>
                <w:rFonts w:eastAsia="Times New Roman"/>
                <w:szCs w:val="22"/>
              </w:rPr>
              <w:t>NDA</w:t>
            </w:r>
          </w:p>
        </w:tc>
        <w:tc>
          <w:tcPr>
            <w:tcW w:w="3800" w:type="pct"/>
          </w:tcPr>
          <w:p w14:paraId="25AE76F5" w14:textId="17B2DFC2"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New Drug Application</w:t>
            </w:r>
          </w:p>
        </w:tc>
      </w:tr>
      <w:tr w:rsidR="00570385" w:rsidRPr="009156B9" w14:paraId="3DFDEE6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3ECC7BC" w14:textId="443EC55B" w:rsidR="00570385" w:rsidRPr="009156B9" w:rsidRDefault="00570385" w:rsidP="00570385">
            <w:pPr>
              <w:rPr>
                <w:rFonts w:eastAsia="Times New Roman"/>
                <w:szCs w:val="22"/>
              </w:rPr>
            </w:pPr>
            <w:r w:rsidRPr="009156B9">
              <w:rPr>
                <w:rFonts w:eastAsia="Times New Roman"/>
                <w:szCs w:val="22"/>
              </w:rPr>
              <w:t>NPC1L1</w:t>
            </w:r>
          </w:p>
        </w:tc>
        <w:tc>
          <w:tcPr>
            <w:tcW w:w="3800" w:type="pct"/>
          </w:tcPr>
          <w:p w14:paraId="3DB759D4" w14:textId="37261085"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Niemann-Pick C1-Like 1 Protein</w:t>
            </w:r>
          </w:p>
        </w:tc>
      </w:tr>
      <w:tr w:rsidR="00570385" w:rsidRPr="00C87979" w14:paraId="1C1AE0A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4C82830" w14:textId="4E29891D" w:rsidR="00570385" w:rsidRPr="009156B9" w:rsidRDefault="00570385" w:rsidP="00570385">
            <w:pPr>
              <w:rPr>
                <w:rFonts w:eastAsia="Times New Roman"/>
                <w:szCs w:val="22"/>
              </w:rPr>
            </w:pPr>
            <w:r w:rsidRPr="009156B9">
              <w:rPr>
                <w:rFonts w:eastAsia="Times New Roman"/>
                <w:szCs w:val="22"/>
              </w:rPr>
              <w:lastRenderedPageBreak/>
              <w:t>NRS</w:t>
            </w:r>
          </w:p>
        </w:tc>
        <w:tc>
          <w:tcPr>
            <w:tcW w:w="3800" w:type="pct"/>
          </w:tcPr>
          <w:p w14:paraId="1DBAA363" w14:textId="2A7DEF95"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Numerical Rating Score</w:t>
            </w:r>
          </w:p>
        </w:tc>
      </w:tr>
      <w:tr w:rsidR="00570385" w:rsidRPr="00C87979" w14:paraId="39712D0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6BF3F3C" w14:textId="7174290F" w:rsidR="00570385" w:rsidRPr="009156B9" w:rsidRDefault="00570385" w:rsidP="00570385">
            <w:pPr>
              <w:rPr>
                <w:rFonts w:eastAsia="Times New Roman"/>
                <w:szCs w:val="22"/>
              </w:rPr>
            </w:pPr>
            <w:r w:rsidRPr="009156B9">
              <w:rPr>
                <w:rFonts w:eastAsia="Times New Roman"/>
                <w:szCs w:val="22"/>
              </w:rPr>
              <w:t>NCA</w:t>
            </w:r>
          </w:p>
        </w:tc>
        <w:tc>
          <w:tcPr>
            <w:tcW w:w="3800" w:type="pct"/>
          </w:tcPr>
          <w:p w14:paraId="41E997CB" w14:textId="10582075"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National Competent Authority</w:t>
            </w:r>
          </w:p>
        </w:tc>
      </w:tr>
      <w:tr w:rsidR="00570385" w:rsidRPr="00C87979" w14:paraId="4D48AA5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DF61030" w14:textId="1FE1F3A9" w:rsidR="00570385" w:rsidRPr="009156B9" w:rsidRDefault="00570385" w:rsidP="00570385">
            <w:pPr>
              <w:rPr>
                <w:rFonts w:eastAsia="Times New Roman"/>
                <w:szCs w:val="22"/>
              </w:rPr>
            </w:pPr>
            <w:r w:rsidRPr="009156B9">
              <w:rPr>
                <w:rFonts w:eastAsia="Times New Roman"/>
                <w:szCs w:val="22"/>
              </w:rPr>
              <w:t>NCI</w:t>
            </w:r>
          </w:p>
        </w:tc>
        <w:tc>
          <w:tcPr>
            <w:tcW w:w="3800" w:type="pct"/>
          </w:tcPr>
          <w:p w14:paraId="43D7EA6A" w14:textId="3A4D54FD"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National Cancer Institute</w:t>
            </w:r>
          </w:p>
        </w:tc>
      </w:tr>
      <w:tr w:rsidR="00570385" w:rsidRPr="00C87979" w14:paraId="28E3750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C11D559" w14:textId="43C24966" w:rsidR="00570385" w:rsidRPr="009156B9" w:rsidRDefault="00570385" w:rsidP="00570385">
            <w:pPr>
              <w:rPr>
                <w:rFonts w:eastAsia="Times New Roman"/>
                <w:szCs w:val="22"/>
              </w:rPr>
            </w:pPr>
            <w:r w:rsidRPr="009156B9">
              <w:rPr>
                <w:rFonts w:eastAsia="Times New Roman"/>
                <w:szCs w:val="22"/>
              </w:rPr>
              <w:t>NDA</w:t>
            </w:r>
          </w:p>
        </w:tc>
        <w:tc>
          <w:tcPr>
            <w:tcW w:w="3800" w:type="pct"/>
          </w:tcPr>
          <w:p w14:paraId="6332A4A7" w14:textId="0F869F94"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New Drug Application</w:t>
            </w:r>
          </w:p>
        </w:tc>
      </w:tr>
      <w:tr w:rsidR="00570385" w:rsidRPr="00C87979" w14:paraId="6EA61DB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BE04390" w14:textId="3AA4BC38" w:rsidR="00570385" w:rsidRPr="009156B9" w:rsidRDefault="00570385" w:rsidP="00570385">
            <w:pPr>
              <w:rPr>
                <w:rFonts w:eastAsia="Times New Roman"/>
                <w:szCs w:val="22"/>
              </w:rPr>
            </w:pPr>
            <w:r w:rsidRPr="009156B9">
              <w:rPr>
                <w:rFonts w:eastAsia="Times New Roman"/>
                <w:szCs w:val="22"/>
              </w:rPr>
              <w:t>NPC1L1</w:t>
            </w:r>
          </w:p>
        </w:tc>
        <w:tc>
          <w:tcPr>
            <w:tcW w:w="3800" w:type="pct"/>
          </w:tcPr>
          <w:p w14:paraId="358C9E6A" w14:textId="5CD586CF"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Niemann-Pick C1-Like 1 Protein</w:t>
            </w:r>
          </w:p>
        </w:tc>
      </w:tr>
      <w:tr w:rsidR="00570385" w:rsidRPr="00C87979" w14:paraId="417FBAC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EA08D64" w14:textId="5C2E4820" w:rsidR="00570385" w:rsidRPr="009156B9" w:rsidRDefault="00570385" w:rsidP="00570385">
            <w:pPr>
              <w:rPr>
                <w:rFonts w:eastAsia="Times New Roman"/>
                <w:szCs w:val="22"/>
              </w:rPr>
            </w:pPr>
            <w:r w:rsidRPr="009156B9">
              <w:rPr>
                <w:rFonts w:eastAsia="Times New Roman"/>
                <w:szCs w:val="22"/>
              </w:rPr>
              <w:t>NRS</w:t>
            </w:r>
          </w:p>
        </w:tc>
        <w:tc>
          <w:tcPr>
            <w:tcW w:w="3800" w:type="pct"/>
          </w:tcPr>
          <w:p w14:paraId="705D2C77" w14:textId="7691E4EA"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Numerical Rating Score</w:t>
            </w:r>
          </w:p>
        </w:tc>
      </w:tr>
      <w:tr w:rsidR="00570385" w:rsidRPr="00C87979" w14:paraId="1B70AE1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4F12644" w14:textId="4CD39095" w:rsidR="00570385" w:rsidRPr="009156B9" w:rsidRDefault="00570385" w:rsidP="00570385">
            <w:pPr>
              <w:rPr>
                <w:rFonts w:eastAsia="Times New Roman"/>
                <w:szCs w:val="22"/>
              </w:rPr>
            </w:pPr>
            <w:r w:rsidRPr="009156B9">
              <w:rPr>
                <w:rFonts w:eastAsia="Times New Roman"/>
                <w:szCs w:val="22"/>
              </w:rPr>
              <w:t>OAT</w:t>
            </w:r>
          </w:p>
        </w:tc>
        <w:tc>
          <w:tcPr>
            <w:tcW w:w="3800" w:type="pct"/>
          </w:tcPr>
          <w:p w14:paraId="3255AA3D" w14:textId="6B5E7101"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Organic Anion Transporter</w:t>
            </w:r>
          </w:p>
        </w:tc>
      </w:tr>
      <w:tr w:rsidR="00570385" w:rsidRPr="00C87979" w14:paraId="5519CD1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A481E3C" w14:textId="59DCB1FB" w:rsidR="00570385" w:rsidRPr="009156B9" w:rsidRDefault="00570385" w:rsidP="00570385">
            <w:pPr>
              <w:rPr>
                <w:rFonts w:eastAsia="Times New Roman"/>
                <w:szCs w:val="22"/>
              </w:rPr>
            </w:pPr>
            <w:r w:rsidRPr="009156B9">
              <w:rPr>
                <w:rFonts w:eastAsia="Times New Roman"/>
                <w:szCs w:val="22"/>
              </w:rPr>
              <w:t>OATP</w:t>
            </w:r>
          </w:p>
        </w:tc>
        <w:tc>
          <w:tcPr>
            <w:tcW w:w="3800" w:type="pct"/>
          </w:tcPr>
          <w:p w14:paraId="3BBCCD39" w14:textId="02A4DBDB"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Organic Anion Transporting Polypeptide</w:t>
            </w:r>
          </w:p>
        </w:tc>
      </w:tr>
      <w:tr w:rsidR="00570385" w:rsidRPr="00C87979" w14:paraId="319C0E0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E477732" w14:textId="4AD3FA77" w:rsidR="00570385" w:rsidRPr="009156B9" w:rsidRDefault="00570385" w:rsidP="00570385">
            <w:pPr>
              <w:rPr>
                <w:rFonts w:eastAsia="Times New Roman"/>
                <w:szCs w:val="22"/>
              </w:rPr>
            </w:pPr>
            <w:r w:rsidRPr="009156B9">
              <w:rPr>
                <w:rFonts w:eastAsia="Times New Roman"/>
                <w:szCs w:val="22"/>
              </w:rPr>
              <w:t>OCA</w:t>
            </w:r>
          </w:p>
        </w:tc>
        <w:tc>
          <w:tcPr>
            <w:tcW w:w="3800" w:type="pct"/>
          </w:tcPr>
          <w:p w14:paraId="66B46538" w14:textId="413C76BB"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proofErr w:type="spellStart"/>
            <w:r w:rsidRPr="009156B9">
              <w:rPr>
                <w:rFonts w:eastAsia="Times New Roman"/>
                <w:szCs w:val="22"/>
              </w:rPr>
              <w:t>Obeticholic</w:t>
            </w:r>
            <w:proofErr w:type="spellEnd"/>
            <w:r w:rsidRPr="009156B9">
              <w:rPr>
                <w:rFonts w:eastAsia="Times New Roman"/>
                <w:szCs w:val="22"/>
              </w:rPr>
              <w:t xml:space="preserve"> Acid</w:t>
            </w:r>
          </w:p>
        </w:tc>
      </w:tr>
      <w:tr w:rsidR="00570385" w:rsidRPr="00C87979" w14:paraId="764A595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3E494F8" w14:textId="1D518179" w:rsidR="00570385" w:rsidRPr="009156B9" w:rsidRDefault="00570385" w:rsidP="00570385">
            <w:pPr>
              <w:rPr>
                <w:rFonts w:eastAsia="Times New Roman"/>
                <w:szCs w:val="22"/>
              </w:rPr>
            </w:pPr>
            <w:r w:rsidRPr="009156B9">
              <w:rPr>
                <w:rFonts w:eastAsia="Times New Roman"/>
                <w:szCs w:val="22"/>
              </w:rPr>
              <w:t>PBC</w:t>
            </w:r>
          </w:p>
        </w:tc>
        <w:tc>
          <w:tcPr>
            <w:tcW w:w="3800" w:type="pct"/>
          </w:tcPr>
          <w:p w14:paraId="0333D3A0" w14:textId="5AE0D1E7"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Primary Biliary Cholangitis</w:t>
            </w:r>
          </w:p>
        </w:tc>
      </w:tr>
      <w:tr w:rsidR="00570385" w:rsidRPr="00C87979" w14:paraId="2EE8D85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6A80501" w14:textId="35C13629" w:rsidR="00570385" w:rsidRPr="009156B9" w:rsidRDefault="00570385" w:rsidP="00570385">
            <w:pPr>
              <w:rPr>
                <w:rFonts w:eastAsia="Times New Roman"/>
                <w:szCs w:val="22"/>
              </w:rPr>
            </w:pPr>
            <w:r w:rsidRPr="009156B9">
              <w:rPr>
                <w:rFonts w:eastAsia="Times New Roman"/>
                <w:szCs w:val="22"/>
              </w:rPr>
              <w:t>PBC-40</w:t>
            </w:r>
          </w:p>
        </w:tc>
        <w:tc>
          <w:tcPr>
            <w:tcW w:w="3800" w:type="pct"/>
          </w:tcPr>
          <w:p w14:paraId="06D4DB2C" w14:textId="50479C95"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Primary Biliary Cholangitis-40 Quality of Life Questionnaire</w:t>
            </w:r>
          </w:p>
        </w:tc>
      </w:tr>
      <w:tr w:rsidR="00570385" w:rsidRPr="00C87979" w14:paraId="79C358F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2618ADE" w14:textId="56396A14" w:rsidR="00570385" w:rsidRPr="009156B9" w:rsidRDefault="00570385" w:rsidP="00570385">
            <w:pPr>
              <w:rPr>
                <w:rFonts w:eastAsia="Times New Roman"/>
                <w:szCs w:val="22"/>
              </w:rPr>
            </w:pPr>
            <w:r w:rsidRPr="009156B9">
              <w:rPr>
                <w:rFonts w:eastAsia="Times New Roman"/>
                <w:szCs w:val="22"/>
              </w:rPr>
              <w:t>PBPK</w:t>
            </w:r>
          </w:p>
        </w:tc>
        <w:tc>
          <w:tcPr>
            <w:tcW w:w="3800" w:type="pct"/>
          </w:tcPr>
          <w:p w14:paraId="03193999" w14:textId="73A76A63"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Physiologically Based Pharmacokinetic</w:t>
            </w:r>
          </w:p>
        </w:tc>
      </w:tr>
      <w:tr w:rsidR="00570385" w:rsidRPr="00C87979" w14:paraId="43E97C3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3B5C44F" w14:textId="6F4EFC68" w:rsidR="00570385" w:rsidRPr="009156B9" w:rsidRDefault="00570385" w:rsidP="00570385">
            <w:pPr>
              <w:rPr>
                <w:rFonts w:eastAsia="Times New Roman"/>
                <w:szCs w:val="22"/>
              </w:rPr>
            </w:pPr>
            <w:r w:rsidRPr="009156B9">
              <w:rPr>
                <w:rFonts w:eastAsia="Times New Roman"/>
                <w:szCs w:val="22"/>
              </w:rPr>
              <w:t>PGI-C</w:t>
            </w:r>
          </w:p>
        </w:tc>
        <w:tc>
          <w:tcPr>
            <w:tcW w:w="3800" w:type="pct"/>
          </w:tcPr>
          <w:p w14:paraId="7F38DFAA" w14:textId="443604FD"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Patient Global Impression of Change</w:t>
            </w:r>
          </w:p>
        </w:tc>
      </w:tr>
      <w:tr w:rsidR="00570385" w:rsidRPr="00C87979" w14:paraId="6722366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C1F870D" w14:textId="268D07F9" w:rsidR="00570385" w:rsidRPr="009156B9" w:rsidRDefault="00570385" w:rsidP="00570385">
            <w:pPr>
              <w:rPr>
                <w:rFonts w:eastAsia="Times New Roman"/>
                <w:szCs w:val="22"/>
              </w:rPr>
            </w:pPr>
            <w:r w:rsidRPr="009156B9">
              <w:rPr>
                <w:rFonts w:eastAsia="Times New Roman"/>
                <w:szCs w:val="22"/>
              </w:rPr>
              <w:t>PGI-S</w:t>
            </w:r>
          </w:p>
        </w:tc>
        <w:tc>
          <w:tcPr>
            <w:tcW w:w="3800" w:type="pct"/>
          </w:tcPr>
          <w:p w14:paraId="708CDDB4" w14:textId="0B77A20B"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Patient Global Impression of Severity</w:t>
            </w:r>
          </w:p>
        </w:tc>
      </w:tr>
      <w:tr w:rsidR="00570385" w:rsidRPr="00C87979" w14:paraId="3B51716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32EA1F9" w14:textId="3E78950C" w:rsidR="00570385" w:rsidRPr="009156B9" w:rsidRDefault="00570385" w:rsidP="00570385">
            <w:pPr>
              <w:rPr>
                <w:rFonts w:eastAsia="Times New Roman"/>
                <w:szCs w:val="22"/>
              </w:rPr>
            </w:pPr>
            <w:r w:rsidRPr="009156B9">
              <w:rPr>
                <w:rFonts w:eastAsia="Times New Roman"/>
                <w:szCs w:val="22"/>
              </w:rPr>
              <w:t>P-</w:t>
            </w:r>
            <w:proofErr w:type="spellStart"/>
            <w:r w:rsidRPr="009156B9">
              <w:rPr>
                <w:rFonts w:eastAsia="Times New Roman"/>
                <w:szCs w:val="22"/>
              </w:rPr>
              <w:t>gp</w:t>
            </w:r>
            <w:proofErr w:type="spellEnd"/>
          </w:p>
        </w:tc>
        <w:tc>
          <w:tcPr>
            <w:tcW w:w="3800" w:type="pct"/>
          </w:tcPr>
          <w:p w14:paraId="6F08AFE9" w14:textId="32FAC746"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P-Glycoprotein</w:t>
            </w:r>
          </w:p>
        </w:tc>
      </w:tr>
      <w:tr w:rsidR="00570385" w:rsidRPr="00C87979" w14:paraId="59E0162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70847CC" w14:textId="04BDAC76" w:rsidR="00570385" w:rsidRPr="009156B9" w:rsidRDefault="00570385" w:rsidP="00570385">
            <w:pPr>
              <w:rPr>
                <w:rFonts w:eastAsia="Times New Roman"/>
                <w:szCs w:val="22"/>
              </w:rPr>
            </w:pPr>
            <w:r w:rsidRPr="009156B9">
              <w:rPr>
                <w:rFonts w:eastAsia="Times New Roman"/>
                <w:szCs w:val="22"/>
              </w:rPr>
              <w:t>PHT</w:t>
            </w:r>
          </w:p>
        </w:tc>
        <w:tc>
          <w:tcPr>
            <w:tcW w:w="3800" w:type="pct"/>
          </w:tcPr>
          <w:p w14:paraId="73B74BB3" w14:textId="7B8DCE61"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Portal Hypertension</w:t>
            </w:r>
          </w:p>
        </w:tc>
      </w:tr>
      <w:tr w:rsidR="00570385" w:rsidRPr="00C87979" w14:paraId="2D02119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9B37800" w14:textId="436A354F" w:rsidR="00570385" w:rsidRPr="009156B9" w:rsidRDefault="00570385" w:rsidP="00570385">
            <w:pPr>
              <w:rPr>
                <w:rFonts w:eastAsia="Times New Roman"/>
                <w:szCs w:val="22"/>
              </w:rPr>
            </w:pPr>
            <w:r w:rsidRPr="009156B9">
              <w:rPr>
                <w:rFonts w:eastAsia="Times New Roman"/>
                <w:szCs w:val="22"/>
              </w:rPr>
              <w:t>PK</w:t>
            </w:r>
          </w:p>
        </w:tc>
        <w:tc>
          <w:tcPr>
            <w:tcW w:w="3800" w:type="pct"/>
          </w:tcPr>
          <w:p w14:paraId="350F74D6" w14:textId="5C8BF4E9"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Pharmacokinetic(s)</w:t>
            </w:r>
          </w:p>
        </w:tc>
      </w:tr>
      <w:tr w:rsidR="00570385" w:rsidRPr="00C87979" w14:paraId="423993B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AC4DC6D" w14:textId="35E4F0AE" w:rsidR="00570385" w:rsidRPr="009156B9" w:rsidRDefault="00570385" w:rsidP="00570385">
            <w:pPr>
              <w:rPr>
                <w:rFonts w:eastAsia="Times New Roman"/>
                <w:szCs w:val="22"/>
              </w:rPr>
            </w:pPr>
            <w:proofErr w:type="spellStart"/>
            <w:r w:rsidRPr="009156B9">
              <w:rPr>
                <w:rFonts w:eastAsia="Times New Roman"/>
                <w:szCs w:val="22"/>
              </w:rPr>
              <w:t>popPK</w:t>
            </w:r>
            <w:proofErr w:type="spellEnd"/>
          </w:p>
        </w:tc>
        <w:tc>
          <w:tcPr>
            <w:tcW w:w="3800" w:type="pct"/>
          </w:tcPr>
          <w:p w14:paraId="0D48F05B" w14:textId="2AF22033"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Population Pharmacokinetics</w:t>
            </w:r>
          </w:p>
        </w:tc>
      </w:tr>
      <w:tr w:rsidR="00570385" w:rsidRPr="00C87979" w14:paraId="5973602F"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BD61D5E" w14:textId="3A3DD4E0" w:rsidR="00570385" w:rsidRPr="009156B9" w:rsidRDefault="00570385" w:rsidP="00570385">
            <w:pPr>
              <w:rPr>
                <w:rFonts w:eastAsia="Times New Roman"/>
                <w:szCs w:val="22"/>
              </w:rPr>
            </w:pPr>
            <w:proofErr w:type="spellStart"/>
            <w:r w:rsidRPr="009156B9">
              <w:rPr>
                <w:rFonts w:eastAsia="Times New Roman"/>
                <w:szCs w:val="22"/>
              </w:rPr>
              <w:t>PPARδ</w:t>
            </w:r>
            <w:proofErr w:type="spellEnd"/>
          </w:p>
        </w:tc>
        <w:tc>
          <w:tcPr>
            <w:tcW w:w="3800" w:type="pct"/>
          </w:tcPr>
          <w:p w14:paraId="103196D0" w14:textId="711C5B21"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Peroxisome Proliferator-Activated Receptor δ</w:t>
            </w:r>
          </w:p>
        </w:tc>
      </w:tr>
      <w:tr w:rsidR="00570385" w:rsidRPr="00C87979" w14:paraId="4047E46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D152914" w14:textId="211219F6" w:rsidR="00570385" w:rsidRPr="009156B9" w:rsidRDefault="00570385" w:rsidP="00570385">
            <w:pPr>
              <w:rPr>
                <w:rFonts w:eastAsia="Times New Roman"/>
                <w:szCs w:val="22"/>
              </w:rPr>
            </w:pPr>
            <w:r w:rsidRPr="009156B9">
              <w:rPr>
                <w:rFonts w:eastAsia="Times New Roman"/>
                <w:szCs w:val="22"/>
              </w:rPr>
              <w:t>PPI</w:t>
            </w:r>
          </w:p>
        </w:tc>
        <w:tc>
          <w:tcPr>
            <w:tcW w:w="3800" w:type="pct"/>
          </w:tcPr>
          <w:p w14:paraId="7FD5987D" w14:textId="4E7AC457"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Proton Pump Inhibitors</w:t>
            </w:r>
          </w:p>
        </w:tc>
      </w:tr>
      <w:tr w:rsidR="00570385" w:rsidRPr="00C87979" w14:paraId="42167CE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F7EBB58" w14:textId="73C23947" w:rsidR="00570385" w:rsidRPr="009156B9" w:rsidRDefault="00570385" w:rsidP="00570385">
            <w:pPr>
              <w:rPr>
                <w:rFonts w:eastAsia="Times New Roman"/>
                <w:szCs w:val="22"/>
              </w:rPr>
            </w:pPr>
            <w:r w:rsidRPr="009156B9">
              <w:rPr>
                <w:rFonts w:eastAsia="Times New Roman"/>
                <w:szCs w:val="22"/>
              </w:rPr>
              <w:t>PR</w:t>
            </w:r>
          </w:p>
        </w:tc>
        <w:tc>
          <w:tcPr>
            <w:tcW w:w="3800" w:type="pct"/>
          </w:tcPr>
          <w:p w14:paraId="7BE60338" w14:textId="7D1C3BB2"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Interval of Atrial Depolarisation</w:t>
            </w:r>
          </w:p>
        </w:tc>
      </w:tr>
      <w:tr w:rsidR="00570385" w:rsidRPr="00C87979" w14:paraId="2D697C9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1E3912C" w14:textId="42DE17E8" w:rsidR="00570385" w:rsidRPr="009156B9" w:rsidRDefault="00570385" w:rsidP="00570385">
            <w:pPr>
              <w:rPr>
                <w:rFonts w:eastAsia="Times New Roman"/>
                <w:szCs w:val="22"/>
              </w:rPr>
            </w:pPr>
            <w:r w:rsidRPr="009156B9">
              <w:rPr>
                <w:rFonts w:eastAsia="Times New Roman"/>
                <w:szCs w:val="22"/>
              </w:rPr>
              <w:t>PRC</w:t>
            </w:r>
          </w:p>
        </w:tc>
        <w:tc>
          <w:tcPr>
            <w:tcW w:w="3800" w:type="pct"/>
          </w:tcPr>
          <w:p w14:paraId="024508A6" w14:textId="5D4808B4"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Pathology Review Committee</w:t>
            </w:r>
          </w:p>
        </w:tc>
      </w:tr>
      <w:tr w:rsidR="00570385" w:rsidRPr="00C87979" w14:paraId="1918B73F"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9C37B61" w14:textId="643AAC66" w:rsidR="00570385" w:rsidRPr="009156B9" w:rsidRDefault="00570385" w:rsidP="00570385">
            <w:pPr>
              <w:rPr>
                <w:rFonts w:eastAsia="Times New Roman"/>
                <w:szCs w:val="22"/>
              </w:rPr>
            </w:pPr>
            <w:r w:rsidRPr="009156B9">
              <w:rPr>
                <w:rFonts w:eastAsia="Times New Roman"/>
                <w:szCs w:val="22"/>
              </w:rPr>
              <w:t>PRIME</w:t>
            </w:r>
          </w:p>
        </w:tc>
        <w:tc>
          <w:tcPr>
            <w:tcW w:w="3800" w:type="pct"/>
          </w:tcPr>
          <w:p w14:paraId="3B6126C2" w14:textId="39F4ADF4"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Priority Medicines</w:t>
            </w:r>
          </w:p>
        </w:tc>
      </w:tr>
      <w:tr w:rsidR="00570385" w:rsidRPr="00C87979" w14:paraId="030096F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DC136FA" w14:textId="48AD1C0F" w:rsidR="00570385" w:rsidRPr="009156B9" w:rsidRDefault="00570385" w:rsidP="00570385">
            <w:pPr>
              <w:rPr>
                <w:rFonts w:eastAsia="Times New Roman"/>
                <w:szCs w:val="22"/>
              </w:rPr>
            </w:pPr>
            <w:r w:rsidRPr="009156B9">
              <w:rPr>
                <w:rFonts w:eastAsia="Times New Roman"/>
                <w:szCs w:val="22"/>
              </w:rPr>
              <w:t>PRS</w:t>
            </w:r>
          </w:p>
        </w:tc>
        <w:tc>
          <w:tcPr>
            <w:tcW w:w="3800" w:type="pct"/>
          </w:tcPr>
          <w:p w14:paraId="58670390" w14:textId="341A557A"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Pathology Review Subcommittee</w:t>
            </w:r>
          </w:p>
        </w:tc>
      </w:tr>
      <w:tr w:rsidR="00570385" w:rsidRPr="00C87979" w14:paraId="50072CB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BA50E46" w14:textId="3E4C09DB" w:rsidR="00570385" w:rsidRPr="009156B9" w:rsidRDefault="00570385" w:rsidP="00570385">
            <w:pPr>
              <w:rPr>
                <w:rFonts w:eastAsia="Times New Roman"/>
                <w:szCs w:val="22"/>
              </w:rPr>
            </w:pPr>
            <w:r w:rsidRPr="009156B9">
              <w:rPr>
                <w:rFonts w:eastAsia="Times New Roman"/>
                <w:szCs w:val="22"/>
              </w:rPr>
              <w:t>PT</w:t>
            </w:r>
          </w:p>
        </w:tc>
        <w:tc>
          <w:tcPr>
            <w:tcW w:w="3800" w:type="pct"/>
          </w:tcPr>
          <w:p w14:paraId="06218C11" w14:textId="0622DD12"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Preferred Term</w:t>
            </w:r>
          </w:p>
        </w:tc>
      </w:tr>
      <w:tr w:rsidR="00570385" w:rsidRPr="00C87979" w14:paraId="0BF675E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9D4C948" w14:textId="0914B6CB" w:rsidR="00570385" w:rsidRPr="009156B9" w:rsidRDefault="00570385" w:rsidP="00570385">
            <w:pPr>
              <w:rPr>
                <w:rFonts w:eastAsia="Times New Roman"/>
                <w:szCs w:val="22"/>
              </w:rPr>
            </w:pPr>
            <w:r w:rsidRPr="009156B9">
              <w:rPr>
                <w:rFonts w:eastAsia="Times New Roman"/>
                <w:szCs w:val="22"/>
              </w:rPr>
              <w:t>QD</w:t>
            </w:r>
          </w:p>
        </w:tc>
        <w:tc>
          <w:tcPr>
            <w:tcW w:w="3800" w:type="pct"/>
          </w:tcPr>
          <w:p w14:paraId="533AA5C6" w14:textId="7AB547DC"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proofErr w:type="spellStart"/>
            <w:r w:rsidRPr="009156B9">
              <w:rPr>
                <w:rFonts w:eastAsia="Times New Roman"/>
                <w:szCs w:val="22"/>
              </w:rPr>
              <w:t>Quaque</w:t>
            </w:r>
            <w:proofErr w:type="spellEnd"/>
            <w:r w:rsidRPr="009156B9">
              <w:rPr>
                <w:rFonts w:eastAsia="Times New Roman"/>
                <w:szCs w:val="22"/>
              </w:rPr>
              <w:t xml:space="preserve"> Die, Once a Day</w:t>
            </w:r>
          </w:p>
        </w:tc>
      </w:tr>
      <w:tr w:rsidR="00570385" w:rsidRPr="00C87979" w14:paraId="4E985B3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9DB7282" w14:textId="45F0BC87" w:rsidR="00570385" w:rsidRPr="009156B9" w:rsidRDefault="00570385" w:rsidP="00570385">
            <w:pPr>
              <w:rPr>
                <w:rFonts w:eastAsia="Times New Roman"/>
                <w:szCs w:val="22"/>
              </w:rPr>
            </w:pPr>
            <w:r w:rsidRPr="009156B9">
              <w:rPr>
                <w:rFonts w:eastAsia="Times New Roman"/>
                <w:szCs w:val="22"/>
              </w:rPr>
              <w:t>QoL</w:t>
            </w:r>
          </w:p>
        </w:tc>
        <w:tc>
          <w:tcPr>
            <w:tcW w:w="3800" w:type="pct"/>
          </w:tcPr>
          <w:p w14:paraId="02C4AFC9" w14:textId="3F7D6C92"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Quality of Life</w:t>
            </w:r>
          </w:p>
        </w:tc>
      </w:tr>
      <w:tr w:rsidR="00570385" w:rsidRPr="00C87979" w14:paraId="118163B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C178FA4" w14:textId="2BDB1649" w:rsidR="00570385" w:rsidRPr="009156B9" w:rsidRDefault="00570385" w:rsidP="00570385">
            <w:pPr>
              <w:rPr>
                <w:rFonts w:eastAsia="Times New Roman"/>
                <w:szCs w:val="22"/>
              </w:rPr>
            </w:pPr>
            <w:r w:rsidRPr="009156B9">
              <w:rPr>
                <w:rFonts w:eastAsia="Times New Roman"/>
                <w:szCs w:val="22"/>
              </w:rPr>
              <w:t>QRS</w:t>
            </w:r>
          </w:p>
        </w:tc>
        <w:tc>
          <w:tcPr>
            <w:tcW w:w="3800" w:type="pct"/>
          </w:tcPr>
          <w:p w14:paraId="2EEE92C5" w14:textId="0EF2A7D8"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Interval of Ventricular Depolarisation</w:t>
            </w:r>
          </w:p>
        </w:tc>
      </w:tr>
      <w:tr w:rsidR="00570385" w:rsidRPr="00C87979" w14:paraId="4C6D94C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9E70D66" w14:textId="22F19633" w:rsidR="00570385" w:rsidRPr="009156B9" w:rsidRDefault="00570385" w:rsidP="00570385">
            <w:pPr>
              <w:rPr>
                <w:rFonts w:eastAsia="Times New Roman"/>
                <w:szCs w:val="22"/>
              </w:rPr>
            </w:pPr>
            <w:r w:rsidRPr="009156B9">
              <w:rPr>
                <w:rFonts w:eastAsia="Times New Roman"/>
                <w:szCs w:val="22"/>
              </w:rPr>
              <w:t>QT</w:t>
            </w:r>
          </w:p>
        </w:tc>
        <w:tc>
          <w:tcPr>
            <w:tcW w:w="3800" w:type="pct"/>
          </w:tcPr>
          <w:p w14:paraId="1FF9C7AA" w14:textId="291BD854"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Interval of Ventricular Depolarisation and Ventricular Repolarisation</w:t>
            </w:r>
          </w:p>
        </w:tc>
      </w:tr>
      <w:tr w:rsidR="00570385" w:rsidRPr="00C87979" w14:paraId="5759EA0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7F9E7E8" w14:textId="2F740322" w:rsidR="00570385" w:rsidRPr="009156B9" w:rsidRDefault="00570385" w:rsidP="00570385">
            <w:pPr>
              <w:rPr>
                <w:rFonts w:eastAsia="Times New Roman"/>
                <w:szCs w:val="22"/>
              </w:rPr>
            </w:pPr>
            <w:proofErr w:type="spellStart"/>
            <w:r w:rsidRPr="009156B9">
              <w:rPr>
                <w:rFonts w:eastAsia="Times New Roman"/>
                <w:szCs w:val="22"/>
              </w:rPr>
              <w:t>QTcF</w:t>
            </w:r>
            <w:proofErr w:type="spellEnd"/>
          </w:p>
        </w:tc>
        <w:tc>
          <w:tcPr>
            <w:tcW w:w="3800" w:type="pct"/>
          </w:tcPr>
          <w:p w14:paraId="094280F5" w14:textId="10A8FB1B"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Corrected QT Interval Calculated by Fridericia's Formula</w:t>
            </w:r>
          </w:p>
        </w:tc>
      </w:tr>
      <w:tr w:rsidR="00570385" w:rsidRPr="00C87979" w14:paraId="71CE50F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C00CB70" w14:textId="1304A0FF" w:rsidR="00570385" w:rsidRPr="009156B9" w:rsidRDefault="00570385" w:rsidP="00570385">
            <w:pPr>
              <w:rPr>
                <w:rFonts w:eastAsia="Times New Roman"/>
                <w:szCs w:val="22"/>
              </w:rPr>
            </w:pPr>
            <w:r w:rsidRPr="009156B9">
              <w:rPr>
                <w:rFonts w:eastAsia="Times New Roman"/>
                <w:szCs w:val="22"/>
              </w:rPr>
              <w:t>SAE</w:t>
            </w:r>
          </w:p>
        </w:tc>
        <w:tc>
          <w:tcPr>
            <w:tcW w:w="3800" w:type="pct"/>
          </w:tcPr>
          <w:p w14:paraId="35895D55" w14:textId="33A10FF5"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Serious Adverse Event</w:t>
            </w:r>
          </w:p>
        </w:tc>
      </w:tr>
      <w:tr w:rsidR="00570385" w:rsidRPr="00C87979" w14:paraId="38C3C04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B6085FB" w14:textId="48B4F4E8" w:rsidR="00570385" w:rsidRPr="009156B9" w:rsidRDefault="00570385" w:rsidP="00570385">
            <w:pPr>
              <w:rPr>
                <w:rFonts w:eastAsia="Times New Roman"/>
                <w:szCs w:val="22"/>
              </w:rPr>
            </w:pPr>
            <w:r w:rsidRPr="009156B9">
              <w:rPr>
                <w:rFonts w:eastAsia="Times New Roman"/>
                <w:szCs w:val="22"/>
              </w:rPr>
              <w:t>SAP</w:t>
            </w:r>
          </w:p>
        </w:tc>
        <w:tc>
          <w:tcPr>
            <w:tcW w:w="3800" w:type="pct"/>
          </w:tcPr>
          <w:p w14:paraId="2100DA4F" w14:textId="61244531"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Statistical Analysis Plan</w:t>
            </w:r>
          </w:p>
        </w:tc>
      </w:tr>
      <w:tr w:rsidR="00570385" w:rsidRPr="009156B9" w14:paraId="54F186B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A509686" w14:textId="50CADD7F" w:rsidR="00570385" w:rsidRPr="009156B9" w:rsidRDefault="00570385" w:rsidP="00570385">
            <w:pPr>
              <w:rPr>
                <w:rFonts w:eastAsia="Times New Roman"/>
                <w:szCs w:val="22"/>
              </w:rPr>
            </w:pPr>
            <w:r w:rsidRPr="009156B9">
              <w:rPr>
                <w:rFonts w:eastAsia="Times New Roman"/>
                <w:szCs w:val="22"/>
              </w:rPr>
              <w:t>SD</w:t>
            </w:r>
          </w:p>
        </w:tc>
        <w:tc>
          <w:tcPr>
            <w:tcW w:w="3800" w:type="pct"/>
          </w:tcPr>
          <w:p w14:paraId="50AB4136" w14:textId="11A02D01"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Standard Deviation</w:t>
            </w:r>
          </w:p>
        </w:tc>
      </w:tr>
      <w:tr w:rsidR="00570385" w:rsidRPr="009156B9" w14:paraId="20E8735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CFBD7F5" w14:textId="109C8614" w:rsidR="00570385" w:rsidRPr="009156B9" w:rsidRDefault="00570385" w:rsidP="00570385">
            <w:pPr>
              <w:rPr>
                <w:rFonts w:eastAsia="Times New Roman"/>
                <w:szCs w:val="22"/>
              </w:rPr>
            </w:pPr>
            <w:r w:rsidRPr="009156B9">
              <w:rPr>
                <w:rFonts w:eastAsia="Times New Roman"/>
                <w:szCs w:val="22"/>
              </w:rPr>
              <w:lastRenderedPageBreak/>
              <w:t>SE</w:t>
            </w:r>
          </w:p>
        </w:tc>
        <w:tc>
          <w:tcPr>
            <w:tcW w:w="3800" w:type="pct"/>
          </w:tcPr>
          <w:p w14:paraId="7498B1C3" w14:textId="5FD061B7"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Standard Error</w:t>
            </w:r>
          </w:p>
        </w:tc>
      </w:tr>
      <w:tr w:rsidR="00570385" w:rsidRPr="009156B9" w14:paraId="44A672B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04DA1F2" w14:textId="408A9CCF" w:rsidR="00570385" w:rsidRPr="009156B9" w:rsidRDefault="00570385" w:rsidP="00570385">
            <w:pPr>
              <w:rPr>
                <w:rFonts w:eastAsia="Times New Roman"/>
                <w:szCs w:val="22"/>
              </w:rPr>
            </w:pPr>
            <w:r w:rsidRPr="009156B9">
              <w:rPr>
                <w:rFonts w:eastAsia="Times New Roman"/>
                <w:szCs w:val="22"/>
              </w:rPr>
              <w:t>SHRC</w:t>
            </w:r>
          </w:p>
        </w:tc>
        <w:tc>
          <w:tcPr>
            <w:tcW w:w="3800" w:type="pct"/>
          </w:tcPr>
          <w:p w14:paraId="4D4AAB9D" w14:textId="20AE86FF"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proofErr w:type="spellStart"/>
            <w:r w:rsidRPr="009156B9">
              <w:rPr>
                <w:rFonts w:eastAsia="Times New Roman"/>
                <w:szCs w:val="22"/>
              </w:rPr>
              <w:t>Seladelpar</w:t>
            </w:r>
            <w:proofErr w:type="spellEnd"/>
            <w:r w:rsidRPr="009156B9">
              <w:rPr>
                <w:rFonts w:eastAsia="Times New Roman"/>
                <w:szCs w:val="22"/>
              </w:rPr>
              <w:t xml:space="preserve"> Hepatotoxicity Review Committee</w:t>
            </w:r>
          </w:p>
        </w:tc>
      </w:tr>
      <w:tr w:rsidR="00570385" w:rsidRPr="009156B9" w14:paraId="1247E85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55AD7D9" w14:textId="6BA833E1" w:rsidR="00570385" w:rsidRPr="009156B9" w:rsidRDefault="00570385" w:rsidP="00570385">
            <w:pPr>
              <w:rPr>
                <w:rFonts w:eastAsia="Times New Roman"/>
                <w:szCs w:val="22"/>
              </w:rPr>
            </w:pPr>
            <w:r w:rsidRPr="009156B9">
              <w:rPr>
                <w:rFonts w:eastAsia="Times New Roman"/>
                <w:szCs w:val="22"/>
              </w:rPr>
              <w:t>SmPC</w:t>
            </w:r>
          </w:p>
        </w:tc>
        <w:tc>
          <w:tcPr>
            <w:tcW w:w="3800" w:type="pct"/>
          </w:tcPr>
          <w:p w14:paraId="791769EF" w14:textId="2EDB3161"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Summary of Product Characteristics</w:t>
            </w:r>
          </w:p>
        </w:tc>
      </w:tr>
      <w:tr w:rsidR="00570385" w:rsidRPr="009156B9" w14:paraId="165096C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DDCDD63" w14:textId="2CB5A7A3" w:rsidR="00570385" w:rsidRPr="009156B9" w:rsidRDefault="00570385" w:rsidP="00570385">
            <w:pPr>
              <w:rPr>
                <w:rFonts w:eastAsia="Times New Roman"/>
                <w:szCs w:val="22"/>
              </w:rPr>
            </w:pPr>
            <w:r w:rsidRPr="009156B9">
              <w:rPr>
                <w:rFonts w:eastAsia="Times New Roman"/>
                <w:szCs w:val="22"/>
              </w:rPr>
              <w:t>SMQ</w:t>
            </w:r>
          </w:p>
        </w:tc>
        <w:tc>
          <w:tcPr>
            <w:tcW w:w="3800" w:type="pct"/>
          </w:tcPr>
          <w:p w14:paraId="5D260311" w14:textId="4FECF367"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Standardised MedDRA Queries</w:t>
            </w:r>
          </w:p>
        </w:tc>
      </w:tr>
      <w:tr w:rsidR="00D01DB2" w:rsidRPr="009156B9" w14:paraId="1B64CB9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D5C69C7" w14:textId="68B65FAC" w:rsidR="00D01DB2" w:rsidRPr="009156B9" w:rsidRDefault="00D01DB2" w:rsidP="00570385">
            <w:pPr>
              <w:rPr>
                <w:rFonts w:eastAsia="Times New Roman"/>
                <w:szCs w:val="22"/>
              </w:rPr>
            </w:pPr>
            <w:r>
              <w:rPr>
                <w:rFonts w:eastAsia="Times New Roman"/>
                <w:szCs w:val="22"/>
              </w:rPr>
              <w:t>SOC</w:t>
            </w:r>
          </w:p>
        </w:tc>
        <w:tc>
          <w:tcPr>
            <w:tcW w:w="3800" w:type="pct"/>
          </w:tcPr>
          <w:p w14:paraId="6D52C537" w14:textId="273F4D04" w:rsidR="00D01DB2" w:rsidRPr="009156B9" w:rsidRDefault="00D01DB2"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t>System Organ Class</w:t>
            </w:r>
          </w:p>
        </w:tc>
      </w:tr>
      <w:tr w:rsidR="00570385" w:rsidRPr="009156B9" w14:paraId="082F084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7D08985" w14:textId="0F5D8E65" w:rsidR="00570385" w:rsidRPr="009156B9" w:rsidRDefault="00570385" w:rsidP="00570385">
            <w:pPr>
              <w:rPr>
                <w:rFonts w:eastAsia="Times New Roman"/>
                <w:szCs w:val="22"/>
              </w:rPr>
            </w:pPr>
            <w:r w:rsidRPr="009156B9">
              <w:rPr>
                <w:rFonts w:eastAsia="Times New Roman"/>
                <w:szCs w:val="22"/>
              </w:rPr>
              <w:t>TEAE</w:t>
            </w:r>
          </w:p>
        </w:tc>
        <w:tc>
          <w:tcPr>
            <w:tcW w:w="3800" w:type="pct"/>
          </w:tcPr>
          <w:p w14:paraId="4638B2C5" w14:textId="132C832C"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Treatment-Emergent Adverse Event</w:t>
            </w:r>
          </w:p>
        </w:tc>
      </w:tr>
      <w:tr w:rsidR="00570385" w:rsidRPr="009156B9" w14:paraId="7FCAC8F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A821EB1" w14:textId="218C61C2" w:rsidR="00570385" w:rsidRPr="009156B9" w:rsidRDefault="00570385" w:rsidP="00570385">
            <w:pPr>
              <w:rPr>
                <w:rFonts w:eastAsia="Times New Roman"/>
                <w:szCs w:val="22"/>
              </w:rPr>
            </w:pPr>
            <w:proofErr w:type="spellStart"/>
            <w:r w:rsidRPr="009156B9">
              <w:rPr>
                <w:rFonts w:eastAsia="Times New Roman"/>
                <w:szCs w:val="22"/>
              </w:rPr>
              <w:t>Tmax</w:t>
            </w:r>
            <w:proofErr w:type="spellEnd"/>
          </w:p>
        </w:tc>
        <w:tc>
          <w:tcPr>
            <w:tcW w:w="3800" w:type="pct"/>
          </w:tcPr>
          <w:p w14:paraId="3CE03129" w14:textId="218F019B"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Time to Reach the Maximum Plasma Concentration</w:t>
            </w:r>
          </w:p>
        </w:tc>
      </w:tr>
      <w:tr w:rsidR="00570385" w:rsidRPr="009156B9" w14:paraId="5399EC5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C0546B7" w14:textId="530BE313" w:rsidR="00570385" w:rsidRPr="009156B9" w:rsidRDefault="00570385" w:rsidP="00570385">
            <w:pPr>
              <w:rPr>
                <w:rFonts w:eastAsia="Times New Roman"/>
                <w:szCs w:val="22"/>
              </w:rPr>
            </w:pPr>
            <w:r w:rsidRPr="009156B9">
              <w:rPr>
                <w:rFonts w:eastAsia="Times New Roman"/>
                <w:szCs w:val="22"/>
              </w:rPr>
              <w:t>TQT</w:t>
            </w:r>
          </w:p>
        </w:tc>
        <w:tc>
          <w:tcPr>
            <w:tcW w:w="3800" w:type="pct"/>
          </w:tcPr>
          <w:p w14:paraId="5176BF68" w14:textId="0A132F37"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Thorough QT/QTc</w:t>
            </w:r>
          </w:p>
        </w:tc>
      </w:tr>
      <w:tr w:rsidR="00570385" w:rsidRPr="009156B9" w14:paraId="060E361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1865B1D" w14:textId="6A3D4713" w:rsidR="00570385" w:rsidRPr="009156B9" w:rsidRDefault="00570385" w:rsidP="00570385">
            <w:pPr>
              <w:rPr>
                <w:rFonts w:eastAsia="Times New Roman"/>
                <w:szCs w:val="22"/>
              </w:rPr>
            </w:pPr>
            <w:r w:rsidRPr="009156B9">
              <w:rPr>
                <w:rFonts w:eastAsia="Times New Roman"/>
                <w:szCs w:val="22"/>
              </w:rPr>
              <w:t>UDCA</w:t>
            </w:r>
          </w:p>
        </w:tc>
        <w:tc>
          <w:tcPr>
            <w:tcW w:w="3800" w:type="pct"/>
          </w:tcPr>
          <w:p w14:paraId="5A623EC0" w14:textId="4BDC8B61"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Ursodeoxycholic Acid</w:t>
            </w:r>
          </w:p>
        </w:tc>
      </w:tr>
      <w:tr w:rsidR="00570385" w:rsidRPr="009156B9" w14:paraId="32AB76F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7932536" w14:textId="76FF2BC7" w:rsidR="00570385" w:rsidRPr="009156B9" w:rsidRDefault="00570385" w:rsidP="00570385">
            <w:pPr>
              <w:rPr>
                <w:rFonts w:eastAsia="Times New Roman"/>
                <w:szCs w:val="22"/>
              </w:rPr>
            </w:pPr>
            <w:r w:rsidRPr="009156B9">
              <w:rPr>
                <w:rFonts w:eastAsia="Times New Roman"/>
                <w:szCs w:val="22"/>
              </w:rPr>
              <w:t>ULN</w:t>
            </w:r>
          </w:p>
        </w:tc>
        <w:tc>
          <w:tcPr>
            <w:tcW w:w="3800" w:type="pct"/>
          </w:tcPr>
          <w:p w14:paraId="630785F8" w14:textId="363F79E3" w:rsidR="00570385" w:rsidRPr="009156B9" w:rsidRDefault="00570385" w:rsidP="00570385">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Upper Limit of Normal</w:t>
            </w:r>
          </w:p>
        </w:tc>
      </w:tr>
      <w:tr w:rsidR="00554B94" w:rsidRPr="009156B9" w14:paraId="7EFDE09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E834F97" w14:textId="58044311" w:rsidR="00554B94" w:rsidRPr="009156B9" w:rsidRDefault="00554B94" w:rsidP="00554B94">
            <w:pPr>
              <w:rPr>
                <w:rFonts w:eastAsia="Times New Roman"/>
                <w:szCs w:val="22"/>
              </w:rPr>
            </w:pPr>
            <w:r w:rsidRPr="009156B9">
              <w:rPr>
                <w:rFonts w:eastAsia="Times New Roman"/>
                <w:szCs w:val="22"/>
              </w:rPr>
              <w:t>US</w:t>
            </w:r>
          </w:p>
        </w:tc>
        <w:tc>
          <w:tcPr>
            <w:tcW w:w="3800" w:type="pct"/>
          </w:tcPr>
          <w:p w14:paraId="5E9115CA" w14:textId="368DC1A9" w:rsidR="00554B94" w:rsidRPr="009156B9" w:rsidRDefault="00554B94" w:rsidP="00554B94">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United States</w:t>
            </w:r>
          </w:p>
        </w:tc>
      </w:tr>
      <w:tr w:rsidR="00554B94" w:rsidRPr="009156B9" w14:paraId="089EC60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B169C20" w14:textId="774B4C1B" w:rsidR="00554B94" w:rsidRPr="009156B9" w:rsidRDefault="00554B94" w:rsidP="00554B94">
            <w:pPr>
              <w:rPr>
                <w:rFonts w:eastAsia="Times New Roman"/>
                <w:szCs w:val="22"/>
              </w:rPr>
            </w:pPr>
            <w:r w:rsidRPr="009156B9">
              <w:rPr>
                <w:rFonts w:eastAsia="Times New Roman"/>
                <w:szCs w:val="22"/>
              </w:rPr>
              <w:t>UTI</w:t>
            </w:r>
          </w:p>
        </w:tc>
        <w:tc>
          <w:tcPr>
            <w:tcW w:w="3800" w:type="pct"/>
          </w:tcPr>
          <w:p w14:paraId="6D704F4A" w14:textId="1EB38E3D" w:rsidR="00554B94" w:rsidRPr="009156B9" w:rsidRDefault="00554B94" w:rsidP="00554B94">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Urinary Tract Infection</w:t>
            </w:r>
          </w:p>
        </w:tc>
      </w:tr>
      <w:tr w:rsidR="00554B94" w:rsidRPr="009156B9" w14:paraId="26C7EDC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377DCF8" w14:textId="69647953" w:rsidR="00554B94" w:rsidRPr="009156B9" w:rsidRDefault="00554B94" w:rsidP="00554B94">
            <w:pPr>
              <w:rPr>
                <w:rFonts w:eastAsia="Times New Roman"/>
                <w:szCs w:val="22"/>
              </w:rPr>
            </w:pPr>
            <w:r w:rsidRPr="009156B9">
              <w:rPr>
                <w:rFonts w:eastAsia="Times New Roman"/>
                <w:szCs w:val="22"/>
              </w:rPr>
              <w:t>VAS</w:t>
            </w:r>
          </w:p>
        </w:tc>
        <w:tc>
          <w:tcPr>
            <w:tcW w:w="3800" w:type="pct"/>
          </w:tcPr>
          <w:p w14:paraId="086506F1" w14:textId="4E8F43B6" w:rsidR="00554B94" w:rsidRPr="009156B9" w:rsidRDefault="00554B94" w:rsidP="00554B94">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Visual Analogue Scale</w:t>
            </w:r>
          </w:p>
        </w:tc>
      </w:tr>
      <w:tr w:rsidR="00554B94" w:rsidRPr="009156B9" w14:paraId="6A0A456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B51A355" w14:textId="27159886" w:rsidR="00554B94" w:rsidRPr="009156B9" w:rsidRDefault="00554B94" w:rsidP="00554B94">
            <w:pPr>
              <w:rPr>
                <w:rFonts w:eastAsia="Times New Roman"/>
                <w:szCs w:val="22"/>
              </w:rPr>
            </w:pPr>
            <w:proofErr w:type="spellStart"/>
            <w:r w:rsidRPr="009156B9">
              <w:rPr>
                <w:rFonts w:eastAsia="Times New Roman"/>
                <w:szCs w:val="22"/>
              </w:rPr>
              <w:t>Vc</w:t>
            </w:r>
            <w:proofErr w:type="spellEnd"/>
          </w:p>
        </w:tc>
        <w:tc>
          <w:tcPr>
            <w:tcW w:w="3800" w:type="pct"/>
          </w:tcPr>
          <w:p w14:paraId="35F3EE50" w14:textId="02891C2F" w:rsidR="00554B94" w:rsidRPr="009156B9" w:rsidRDefault="00554B94" w:rsidP="00554B94">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9156B9">
              <w:rPr>
                <w:rFonts w:eastAsia="Times New Roman"/>
                <w:szCs w:val="22"/>
              </w:rPr>
              <w:t>Apparent Volume of Distribution</w:t>
            </w:r>
          </w:p>
        </w:tc>
      </w:tr>
    </w:tbl>
    <w:p w14:paraId="02FB1F38" w14:textId="77777777" w:rsidR="00324B33" w:rsidRPr="00FD119B" w:rsidRDefault="00324B33" w:rsidP="00473EF7">
      <w:r w:rsidRPr="00FD119B">
        <w:br w:type="page"/>
      </w:r>
    </w:p>
    <w:p w14:paraId="44C2A39C" w14:textId="77777777" w:rsidR="00324B33" w:rsidRDefault="00324B33" w:rsidP="00324B33">
      <w:pPr>
        <w:pStyle w:val="Heading2"/>
      </w:pPr>
      <w:bookmarkStart w:id="5" w:name="_Toc103679288"/>
      <w:bookmarkStart w:id="6" w:name="_Toc233197002"/>
      <w:r>
        <w:lastRenderedPageBreak/>
        <w:t>Product submission</w:t>
      </w:r>
      <w:bookmarkEnd w:id="5"/>
      <w:bookmarkEnd w:id="6"/>
    </w:p>
    <w:p w14:paraId="21D559DF" w14:textId="77777777" w:rsidR="00324B33" w:rsidRDefault="00324B33" w:rsidP="00324B33">
      <w:pPr>
        <w:pStyle w:val="Heading3"/>
        <w:rPr>
          <w:lang w:eastAsia="en-AU"/>
        </w:rPr>
      </w:pPr>
      <w:bookmarkStart w:id="7" w:name="_Toc247691502"/>
      <w:bookmarkStart w:id="8" w:name="_Toc314842483"/>
      <w:bookmarkStart w:id="9" w:name="_Toc103679289"/>
      <w:bookmarkStart w:id="10" w:name="_Toc233197003"/>
      <w:r>
        <w:rPr>
          <w:lang w:eastAsia="en-AU"/>
        </w:rPr>
        <w:t>Submission details</w:t>
      </w:r>
      <w:bookmarkEnd w:id="7"/>
      <w:bookmarkEnd w:id="8"/>
      <w:bookmarkEnd w:id="9"/>
      <w:bookmarkEnd w:id="10"/>
    </w:p>
    <w:tbl>
      <w:tblPr>
        <w:tblW w:w="5000" w:type="pct"/>
        <w:tblLook w:val="01E0" w:firstRow="1" w:lastRow="1" w:firstColumn="1" w:lastColumn="1" w:noHBand="0" w:noVBand="0"/>
      </w:tblPr>
      <w:tblGrid>
        <w:gridCol w:w="2861"/>
        <w:gridCol w:w="6211"/>
      </w:tblGrid>
      <w:tr w:rsidR="00324B33" w:rsidRPr="00BD5DBD" w14:paraId="77D11C95" w14:textId="77777777" w:rsidTr="00F865A7">
        <w:tc>
          <w:tcPr>
            <w:tcW w:w="1577" w:type="pct"/>
          </w:tcPr>
          <w:p w14:paraId="10E57D62" w14:textId="6C552D44" w:rsidR="00324B33" w:rsidRPr="00BD5DBD" w:rsidRDefault="00324B33" w:rsidP="007452E8">
            <w:pPr>
              <w:rPr>
                <w:i/>
                <w:szCs w:val="22"/>
              </w:rPr>
            </w:pPr>
            <w:r w:rsidRPr="00BD5DBD">
              <w:rPr>
                <w:i/>
                <w:szCs w:val="22"/>
              </w:rPr>
              <w:t>Type of submission:</w:t>
            </w:r>
          </w:p>
        </w:tc>
        <w:tc>
          <w:tcPr>
            <w:tcW w:w="3423" w:type="pct"/>
          </w:tcPr>
          <w:p w14:paraId="4F07C303" w14:textId="5DA3D7B0" w:rsidR="00324B33" w:rsidRPr="00BD5DBD" w:rsidRDefault="00324B33" w:rsidP="007452E8">
            <w:pPr>
              <w:rPr>
                <w:szCs w:val="22"/>
              </w:rPr>
            </w:pPr>
            <w:r w:rsidRPr="00BD5DBD">
              <w:rPr>
                <w:szCs w:val="22"/>
              </w:rPr>
              <w:t>New chemical entity</w:t>
            </w:r>
          </w:p>
        </w:tc>
      </w:tr>
      <w:tr w:rsidR="00324B33" w:rsidRPr="00BD5DBD" w14:paraId="13482B61" w14:textId="77777777" w:rsidTr="00F865A7">
        <w:tc>
          <w:tcPr>
            <w:tcW w:w="1577" w:type="pct"/>
          </w:tcPr>
          <w:p w14:paraId="2C427FCF" w14:textId="5DCC1814" w:rsidR="00324B33" w:rsidRPr="00BD5DBD" w:rsidRDefault="00324B33" w:rsidP="007452E8">
            <w:pPr>
              <w:rPr>
                <w:i/>
                <w:szCs w:val="22"/>
              </w:rPr>
            </w:pPr>
            <w:r w:rsidRPr="00BD5DBD">
              <w:rPr>
                <w:i/>
                <w:szCs w:val="22"/>
              </w:rPr>
              <w:t>Product name:</w:t>
            </w:r>
          </w:p>
        </w:tc>
        <w:tc>
          <w:tcPr>
            <w:tcW w:w="3423" w:type="pct"/>
          </w:tcPr>
          <w:p w14:paraId="0E2DEF76" w14:textId="29DDD839" w:rsidR="00324B33" w:rsidRPr="00BD5DBD" w:rsidRDefault="00CE571D" w:rsidP="007452E8">
            <w:pPr>
              <w:rPr>
                <w:szCs w:val="22"/>
              </w:rPr>
            </w:pPr>
            <w:proofErr w:type="spellStart"/>
            <w:r w:rsidRPr="00CE571D">
              <w:rPr>
                <w:szCs w:val="22"/>
              </w:rPr>
              <w:t>L</w:t>
            </w:r>
            <w:r w:rsidR="0098347F">
              <w:rPr>
                <w:szCs w:val="22"/>
              </w:rPr>
              <w:t>ivdelzi</w:t>
            </w:r>
            <w:proofErr w:type="spellEnd"/>
            <w:r w:rsidRPr="00CE571D">
              <w:rPr>
                <w:szCs w:val="22"/>
              </w:rPr>
              <w:t xml:space="preserve"> </w:t>
            </w:r>
            <w:proofErr w:type="spellStart"/>
            <w:r w:rsidRPr="00CE571D">
              <w:rPr>
                <w:szCs w:val="22"/>
              </w:rPr>
              <w:t>seladelpar</w:t>
            </w:r>
            <w:proofErr w:type="spellEnd"/>
            <w:r w:rsidRPr="00CE571D">
              <w:rPr>
                <w:szCs w:val="22"/>
              </w:rPr>
              <w:t xml:space="preserve"> 10 mg capsule bottle</w:t>
            </w:r>
          </w:p>
        </w:tc>
      </w:tr>
      <w:tr w:rsidR="00324B33" w:rsidRPr="00BD5DBD" w14:paraId="01255B5B" w14:textId="77777777" w:rsidTr="00F865A7">
        <w:tc>
          <w:tcPr>
            <w:tcW w:w="1577" w:type="pct"/>
          </w:tcPr>
          <w:p w14:paraId="52B4F3D7" w14:textId="7A5D55B1" w:rsidR="00324B33" w:rsidRPr="00BD5DBD" w:rsidRDefault="00324B33" w:rsidP="007452E8">
            <w:pPr>
              <w:rPr>
                <w:i/>
                <w:szCs w:val="22"/>
              </w:rPr>
            </w:pPr>
            <w:r w:rsidRPr="00BD5DBD">
              <w:rPr>
                <w:i/>
                <w:szCs w:val="22"/>
              </w:rPr>
              <w:t>Active ingredient:</w:t>
            </w:r>
          </w:p>
        </w:tc>
        <w:tc>
          <w:tcPr>
            <w:tcW w:w="3423" w:type="pct"/>
          </w:tcPr>
          <w:p w14:paraId="02FB6383" w14:textId="098D1AE8" w:rsidR="00324B33" w:rsidRPr="00BD5DBD" w:rsidRDefault="007971CA" w:rsidP="007452E8">
            <w:pPr>
              <w:rPr>
                <w:szCs w:val="22"/>
              </w:rPr>
            </w:pPr>
            <w:proofErr w:type="spellStart"/>
            <w:r>
              <w:rPr>
                <w:szCs w:val="22"/>
              </w:rPr>
              <w:t>S</w:t>
            </w:r>
            <w:r w:rsidRPr="007971CA">
              <w:rPr>
                <w:szCs w:val="22"/>
              </w:rPr>
              <w:t>eladelpar</w:t>
            </w:r>
            <w:proofErr w:type="spellEnd"/>
            <w:r w:rsidRPr="007971CA">
              <w:rPr>
                <w:szCs w:val="22"/>
              </w:rPr>
              <w:t xml:space="preserve"> lysine</w:t>
            </w:r>
          </w:p>
        </w:tc>
      </w:tr>
      <w:tr w:rsidR="00324B33" w:rsidRPr="00BD5DBD" w14:paraId="219A281B" w14:textId="77777777" w:rsidTr="00F865A7">
        <w:tc>
          <w:tcPr>
            <w:tcW w:w="1577" w:type="pct"/>
          </w:tcPr>
          <w:p w14:paraId="112E5F78" w14:textId="77777777" w:rsidR="00324B33" w:rsidRPr="00BD5DBD" w:rsidRDefault="00324B33" w:rsidP="007452E8">
            <w:pPr>
              <w:rPr>
                <w:i/>
                <w:szCs w:val="22"/>
              </w:rPr>
            </w:pPr>
            <w:r w:rsidRPr="00BD5DBD">
              <w:rPr>
                <w:i/>
                <w:szCs w:val="22"/>
              </w:rPr>
              <w:t>Decision:</w:t>
            </w:r>
          </w:p>
        </w:tc>
        <w:tc>
          <w:tcPr>
            <w:tcW w:w="3423" w:type="pct"/>
          </w:tcPr>
          <w:p w14:paraId="3B114BEA" w14:textId="7196506E" w:rsidR="00324B33" w:rsidRPr="00BD5DBD" w:rsidRDefault="00324B33" w:rsidP="007452E8">
            <w:pPr>
              <w:rPr>
                <w:szCs w:val="22"/>
              </w:rPr>
            </w:pPr>
            <w:r w:rsidRPr="00BD5DBD">
              <w:rPr>
                <w:szCs w:val="22"/>
              </w:rPr>
              <w:t>Approved</w:t>
            </w:r>
          </w:p>
        </w:tc>
      </w:tr>
      <w:tr w:rsidR="00AE1947" w:rsidRPr="00BD5DBD" w14:paraId="32B72632" w14:textId="77777777" w:rsidTr="00F865A7">
        <w:tc>
          <w:tcPr>
            <w:tcW w:w="1577" w:type="pct"/>
          </w:tcPr>
          <w:p w14:paraId="332A5CD5" w14:textId="65682B5F" w:rsidR="00AE1947" w:rsidRPr="00BD5DBD" w:rsidRDefault="00AE1947" w:rsidP="007F1E37">
            <w:r w:rsidRPr="00BD5DBD">
              <w:rPr>
                <w:i/>
                <w:szCs w:val="22"/>
              </w:rPr>
              <w:t>Date of decision:</w:t>
            </w:r>
          </w:p>
        </w:tc>
        <w:tc>
          <w:tcPr>
            <w:tcW w:w="3423" w:type="pct"/>
          </w:tcPr>
          <w:p w14:paraId="7B381CD6" w14:textId="2EC21ED2" w:rsidR="00AE1947" w:rsidRPr="00BD5DBD" w:rsidRDefault="00936F9A" w:rsidP="005675CA">
            <w:pPr>
              <w:rPr>
                <w:szCs w:val="22"/>
              </w:rPr>
            </w:pPr>
            <w:r>
              <w:rPr>
                <w:szCs w:val="22"/>
              </w:rPr>
              <w:t>22 January 2026</w:t>
            </w:r>
          </w:p>
        </w:tc>
      </w:tr>
      <w:tr w:rsidR="00324B33" w:rsidRPr="00BD5DBD" w14:paraId="60A25F5A" w14:textId="77777777" w:rsidTr="00F865A7">
        <w:tc>
          <w:tcPr>
            <w:tcW w:w="1577" w:type="pct"/>
          </w:tcPr>
          <w:p w14:paraId="5C5E4CBA" w14:textId="77095A4A" w:rsidR="00324B33" w:rsidRPr="00BD5DBD" w:rsidRDefault="00324B33" w:rsidP="007452E8">
            <w:pPr>
              <w:rPr>
                <w:i/>
                <w:szCs w:val="22"/>
              </w:rPr>
            </w:pPr>
            <w:r w:rsidRPr="00BD5DBD">
              <w:rPr>
                <w:i/>
                <w:szCs w:val="22"/>
              </w:rPr>
              <w:t xml:space="preserve">Date of entry </w:t>
            </w:r>
            <w:r w:rsidR="0095215B">
              <w:rPr>
                <w:i/>
                <w:szCs w:val="22"/>
              </w:rPr>
              <w:t>i</w:t>
            </w:r>
            <w:r w:rsidRPr="00BD5DBD">
              <w:rPr>
                <w:i/>
                <w:szCs w:val="22"/>
              </w:rPr>
              <w:t>nto ARTG:</w:t>
            </w:r>
          </w:p>
        </w:tc>
        <w:tc>
          <w:tcPr>
            <w:tcW w:w="3423" w:type="pct"/>
          </w:tcPr>
          <w:p w14:paraId="28B270E9" w14:textId="765128E2" w:rsidR="00324B33" w:rsidRPr="00BD5DBD" w:rsidRDefault="0095215B" w:rsidP="007452E8">
            <w:pPr>
              <w:rPr>
                <w:szCs w:val="22"/>
              </w:rPr>
            </w:pPr>
            <w:r>
              <w:rPr>
                <w:szCs w:val="22"/>
              </w:rPr>
              <w:t>28 January 2026</w:t>
            </w:r>
          </w:p>
        </w:tc>
      </w:tr>
      <w:tr w:rsidR="00324B33" w:rsidRPr="00BD5DBD" w14:paraId="547E08D7" w14:textId="77777777" w:rsidTr="00F865A7">
        <w:tc>
          <w:tcPr>
            <w:tcW w:w="1577" w:type="pct"/>
          </w:tcPr>
          <w:p w14:paraId="5030EF30" w14:textId="44906401" w:rsidR="00324B33" w:rsidRPr="00BD5DBD" w:rsidRDefault="00324B33" w:rsidP="007452E8">
            <w:pPr>
              <w:rPr>
                <w:i/>
                <w:szCs w:val="22"/>
              </w:rPr>
            </w:pPr>
            <w:r w:rsidRPr="00BD5DBD">
              <w:rPr>
                <w:i/>
                <w:szCs w:val="22"/>
              </w:rPr>
              <w:t>ARTG number:</w:t>
            </w:r>
          </w:p>
        </w:tc>
        <w:tc>
          <w:tcPr>
            <w:tcW w:w="3423" w:type="pct"/>
          </w:tcPr>
          <w:p w14:paraId="0054E912" w14:textId="3BB3AE0E" w:rsidR="00324B33" w:rsidRPr="00FC47A0" w:rsidRDefault="00FC47A0" w:rsidP="00FC47A0">
            <w:pPr>
              <w:rPr>
                <w:szCs w:val="22"/>
              </w:rPr>
            </w:pPr>
            <w:r w:rsidRPr="00FC47A0">
              <w:rPr>
                <w:szCs w:val="22"/>
              </w:rPr>
              <w:t>473285</w:t>
            </w:r>
          </w:p>
        </w:tc>
      </w:tr>
      <w:tr w:rsidR="00324B33" w:rsidRPr="00BD5DBD" w14:paraId="7618393F" w14:textId="77777777" w:rsidTr="00F865A7">
        <w:tc>
          <w:tcPr>
            <w:tcW w:w="1577" w:type="pct"/>
          </w:tcPr>
          <w:p w14:paraId="6C24CEB6" w14:textId="6A7FE944" w:rsidR="00E47E0C" w:rsidRPr="00BD5DBD" w:rsidRDefault="00324B33" w:rsidP="00221AFC">
            <w:pPr>
              <w:spacing w:after="0"/>
              <w:rPr>
                <w:rStyle w:val="Hyperlink"/>
                <w:i/>
                <w:szCs w:val="22"/>
              </w:rPr>
            </w:pPr>
            <w:r w:rsidRPr="00BD5DBD">
              <w:rPr>
                <w:rFonts w:ascii="Wingdings 3" w:hAnsi="Wingdings 3"/>
                <w:szCs w:val="22"/>
                <w:lang w:eastAsia="en-AU"/>
              </w:rPr>
              <w:t></w:t>
            </w:r>
            <w:hyperlink r:id="rId20" w:history="1">
              <w:r w:rsidRPr="00BD5DBD">
                <w:rPr>
                  <w:rStyle w:val="Hyperlink"/>
                  <w:i/>
                  <w:szCs w:val="22"/>
                </w:rPr>
                <w:t>Black Triangle Scheme</w:t>
              </w:r>
            </w:hyperlink>
          </w:p>
          <w:p w14:paraId="02260DE2" w14:textId="1FC334AE" w:rsidR="00324B33" w:rsidRPr="00BD5DBD" w:rsidRDefault="00E47E0C" w:rsidP="007452E8">
            <w:pPr>
              <w:rPr>
                <w:i/>
                <w:szCs w:val="22"/>
              </w:rPr>
            </w:pPr>
            <w:r w:rsidRPr="00BD5DBD">
              <w:rPr>
                <w:i/>
                <w:szCs w:val="22"/>
              </w:rPr>
              <w:t xml:space="preserve">for </w:t>
            </w:r>
            <w:r w:rsidR="007B04DE" w:rsidRPr="00BD5DBD">
              <w:rPr>
                <w:i/>
                <w:szCs w:val="22"/>
              </w:rPr>
              <w:t>the current</w:t>
            </w:r>
            <w:r w:rsidRPr="00BD5DBD">
              <w:rPr>
                <w:i/>
                <w:szCs w:val="22"/>
              </w:rPr>
              <w:t xml:space="preserve"> submission</w:t>
            </w:r>
            <w:r w:rsidR="00324B33" w:rsidRPr="00BD5DBD">
              <w:rPr>
                <w:i/>
                <w:szCs w:val="22"/>
              </w:rPr>
              <w:t>:</w:t>
            </w:r>
          </w:p>
        </w:tc>
        <w:tc>
          <w:tcPr>
            <w:tcW w:w="3423" w:type="pct"/>
          </w:tcPr>
          <w:p w14:paraId="6FF3C6A2" w14:textId="0EA36B4B" w:rsidR="00324B33" w:rsidRPr="00BD5DBD" w:rsidRDefault="00557B60" w:rsidP="007452E8">
            <w:pPr>
              <w:rPr>
                <w:szCs w:val="22"/>
              </w:rPr>
            </w:pPr>
            <w:r>
              <w:rPr>
                <w:szCs w:val="22"/>
              </w:rPr>
              <w:t>Yes</w:t>
            </w:r>
          </w:p>
        </w:tc>
      </w:tr>
      <w:tr w:rsidR="00324B33" w:rsidRPr="00BD5DBD" w14:paraId="179E09FE" w14:textId="77777777" w:rsidTr="00F865A7">
        <w:tc>
          <w:tcPr>
            <w:tcW w:w="1577" w:type="pct"/>
          </w:tcPr>
          <w:p w14:paraId="1A592498" w14:textId="77777777" w:rsidR="00324B33" w:rsidRPr="00BD5DBD" w:rsidRDefault="00324B33" w:rsidP="007452E8">
            <w:pPr>
              <w:rPr>
                <w:i/>
                <w:szCs w:val="22"/>
              </w:rPr>
            </w:pPr>
            <w:r w:rsidRPr="00BD5DBD">
              <w:rPr>
                <w:i/>
                <w:szCs w:val="22"/>
              </w:rPr>
              <w:t>Sponsor’s name and address:</w:t>
            </w:r>
          </w:p>
        </w:tc>
        <w:tc>
          <w:tcPr>
            <w:tcW w:w="3423" w:type="pct"/>
          </w:tcPr>
          <w:p w14:paraId="68DD94B0" w14:textId="483EFD01" w:rsidR="00324B33" w:rsidRPr="00BD5DBD" w:rsidRDefault="006E7355" w:rsidP="007452E8">
            <w:pPr>
              <w:rPr>
                <w:szCs w:val="22"/>
              </w:rPr>
            </w:pPr>
            <w:hyperlink r:id="rId21" w:history="1">
              <w:r w:rsidRPr="006E7355">
                <w:rPr>
                  <w:rStyle w:val="Hyperlink"/>
                  <w:szCs w:val="22"/>
                </w:rPr>
                <w:t>Gilead Sciences Pty Ltd</w:t>
              </w:r>
            </w:hyperlink>
          </w:p>
        </w:tc>
      </w:tr>
      <w:tr w:rsidR="00324B33" w:rsidRPr="00BD5DBD" w14:paraId="5322B989" w14:textId="77777777" w:rsidTr="00F865A7">
        <w:tc>
          <w:tcPr>
            <w:tcW w:w="1577" w:type="pct"/>
          </w:tcPr>
          <w:p w14:paraId="24F217E3" w14:textId="6B0D5425" w:rsidR="00324B33" w:rsidRPr="00BD5DBD" w:rsidRDefault="00324B33" w:rsidP="007452E8">
            <w:pPr>
              <w:rPr>
                <w:i/>
                <w:szCs w:val="22"/>
              </w:rPr>
            </w:pPr>
            <w:r w:rsidRPr="00BD5DBD">
              <w:rPr>
                <w:i/>
                <w:szCs w:val="22"/>
              </w:rPr>
              <w:t>Dose form:</w:t>
            </w:r>
          </w:p>
        </w:tc>
        <w:tc>
          <w:tcPr>
            <w:tcW w:w="3423" w:type="pct"/>
          </w:tcPr>
          <w:p w14:paraId="768B254C" w14:textId="3BDE9F1D" w:rsidR="00324B33" w:rsidRPr="00BD5DBD" w:rsidRDefault="005F3453" w:rsidP="007452E8">
            <w:pPr>
              <w:rPr>
                <w:szCs w:val="22"/>
              </w:rPr>
            </w:pPr>
            <w:r>
              <w:rPr>
                <w:szCs w:val="22"/>
              </w:rPr>
              <w:t>Capsule</w:t>
            </w:r>
          </w:p>
        </w:tc>
      </w:tr>
      <w:tr w:rsidR="00324B33" w:rsidRPr="00BD5DBD" w14:paraId="115243E6" w14:textId="77777777" w:rsidTr="00F865A7">
        <w:tc>
          <w:tcPr>
            <w:tcW w:w="1577" w:type="pct"/>
          </w:tcPr>
          <w:p w14:paraId="7634B062" w14:textId="5B789DBB" w:rsidR="00324B33" w:rsidRPr="00BD5DBD" w:rsidRDefault="00324B33" w:rsidP="007452E8">
            <w:pPr>
              <w:rPr>
                <w:i/>
                <w:szCs w:val="22"/>
              </w:rPr>
            </w:pPr>
            <w:r w:rsidRPr="00BD5DBD">
              <w:rPr>
                <w:i/>
                <w:szCs w:val="22"/>
              </w:rPr>
              <w:t>Strength:</w:t>
            </w:r>
          </w:p>
        </w:tc>
        <w:tc>
          <w:tcPr>
            <w:tcW w:w="3423" w:type="pct"/>
          </w:tcPr>
          <w:p w14:paraId="5E5F83DB" w14:textId="2E986F78" w:rsidR="00324B33" w:rsidRPr="00BD5DBD" w:rsidRDefault="00DF1FA4" w:rsidP="007452E8">
            <w:pPr>
              <w:rPr>
                <w:szCs w:val="22"/>
              </w:rPr>
            </w:pPr>
            <w:proofErr w:type="spellStart"/>
            <w:r>
              <w:rPr>
                <w:szCs w:val="22"/>
              </w:rPr>
              <w:t>10mg</w:t>
            </w:r>
            <w:proofErr w:type="spellEnd"/>
          </w:p>
        </w:tc>
      </w:tr>
      <w:tr w:rsidR="00324B33" w:rsidRPr="00BD5DBD" w14:paraId="34B07BA6" w14:textId="77777777" w:rsidTr="00F865A7">
        <w:tc>
          <w:tcPr>
            <w:tcW w:w="1577" w:type="pct"/>
          </w:tcPr>
          <w:p w14:paraId="1C039224" w14:textId="2BC3FF82" w:rsidR="00324B33" w:rsidRPr="00BD5DBD" w:rsidRDefault="00324B33" w:rsidP="007452E8">
            <w:pPr>
              <w:rPr>
                <w:i/>
                <w:szCs w:val="22"/>
              </w:rPr>
            </w:pPr>
            <w:r w:rsidRPr="00BD5DBD">
              <w:rPr>
                <w:i/>
                <w:szCs w:val="22"/>
              </w:rPr>
              <w:t>Container:</w:t>
            </w:r>
          </w:p>
        </w:tc>
        <w:tc>
          <w:tcPr>
            <w:tcW w:w="3423" w:type="pct"/>
          </w:tcPr>
          <w:p w14:paraId="500A42C6" w14:textId="7E97F230" w:rsidR="00324B33" w:rsidRPr="00BD5DBD" w:rsidRDefault="00257907" w:rsidP="007452E8">
            <w:pPr>
              <w:rPr>
                <w:szCs w:val="22"/>
              </w:rPr>
            </w:pPr>
            <w:r>
              <w:rPr>
                <w:szCs w:val="22"/>
              </w:rPr>
              <w:t>Bottle</w:t>
            </w:r>
          </w:p>
        </w:tc>
      </w:tr>
      <w:tr w:rsidR="00324B33" w:rsidRPr="00BD5DBD" w14:paraId="176B6773" w14:textId="77777777" w:rsidTr="00F865A7">
        <w:tc>
          <w:tcPr>
            <w:tcW w:w="1577" w:type="pct"/>
          </w:tcPr>
          <w:p w14:paraId="71846159" w14:textId="72C7E6BF" w:rsidR="00324B33" w:rsidRPr="00BD5DBD" w:rsidRDefault="00324B33" w:rsidP="007452E8">
            <w:pPr>
              <w:rPr>
                <w:i/>
                <w:szCs w:val="22"/>
              </w:rPr>
            </w:pPr>
            <w:r w:rsidRPr="00BD5DBD">
              <w:rPr>
                <w:i/>
                <w:szCs w:val="22"/>
              </w:rPr>
              <w:t>Pack size:</w:t>
            </w:r>
          </w:p>
        </w:tc>
        <w:tc>
          <w:tcPr>
            <w:tcW w:w="3423" w:type="pct"/>
          </w:tcPr>
          <w:p w14:paraId="7E978F8F" w14:textId="1BCF6B9C" w:rsidR="00324B33" w:rsidRPr="00BD5DBD" w:rsidRDefault="00257907" w:rsidP="007452E8">
            <w:pPr>
              <w:rPr>
                <w:szCs w:val="22"/>
              </w:rPr>
            </w:pPr>
            <w:r>
              <w:rPr>
                <w:szCs w:val="22"/>
              </w:rPr>
              <w:t>30 capsules</w:t>
            </w:r>
          </w:p>
        </w:tc>
      </w:tr>
      <w:tr w:rsidR="00324B33" w:rsidRPr="00BD5DBD" w14:paraId="19A2544A" w14:textId="77777777" w:rsidTr="00F865A7">
        <w:tc>
          <w:tcPr>
            <w:tcW w:w="1577" w:type="pct"/>
          </w:tcPr>
          <w:p w14:paraId="0E6C5C0E" w14:textId="7DB3FC66" w:rsidR="00324B33" w:rsidRPr="00BD5DBD" w:rsidRDefault="00324B33" w:rsidP="007452E8">
            <w:pPr>
              <w:rPr>
                <w:i/>
                <w:szCs w:val="22"/>
              </w:rPr>
            </w:pPr>
            <w:r w:rsidRPr="00BD5DBD">
              <w:rPr>
                <w:i/>
                <w:szCs w:val="22"/>
              </w:rPr>
              <w:t>Approved therapeutic use</w:t>
            </w:r>
            <w:r w:rsidR="00E47E0C" w:rsidRPr="00BD5DBD">
              <w:rPr>
                <w:i/>
                <w:szCs w:val="22"/>
              </w:rPr>
              <w:t xml:space="preserve"> </w:t>
            </w:r>
            <w:r w:rsidR="007B04DE" w:rsidRPr="00BD5DBD">
              <w:rPr>
                <w:i/>
                <w:szCs w:val="22"/>
              </w:rPr>
              <w:t>for the current</w:t>
            </w:r>
            <w:r w:rsidR="00E47E0C" w:rsidRPr="00BD5DBD">
              <w:rPr>
                <w:i/>
                <w:szCs w:val="22"/>
              </w:rPr>
              <w:t xml:space="preserve"> submission</w:t>
            </w:r>
            <w:r w:rsidRPr="00BD5DBD">
              <w:rPr>
                <w:i/>
                <w:szCs w:val="22"/>
              </w:rPr>
              <w:t>:</w:t>
            </w:r>
          </w:p>
        </w:tc>
        <w:tc>
          <w:tcPr>
            <w:tcW w:w="3423" w:type="pct"/>
          </w:tcPr>
          <w:p w14:paraId="6E143E2E" w14:textId="36F2CBF3" w:rsidR="00324B33" w:rsidRPr="00BD5DBD" w:rsidRDefault="0098347F" w:rsidP="007452E8">
            <w:pPr>
              <w:rPr>
                <w:szCs w:val="22"/>
              </w:rPr>
            </w:pPr>
            <w:proofErr w:type="spellStart"/>
            <w:r w:rsidRPr="0098347F">
              <w:rPr>
                <w:szCs w:val="22"/>
              </w:rPr>
              <w:t>L</w:t>
            </w:r>
            <w:r>
              <w:rPr>
                <w:szCs w:val="22"/>
              </w:rPr>
              <w:t>ivdelzi</w:t>
            </w:r>
            <w:proofErr w:type="spellEnd"/>
            <w:r>
              <w:rPr>
                <w:szCs w:val="22"/>
              </w:rPr>
              <w:t xml:space="preserve"> </w:t>
            </w:r>
            <w:r w:rsidRPr="0098347F">
              <w:rPr>
                <w:szCs w:val="22"/>
              </w:rPr>
              <w:t>is indicated for the treatment of primary biliary cholangitis (PBC) in combination with ursodeoxycholic acid (UDCA) in adults who have an inadequate response to UDCA alone, or as monotherapy in those unable to tolerate UDCA</w:t>
            </w:r>
            <w:r w:rsidR="00DF3707">
              <w:rPr>
                <w:szCs w:val="22"/>
              </w:rPr>
              <w:t>.</w:t>
            </w:r>
          </w:p>
        </w:tc>
      </w:tr>
      <w:tr w:rsidR="00324B33" w:rsidRPr="00BD5DBD" w14:paraId="5AFDEED3" w14:textId="77777777" w:rsidTr="00F865A7">
        <w:tc>
          <w:tcPr>
            <w:tcW w:w="1577" w:type="pct"/>
          </w:tcPr>
          <w:p w14:paraId="03884BD1" w14:textId="01FEEAD4" w:rsidR="00324B33" w:rsidRPr="00BD5DBD" w:rsidRDefault="00324B33" w:rsidP="007452E8">
            <w:pPr>
              <w:rPr>
                <w:i/>
                <w:szCs w:val="22"/>
              </w:rPr>
            </w:pPr>
            <w:r w:rsidRPr="00BD5DBD">
              <w:rPr>
                <w:i/>
                <w:szCs w:val="22"/>
              </w:rPr>
              <w:t>Route of administration:</w:t>
            </w:r>
          </w:p>
        </w:tc>
        <w:tc>
          <w:tcPr>
            <w:tcW w:w="3423" w:type="pct"/>
          </w:tcPr>
          <w:p w14:paraId="1ED1357E" w14:textId="1DEBF870" w:rsidR="00324B33" w:rsidRPr="00BD5DBD" w:rsidRDefault="00A46270" w:rsidP="007452E8">
            <w:pPr>
              <w:rPr>
                <w:szCs w:val="22"/>
              </w:rPr>
            </w:pPr>
            <w:r>
              <w:rPr>
                <w:szCs w:val="22"/>
              </w:rPr>
              <w:t>Oral</w:t>
            </w:r>
          </w:p>
        </w:tc>
      </w:tr>
      <w:tr w:rsidR="00324B33" w:rsidRPr="00BD5DBD" w14:paraId="70D7E9FA" w14:textId="77777777" w:rsidTr="00F865A7">
        <w:tc>
          <w:tcPr>
            <w:tcW w:w="1577" w:type="pct"/>
          </w:tcPr>
          <w:p w14:paraId="5ABFFC80" w14:textId="77777777" w:rsidR="00324B33" w:rsidRPr="00BD5DBD" w:rsidRDefault="00324B33" w:rsidP="007452E8">
            <w:pPr>
              <w:rPr>
                <w:i/>
                <w:szCs w:val="22"/>
              </w:rPr>
            </w:pPr>
            <w:r w:rsidRPr="00BD5DBD">
              <w:rPr>
                <w:i/>
                <w:szCs w:val="22"/>
              </w:rPr>
              <w:t>Dosage:</w:t>
            </w:r>
          </w:p>
        </w:tc>
        <w:tc>
          <w:tcPr>
            <w:tcW w:w="3423" w:type="pct"/>
          </w:tcPr>
          <w:p w14:paraId="574D042F" w14:textId="28F90A77" w:rsidR="00824161" w:rsidRDefault="00824161" w:rsidP="007452E8">
            <w:pPr>
              <w:rPr>
                <w:szCs w:val="22"/>
              </w:rPr>
            </w:pPr>
            <w:r w:rsidRPr="00824161">
              <w:rPr>
                <w:szCs w:val="22"/>
              </w:rPr>
              <w:t xml:space="preserve">The recommended dosage of </w:t>
            </w:r>
            <w:proofErr w:type="spellStart"/>
            <w:r w:rsidRPr="00824161">
              <w:rPr>
                <w:szCs w:val="22"/>
              </w:rPr>
              <w:t>L</w:t>
            </w:r>
            <w:r>
              <w:rPr>
                <w:szCs w:val="22"/>
              </w:rPr>
              <w:t>ivdelzi</w:t>
            </w:r>
            <w:proofErr w:type="spellEnd"/>
            <w:r w:rsidRPr="00824161">
              <w:rPr>
                <w:szCs w:val="22"/>
              </w:rPr>
              <w:t xml:space="preserve"> is 10 mg taken orally once daily with or without food.</w:t>
            </w:r>
          </w:p>
          <w:p w14:paraId="3D0B2D5C" w14:textId="60D49B0C" w:rsidR="00324B33" w:rsidRPr="00BD5DBD" w:rsidRDefault="00324B33" w:rsidP="007452E8">
            <w:pPr>
              <w:rPr>
                <w:szCs w:val="22"/>
              </w:rPr>
            </w:pPr>
            <w:r w:rsidRPr="00BD5DBD">
              <w:rPr>
                <w:szCs w:val="22"/>
              </w:rPr>
              <w:t xml:space="preserve">For further information regarding dosage, </w:t>
            </w:r>
            <w:r w:rsidR="006B7126">
              <w:rPr>
                <w:szCs w:val="22"/>
              </w:rPr>
              <w:t xml:space="preserve">such as dosage modifications to manage adverse reactions, </w:t>
            </w:r>
            <w:r w:rsidRPr="00BD5DBD">
              <w:rPr>
                <w:szCs w:val="22"/>
              </w:rPr>
              <w:t>refer to the Product Information.</w:t>
            </w:r>
          </w:p>
        </w:tc>
      </w:tr>
      <w:tr w:rsidR="0017005C" w:rsidRPr="00BD5DBD" w14:paraId="7B7BB6AE" w14:textId="77777777" w:rsidTr="00F865A7">
        <w:tc>
          <w:tcPr>
            <w:tcW w:w="1577" w:type="pct"/>
          </w:tcPr>
          <w:p w14:paraId="3A76AFF7" w14:textId="7C436DD9" w:rsidR="0017005C" w:rsidRPr="00F8083B" w:rsidRDefault="0070330F" w:rsidP="0017005C">
            <w:r w:rsidRPr="00BD5DBD">
              <w:rPr>
                <w:i/>
                <w:szCs w:val="22"/>
              </w:rPr>
              <w:t>Pregnancy category:</w:t>
            </w:r>
          </w:p>
        </w:tc>
        <w:tc>
          <w:tcPr>
            <w:tcW w:w="3423" w:type="pct"/>
          </w:tcPr>
          <w:p w14:paraId="06481C60" w14:textId="77777777" w:rsidR="0028436B" w:rsidRDefault="0028436B" w:rsidP="0028436B">
            <w:r>
              <w:t>Category B1</w:t>
            </w:r>
          </w:p>
          <w:p w14:paraId="7C5803C0" w14:textId="25BBAC7A" w:rsidR="0028436B" w:rsidRPr="0028436B" w:rsidRDefault="0028436B" w:rsidP="0028436B">
            <w:r w:rsidRPr="0028436B">
              <w:t xml:space="preserve">Drugs which have been taken by only a limited number of pregnant women and women of childbearing age, without an increase in the frequency of malformation or other direct or indirect harmful effects on the human </w:t>
            </w:r>
            <w:proofErr w:type="spellStart"/>
            <w:r w:rsidRPr="0028436B">
              <w:t>fetus</w:t>
            </w:r>
            <w:proofErr w:type="spellEnd"/>
            <w:r w:rsidRPr="0028436B">
              <w:t xml:space="preserve"> having been observed.</w:t>
            </w:r>
          </w:p>
          <w:p w14:paraId="5794E558" w14:textId="77777777" w:rsidR="0028436B" w:rsidRPr="0028436B" w:rsidRDefault="0028436B" w:rsidP="0028436B">
            <w:r w:rsidRPr="0028436B">
              <w:t xml:space="preserve">Studies in animals are inadequate or may be lacking, but available data show no evidence of an increased occurrence of </w:t>
            </w:r>
            <w:proofErr w:type="spellStart"/>
            <w:r w:rsidRPr="0028436B">
              <w:t>fetal</w:t>
            </w:r>
            <w:proofErr w:type="spellEnd"/>
            <w:r w:rsidRPr="0028436B">
              <w:t xml:space="preserve"> damage.</w:t>
            </w:r>
          </w:p>
          <w:p w14:paraId="76497789" w14:textId="634DC28C" w:rsidR="0017005C" w:rsidRPr="00BD5DBD" w:rsidRDefault="0070330F" w:rsidP="00306E72">
            <w:pPr>
              <w:rPr>
                <w:szCs w:val="22"/>
              </w:rPr>
            </w:pPr>
            <w:r w:rsidRPr="00BD5DBD">
              <w:rPr>
                <w:szCs w:val="22"/>
              </w:rPr>
              <w:t xml:space="preserve">The use of any medicine during pregnancy requires careful consideration of both risks and benefits by the treating health professional. </w:t>
            </w:r>
            <w:r w:rsidR="00721059">
              <w:rPr>
                <w:szCs w:val="22"/>
              </w:rPr>
              <w:t xml:space="preserve">The </w:t>
            </w:r>
            <w:hyperlink r:id="rId22" w:history="1">
              <w:r w:rsidR="00721059" w:rsidRPr="00065FDF">
                <w:rPr>
                  <w:rStyle w:val="Hyperlink"/>
                  <w:szCs w:val="22"/>
                </w:rPr>
                <w:t>pregnancy database</w:t>
              </w:r>
            </w:hyperlink>
            <w:r w:rsidR="00387984">
              <w:t xml:space="preserve"> </w:t>
            </w:r>
            <w:r w:rsidRPr="00BD5DBD">
              <w:rPr>
                <w:szCs w:val="22"/>
              </w:rPr>
              <w:t xml:space="preserve">must not be used as the sole basis of decision making in the use of medicines during </w:t>
            </w:r>
            <w:r w:rsidRPr="00BD5DBD">
              <w:rPr>
                <w:szCs w:val="22"/>
              </w:rPr>
              <w:lastRenderedPageBreak/>
              <w:t xml:space="preserve">pregnancy. The TGA does not provide advice on the use of medicines in pregnancy for specific cases. More information is available from </w:t>
            </w:r>
            <w:hyperlink r:id="rId23" w:history="1">
              <w:r w:rsidRPr="00C059D0">
                <w:rPr>
                  <w:rStyle w:val="Hyperlink"/>
                  <w:szCs w:val="22"/>
                </w:rPr>
                <w:t>obstetric drug information services</w:t>
              </w:r>
            </w:hyperlink>
            <w:r w:rsidRPr="00BD5DBD">
              <w:rPr>
                <w:szCs w:val="22"/>
              </w:rPr>
              <w:t xml:space="preserve"> in your </w:t>
            </w:r>
            <w:r w:rsidR="00306E72">
              <w:rPr>
                <w:szCs w:val="22"/>
              </w:rPr>
              <w:t>s</w:t>
            </w:r>
            <w:r w:rsidRPr="00BD5DBD">
              <w:rPr>
                <w:szCs w:val="22"/>
              </w:rPr>
              <w:t xml:space="preserve">tate or </w:t>
            </w:r>
            <w:r w:rsidR="00306E72">
              <w:rPr>
                <w:szCs w:val="22"/>
              </w:rPr>
              <w:t>t</w:t>
            </w:r>
            <w:r w:rsidRPr="00BD5DBD">
              <w:rPr>
                <w:szCs w:val="22"/>
              </w:rPr>
              <w:t>erritory.</w:t>
            </w:r>
          </w:p>
        </w:tc>
      </w:tr>
    </w:tbl>
    <w:p w14:paraId="51F2479F" w14:textId="1E34B277" w:rsidR="00324B33" w:rsidRDefault="00324B33" w:rsidP="00324B33">
      <w:pPr>
        <w:pStyle w:val="Heading3"/>
      </w:pPr>
      <w:bookmarkStart w:id="11" w:name="_Toc247691503"/>
      <w:bookmarkStart w:id="12" w:name="_Toc314842484"/>
      <w:bookmarkStart w:id="13" w:name="_Toc103679290"/>
      <w:bookmarkStart w:id="14" w:name="_Toc233197004"/>
      <w:r>
        <w:lastRenderedPageBreak/>
        <w:t>Product background</w:t>
      </w:r>
      <w:bookmarkEnd w:id="11"/>
      <w:bookmarkEnd w:id="12"/>
      <w:bookmarkEnd w:id="13"/>
      <w:bookmarkEnd w:id="14"/>
    </w:p>
    <w:p w14:paraId="59BF31D1" w14:textId="03B6A788" w:rsidR="001500A8" w:rsidRPr="00065839" w:rsidRDefault="00324B33" w:rsidP="00473EF7">
      <w:r w:rsidRPr="00A97E66">
        <w:t xml:space="preserve">This </w:t>
      </w:r>
      <w:proofErr w:type="spellStart"/>
      <w:r w:rsidRPr="00A97E66">
        <w:t>AusPAR</w:t>
      </w:r>
      <w:proofErr w:type="spellEnd"/>
      <w:r w:rsidRPr="00A97E66">
        <w:t xml:space="preserve"> describes the submission by </w:t>
      </w:r>
      <w:r w:rsidR="005650C8" w:rsidRPr="00A97E66">
        <w:rPr>
          <w:szCs w:val="22"/>
        </w:rPr>
        <w:t>Gilead Sciences Pty Ltd</w:t>
      </w:r>
      <w:r w:rsidRPr="00A97E66">
        <w:t xml:space="preserve"> (the sponsor) to register </w:t>
      </w:r>
      <w:proofErr w:type="spellStart"/>
      <w:r w:rsidR="005650C8" w:rsidRPr="00A97E66">
        <w:t>Livdelzi</w:t>
      </w:r>
      <w:proofErr w:type="spellEnd"/>
      <w:r w:rsidRPr="00A97E66">
        <w:t xml:space="preserve"> (</w:t>
      </w:r>
      <w:proofErr w:type="spellStart"/>
      <w:r w:rsidR="005570F8" w:rsidRPr="00A97E66">
        <w:t>seladelpar</w:t>
      </w:r>
      <w:proofErr w:type="spellEnd"/>
      <w:r w:rsidRPr="00A97E66">
        <w:t xml:space="preserve">) </w:t>
      </w:r>
      <w:proofErr w:type="spellStart"/>
      <w:r w:rsidR="00A97E66" w:rsidRPr="00A97E66">
        <w:t>10mg</w:t>
      </w:r>
      <w:proofErr w:type="spellEnd"/>
      <w:r w:rsidR="00A97E66" w:rsidRPr="00A97E66">
        <w:t xml:space="preserve"> capsules </w:t>
      </w:r>
      <w:r w:rsidRPr="00A97E66">
        <w:t>for the following proposed</w:t>
      </w:r>
      <w:r w:rsidR="00A97E66">
        <w:t xml:space="preserve"> </w:t>
      </w:r>
      <w:r w:rsidRPr="00065839">
        <w:t>indication:</w:t>
      </w:r>
      <w:r w:rsidR="00D63760" w:rsidRPr="00EF4580">
        <w:rPr>
          <w:rStyle w:val="FootnoteReference"/>
        </w:rPr>
        <w:footnoteReference w:id="1"/>
      </w:r>
    </w:p>
    <w:p w14:paraId="1870361E" w14:textId="201F5308" w:rsidR="00324B33" w:rsidRPr="00473EF7" w:rsidRDefault="008121D7" w:rsidP="00473EF7">
      <w:pPr>
        <w:ind w:left="720"/>
        <w:rPr>
          <w:i/>
          <w:iCs/>
        </w:rPr>
      </w:pPr>
      <w:proofErr w:type="spellStart"/>
      <w:r w:rsidRPr="00473EF7">
        <w:rPr>
          <w:i/>
          <w:iCs/>
        </w:rPr>
        <w:t>Seladelpar</w:t>
      </w:r>
      <w:proofErr w:type="spellEnd"/>
      <w:r w:rsidRPr="00473EF7">
        <w:rPr>
          <w:i/>
          <w:iCs/>
        </w:rPr>
        <w:t xml:space="preserve"> is indicated for the treatment of primary biliary cholangitis (PBC), including pruritus, in adults in combination with ursodeoxycholic Acid (UDCA) who have an inadequate response to UDCA alone, or as monotherapy in those unable to tolerate UDCA</w:t>
      </w:r>
      <w:r w:rsidR="007446A4" w:rsidRPr="00473EF7">
        <w:rPr>
          <w:i/>
          <w:iCs/>
        </w:rPr>
        <w:t>.</w:t>
      </w:r>
    </w:p>
    <w:p w14:paraId="0E041104" w14:textId="77777777" w:rsidR="004949E6" w:rsidRPr="004949E6" w:rsidRDefault="004949E6" w:rsidP="00473EF7">
      <w:r w:rsidRPr="004949E6">
        <w:t xml:space="preserve">The recommended dose of </w:t>
      </w:r>
      <w:proofErr w:type="spellStart"/>
      <w:r w:rsidRPr="004949E6">
        <w:t>Seladelpar</w:t>
      </w:r>
      <w:proofErr w:type="spellEnd"/>
      <w:r w:rsidRPr="004949E6">
        <w:t xml:space="preserve"> is 10 mg once daily.</w:t>
      </w:r>
    </w:p>
    <w:p w14:paraId="034D92E9" w14:textId="3EFEF55F" w:rsidR="00F06CDE" w:rsidRDefault="00005DFC" w:rsidP="00473EF7">
      <w:pPr>
        <w:pStyle w:val="Heading4"/>
      </w:pPr>
      <w:bookmarkStart w:id="15" w:name="_Toc314842485"/>
      <w:bookmarkStart w:id="16" w:name="_Toc247691504"/>
      <w:bookmarkStart w:id="17" w:name="_Toc233197005"/>
      <w:r>
        <w:t>D</w:t>
      </w:r>
      <w:r w:rsidR="00CB6813" w:rsidRPr="00C12D65">
        <w:t>isease</w:t>
      </w:r>
      <w:r w:rsidR="006428C5">
        <w:t xml:space="preserve"> or condition</w:t>
      </w:r>
      <w:r w:rsidR="001764A9">
        <w:t xml:space="preserve"> </w:t>
      </w:r>
      <w:r w:rsidR="003C39E0">
        <w:t>– Primary biliary cholangitis (PBC)</w:t>
      </w:r>
      <w:bookmarkEnd w:id="17"/>
    </w:p>
    <w:p w14:paraId="35BF9196" w14:textId="77777777" w:rsidR="00B46F93" w:rsidRPr="00473EF7" w:rsidRDefault="00B46F93" w:rsidP="00473EF7">
      <w:r w:rsidRPr="0036589E">
        <w:t>PBC is a serious, rare, slowly progressive, and potentially life-limiting liver disease characterised by immune-mediated degeneration of bile ducts, impaired bile flow (cholestasis) and accumulation of toxic bile acids.</w:t>
      </w:r>
      <w:r w:rsidRPr="00473EF7">
        <w:t xml:space="preserve"> Although the exact aetiology of PBC is unknown, immunological dysfunction triggered by environmental factors (such as cigarette smoking, toxin exposure, and infectious agents) may render autoimmunity against the interlobular bile ducts in genetically predisposed hosts (You H, 2022).</w:t>
      </w:r>
    </w:p>
    <w:p w14:paraId="1140F20D" w14:textId="77777777" w:rsidR="00B46F93" w:rsidRPr="00AF75F2" w:rsidRDefault="00B46F93" w:rsidP="00473EF7">
      <w:pPr>
        <w:rPr>
          <w:rFonts w:eastAsia="Times New Roman"/>
          <w:lang w:eastAsia="en-AU"/>
        </w:rPr>
      </w:pPr>
      <w:r w:rsidRPr="0036589E">
        <w:rPr>
          <w:shd w:val="clear" w:color="auto" w:fill="FFFFFF"/>
        </w:rPr>
        <w:t>PBC typically affects middle-aged women, commonly presents with fatigue and pruritus, or with an asymptomatic elevation of serum alkaline phosphatase (ALP)/glutamyl transpeptidase (GGT). The pathological features are progressive, non-suppurative, destructive intrahepatic cholangitis, leading to fibrosis and eventually cirrhosis. Antimitochondrial antibodies (AMAs), especially the M2 subtype (AMA-M2), are highly sensitive and specific for PBC in clinical settings. </w:t>
      </w:r>
      <w:r w:rsidRPr="00AF75F2">
        <w:rPr>
          <w:rFonts w:eastAsia="Times New Roman"/>
          <w:lang w:eastAsia="en-AU"/>
        </w:rPr>
        <w:t>There is strong evidence</w:t>
      </w:r>
      <w:r>
        <w:rPr>
          <w:rFonts w:eastAsia="Times New Roman"/>
          <w:lang w:eastAsia="en-AU"/>
        </w:rPr>
        <w:t xml:space="preserve"> </w:t>
      </w:r>
      <w:r w:rsidRPr="00AF75F2">
        <w:rPr>
          <w:rFonts w:eastAsia="Times New Roman"/>
          <w:lang w:eastAsia="en-AU"/>
        </w:rPr>
        <w:t>indicating that diagnosis of PBC can be established when meeting two or more of the following three criteria:</w:t>
      </w:r>
    </w:p>
    <w:p w14:paraId="039285F0" w14:textId="77777777" w:rsidR="00B46F93" w:rsidRPr="00AF75F2" w:rsidRDefault="00B46F93" w:rsidP="00473EF7">
      <w:pPr>
        <w:pStyle w:val="Numberbullet0"/>
        <w:rPr>
          <w:lang w:eastAsia="en-AU"/>
        </w:rPr>
      </w:pPr>
      <w:r w:rsidRPr="00AF75F2">
        <w:rPr>
          <w:lang w:eastAsia="en-AU"/>
        </w:rPr>
        <w:t>Biochemical evidence of cholestasis based mainly on the elevation of ALP and GGT with the exclusion of extrahepatic biliary obstruction by imaging studies.</w:t>
      </w:r>
    </w:p>
    <w:p w14:paraId="2728F7EB" w14:textId="77777777" w:rsidR="00B46F93" w:rsidRPr="00AF75F2" w:rsidRDefault="00B46F93" w:rsidP="00473EF7">
      <w:pPr>
        <w:pStyle w:val="Numberbullet0"/>
        <w:rPr>
          <w:lang w:eastAsia="en-AU"/>
        </w:rPr>
      </w:pPr>
      <w:r w:rsidRPr="00AF75F2">
        <w:rPr>
          <w:lang w:eastAsia="en-AU"/>
        </w:rPr>
        <w:t>Presence of AMA or other PBC-specific ANAs including anti-sp100 or anti-gp210.</w:t>
      </w:r>
    </w:p>
    <w:p w14:paraId="69BBC0E5" w14:textId="77777777" w:rsidR="00B46F93" w:rsidRPr="005500A7" w:rsidRDefault="00B46F93" w:rsidP="00473EF7">
      <w:pPr>
        <w:pStyle w:val="Numberbullet0"/>
        <w:rPr>
          <w:shd w:val="clear" w:color="auto" w:fill="FFFFFF"/>
        </w:rPr>
      </w:pPr>
      <w:r w:rsidRPr="00D20782">
        <w:rPr>
          <w:lang w:eastAsia="en-AU"/>
        </w:rPr>
        <w:t>Histologic evidence of non-suppurative destructive cholangitis mainly affecting the interlobular bile ducts (You H, 2022</w:t>
      </w:r>
      <w:r>
        <w:rPr>
          <w:lang w:eastAsia="en-AU"/>
        </w:rPr>
        <w:t>).</w:t>
      </w:r>
    </w:p>
    <w:p w14:paraId="255E083A" w14:textId="77777777" w:rsidR="00CB6813" w:rsidRDefault="00CB6813" w:rsidP="00473EF7">
      <w:pPr>
        <w:pStyle w:val="Heading4"/>
      </w:pPr>
      <w:bookmarkStart w:id="18" w:name="_Toc233197006"/>
      <w:r>
        <w:t>Current treatment options</w:t>
      </w:r>
      <w:bookmarkEnd w:id="18"/>
    </w:p>
    <w:p w14:paraId="21D4EEB2" w14:textId="77777777" w:rsidR="00465531" w:rsidRPr="00BB504D" w:rsidRDefault="00465531" w:rsidP="00473EF7">
      <w:pPr>
        <w:rPr>
          <w:shd w:val="clear" w:color="auto" w:fill="FFFFFF"/>
        </w:rPr>
      </w:pPr>
      <w:r w:rsidRPr="0036589E">
        <w:rPr>
          <w:shd w:val="clear" w:color="auto" w:fill="FFFFFF"/>
        </w:rPr>
        <w:t>It is recommended that oral UDCA (13 ~ 15 mg/kg/day) should be standard therapy for all PBC patients. However, about 30–40% of PBC patients show insufficient biochemical responses to UDCA and remain at risk for disease progression to advanced stages, including cirrhosis</w:t>
      </w:r>
      <w:r>
        <w:rPr>
          <w:shd w:val="clear" w:color="auto" w:fill="FFFFFF"/>
        </w:rPr>
        <w:t>.</w:t>
      </w:r>
    </w:p>
    <w:p w14:paraId="00D5F4A4" w14:textId="79208BD4" w:rsidR="00465531" w:rsidRPr="003163FA" w:rsidRDefault="00465531" w:rsidP="00473EF7">
      <w:proofErr w:type="spellStart"/>
      <w:r w:rsidRPr="00BB504D">
        <w:rPr>
          <w:shd w:val="clear" w:color="auto" w:fill="FFFFFF"/>
        </w:rPr>
        <w:t>Obeticholic</w:t>
      </w:r>
      <w:proofErr w:type="spellEnd"/>
      <w:r w:rsidRPr="00BB504D">
        <w:rPr>
          <w:shd w:val="clear" w:color="auto" w:fill="FFFFFF"/>
        </w:rPr>
        <w:t xml:space="preserve"> acid (OCA) </w:t>
      </w:r>
      <w:r>
        <w:rPr>
          <w:shd w:val="clear" w:color="auto" w:fill="FFFFFF"/>
        </w:rPr>
        <w:t xml:space="preserve">and </w:t>
      </w:r>
      <w:proofErr w:type="spellStart"/>
      <w:r>
        <w:rPr>
          <w:shd w:val="clear" w:color="auto" w:fill="FFFFFF"/>
        </w:rPr>
        <w:t>elafibranor</w:t>
      </w:r>
      <w:proofErr w:type="spellEnd"/>
      <w:r>
        <w:rPr>
          <w:shd w:val="clear" w:color="auto" w:fill="FFFFFF"/>
        </w:rPr>
        <w:t xml:space="preserve"> (</w:t>
      </w:r>
      <w:proofErr w:type="spellStart"/>
      <w:r>
        <w:rPr>
          <w:shd w:val="clear" w:color="auto" w:fill="FFFFFF"/>
        </w:rPr>
        <w:t>IQIRVO</w:t>
      </w:r>
      <w:proofErr w:type="spellEnd"/>
      <w:r>
        <w:rPr>
          <w:shd w:val="clear" w:color="auto" w:fill="FFFFFF"/>
        </w:rPr>
        <w:t xml:space="preserve">) are both registered in Australia for </w:t>
      </w:r>
      <w:r w:rsidR="00B44BF6">
        <w:rPr>
          <w:shd w:val="clear" w:color="auto" w:fill="FFFFFF"/>
        </w:rPr>
        <w:t>‘</w:t>
      </w:r>
      <w:r w:rsidRPr="005D0C57">
        <w:rPr>
          <w:shd w:val="clear" w:color="auto" w:fill="FFFFFF"/>
        </w:rPr>
        <w:t>the treatment of primary biliary cholangitis (PBC) in combination with ursodeoxycholic acid (UDCA) in adults with an inadequate response to UDCA or as monotherapy in adults unable to tolerate UDCA</w:t>
      </w:r>
      <w:r w:rsidR="00B44BF6">
        <w:rPr>
          <w:shd w:val="clear" w:color="auto" w:fill="FFFFFF"/>
        </w:rPr>
        <w:t>’</w:t>
      </w:r>
      <w:r>
        <w:rPr>
          <w:shd w:val="clear" w:color="auto" w:fill="FFFFFF"/>
        </w:rPr>
        <w:t>.</w:t>
      </w:r>
    </w:p>
    <w:p w14:paraId="37C47E09" w14:textId="14D3762D" w:rsidR="00CB6813" w:rsidRDefault="00CB6813" w:rsidP="00473EF7">
      <w:pPr>
        <w:pStyle w:val="Heading4"/>
      </w:pPr>
      <w:bookmarkStart w:id="19" w:name="_Toc233197007"/>
      <w:r>
        <w:lastRenderedPageBreak/>
        <w:t>C</w:t>
      </w:r>
      <w:r w:rsidRPr="00DE1344">
        <w:t>linical rational</w:t>
      </w:r>
      <w:r w:rsidR="0025785B">
        <w:t>e</w:t>
      </w:r>
      <w:bookmarkEnd w:id="19"/>
    </w:p>
    <w:p w14:paraId="1B53CC2F" w14:textId="77777777" w:rsidR="00DA556D" w:rsidRDefault="00AB2934" w:rsidP="00473EF7">
      <w:r w:rsidRPr="00AB2934">
        <w:t>As per the sponsor</w:t>
      </w:r>
      <w:r>
        <w:t>’s submission</w:t>
      </w:r>
      <w:r w:rsidR="00DA556D">
        <w:t>:</w:t>
      </w:r>
    </w:p>
    <w:p w14:paraId="18A72B11" w14:textId="5F3579BC" w:rsidR="00521ED5" w:rsidRDefault="00DA556D" w:rsidP="00473EF7">
      <w:proofErr w:type="spellStart"/>
      <w:r>
        <w:t>S</w:t>
      </w:r>
      <w:r w:rsidR="00AB2934" w:rsidRPr="00AB2934">
        <w:t>eladelpar</w:t>
      </w:r>
      <w:proofErr w:type="spellEnd"/>
      <w:r w:rsidR="00AB2934" w:rsidRPr="00AB2934">
        <w:t xml:space="preserve"> is a novel, potent, and selective </w:t>
      </w:r>
      <w:proofErr w:type="spellStart"/>
      <w:r w:rsidR="00AB2934" w:rsidRPr="00AB2934">
        <w:t>PPARδ</w:t>
      </w:r>
      <w:proofErr w:type="spellEnd"/>
      <w:r w:rsidR="00AB2934" w:rsidRPr="00AB2934">
        <w:t xml:space="preserve"> agonist (i.e., a </w:t>
      </w:r>
      <w:proofErr w:type="spellStart"/>
      <w:r w:rsidR="00AB2934" w:rsidRPr="00AB2934">
        <w:t>delpar</w:t>
      </w:r>
      <w:proofErr w:type="spellEnd"/>
      <w:r w:rsidR="00AB2934" w:rsidRPr="00AB2934">
        <w:t xml:space="preserve">) that targets multiple cell types in the liver, leading to anticholestatic, anti-inflammatory, antipruritic, and antifibrotic effects in animal and human studies. Selectivity of </w:t>
      </w:r>
      <w:proofErr w:type="spellStart"/>
      <w:r w:rsidR="00AB2934" w:rsidRPr="00AB2934">
        <w:t>seladelpar</w:t>
      </w:r>
      <w:proofErr w:type="spellEnd"/>
      <w:r w:rsidR="00AB2934" w:rsidRPr="00AB2934">
        <w:t xml:space="preserve"> for </w:t>
      </w:r>
      <w:proofErr w:type="spellStart"/>
      <w:r w:rsidR="00AB2934" w:rsidRPr="00AB2934">
        <w:t>PPARδ</w:t>
      </w:r>
      <w:proofErr w:type="spellEnd"/>
      <w:r w:rsidR="00AB2934" w:rsidRPr="00AB2934">
        <w:t xml:space="preserve"> over PPARα is approximately 630-fold in humans with no evident activation of </w:t>
      </w:r>
      <w:proofErr w:type="spellStart"/>
      <w:r w:rsidR="00AB2934" w:rsidRPr="00AB2934">
        <w:t>PPARγ</w:t>
      </w:r>
      <w:proofErr w:type="spellEnd"/>
      <w:r w:rsidR="00AB2934" w:rsidRPr="00AB2934">
        <w:t>.</w:t>
      </w:r>
    </w:p>
    <w:p w14:paraId="647214E8" w14:textId="602BE95D" w:rsidR="00AB2934" w:rsidRPr="00AB2934" w:rsidRDefault="00AB2934" w:rsidP="00473EF7">
      <w:r w:rsidRPr="00AB2934">
        <w:t xml:space="preserve">The rationale for assessing </w:t>
      </w:r>
      <w:proofErr w:type="spellStart"/>
      <w:r w:rsidRPr="00AB2934">
        <w:t>seladelpar</w:t>
      </w:r>
      <w:proofErr w:type="spellEnd"/>
      <w:r w:rsidRPr="00AB2934">
        <w:t xml:space="preserve"> as a treatment for PBC includes its impact on bile acid synthesis via both FGF21 and NPC1L1, anti-inflammatory and antifibrotic effects in the liver as well as its anti-pruritic effects.</w:t>
      </w:r>
    </w:p>
    <w:p w14:paraId="0D615854" w14:textId="77777777" w:rsidR="00324B33" w:rsidRPr="003F31A2" w:rsidRDefault="00324B33" w:rsidP="00473EF7">
      <w:pPr>
        <w:pStyle w:val="Heading3"/>
      </w:pPr>
      <w:bookmarkStart w:id="20" w:name="_Toc103679291"/>
      <w:bookmarkStart w:id="21" w:name="_Toc233197008"/>
      <w:r>
        <w:t>Regulatory status</w:t>
      </w:r>
      <w:bookmarkEnd w:id="15"/>
      <w:bookmarkEnd w:id="16"/>
      <w:bookmarkEnd w:id="20"/>
      <w:bookmarkEnd w:id="21"/>
    </w:p>
    <w:p w14:paraId="72C889D6" w14:textId="7E200950" w:rsidR="0017005C" w:rsidRPr="00BD5DBD" w:rsidRDefault="0017005C" w:rsidP="00473EF7">
      <w:pPr>
        <w:pStyle w:val="Heading4"/>
      </w:pPr>
      <w:bookmarkStart w:id="22" w:name="_Toc233197009"/>
      <w:r w:rsidRPr="00BD5DBD">
        <w:t>Australian regulatory</w:t>
      </w:r>
      <w:r>
        <w:t xml:space="preserve"> sta</w:t>
      </w:r>
      <w:r w:rsidR="0025785B">
        <w:t>t</w:t>
      </w:r>
      <w:r>
        <w:t>us</w:t>
      </w:r>
      <w:bookmarkEnd w:id="22"/>
    </w:p>
    <w:p w14:paraId="6A8633FA" w14:textId="4748760B" w:rsidR="00324B33" w:rsidRDefault="00324B33" w:rsidP="00473EF7">
      <w:r w:rsidRPr="00BD5DBD">
        <w:t>This product is considered a new chemical</w:t>
      </w:r>
      <w:r w:rsidR="008C754C" w:rsidRPr="00BD5DBD">
        <w:t xml:space="preserve"> entity</w:t>
      </w:r>
      <w:r w:rsidR="004C6A6C">
        <w:t xml:space="preserve"> (NCE) </w:t>
      </w:r>
      <w:r w:rsidRPr="00BD5DBD">
        <w:t>for Australian regulatory purposes.</w:t>
      </w:r>
    </w:p>
    <w:p w14:paraId="546C1031" w14:textId="4EF98FA1" w:rsidR="0017005C" w:rsidRDefault="00131B1B" w:rsidP="00473EF7">
      <w:pPr>
        <w:pStyle w:val="Heading4"/>
      </w:pPr>
      <w:bookmarkStart w:id="23" w:name="_Toc233197010"/>
      <w:r>
        <w:t xml:space="preserve">International </w:t>
      </w:r>
      <w:r w:rsidR="0017005C" w:rsidRPr="00BD5DBD">
        <w:t>regulatory</w:t>
      </w:r>
      <w:r w:rsidR="0017005C">
        <w:t xml:space="preserve"> status</w:t>
      </w:r>
      <w:bookmarkEnd w:id="23"/>
    </w:p>
    <w:p w14:paraId="4615466C" w14:textId="3ED3BAAB" w:rsidR="00FC7E4D" w:rsidRDefault="00D47872" w:rsidP="00473EF7">
      <w:r w:rsidRPr="00974D8E">
        <w:t xml:space="preserve">The current international regulatory status of </w:t>
      </w:r>
      <w:proofErr w:type="spellStart"/>
      <w:r w:rsidRPr="00974D8E">
        <w:t>seladelpar</w:t>
      </w:r>
      <w:proofErr w:type="spellEnd"/>
      <w:r w:rsidRPr="00974D8E">
        <w:t xml:space="preserve"> is summarised in Table 1.</w:t>
      </w:r>
    </w:p>
    <w:p w14:paraId="0E39B748" w14:textId="33BDB0E2" w:rsidR="00A53B2C" w:rsidRPr="00A53B2C" w:rsidRDefault="00D47872" w:rsidP="00473EF7">
      <w:r w:rsidRPr="00974D8E">
        <w:t>Most notably</w:t>
      </w:r>
      <w:r w:rsidR="00FC7E4D">
        <w:t>,</w:t>
      </w:r>
      <w:r w:rsidRPr="00974D8E">
        <w:t xml:space="preserve"> </w:t>
      </w:r>
      <w:proofErr w:type="spellStart"/>
      <w:r w:rsidRPr="00974D8E">
        <w:t>seladelpar</w:t>
      </w:r>
      <w:proofErr w:type="spellEnd"/>
      <w:r w:rsidRPr="00974D8E">
        <w:t xml:space="preserve"> has conditional marketing authorisation in the EU and has accelerated approval in the US. </w:t>
      </w:r>
      <w:proofErr w:type="spellStart"/>
      <w:r w:rsidRPr="00974D8E">
        <w:t>Seladelpar</w:t>
      </w:r>
      <w:proofErr w:type="spellEnd"/>
      <w:r w:rsidRPr="00974D8E">
        <w:t xml:space="preserve"> is also approved in the United Kingdom.</w:t>
      </w:r>
    </w:p>
    <w:p w14:paraId="19B9E0AC" w14:textId="66878807" w:rsidR="00324B33" w:rsidRDefault="00324B33" w:rsidP="00473EF7">
      <w:pPr>
        <w:pStyle w:val="TableTitle"/>
      </w:pPr>
      <w:bookmarkStart w:id="24" w:name="_Ref99705479"/>
      <w:r>
        <w:t xml:space="preserve">Table </w:t>
      </w:r>
      <w:r w:rsidR="008B1CB5">
        <w:fldChar w:fldCharType="begin"/>
      </w:r>
      <w:r w:rsidR="008B1CB5">
        <w:instrText xml:space="preserve"> SEQ Table \* ARABIC </w:instrText>
      </w:r>
      <w:r w:rsidR="008B1CB5">
        <w:fldChar w:fldCharType="separate"/>
      </w:r>
      <w:r w:rsidR="008B1CB5">
        <w:rPr>
          <w:noProof/>
        </w:rPr>
        <w:t>1</w:t>
      </w:r>
      <w:r w:rsidR="008B1CB5">
        <w:rPr>
          <w:noProof/>
        </w:rPr>
        <w:fldChar w:fldCharType="end"/>
      </w:r>
      <w:bookmarkEnd w:id="24"/>
      <w:r>
        <w:t>: International regulatory status</w:t>
      </w:r>
      <w:r w:rsidR="00974D8E">
        <w:t xml:space="preserve"> at the time this submission was assessed</w:t>
      </w:r>
    </w:p>
    <w:tbl>
      <w:tblPr>
        <w:tblStyle w:val="TableTGAblue2023"/>
        <w:tblW w:w="5000" w:type="pct"/>
        <w:tblLook w:val="04A0" w:firstRow="1" w:lastRow="0" w:firstColumn="1" w:lastColumn="0" w:noHBand="0" w:noVBand="1"/>
      </w:tblPr>
      <w:tblGrid>
        <w:gridCol w:w="1838"/>
        <w:gridCol w:w="1845"/>
        <w:gridCol w:w="2126"/>
        <w:gridCol w:w="3253"/>
      </w:tblGrid>
      <w:tr w:rsidR="00324B33" w:rsidRPr="00D01DDB" w14:paraId="405E5D78" w14:textId="16839333" w:rsidTr="001313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pct"/>
          </w:tcPr>
          <w:p w14:paraId="185B099B" w14:textId="7A4C0E6C" w:rsidR="00324B33" w:rsidRPr="00D01DDB" w:rsidRDefault="00324B33" w:rsidP="00324B33">
            <w:pPr>
              <w:rPr>
                <w:szCs w:val="22"/>
              </w:rPr>
            </w:pPr>
            <w:r w:rsidRPr="00D01DDB">
              <w:rPr>
                <w:szCs w:val="22"/>
              </w:rPr>
              <w:t>Region</w:t>
            </w:r>
          </w:p>
        </w:tc>
        <w:tc>
          <w:tcPr>
            <w:tcW w:w="1018" w:type="pct"/>
          </w:tcPr>
          <w:p w14:paraId="778C35C7" w14:textId="52D23C8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Submission date</w:t>
            </w:r>
          </w:p>
        </w:tc>
        <w:tc>
          <w:tcPr>
            <w:tcW w:w="1173" w:type="pct"/>
          </w:tcPr>
          <w:p w14:paraId="58F81584" w14:textId="19F2339D" w:rsidR="00324B33" w:rsidRPr="00D01DDB" w:rsidRDefault="00EB23B0" w:rsidP="00324B33">
            <w:pPr>
              <w:cnfStyle w:val="100000000000" w:firstRow="1" w:lastRow="0" w:firstColumn="0" w:lastColumn="0" w:oddVBand="0" w:evenVBand="0" w:oddHBand="0" w:evenHBand="0" w:firstRowFirstColumn="0" w:firstRowLastColumn="0" w:lastRowFirstColumn="0" w:lastRowLastColumn="0"/>
              <w:rPr>
                <w:szCs w:val="22"/>
              </w:rPr>
            </w:pPr>
            <w:r>
              <w:rPr>
                <w:szCs w:val="22"/>
              </w:rPr>
              <w:t>Approved</w:t>
            </w:r>
          </w:p>
        </w:tc>
        <w:tc>
          <w:tcPr>
            <w:tcW w:w="1795" w:type="pct"/>
          </w:tcPr>
          <w:p w14:paraId="50B2D435" w14:textId="70AA0D59" w:rsidR="00324B33" w:rsidRPr="00D01DDB" w:rsidRDefault="00390A0F" w:rsidP="00324B33">
            <w:pPr>
              <w:cnfStyle w:val="100000000000" w:firstRow="1" w:lastRow="0" w:firstColumn="0" w:lastColumn="0" w:oddVBand="0" w:evenVBand="0" w:oddHBand="0" w:evenHBand="0" w:firstRowFirstColumn="0" w:firstRowLastColumn="0" w:lastRowFirstColumn="0" w:lastRowLastColumn="0"/>
              <w:rPr>
                <w:szCs w:val="22"/>
              </w:rPr>
            </w:pPr>
            <w:r>
              <w:rPr>
                <w:szCs w:val="22"/>
              </w:rPr>
              <w:t>I</w:t>
            </w:r>
            <w:r w:rsidR="00324B33" w:rsidRPr="00D01DDB">
              <w:rPr>
                <w:szCs w:val="22"/>
              </w:rPr>
              <w:t>ndications</w:t>
            </w:r>
            <w:r>
              <w:rPr>
                <w:szCs w:val="22"/>
              </w:rPr>
              <w:t xml:space="preserve"> (approved or requested)</w:t>
            </w:r>
          </w:p>
        </w:tc>
      </w:tr>
      <w:tr w:rsidR="00324B33" w:rsidRPr="00D01DDB" w14:paraId="38D24E86" w14:textId="77777777" w:rsidTr="0013132F">
        <w:tc>
          <w:tcPr>
            <w:cnfStyle w:val="001000000000" w:firstRow="0" w:lastRow="0" w:firstColumn="1" w:lastColumn="0" w:oddVBand="0" w:evenVBand="0" w:oddHBand="0" w:evenHBand="0" w:firstRowFirstColumn="0" w:firstRowLastColumn="0" w:lastRowFirstColumn="0" w:lastRowLastColumn="0"/>
            <w:tcW w:w="1014" w:type="pct"/>
          </w:tcPr>
          <w:p w14:paraId="4C540DE5" w14:textId="7B1ECFC4" w:rsidR="00324B33" w:rsidRPr="00D01DDB" w:rsidRDefault="00EB23B0" w:rsidP="00324B33">
            <w:pPr>
              <w:rPr>
                <w:szCs w:val="22"/>
              </w:rPr>
            </w:pPr>
            <w:r>
              <w:rPr>
                <w:szCs w:val="22"/>
              </w:rPr>
              <w:t>USA</w:t>
            </w:r>
          </w:p>
        </w:tc>
        <w:tc>
          <w:tcPr>
            <w:tcW w:w="1018" w:type="pct"/>
          </w:tcPr>
          <w:p w14:paraId="4FA5DDA9" w14:textId="00397CCB" w:rsidR="00324B33" w:rsidRPr="00D01DDB" w:rsidRDefault="00EB23B0"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14 December 2024 </w:t>
            </w:r>
          </w:p>
        </w:tc>
        <w:tc>
          <w:tcPr>
            <w:tcW w:w="1173" w:type="pct"/>
          </w:tcPr>
          <w:p w14:paraId="29358393" w14:textId="5C609464" w:rsidR="00324B33" w:rsidRPr="00D01DDB" w:rsidRDefault="00390A0F"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14 August 2024</w:t>
            </w:r>
          </w:p>
        </w:tc>
        <w:tc>
          <w:tcPr>
            <w:tcW w:w="1795" w:type="pct"/>
          </w:tcPr>
          <w:p w14:paraId="05055674" w14:textId="6F003914" w:rsidR="00324B33" w:rsidRPr="00D01DDB" w:rsidRDefault="008705E9" w:rsidP="00324B33">
            <w:pPr>
              <w:cnfStyle w:val="000000000000" w:firstRow="0" w:lastRow="0" w:firstColumn="0" w:lastColumn="0" w:oddVBand="0" w:evenVBand="0" w:oddHBand="0" w:evenHBand="0" w:firstRowFirstColumn="0" w:firstRowLastColumn="0" w:lastRowFirstColumn="0" w:lastRowLastColumn="0"/>
              <w:rPr>
                <w:szCs w:val="22"/>
              </w:rPr>
            </w:pPr>
            <w:proofErr w:type="spellStart"/>
            <w:r>
              <w:rPr>
                <w:szCs w:val="22"/>
              </w:rPr>
              <w:t>Livdelzi</w:t>
            </w:r>
            <w:proofErr w:type="spellEnd"/>
            <w:r>
              <w:rPr>
                <w:szCs w:val="22"/>
              </w:rPr>
              <w:t xml:space="preserve"> is indicated for the treatment of primary biliary cholangitis </w:t>
            </w:r>
            <w:r w:rsidR="00556868">
              <w:rPr>
                <w:szCs w:val="22"/>
              </w:rPr>
              <w:t>(PBC) in combination with ursodeoxycholic acid (UDCA) in adult</w:t>
            </w:r>
            <w:r w:rsidR="00DE7825">
              <w:rPr>
                <w:szCs w:val="22"/>
              </w:rPr>
              <w:t>s who have an inadequate response to UDCA, or as monotherapy in patients unable to tolerate UDCA.</w:t>
            </w:r>
          </w:p>
        </w:tc>
      </w:tr>
      <w:tr w:rsidR="00324B33" w:rsidRPr="00D01DDB" w14:paraId="18B6E2AA" w14:textId="7783D66F" w:rsidTr="0013132F">
        <w:tc>
          <w:tcPr>
            <w:cnfStyle w:val="001000000000" w:firstRow="0" w:lastRow="0" w:firstColumn="1" w:lastColumn="0" w:oddVBand="0" w:evenVBand="0" w:oddHBand="0" w:evenHBand="0" w:firstRowFirstColumn="0" w:firstRowLastColumn="0" w:lastRowFirstColumn="0" w:lastRowLastColumn="0"/>
            <w:tcW w:w="1014" w:type="pct"/>
          </w:tcPr>
          <w:p w14:paraId="7F348960" w14:textId="3B2DFB80" w:rsidR="00324B33" w:rsidRPr="00D01DDB" w:rsidRDefault="00784672" w:rsidP="00324B33">
            <w:pPr>
              <w:rPr>
                <w:szCs w:val="22"/>
              </w:rPr>
            </w:pPr>
            <w:r>
              <w:rPr>
                <w:szCs w:val="22"/>
              </w:rPr>
              <w:t>European Union</w:t>
            </w:r>
          </w:p>
        </w:tc>
        <w:tc>
          <w:tcPr>
            <w:tcW w:w="1018" w:type="pct"/>
          </w:tcPr>
          <w:p w14:paraId="1D871E57" w14:textId="40EA71DD" w:rsidR="00324B33" w:rsidRPr="00D01DDB" w:rsidRDefault="00784672"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12 February 2024</w:t>
            </w:r>
          </w:p>
        </w:tc>
        <w:tc>
          <w:tcPr>
            <w:tcW w:w="1173" w:type="pct"/>
          </w:tcPr>
          <w:p w14:paraId="63A3A9D3" w14:textId="01861F6B" w:rsidR="00324B33" w:rsidRPr="00D01DDB" w:rsidRDefault="00784672"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20 February 2025 (Conditional Marketing Authorisation)</w:t>
            </w:r>
          </w:p>
        </w:tc>
        <w:tc>
          <w:tcPr>
            <w:tcW w:w="1795" w:type="pct"/>
          </w:tcPr>
          <w:p w14:paraId="17C650B8" w14:textId="673FEC07" w:rsidR="00324B33" w:rsidRPr="00D01DDB" w:rsidRDefault="00CE2BC2" w:rsidP="00324B33">
            <w:pPr>
              <w:cnfStyle w:val="000000000000" w:firstRow="0" w:lastRow="0" w:firstColumn="0" w:lastColumn="0" w:oddVBand="0" w:evenVBand="0" w:oddHBand="0" w:evenHBand="0" w:firstRowFirstColumn="0" w:firstRowLastColumn="0" w:lastRowFirstColumn="0" w:lastRowLastColumn="0"/>
              <w:rPr>
                <w:szCs w:val="22"/>
              </w:rPr>
            </w:pPr>
            <w:proofErr w:type="spellStart"/>
            <w:r>
              <w:rPr>
                <w:szCs w:val="22"/>
              </w:rPr>
              <w:t>Lyvdelzi</w:t>
            </w:r>
            <w:proofErr w:type="spellEnd"/>
            <w:r w:rsidR="003B30EA">
              <w:rPr>
                <w:szCs w:val="22"/>
              </w:rPr>
              <w:t xml:space="preserve"> is indicated for the treatment of primary biliary cholangitis (PBC) in combination with ursodeoxycholic acid (UDCA) in adults who have an inadequate response to UDCA</w:t>
            </w:r>
            <w:r w:rsidR="009146B0">
              <w:rPr>
                <w:szCs w:val="22"/>
              </w:rPr>
              <w:t xml:space="preserve"> alone,</w:t>
            </w:r>
            <w:r w:rsidR="003B30EA">
              <w:rPr>
                <w:szCs w:val="22"/>
              </w:rPr>
              <w:t xml:space="preserve"> or as monotherapy in </w:t>
            </w:r>
            <w:r w:rsidR="009146B0">
              <w:rPr>
                <w:szCs w:val="22"/>
              </w:rPr>
              <w:t>those</w:t>
            </w:r>
            <w:r w:rsidR="003B30EA">
              <w:rPr>
                <w:szCs w:val="22"/>
              </w:rPr>
              <w:t xml:space="preserve"> unable to tolerate UDCA.</w:t>
            </w:r>
          </w:p>
        </w:tc>
      </w:tr>
      <w:tr w:rsidR="009146B0" w:rsidRPr="00D01DDB" w14:paraId="2EA83932" w14:textId="77777777" w:rsidTr="0013132F">
        <w:tc>
          <w:tcPr>
            <w:cnfStyle w:val="001000000000" w:firstRow="0" w:lastRow="0" w:firstColumn="1" w:lastColumn="0" w:oddVBand="0" w:evenVBand="0" w:oddHBand="0" w:evenHBand="0" w:firstRowFirstColumn="0" w:firstRowLastColumn="0" w:lastRowFirstColumn="0" w:lastRowLastColumn="0"/>
            <w:tcW w:w="1014" w:type="pct"/>
          </w:tcPr>
          <w:p w14:paraId="46909C57" w14:textId="3E56CCAF" w:rsidR="009146B0" w:rsidRDefault="00C05D1F" w:rsidP="00324B33">
            <w:pPr>
              <w:rPr>
                <w:szCs w:val="22"/>
              </w:rPr>
            </w:pPr>
            <w:r>
              <w:rPr>
                <w:szCs w:val="22"/>
              </w:rPr>
              <w:lastRenderedPageBreak/>
              <w:t>United Kingdom</w:t>
            </w:r>
            <w:r w:rsidR="00FC7E4D">
              <w:rPr>
                <w:szCs w:val="22"/>
              </w:rPr>
              <w:t xml:space="preserve"> (England, Wales, Scotland, Northern Island)</w:t>
            </w:r>
          </w:p>
        </w:tc>
        <w:tc>
          <w:tcPr>
            <w:tcW w:w="1018" w:type="pct"/>
          </w:tcPr>
          <w:p w14:paraId="34CA83C2" w14:textId="283EF9C7" w:rsidR="009146B0" w:rsidRDefault="00C05D1F"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26 January 2024</w:t>
            </w:r>
          </w:p>
        </w:tc>
        <w:tc>
          <w:tcPr>
            <w:tcW w:w="1173" w:type="pct"/>
          </w:tcPr>
          <w:p w14:paraId="582D6E42" w14:textId="47E00C64" w:rsidR="009146B0" w:rsidRDefault="00C05D1F"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16 January 2025</w:t>
            </w:r>
          </w:p>
        </w:tc>
        <w:tc>
          <w:tcPr>
            <w:tcW w:w="1795" w:type="pct"/>
          </w:tcPr>
          <w:p w14:paraId="61EBD070" w14:textId="5693DDC3" w:rsidR="009146B0" w:rsidRDefault="00C60BB8" w:rsidP="00324B33">
            <w:pPr>
              <w:cnfStyle w:val="000000000000" w:firstRow="0" w:lastRow="0" w:firstColumn="0" w:lastColumn="0" w:oddVBand="0" w:evenVBand="0" w:oddHBand="0" w:evenHBand="0" w:firstRowFirstColumn="0" w:firstRowLastColumn="0" w:lastRowFirstColumn="0" w:lastRowLastColumn="0"/>
              <w:rPr>
                <w:szCs w:val="22"/>
              </w:rPr>
            </w:pPr>
            <w:proofErr w:type="spellStart"/>
            <w:r>
              <w:rPr>
                <w:szCs w:val="22"/>
              </w:rPr>
              <w:t>Livdelzi</w:t>
            </w:r>
            <w:proofErr w:type="spellEnd"/>
            <w:r>
              <w:rPr>
                <w:szCs w:val="22"/>
              </w:rPr>
              <w:t xml:space="preserve"> is indicated for the treatment of primary biliary cholangitis (PBC)</w:t>
            </w:r>
            <w:r w:rsidR="00815B02">
              <w:rPr>
                <w:szCs w:val="22"/>
              </w:rPr>
              <w:t>, including pruritus, in adults</w:t>
            </w:r>
            <w:r>
              <w:rPr>
                <w:szCs w:val="22"/>
              </w:rPr>
              <w:t xml:space="preserve"> in combination with ursodeoxycholic acid (UDCA) who have an inadequate response to UDCA, or as monotherapy in </w:t>
            </w:r>
            <w:r w:rsidR="00CF79DC">
              <w:rPr>
                <w:szCs w:val="22"/>
              </w:rPr>
              <w:t xml:space="preserve">those </w:t>
            </w:r>
            <w:r>
              <w:rPr>
                <w:szCs w:val="22"/>
              </w:rPr>
              <w:t>unable to tolerate UDCA.</w:t>
            </w:r>
          </w:p>
        </w:tc>
      </w:tr>
      <w:tr w:rsidR="00C60BB8" w:rsidRPr="00D01DDB" w14:paraId="6C2D28A4" w14:textId="77777777" w:rsidTr="0013132F">
        <w:tc>
          <w:tcPr>
            <w:cnfStyle w:val="001000000000" w:firstRow="0" w:lastRow="0" w:firstColumn="1" w:lastColumn="0" w:oddVBand="0" w:evenVBand="0" w:oddHBand="0" w:evenHBand="0" w:firstRowFirstColumn="0" w:firstRowLastColumn="0" w:lastRowFirstColumn="0" w:lastRowLastColumn="0"/>
            <w:tcW w:w="1014" w:type="pct"/>
          </w:tcPr>
          <w:p w14:paraId="6DC3B7A4" w14:textId="0E477F64" w:rsidR="00C60BB8" w:rsidRDefault="00C60BB8" w:rsidP="00324B33">
            <w:pPr>
              <w:rPr>
                <w:szCs w:val="22"/>
              </w:rPr>
            </w:pPr>
            <w:r>
              <w:rPr>
                <w:szCs w:val="22"/>
              </w:rPr>
              <w:t>Canada</w:t>
            </w:r>
          </w:p>
        </w:tc>
        <w:tc>
          <w:tcPr>
            <w:tcW w:w="1018" w:type="pct"/>
          </w:tcPr>
          <w:p w14:paraId="086902B9" w14:textId="3FB8A33F" w:rsidR="00C60BB8" w:rsidRDefault="00C60BB8"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13 January 2025</w:t>
            </w:r>
          </w:p>
        </w:tc>
        <w:tc>
          <w:tcPr>
            <w:tcW w:w="1173" w:type="pct"/>
          </w:tcPr>
          <w:p w14:paraId="3F9A154D" w14:textId="0CD24472" w:rsidR="00C60BB8" w:rsidRDefault="008314AF"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16 October 2025</w:t>
            </w:r>
          </w:p>
        </w:tc>
        <w:tc>
          <w:tcPr>
            <w:tcW w:w="1795" w:type="pct"/>
          </w:tcPr>
          <w:p w14:paraId="152FF741" w14:textId="31F02BFD" w:rsidR="00C60BB8" w:rsidRDefault="009657AD" w:rsidP="00324B33">
            <w:pPr>
              <w:cnfStyle w:val="000000000000" w:firstRow="0" w:lastRow="0" w:firstColumn="0" w:lastColumn="0" w:oddVBand="0" w:evenVBand="0" w:oddHBand="0" w:evenHBand="0" w:firstRowFirstColumn="0" w:firstRowLastColumn="0" w:lastRowFirstColumn="0" w:lastRowLastColumn="0"/>
              <w:rPr>
                <w:szCs w:val="22"/>
              </w:rPr>
            </w:pPr>
            <w:proofErr w:type="spellStart"/>
            <w:r>
              <w:rPr>
                <w:szCs w:val="22"/>
              </w:rPr>
              <w:t>Lyvdelzi</w:t>
            </w:r>
            <w:proofErr w:type="spellEnd"/>
            <w:r>
              <w:rPr>
                <w:szCs w:val="22"/>
              </w:rPr>
              <w:t xml:space="preserve"> </w:t>
            </w:r>
            <w:r w:rsidR="006905F9">
              <w:rPr>
                <w:szCs w:val="22"/>
              </w:rPr>
              <w:t>is indicated for the treatment of primary biliary cholangitis (PBC)</w:t>
            </w:r>
            <w:r w:rsidR="00BE528C">
              <w:rPr>
                <w:szCs w:val="22"/>
              </w:rPr>
              <w:t xml:space="preserve">, in </w:t>
            </w:r>
            <w:r w:rsidR="006905F9">
              <w:rPr>
                <w:szCs w:val="22"/>
              </w:rPr>
              <w:t xml:space="preserve">combination with ursodeoxycholic acid (UDCA) </w:t>
            </w:r>
            <w:r>
              <w:rPr>
                <w:szCs w:val="22"/>
              </w:rPr>
              <w:t xml:space="preserve">in adults </w:t>
            </w:r>
            <w:r w:rsidR="006905F9">
              <w:rPr>
                <w:szCs w:val="22"/>
              </w:rPr>
              <w:t>who have an inadequate response to UDCA</w:t>
            </w:r>
            <w:r w:rsidR="00F860D5">
              <w:rPr>
                <w:szCs w:val="22"/>
              </w:rPr>
              <w:t xml:space="preserve"> alone</w:t>
            </w:r>
            <w:r w:rsidR="006905F9">
              <w:rPr>
                <w:szCs w:val="22"/>
              </w:rPr>
              <w:t xml:space="preserve">, or as monotherapy in </w:t>
            </w:r>
            <w:r>
              <w:rPr>
                <w:szCs w:val="22"/>
              </w:rPr>
              <w:t xml:space="preserve">adults </w:t>
            </w:r>
            <w:r w:rsidR="006905F9">
              <w:rPr>
                <w:szCs w:val="22"/>
              </w:rPr>
              <w:t>unable to tolerate UDCA.</w:t>
            </w:r>
          </w:p>
        </w:tc>
      </w:tr>
      <w:tr w:rsidR="00D7101A" w:rsidRPr="00D01DDB" w14:paraId="25051088" w14:textId="77777777" w:rsidTr="0013132F">
        <w:tc>
          <w:tcPr>
            <w:cnfStyle w:val="001000000000" w:firstRow="0" w:lastRow="0" w:firstColumn="1" w:lastColumn="0" w:oddVBand="0" w:evenVBand="0" w:oddHBand="0" w:evenHBand="0" w:firstRowFirstColumn="0" w:firstRowLastColumn="0" w:lastRowFirstColumn="0" w:lastRowLastColumn="0"/>
            <w:tcW w:w="1014" w:type="pct"/>
          </w:tcPr>
          <w:p w14:paraId="533CC28E" w14:textId="3BFE57B6" w:rsidR="00D7101A" w:rsidRDefault="00D7101A" w:rsidP="00324B33">
            <w:pPr>
              <w:rPr>
                <w:szCs w:val="22"/>
              </w:rPr>
            </w:pPr>
            <w:r>
              <w:rPr>
                <w:szCs w:val="22"/>
              </w:rPr>
              <w:t>Israel</w:t>
            </w:r>
          </w:p>
        </w:tc>
        <w:tc>
          <w:tcPr>
            <w:tcW w:w="1018" w:type="pct"/>
          </w:tcPr>
          <w:p w14:paraId="5D00B473" w14:textId="68874258" w:rsidR="00D7101A" w:rsidRDefault="00D7101A"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 April 2025</w:t>
            </w:r>
          </w:p>
        </w:tc>
        <w:tc>
          <w:tcPr>
            <w:tcW w:w="1173" w:type="pct"/>
          </w:tcPr>
          <w:p w14:paraId="7F178B12" w14:textId="5EB17FE4" w:rsidR="00D7101A" w:rsidRDefault="008314AF"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8 December 2025</w:t>
            </w:r>
          </w:p>
        </w:tc>
        <w:tc>
          <w:tcPr>
            <w:tcW w:w="1795" w:type="pct"/>
          </w:tcPr>
          <w:p w14:paraId="453F35F0" w14:textId="3C1EC89D" w:rsidR="00D7101A" w:rsidRDefault="00E9477F" w:rsidP="00324B33">
            <w:pPr>
              <w:cnfStyle w:val="000000000000" w:firstRow="0" w:lastRow="0" w:firstColumn="0" w:lastColumn="0" w:oddVBand="0" w:evenVBand="0" w:oddHBand="0" w:evenHBand="0" w:firstRowFirstColumn="0" w:firstRowLastColumn="0" w:lastRowFirstColumn="0" w:lastRowLastColumn="0"/>
              <w:rPr>
                <w:szCs w:val="22"/>
              </w:rPr>
            </w:pPr>
            <w:proofErr w:type="spellStart"/>
            <w:r>
              <w:rPr>
                <w:szCs w:val="22"/>
              </w:rPr>
              <w:t>Livdelzi</w:t>
            </w:r>
            <w:proofErr w:type="spellEnd"/>
            <w:r>
              <w:rPr>
                <w:szCs w:val="22"/>
              </w:rPr>
              <w:t xml:space="preserve"> is indicated for the treatment of primary biliary cholangitis (PBC), in combination with ursodeoxycholic acid (UDCA) </w:t>
            </w:r>
            <w:r w:rsidR="00E33DCF">
              <w:rPr>
                <w:szCs w:val="22"/>
              </w:rPr>
              <w:t xml:space="preserve">in adults </w:t>
            </w:r>
            <w:r>
              <w:rPr>
                <w:szCs w:val="22"/>
              </w:rPr>
              <w:t>who have an inadequate response to UDCA alone, or as monotherapy in those unable to tolerate UDCA.</w:t>
            </w:r>
          </w:p>
        </w:tc>
      </w:tr>
      <w:tr w:rsidR="00E9477F" w:rsidRPr="00D01DDB" w14:paraId="2CBE57CA" w14:textId="77777777" w:rsidTr="0013132F">
        <w:tc>
          <w:tcPr>
            <w:cnfStyle w:val="001000000000" w:firstRow="0" w:lastRow="0" w:firstColumn="1" w:lastColumn="0" w:oddVBand="0" w:evenVBand="0" w:oddHBand="0" w:evenHBand="0" w:firstRowFirstColumn="0" w:firstRowLastColumn="0" w:lastRowFirstColumn="0" w:lastRowLastColumn="0"/>
            <w:tcW w:w="1014" w:type="pct"/>
          </w:tcPr>
          <w:p w14:paraId="6ACC8217" w14:textId="52B12253" w:rsidR="00E9477F" w:rsidRDefault="00974D8E" w:rsidP="00324B33">
            <w:pPr>
              <w:rPr>
                <w:szCs w:val="22"/>
              </w:rPr>
            </w:pPr>
            <w:r>
              <w:rPr>
                <w:szCs w:val="22"/>
              </w:rPr>
              <w:t>Switzerland</w:t>
            </w:r>
          </w:p>
        </w:tc>
        <w:tc>
          <w:tcPr>
            <w:tcW w:w="1018" w:type="pct"/>
          </w:tcPr>
          <w:p w14:paraId="42A79F12" w14:textId="36F3B967" w:rsidR="00E9477F" w:rsidRDefault="00974D8E"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23 January 2025</w:t>
            </w:r>
          </w:p>
        </w:tc>
        <w:tc>
          <w:tcPr>
            <w:tcW w:w="1173" w:type="pct"/>
          </w:tcPr>
          <w:p w14:paraId="338E52FA" w14:textId="117A8C1A" w:rsidR="00E9477F" w:rsidRDefault="008314AF"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9 December 2025</w:t>
            </w:r>
            <w:r w:rsidR="00843FC4">
              <w:rPr>
                <w:szCs w:val="22"/>
              </w:rPr>
              <w:t xml:space="preserve"> </w:t>
            </w:r>
          </w:p>
        </w:tc>
        <w:tc>
          <w:tcPr>
            <w:tcW w:w="1795" w:type="pct"/>
          </w:tcPr>
          <w:p w14:paraId="761207B3" w14:textId="505AAE38" w:rsidR="00E9477F" w:rsidRDefault="00124AFD" w:rsidP="00324B33">
            <w:pPr>
              <w:cnfStyle w:val="000000000000" w:firstRow="0" w:lastRow="0" w:firstColumn="0" w:lastColumn="0" w:oddVBand="0" w:evenVBand="0" w:oddHBand="0" w:evenHBand="0" w:firstRowFirstColumn="0" w:firstRowLastColumn="0" w:lastRowFirstColumn="0" w:lastRowLastColumn="0"/>
              <w:rPr>
                <w:szCs w:val="22"/>
              </w:rPr>
            </w:pPr>
            <w:proofErr w:type="spellStart"/>
            <w:r>
              <w:rPr>
                <w:szCs w:val="22"/>
              </w:rPr>
              <w:t>Lyvdelzi</w:t>
            </w:r>
            <w:proofErr w:type="spellEnd"/>
            <w:r w:rsidR="00974D8E">
              <w:rPr>
                <w:szCs w:val="22"/>
              </w:rPr>
              <w:t xml:space="preserve"> is indicated for the treatment of primary biliary cholangitis (PBC), in adults in combination with ursodeoxycholic acid (UDCA) who have an inadequate response to UDCA alone, or as monotherapy in those unable to tolerate UDCA.</w:t>
            </w:r>
          </w:p>
        </w:tc>
      </w:tr>
    </w:tbl>
    <w:p w14:paraId="624AF38C" w14:textId="71F0B284" w:rsidR="00143B2F" w:rsidRDefault="004A40C7" w:rsidP="00473EF7">
      <w:pPr>
        <w:pStyle w:val="TableDescription"/>
      </w:pPr>
      <w:bookmarkStart w:id="25" w:name="_Toc504480011"/>
      <w:bookmarkStart w:id="26" w:name="_Toc103679293"/>
      <w:r>
        <w:t>No applications for this product have been rejected, withdrawn or repeatedly deferred on the grounds of safety or efficacy.</w:t>
      </w:r>
    </w:p>
    <w:p w14:paraId="472BC714" w14:textId="77777777" w:rsidR="004A40C7" w:rsidRDefault="004A40C7" w:rsidP="00473EF7">
      <w:r>
        <w:br w:type="page"/>
      </w:r>
    </w:p>
    <w:p w14:paraId="6D92589C" w14:textId="39FD5828" w:rsidR="00324B33" w:rsidRDefault="00324B33" w:rsidP="00473EF7">
      <w:pPr>
        <w:pStyle w:val="Heading2"/>
      </w:pPr>
      <w:bookmarkStart w:id="27" w:name="_Toc233197011"/>
      <w:r>
        <w:lastRenderedPageBreak/>
        <w:t>Registration timeline</w:t>
      </w:r>
      <w:bookmarkEnd w:id="25"/>
      <w:bookmarkEnd w:id="26"/>
      <w:bookmarkEnd w:id="27"/>
    </w:p>
    <w:p w14:paraId="225E3D87" w14:textId="1F3070CE" w:rsidR="00324B33" w:rsidRPr="00BD5DBD" w:rsidRDefault="00324B33" w:rsidP="00473EF7">
      <w:r w:rsidRPr="00BD5DBD">
        <w:t>The following table captures the key steps and dates for this submission.</w:t>
      </w:r>
    </w:p>
    <w:p w14:paraId="6BB76942" w14:textId="49C62989" w:rsidR="00477C4E" w:rsidRPr="00BD5DBD" w:rsidRDefault="00477C4E" w:rsidP="00473EF7">
      <w:pPr>
        <w:rPr>
          <w:szCs w:val="22"/>
        </w:rPr>
      </w:pPr>
      <w:r w:rsidRPr="00046315">
        <w:rPr>
          <w:szCs w:val="22"/>
        </w:rPr>
        <w:t xml:space="preserve">This submission was evaluated under the </w:t>
      </w:r>
      <w:hyperlink r:id="rId24" w:history="1">
        <w:r w:rsidRPr="00046315">
          <w:rPr>
            <w:rStyle w:val="Hyperlink"/>
            <w:szCs w:val="22"/>
          </w:rPr>
          <w:t>standard prescription medicines registration process</w:t>
        </w:r>
      </w:hyperlink>
      <w:r w:rsidRPr="00046315">
        <w:rPr>
          <w:szCs w:val="22"/>
        </w:rPr>
        <w:t>.</w:t>
      </w:r>
    </w:p>
    <w:p w14:paraId="44628C5F" w14:textId="390FC4E0" w:rsidR="00324B33" w:rsidRDefault="00324B33" w:rsidP="00D456BA">
      <w:pPr>
        <w:pStyle w:val="TableTitle"/>
      </w:pPr>
      <w:r w:rsidRPr="002C1232">
        <w:t xml:space="preserve">Table </w:t>
      </w:r>
      <w:r w:rsidR="008B1CB5">
        <w:fldChar w:fldCharType="begin"/>
      </w:r>
      <w:r w:rsidR="008B1CB5">
        <w:instrText xml:space="preserve"> SEQ Table \* ARABIC </w:instrText>
      </w:r>
      <w:r w:rsidR="008B1CB5">
        <w:fldChar w:fldCharType="separate"/>
      </w:r>
      <w:r w:rsidR="008B1CB5" w:rsidRPr="002C1232">
        <w:t>2</w:t>
      </w:r>
      <w:r w:rsidR="008B1CB5">
        <w:fldChar w:fldCharType="end"/>
      </w:r>
      <w:r w:rsidRPr="002C1232">
        <w:t xml:space="preserve">: Timeline for </w:t>
      </w:r>
      <w:r w:rsidR="00761D6D">
        <w:t>assessment of this submission</w:t>
      </w:r>
    </w:p>
    <w:tbl>
      <w:tblPr>
        <w:tblStyle w:val="TableTGAblue2023"/>
        <w:tblW w:w="8642" w:type="dxa"/>
        <w:tblLook w:val="04A0" w:firstRow="1" w:lastRow="0" w:firstColumn="1" w:lastColumn="0" w:noHBand="0" w:noVBand="1"/>
      </w:tblPr>
      <w:tblGrid>
        <w:gridCol w:w="5665"/>
        <w:gridCol w:w="2977"/>
      </w:tblGrid>
      <w:tr w:rsidR="00324B33" w:rsidRPr="00D01DDB" w14:paraId="6C59BE9C" w14:textId="77777777" w:rsidTr="000D7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6D80E78" w14:textId="3EC0CCAF" w:rsidR="00324B33" w:rsidRPr="00D01DDB" w:rsidRDefault="00324B33" w:rsidP="00324B33">
            <w:pPr>
              <w:rPr>
                <w:szCs w:val="22"/>
              </w:rPr>
            </w:pPr>
            <w:r w:rsidRPr="00D01DDB">
              <w:rPr>
                <w:szCs w:val="22"/>
              </w:rPr>
              <w:t>Description</w:t>
            </w:r>
          </w:p>
        </w:tc>
        <w:tc>
          <w:tcPr>
            <w:tcW w:w="2977" w:type="dxa"/>
          </w:tcPr>
          <w:p w14:paraId="79AFDC4B" w14:textId="0579203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Date</w:t>
            </w:r>
          </w:p>
        </w:tc>
      </w:tr>
      <w:tr w:rsidR="00324B33" w:rsidRPr="00D01DDB" w14:paraId="23610C53"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759D2A12" w14:textId="0D705F83" w:rsidR="00324B33" w:rsidRPr="00E679D1" w:rsidRDefault="00324B33" w:rsidP="00E679D1">
            <w:r w:rsidRPr="00E679D1">
              <w:t>Submission dossier accepted and first round evaluation commenced</w:t>
            </w:r>
          </w:p>
        </w:tc>
        <w:tc>
          <w:tcPr>
            <w:tcW w:w="2977" w:type="dxa"/>
          </w:tcPr>
          <w:p w14:paraId="2963D9D8" w14:textId="2841A259" w:rsidR="00324B33" w:rsidRPr="00D01DDB" w:rsidRDefault="009936CA"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31 January 2025</w:t>
            </w:r>
          </w:p>
        </w:tc>
      </w:tr>
      <w:tr w:rsidR="00803926" w:rsidRPr="00D01DDB" w14:paraId="16D13F79"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6858B45A" w14:textId="615A218B" w:rsidR="00803926" w:rsidRPr="00E679D1" w:rsidDel="00C62B1C" w:rsidRDefault="00803926" w:rsidP="00E679D1">
            <w:r>
              <w:t>Evaluation completed</w:t>
            </w:r>
            <w:r w:rsidR="005775D0">
              <w:t xml:space="preserve"> (End of round </w:t>
            </w:r>
            <w:r w:rsidR="00C00844">
              <w:t>2)</w:t>
            </w:r>
          </w:p>
        </w:tc>
        <w:tc>
          <w:tcPr>
            <w:tcW w:w="2977" w:type="dxa"/>
          </w:tcPr>
          <w:p w14:paraId="2E0BD403" w14:textId="5A330FAF" w:rsidR="00803926" w:rsidRPr="00D01DDB" w:rsidRDefault="00CB40FC"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22 October </w:t>
            </w:r>
            <w:r w:rsidR="009936CA">
              <w:rPr>
                <w:szCs w:val="22"/>
              </w:rPr>
              <w:t>2025</w:t>
            </w:r>
          </w:p>
        </w:tc>
      </w:tr>
      <w:tr w:rsidR="00324B33" w:rsidRPr="00D01DDB" w14:paraId="5754F7AC"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789DE187" w14:textId="438F4A68" w:rsidR="00324B33" w:rsidRPr="00E679D1" w:rsidRDefault="00324B33" w:rsidP="00E679D1">
            <w:r w:rsidRPr="00E679D1">
              <w:t xml:space="preserve">Advisory </w:t>
            </w:r>
            <w:r w:rsidR="00F8568E">
              <w:t>c</w:t>
            </w:r>
            <w:r w:rsidRPr="00E679D1">
              <w:t>ommittee meeting</w:t>
            </w:r>
          </w:p>
        </w:tc>
        <w:tc>
          <w:tcPr>
            <w:tcW w:w="2977" w:type="dxa"/>
          </w:tcPr>
          <w:p w14:paraId="5BE1EDE7" w14:textId="54CF68D3" w:rsidR="00324B33" w:rsidRPr="00D01DDB" w:rsidRDefault="008F676B"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4-5 December 2025</w:t>
            </w:r>
          </w:p>
        </w:tc>
      </w:tr>
      <w:tr w:rsidR="00324B33" w:rsidRPr="00D01DDB" w14:paraId="6E5D32FE"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4E95C44C" w14:textId="7A91C710" w:rsidR="00324B33" w:rsidRPr="00E679D1" w:rsidRDefault="00324B33" w:rsidP="00E679D1">
            <w:r w:rsidRPr="00E679D1">
              <w:t>Registration decision (Outcome)</w:t>
            </w:r>
          </w:p>
        </w:tc>
        <w:tc>
          <w:tcPr>
            <w:tcW w:w="2977" w:type="dxa"/>
          </w:tcPr>
          <w:p w14:paraId="62987ABD" w14:textId="52C7E899" w:rsidR="00324B33" w:rsidRPr="00D01DDB" w:rsidRDefault="00BA3708"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19 December 2025</w:t>
            </w:r>
          </w:p>
        </w:tc>
      </w:tr>
      <w:tr w:rsidR="00324B33" w:rsidRPr="00D01DDB" w14:paraId="6DDCDDA4"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192FD19D" w14:textId="72ADC689" w:rsidR="00324B33" w:rsidRPr="00E679D1" w:rsidRDefault="00C00844" w:rsidP="007311B9">
            <w:pPr>
              <w:ind w:left="0"/>
            </w:pPr>
            <w:r>
              <w:t>R</w:t>
            </w:r>
            <w:r w:rsidR="0013132F" w:rsidRPr="00E679D1">
              <w:t xml:space="preserve">egistration </w:t>
            </w:r>
            <w:r w:rsidR="005C4B46" w:rsidRPr="00E679D1">
              <w:t xml:space="preserve">in </w:t>
            </w:r>
            <w:r w:rsidR="0013132F" w:rsidRPr="00E679D1">
              <w:t xml:space="preserve">the </w:t>
            </w:r>
            <w:proofErr w:type="spellStart"/>
            <w:r w:rsidR="0013132F" w:rsidRPr="00E679D1">
              <w:t>ARTG</w:t>
            </w:r>
            <w:proofErr w:type="spellEnd"/>
            <w:r w:rsidR="0013132F" w:rsidRPr="00E679D1">
              <w:t xml:space="preserve"> completed</w:t>
            </w:r>
          </w:p>
        </w:tc>
        <w:tc>
          <w:tcPr>
            <w:tcW w:w="2977" w:type="dxa"/>
          </w:tcPr>
          <w:p w14:paraId="5A8923FD" w14:textId="7ABD7F7C" w:rsidR="00324B33" w:rsidRPr="00D01DDB" w:rsidRDefault="009E4869"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28 January 2026</w:t>
            </w:r>
          </w:p>
        </w:tc>
      </w:tr>
      <w:tr w:rsidR="00324B33" w:rsidRPr="00D01DDB" w14:paraId="56D922E2"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787FD8DD" w14:textId="0E0CF97F" w:rsidR="00324B33" w:rsidRPr="00E679D1" w:rsidRDefault="00324B33" w:rsidP="00E679D1">
            <w:r w:rsidRPr="00E679D1">
              <w:t>Number of working days from submission dossier acceptance to registration decision*</w:t>
            </w:r>
          </w:p>
        </w:tc>
        <w:tc>
          <w:tcPr>
            <w:tcW w:w="2977" w:type="dxa"/>
          </w:tcPr>
          <w:p w14:paraId="5BAF9FA1" w14:textId="79681CC9" w:rsidR="00324B33" w:rsidRPr="00D01DDB" w:rsidRDefault="0098512C"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125 days</w:t>
            </w:r>
          </w:p>
        </w:tc>
      </w:tr>
    </w:tbl>
    <w:p w14:paraId="7B02554C" w14:textId="77777777" w:rsidR="00433318" w:rsidRDefault="00433318" w:rsidP="00473EF7">
      <w:pPr>
        <w:pStyle w:val="TableDescription"/>
      </w:pPr>
      <w:r>
        <w:t>*</w:t>
      </w:r>
      <w:r w:rsidRPr="00BF3774">
        <w:t xml:space="preserve">Statutory </w:t>
      </w:r>
      <w:r>
        <w:t>timeframe for standard submissions is 255 working days</w:t>
      </w:r>
    </w:p>
    <w:p w14:paraId="220925F1" w14:textId="15B27A22" w:rsidR="00C22214" w:rsidRPr="00792A32" w:rsidRDefault="00083763" w:rsidP="00473EF7">
      <w:pPr>
        <w:pStyle w:val="Heading2"/>
      </w:pPr>
      <w:bookmarkStart w:id="28" w:name="_Toc196046504"/>
      <w:bookmarkStart w:id="29" w:name="_Toc247691527"/>
      <w:bookmarkStart w:id="30" w:name="_Toc314842510"/>
      <w:bookmarkStart w:id="31" w:name="_Toc103679294"/>
      <w:bookmarkStart w:id="32" w:name="_Toc233197012"/>
      <w:r>
        <w:t xml:space="preserve">Assessment </w:t>
      </w:r>
      <w:r w:rsidR="00C22214" w:rsidRPr="00006FAB">
        <w:t>overview</w:t>
      </w:r>
      <w:bookmarkEnd w:id="28"/>
      <w:bookmarkEnd w:id="29"/>
      <w:bookmarkEnd w:id="30"/>
      <w:bookmarkEnd w:id="31"/>
      <w:bookmarkEnd w:id="32"/>
    </w:p>
    <w:p w14:paraId="540151FC" w14:textId="77777777" w:rsidR="00C22214" w:rsidRPr="00BD5DBD" w:rsidRDefault="00C22214" w:rsidP="00D456BA">
      <w:bookmarkStart w:id="33" w:name="_Toc247691528"/>
      <w:bookmarkStart w:id="34" w:name="_Toc314842511"/>
      <w:r w:rsidRPr="00BD5DBD">
        <w:t>A summary of the TGA’s assessment for this submission is provided below.</w:t>
      </w:r>
    </w:p>
    <w:p w14:paraId="37F5A1C0" w14:textId="5D3D5FE0" w:rsidR="00C22214" w:rsidRDefault="00095C6A" w:rsidP="00C22214">
      <w:pPr>
        <w:pStyle w:val="Heading3"/>
      </w:pPr>
      <w:bookmarkStart w:id="35" w:name="_Toc103679295"/>
      <w:bookmarkStart w:id="36" w:name="_Toc233197013"/>
      <w:r>
        <w:t>Q</w:t>
      </w:r>
      <w:r w:rsidR="00C22214">
        <w:t>uality</w:t>
      </w:r>
      <w:bookmarkEnd w:id="33"/>
      <w:bookmarkEnd w:id="34"/>
      <w:bookmarkEnd w:id="35"/>
      <w:r w:rsidR="007E6443">
        <w:t xml:space="preserve"> evaluation</w:t>
      </w:r>
      <w:r>
        <w:t xml:space="preserve"> summary</w:t>
      </w:r>
      <w:bookmarkEnd w:id="36"/>
    </w:p>
    <w:p w14:paraId="1B5F5CF5" w14:textId="44EE3563" w:rsidR="008868B5" w:rsidRPr="008868B5" w:rsidRDefault="008868B5" w:rsidP="00D456BA">
      <w:proofErr w:type="spellStart"/>
      <w:r w:rsidRPr="007364D3">
        <w:t>Seladelpar</w:t>
      </w:r>
      <w:proofErr w:type="spellEnd"/>
      <w:r w:rsidRPr="007364D3">
        <w:t xml:space="preserve"> is a single </w:t>
      </w:r>
      <w:r w:rsidRPr="002222A0">
        <w:rPr>
          <w:i/>
          <w:iCs/>
        </w:rPr>
        <w:t>R</w:t>
      </w:r>
      <w:r w:rsidRPr="007364D3">
        <w:t>-configuration enantiomer and is present as a lysine dihydrate salt</w:t>
      </w:r>
      <w:r w:rsidR="004F7FC4">
        <w:t xml:space="preserve">. </w:t>
      </w:r>
      <w:r w:rsidRPr="008868B5">
        <w:t>The drug substance is produced by chemical synthesis. It is manufactured as the crystalline Form A polymorph, the only identified polymorph. The drug substance exists as a variable hydrate, with no change in the crystal form between 1% and 80% RH.</w:t>
      </w:r>
    </w:p>
    <w:p w14:paraId="347DEA7D" w14:textId="1E0E8CA4" w:rsidR="008868B5" w:rsidRPr="008868B5" w:rsidRDefault="008868B5" w:rsidP="00D456BA">
      <w:r w:rsidRPr="008868B5">
        <w:t>Risk evaluations on the potential presence of nitrosamines and elemental impurities were performed. No significant risk was identified.</w:t>
      </w:r>
    </w:p>
    <w:p w14:paraId="5D997BD3" w14:textId="77777777" w:rsidR="008868B5" w:rsidRPr="008868B5" w:rsidRDefault="008868B5" w:rsidP="00D456BA">
      <w:r w:rsidRPr="008868B5">
        <w:t>The long-term and accelerated stability studies support the proposed retest period of 60 months when stored at controlled room temperature (20 to 25°C).</w:t>
      </w:r>
    </w:p>
    <w:p w14:paraId="64303341" w14:textId="77777777" w:rsidR="008868B5" w:rsidRPr="008868B5" w:rsidRDefault="008868B5" w:rsidP="00D456BA">
      <w:r w:rsidRPr="008868B5">
        <w:t>The drug substance is not photolabile, and the product does not require special protection from light exposure.</w:t>
      </w:r>
    </w:p>
    <w:p w14:paraId="282B2A25" w14:textId="77777777" w:rsidR="008868B5" w:rsidRPr="008868B5" w:rsidRDefault="008868B5" w:rsidP="00D456BA">
      <w:r w:rsidRPr="008868B5">
        <w:t>The data supports a shelf-life of 48 months when stored below 25°C.</w:t>
      </w:r>
    </w:p>
    <w:p w14:paraId="1AFC85A4" w14:textId="77777777" w:rsidR="008868B5" w:rsidRPr="008868B5" w:rsidRDefault="008868B5" w:rsidP="00D456BA">
      <w:r w:rsidRPr="008868B5">
        <w:t>The supported in-use shelf life is 30 days after the first opening of the bottle.</w:t>
      </w:r>
    </w:p>
    <w:p w14:paraId="649FA0E5" w14:textId="68700829" w:rsidR="008868B5" w:rsidRPr="008868B5" w:rsidRDefault="008868B5" w:rsidP="00D456BA">
      <w:r w:rsidRPr="008868B5">
        <w:t xml:space="preserve">The product used in the Phase 3 clinical studies differed to the product proposed for registration (i.e. neat drug substance in capsules versus the proposed capsule formulation). The formulation differences were adequately bridged by a bioequivalence study. The 90% CIs for GLSM ratio between the products were within the range 80.00-125.00% for </w:t>
      </w:r>
      <w:proofErr w:type="spellStart"/>
      <w:r w:rsidRPr="008868B5">
        <w:t>C</w:t>
      </w:r>
      <w:r w:rsidRPr="008868B5">
        <w:rPr>
          <w:vertAlign w:val="subscript"/>
        </w:rPr>
        <w:t>max</w:t>
      </w:r>
      <w:proofErr w:type="spellEnd"/>
      <w:r w:rsidRPr="008868B5">
        <w:t xml:space="preserve"> and AUC, supporting the conclusion that the formulations were bioequivalent. The results for the study suggest that the rate and extent of absorption is not significantly affected by the formulation differences.</w:t>
      </w:r>
    </w:p>
    <w:p w14:paraId="409B83C1" w14:textId="3FCBD836" w:rsidR="00EB0C46" w:rsidRDefault="000925EB" w:rsidP="00D456BA">
      <w:pPr>
        <w:pStyle w:val="Heading4"/>
      </w:pPr>
      <w:bookmarkStart w:id="37" w:name="_Toc233197014"/>
      <w:r>
        <w:lastRenderedPageBreak/>
        <w:t xml:space="preserve">Recommendation </w:t>
      </w:r>
      <w:r w:rsidR="0001711E">
        <w:t xml:space="preserve">from </w:t>
      </w:r>
      <w:r>
        <w:t xml:space="preserve">the </w:t>
      </w:r>
      <w:r w:rsidR="0073301E">
        <w:t>quality evaluat</w:t>
      </w:r>
      <w:r w:rsidR="0001711E">
        <w:t>or</w:t>
      </w:r>
      <w:bookmarkEnd w:id="37"/>
    </w:p>
    <w:p w14:paraId="4CC315D8" w14:textId="4874B835" w:rsidR="0064140A" w:rsidRPr="0064140A" w:rsidRDefault="00E97688" w:rsidP="00D456BA">
      <w:r>
        <w:t xml:space="preserve">The Product Information and labelling is considered acceptable from a pharmaceutical quality perspective. </w:t>
      </w:r>
      <w:r w:rsidR="0024768D">
        <w:t xml:space="preserve">There </w:t>
      </w:r>
      <w:r w:rsidR="00C761ED">
        <w:t>are no objections to registration from a quality perspective.</w:t>
      </w:r>
    </w:p>
    <w:p w14:paraId="2BE90AAE" w14:textId="53B31434" w:rsidR="00C22214" w:rsidRDefault="00C22214" w:rsidP="00D456BA">
      <w:pPr>
        <w:pStyle w:val="Heading3"/>
      </w:pPr>
      <w:bookmarkStart w:id="38" w:name="_Toc314842512"/>
      <w:bookmarkStart w:id="39" w:name="_Toc103679296"/>
      <w:bookmarkStart w:id="40" w:name="_Toc233197015"/>
      <w:r>
        <w:t>Nonclinical</w:t>
      </w:r>
      <w:bookmarkEnd w:id="38"/>
      <w:bookmarkEnd w:id="39"/>
      <w:r w:rsidR="007E6443">
        <w:t xml:space="preserve"> evaluation</w:t>
      </w:r>
      <w:r w:rsidR="00095C6A">
        <w:t xml:space="preserve"> summary</w:t>
      </w:r>
      <w:bookmarkEnd w:id="40"/>
    </w:p>
    <w:p w14:paraId="1AFE4753" w14:textId="7C5274D5" w:rsidR="00D822B9" w:rsidRDefault="00D822B9" w:rsidP="00D456BA">
      <w:pPr>
        <w:rPr>
          <w:sz w:val="23"/>
          <w:szCs w:val="23"/>
        </w:rPr>
      </w:pPr>
      <w:r>
        <w:t xml:space="preserve">Gilead Sciences Pty Ltd has applied to register a new chemical entity, </w:t>
      </w:r>
      <w:proofErr w:type="spellStart"/>
      <w:r>
        <w:t>seladelpar</w:t>
      </w:r>
      <w:proofErr w:type="spellEnd"/>
      <w:r>
        <w:t xml:space="preserve"> (</w:t>
      </w:r>
      <w:proofErr w:type="spellStart"/>
      <w:r>
        <w:t>L</w:t>
      </w:r>
      <w:r w:rsidR="0087654A" w:rsidRPr="0087654A">
        <w:t>ivdelzi</w:t>
      </w:r>
      <w:proofErr w:type="spellEnd"/>
      <w:r>
        <w:t xml:space="preserve">), a </w:t>
      </w:r>
      <w:proofErr w:type="spellStart"/>
      <w:r>
        <w:t>PPARδ</w:t>
      </w:r>
      <w:proofErr w:type="spellEnd"/>
      <w:r>
        <w:t xml:space="preserve"> receptor agonist for the treatment of primary biliary cholangitis (PBC), including pruritus, in adults in combination with ursodeoxycholic acid (UDCA) who have an inadequate response to UDCA alone, or as monotherapy in those unable to tolerate UDCA. The proposed dose is one tablet (10 mg) per day. No maximum treatment period is specified.</w:t>
      </w:r>
    </w:p>
    <w:p w14:paraId="28030170" w14:textId="6EB8636D" w:rsidR="00D822B9" w:rsidRDefault="00D822B9" w:rsidP="00D456BA">
      <w:pPr>
        <w:rPr>
          <w:sz w:val="23"/>
          <w:szCs w:val="23"/>
        </w:rPr>
      </w:pPr>
      <w:r w:rsidRPr="002D7F70">
        <w:t>The submitted Module 4 dossier was in accordance with the relevant ICH guideline for the nonclinical assessment of pharmaceuticals (ICH M3(R2)). The overall quality of the nonclinical dossier was high. All pivotal safety-related studies were GLP compliant. No major deficiencies were identified.</w:t>
      </w:r>
    </w:p>
    <w:p w14:paraId="45481C20" w14:textId="0DC64421" w:rsidR="00D75CD7" w:rsidRDefault="00D822B9" w:rsidP="00D456BA">
      <w:r w:rsidRPr="002D7F70">
        <w:rPr>
          <w:i/>
          <w:iCs/>
        </w:rPr>
        <w:t>In vitro</w:t>
      </w:r>
      <w:r w:rsidRPr="002D7F70">
        <w:t xml:space="preserve">, </w:t>
      </w:r>
      <w:proofErr w:type="spellStart"/>
      <w:r w:rsidRPr="002D7F70">
        <w:t>seladelpar</w:t>
      </w:r>
      <w:proofErr w:type="spellEnd"/>
      <w:r w:rsidRPr="002D7F70">
        <w:t xml:space="preserve"> bound </w:t>
      </w:r>
      <w:proofErr w:type="spellStart"/>
      <w:r w:rsidRPr="002D7F70">
        <w:t>PPARδ</w:t>
      </w:r>
      <w:proofErr w:type="spellEnd"/>
      <w:r w:rsidRPr="002D7F70">
        <w:t xml:space="preserve"> with nanomolar affinity, activated it with an EC</w:t>
      </w:r>
      <w:r w:rsidRPr="002D7F70">
        <w:rPr>
          <w:sz w:val="14"/>
          <w:szCs w:val="14"/>
        </w:rPr>
        <w:t xml:space="preserve">50 </w:t>
      </w:r>
      <w:r w:rsidRPr="002D7F70">
        <w:t xml:space="preserve">value within expected clinical plasma concentrations, and increased expression of </w:t>
      </w:r>
      <w:proofErr w:type="spellStart"/>
      <w:r w:rsidRPr="002D7F70">
        <w:t>PPARδ</w:t>
      </w:r>
      <w:proofErr w:type="spellEnd"/>
      <w:r w:rsidRPr="002D7F70">
        <w:t xml:space="preserve"> target genes. The major circulating metabolites, M1 (sulfoxide metabolite), </w:t>
      </w:r>
      <w:proofErr w:type="spellStart"/>
      <w:r w:rsidRPr="002D7F70">
        <w:t>M2</w:t>
      </w:r>
      <w:proofErr w:type="spellEnd"/>
      <w:r w:rsidRPr="002D7F70">
        <w:t xml:space="preserve"> (O-</w:t>
      </w:r>
      <w:proofErr w:type="spellStart"/>
      <w:r w:rsidRPr="002D7F70">
        <w:t>desethyl</w:t>
      </w:r>
      <w:proofErr w:type="spellEnd"/>
      <w:r w:rsidRPr="002D7F70">
        <w:t xml:space="preserve"> metabolite) and </w:t>
      </w:r>
      <w:proofErr w:type="spellStart"/>
      <w:r w:rsidRPr="002D7F70">
        <w:t>M3</w:t>
      </w:r>
      <w:proofErr w:type="spellEnd"/>
      <w:r w:rsidRPr="002D7F70">
        <w:t xml:space="preserve"> (O-</w:t>
      </w:r>
      <w:proofErr w:type="spellStart"/>
      <w:r w:rsidRPr="002D7F70">
        <w:t>desethyl</w:t>
      </w:r>
      <w:proofErr w:type="spellEnd"/>
      <w:r w:rsidRPr="002D7F70">
        <w:t xml:space="preserve"> sulfoxide metabolite), do not contribute the pharmacological activity of </w:t>
      </w:r>
      <w:proofErr w:type="spellStart"/>
      <w:r w:rsidRPr="002D7F70">
        <w:t>seladelpar</w:t>
      </w:r>
      <w:proofErr w:type="spellEnd"/>
      <w:r w:rsidRPr="002D7F70">
        <w:t>.</w:t>
      </w:r>
    </w:p>
    <w:p w14:paraId="002070F1" w14:textId="0E2152DE" w:rsidR="00C97301" w:rsidRDefault="00D822B9" w:rsidP="00D456BA">
      <w:r w:rsidRPr="002D7F70">
        <w:rPr>
          <w:i/>
          <w:iCs/>
        </w:rPr>
        <w:t>In vivo</w:t>
      </w:r>
      <w:r w:rsidRPr="002D7F70">
        <w:t xml:space="preserve">, oral/dietary administration of </w:t>
      </w:r>
      <w:proofErr w:type="spellStart"/>
      <w:r w:rsidRPr="002D7F70">
        <w:t>seladelpar</w:t>
      </w:r>
      <w:proofErr w:type="spellEnd"/>
      <w:r w:rsidRPr="002D7F70">
        <w:t xml:space="preserve"> to mice decreased hepatic bile acid synthesis and intestinal cholesterol absorption, and reduced liver fibrosis in an experimental model. These findings support the use of </w:t>
      </w:r>
      <w:proofErr w:type="spellStart"/>
      <w:r w:rsidRPr="002D7F70">
        <w:t>seladelpar</w:t>
      </w:r>
      <w:proofErr w:type="spellEnd"/>
      <w:r w:rsidRPr="002D7F70">
        <w:t xml:space="preserve"> for the treatment of primary biliary cholangitis in the proposed population.</w:t>
      </w:r>
    </w:p>
    <w:p w14:paraId="387798D7" w14:textId="6EB8DF87" w:rsidR="00D822B9" w:rsidRDefault="00D822B9" w:rsidP="00D456BA">
      <w:pPr>
        <w:rPr>
          <w:sz w:val="23"/>
          <w:szCs w:val="23"/>
        </w:rPr>
      </w:pPr>
      <w:proofErr w:type="spellStart"/>
      <w:r w:rsidRPr="002D7F70">
        <w:t>Seladelpar</w:t>
      </w:r>
      <w:proofErr w:type="spellEnd"/>
      <w:r w:rsidRPr="002D7F70">
        <w:t xml:space="preserve"> activated PPARs α and γ, with ~600-fold less potency than </w:t>
      </w:r>
      <w:proofErr w:type="spellStart"/>
      <w:r w:rsidRPr="002D7F70">
        <w:t>PPARδ</w:t>
      </w:r>
      <w:proofErr w:type="spellEnd"/>
      <w:r w:rsidRPr="002D7F70">
        <w:t xml:space="preserve">. PPARα activation contributed to several effects seen in general toxicity and carcinogenicity studies; however, PPARα activation is not expected in humans. </w:t>
      </w:r>
      <w:proofErr w:type="spellStart"/>
      <w:r w:rsidRPr="002D7F70">
        <w:t>Seladelpar</w:t>
      </w:r>
      <w:proofErr w:type="spellEnd"/>
      <w:r w:rsidRPr="002D7F70">
        <w:t xml:space="preserve"> also inhibited the Cl- channel modulatory site of the GABAA/benzodiazepine receptor complex at micromolar concentrations not considered clinically relevant.</w:t>
      </w:r>
    </w:p>
    <w:p w14:paraId="5F2F4FA3" w14:textId="6CE8BE9F" w:rsidR="00D822B9" w:rsidRDefault="00D822B9" w:rsidP="00187AC9">
      <w:pPr>
        <w:rPr>
          <w:sz w:val="23"/>
          <w:szCs w:val="23"/>
        </w:rPr>
      </w:pPr>
      <w:r w:rsidRPr="002D7F70">
        <w:t xml:space="preserve">Safety pharmacology studies assessed effects on the cardiovascular, respiratory, and central nervous systems. No adverse effects were seen on CNS function in rats, respiratory function in dogs, or cardiovascular function in dogs or monkeys. No significant inhibition of </w:t>
      </w:r>
      <w:proofErr w:type="spellStart"/>
      <w:r w:rsidRPr="002D7F70">
        <w:t>hERG</w:t>
      </w:r>
      <w:proofErr w:type="spellEnd"/>
      <w:r w:rsidRPr="002D7F70">
        <w:t xml:space="preserve"> K+ channel tail current was observed at clinically relevant concentrations. </w:t>
      </w:r>
      <w:proofErr w:type="spellStart"/>
      <w:r w:rsidRPr="002D7F70">
        <w:t>Seladelpar</w:t>
      </w:r>
      <w:proofErr w:type="spellEnd"/>
      <w:r w:rsidRPr="002D7F70">
        <w:t xml:space="preserve"> is not predicted to prolong the QT interval in patients.</w:t>
      </w:r>
    </w:p>
    <w:p w14:paraId="350F10C2" w14:textId="3C2898F0" w:rsidR="00D822B9" w:rsidRDefault="00D822B9" w:rsidP="00187AC9">
      <w:pPr>
        <w:rPr>
          <w:sz w:val="23"/>
          <w:szCs w:val="23"/>
        </w:rPr>
      </w:pPr>
      <w:r w:rsidRPr="002D7F70">
        <w:t xml:space="preserve">Overall, the pharmacokinetic profile in animals was qualitatively similar to that of humans. </w:t>
      </w:r>
      <w:proofErr w:type="spellStart"/>
      <w:r w:rsidRPr="002D7F70">
        <w:t>Seladelpar</w:t>
      </w:r>
      <w:proofErr w:type="spellEnd"/>
      <w:r w:rsidRPr="002D7F70">
        <w:t xml:space="preserve"> was readily and rapidly absorbed with a similar </w:t>
      </w:r>
      <w:proofErr w:type="spellStart"/>
      <w:r w:rsidRPr="002D7F70">
        <w:t>T</w:t>
      </w:r>
      <w:r w:rsidRPr="002D7F70">
        <w:rPr>
          <w:sz w:val="14"/>
          <w:szCs w:val="14"/>
        </w:rPr>
        <w:t>max</w:t>
      </w:r>
      <w:proofErr w:type="spellEnd"/>
      <w:r w:rsidRPr="002D7F70">
        <w:rPr>
          <w:sz w:val="14"/>
          <w:szCs w:val="14"/>
        </w:rPr>
        <w:t xml:space="preserve"> </w:t>
      </w:r>
      <w:r w:rsidRPr="002D7F70">
        <w:t xml:space="preserve">in all species. Half-life values were moderate in mice, rats and humans but longer in dogs and monkeys. Plasma protein binding of </w:t>
      </w:r>
      <w:proofErr w:type="spellStart"/>
      <w:r w:rsidRPr="002D7F70">
        <w:t>seladelpar</w:t>
      </w:r>
      <w:proofErr w:type="spellEnd"/>
      <w:r w:rsidRPr="002D7F70">
        <w:t xml:space="preserve"> and its metabolites was moderate to very high in all animal species and humans. Tissue distribution of </w:t>
      </w:r>
      <w:proofErr w:type="spellStart"/>
      <w:r w:rsidRPr="002D7F70">
        <w:t>seladelpar</w:t>
      </w:r>
      <w:proofErr w:type="spellEnd"/>
      <w:r w:rsidRPr="002D7F70">
        <w:t xml:space="preserve"> was wide but penetration into brain and spinal cord was limited and no binding to melanin evident. Metabolism of </w:t>
      </w:r>
      <w:proofErr w:type="spellStart"/>
      <w:r w:rsidRPr="002D7F70">
        <w:t>seladelpar</w:t>
      </w:r>
      <w:proofErr w:type="spellEnd"/>
      <w:r w:rsidRPr="002D7F70">
        <w:t xml:space="preserve"> was chiefly mediated by CYP2C8, CYP2C9 and CYP3A4, with an additional minor contribution by CYP1A2. The main human metabolites (M1, M2 and M3) were significant metabolites in animals. Drug-related material was excreted via urine and faeces with urine as the predominant route of excretion in humans, while faeces predominated in rats.</w:t>
      </w:r>
    </w:p>
    <w:p w14:paraId="1E02B593" w14:textId="77777777" w:rsidR="00D822B9" w:rsidRDefault="00D822B9" w:rsidP="00187AC9">
      <w:pPr>
        <w:rPr>
          <w:sz w:val="23"/>
          <w:szCs w:val="23"/>
        </w:rPr>
      </w:pPr>
      <w:r w:rsidRPr="002D7F70">
        <w:t xml:space="preserve">Based on </w:t>
      </w:r>
      <w:r w:rsidRPr="002D7F70">
        <w:rPr>
          <w:i/>
          <w:iCs/>
        </w:rPr>
        <w:t xml:space="preserve">in vitro </w:t>
      </w:r>
      <w:r w:rsidRPr="002D7F70">
        <w:t xml:space="preserve">and clinical studies, inhibitors of CYP2C8, CYP2C9 and CYP3A4 could increase exposure to </w:t>
      </w:r>
      <w:proofErr w:type="spellStart"/>
      <w:r w:rsidRPr="002D7F70">
        <w:t>seladelpar</w:t>
      </w:r>
      <w:proofErr w:type="spellEnd"/>
      <w:r w:rsidRPr="002D7F70">
        <w:t xml:space="preserve"> and </w:t>
      </w:r>
      <w:proofErr w:type="spellStart"/>
      <w:r w:rsidRPr="002D7F70">
        <w:t>M1</w:t>
      </w:r>
      <w:proofErr w:type="spellEnd"/>
      <w:r w:rsidRPr="002D7F70">
        <w:t xml:space="preserve">. </w:t>
      </w:r>
      <w:proofErr w:type="spellStart"/>
      <w:r w:rsidRPr="002D7F70">
        <w:t>Seladelpar</w:t>
      </w:r>
      <w:proofErr w:type="spellEnd"/>
      <w:r w:rsidRPr="002D7F70">
        <w:t xml:space="preserve"> was a substrate of BCRP, P-</w:t>
      </w:r>
      <w:proofErr w:type="spellStart"/>
      <w:r w:rsidRPr="002D7F70">
        <w:t>gp</w:t>
      </w:r>
      <w:proofErr w:type="spellEnd"/>
      <w:r w:rsidRPr="002D7F70">
        <w:t xml:space="preserve"> and </w:t>
      </w:r>
      <w:proofErr w:type="spellStart"/>
      <w:r w:rsidRPr="002D7F70">
        <w:t>OAT3</w:t>
      </w:r>
      <w:proofErr w:type="spellEnd"/>
      <w:r w:rsidRPr="002D7F70">
        <w:t xml:space="preserve">; inhibitors of BCRP and OAT3 therefore have potential to increase </w:t>
      </w:r>
      <w:proofErr w:type="spellStart"/>
      <w:r w:rsidRPr="002D7F70">
        <w:t>seladelpar</w:t>
      </w:r>
      <w:proofErr w:type="spellEnd"/>
      <w:r w:rsidRPr="002D7F70">
        <w:t xml:space="preserve"> exposure. Although </w:t>
      </w:r>
      <w:proofErr w:type="spellStart"/>
      <w:r w:rsidRPr="002D7F70">
        <w:t>seladelpar</w:t>
      </w:r>
      <w:proofErr w:type="spellEnd"/>
      <w:r w:rsidRPr="002D7F70">
        <w:t xml:space="preserve"> </w:t>
      </w:r>
      <w:r w:rsidRPr="002D7F70">
        <w:lastRenderedPageBreak/>
        <w:t xml:space="preserve">inhibited BCRP </w:t>
      </w:r>
      <w:r w:rsidRPr="002D7F70">
        <w:rPr>
          <w:i/>
          <w:iCs/>
        </w:rPr>
        <w:t>in vitro</w:t>
      </w:r>
      <w:r w:rsidRPr="002D7F70">
        <w:t xml:space="preserve">, clinical studies using rosuvastatin (a BCRP and OATP substrate) suggest that </w:t>
      </w:r>
      <w:proofErr w:type="spellStart"/>
      <w:r w:rsidRPr="002D7F70">
        <w:t>seladelpar</w:t>
      </w:r>
      <w:proofErr w:type="spellEnd"/>
      <w:r w:rsidRPr="002D7F70">
        <w:t xml:space="preserve"> is unlikely to impact BCPR substrates in patients. </w:t>
      </w:r>
    </w:p>
    <w:p w14:paraId="68FC8CBC" w14:textId="0354090B" w:rsidR="00D822B9" w:rsidRDefault="00D822B9" w:rsidP="00187AC9">
      <w:pPr>
        <w:rPr>
          <w:sz w:val="23"/>
          <w:szCs w:val="23"/>
        </w:rPr>
      </w:pPr>
      <w:proofErr w:type="spellStart"/>
      <w:r w:rsidRPr="002D7F70">
        <w:t>Seladelpar</w:t>
      </w:r>
      <w:proofErr w:type="spellEnd"/>
      <w:r w:rsidRPr="002D7F70">
        <w:t xml:space="preserve"> had a moderate order of acute oral toxicity in mice and rats.</w:t>
      </w:r>
    </w:p>
    <w:p w14:paraId="3BAFFB50" w14:textId="7A859AC1" w:rsidR="00D822B9" w:rsidRDefault="00D822B9" w:rsidP="00187AC9">
      <w:pPr>
        <w:rPr>
          <w:sz w:val="23"/>
          <w:szCs w:val="23"/>
        </w:rPr>
      </w:pPr>
      <w:r w:rsidRPr="002D7F70">
        <w:t xml:space="preserve">Repeat-dose toxicity studies by the oral route were conducted in mice (up to 3 months), rats (up to 6 months), dogs (up to 4 weeks) and monkeys (up to 12 months). Very high multiples of the clinical exposure were achieved for </w:t>
      </w:r>
      <w:proofErr w:type="spellStart"/>
      <w:r w:rsidRPr="002D7F70">
        <w:t>seladelpar</w:t>
      </w:r>
      <w:proofErr w:type="spellEnd"/>
      <w:r w:rsidRPr="002D7F70">
        <w:t xml:space="preserve"> and metabolites </w:t>
      </w:r>
      <w:proofErr w:type="spellStart"/>
      <w:r w:rsidRPr="002D7F70">
        <w:t>M1</w:t>
      </w:r>
      <w:proofErr w:type="spellEnd"/>
      <w:r w:rsidRPr="002D7F70">
        <w:t>, M2 and M3 in all species, except for M2 in monkeys where exposure was moderate. Major findings comprised changes in the liver (increases in liver weight, hepatocellular hypertrophy, bile duct hyperplasia and hepatocellular necrosis), skeletal and cardiac muscle (myofiber and myocardial degeneration), GI tract (epithelial hyperkeratosis), kidney (increased weight with (at high doses in rats) tubular epithelial hyperplasia and chronic progressive nephropathy) and male reproductive organs in dogs (testicular interstitial cell and prostate atrophy).</w:t>
      </w:r>
    </w:p>
    <w:p w14:paraId="6948FEEE" w14:textId="760DEA0A" w:rsidR="00D822B9" w:rsidRDefault="00D822B9" w:rsidP="00187AC9">
      <w:pPr>
        <w:rPr>
          <w:sz w:val="23"/>
          <w:szCs w:val="23"/>
        </w:rPr>
      </w:pPr>
      <w:proofErr w:type="spellStart"/>
      <w:r w:rsidRPr="002D7F70">
        <w:t>Seladelpar</w:t>
      </w:r>
      <w:proofErr w:type="spellEnd"/>
      <w:r w:rsidRPr="002D7F70">
        <w:t xml:space="preserve"> and its metabolites were not genotoxic in the standard battery of tests. In 2-year rodent carcinogenicity studies, </w:t>
      </w:r>
      <w:proofErr w:type="spellStart"/>
      <w:r w:rsidRPr="002D7F70">
        <w:t>seladelpar</w:t>
      </w:r>
      <w:proofErr w:type="spellEnd"/>
      <w:r w:rsidRPr="002D7F70">
        <w:t>-related findings in mice included an increased incidence of hepatocellular adenoma and carcinoma in males and combined hepatocellular adenoma and carcinoma in both sexes at subclinical doses. Treatment-related neoplastic findings in rats included an increased incidence of squamous cell carcinoma of the non-glandular stomach in males and an increased incidence of benign testicular interstitial cell tumours at high clinical exposures. All neoplastic findings in rats and mice were considered class and species specific and therefore not relevant to humans.</w:t>
      </w:r>
    </w:p>
    <w:p w14:paraId="3068EC9E" w14:textId="39CEB2A4" w:rsidR="00D822B9" w:rsidRDefault="00D822B9" w:rsidP="00187AC9">
      <w:pPr>
        <w:rPr>
          <w:sz w:val="23"/>
          <w:szCs w:val="23"/>
        </w:rPr>
      </w:pPr>
      <w:r w:rsidRPr="002D7F70">
        <w:t xml:space="preserve">Male and female fertility were unaffected by </w:t>
      </w:r>
      <w:proofErr w:type="spellStart"/>
      <w:r w:rsidRPr="002D7F70">
        <w:t>seladelpar</w:t>
      </w:r>
      <w:proofErr w:type="spellEnd"/>
      <w:r w:rsidRPr="002D7F70">
        <w:t xml:space="preserve"> in rats, and no adverse effects on embryofetal development were observed. In rabbits, </w:t>
      </w:r>
      <w:proofErr w:type="spellStart"/>
      <w:r w:rsidRPr="002D7F70">
        <w:t>fetal</w:t>
      </w:r>
      <w:proofErr w:type="spellEnd"/>
      <w:r w:rsidRPr="002D7F70">
        <w:t xml:space="preserve"> body weight was reduced in the context of </w:t>
      </w:r>
      <w:proofErr w:type="spellStart"/>
      <w:r w:rsidRPr="002D7F70">
        <w:t>maternotoxicity</w:t>
      </w:r>
      <w:proofErr w:type="spellEnd"/>
      <w:r w:rsidRPr="002D7F70">
        <w:t xml:space="preserve">. No </w:t>
      </w:r>
      <w:proofErr w:type="spellStart"/>
      <w:r w:rsidRPr="002D7F70">
        <w:t>fetal</w:t>
      </w:r>
      <w:proofErr w:type="spellEnd"/>
      <w:r w:rsidRPr="002D7F70">
        <w:t xml:space="preserve"> malformations occurred; a dose-related increase in distended stomach (</w:t>
      </w:r>
      <w:proofErr w:type="spellStart"/>
      <w:r w:rsidRPr="002D7F70">
        <w:t>fetal</w:t>
      </w:r>
      <w:proofErr w:type="spellEnd"/>
      <w:r w:rsidRPr="002D7F70">
        <w:t xml:space="preserve"> variation) was observed. Reductions in </w:t>
      </w:r>
      <w:proofErr w:type="spellStart"/>
      <w:r w:rsidRPr="002D7F70">
        <w:t>fetal</w:t>
      </w:r>
      <w:proofErr w:type="spellEnd"/>
      <w:r w:rsidRPr="002D7F70">
        <w:t xml:space="preserve"> body weight during lactation, with reduced pup survival and slight developmental delays, were observed in a</w:t>
      </w:r>
      <w:r w:rsidR="00944061">
        <w:br/>
      </w:r>
      <w:r w:rsidRPr="002D7F70">
        <w:t>pre/postnatal development study in rats.</w:t>
      </w:r>
    </w:p>
    <w:p w14:paraId="444A426A" w14:textId="274AC0C5" w:rsidR="00D822B9" w:rsidRDefault="00D822B9" w:rsidP="00187AC9">
      <w:pPr>
        <w:rPr>
          <w:sz w:val="23"/>
          <w:szCs w:val="23"/>
        </w:rPr>
      </w:pPr>
      <w:proofErr w:type="spellStart"/>
      <w:r w:rsidRPr="002D7F70">
        <w:t>Seladelpar</w:t>
      </w:r>
      <w:proofErr w:type="spellEnd"/>
      <w:r w:rsidRPr="002D7F70">
        <w:t xml:space="preserve"> is not expected to have phototoxic potential upon exposure to visible/UV light after repeat dosing. </w:t>
      </w:r>
      <w:proofErr w:type="spellStart"/>
      <w:r w:rsidRPr="002D7F70">
        <w:t>Seladelpar</w:t>
      </w:r>
      <w:proofErr w:type="spellEnd"/>
      <w:r w:rsidRPr="002D7F70">
        <w:t xml:space="preserve"> was a mild eye irritant in </w:t>
      </w:r>
      <w:r w:rsidRPr="002D7F70">
        <w:rPr>
          <w:i/>
          <w:iCs/>
        </w:rPr>
        <w:t xml:space="preserve">in vitro </w:t>
      </w:r>
      <w:r w:rsidRPr="002D7F70">
        <w:t xml:space="preserve">studies and </w:t>
      </w:r>
      <w:r w:rsidR="00C011CE">
        <w:t xml:space="preserve">did </w:t>
      </w:r>
      <w:r w:rsidRPr="002D7F70">
        <w:t>not provoke a delayed hypersensitivity response in mice.</w:t>
      </w:r>
    </w:p>
    <w:p w14:paraId="6FE2AE41" w14:textId="262538B6" w:rsidR="00D822B9" w:rsidRPr="002D7F70" w:rsidRDefault="00D822B9" w:rsidP="00187AC9">
      <w:pPr>
        <w:rPr>
          <w:sz w:val="23"/>
          <w:szCs w:val="23"/>
        </w:rPr>
      </w:pPr>
      <w:r w:rsidRPr="002D7F70">
        <w:t xml:space="preserve">All impurities in the drug substance and product are metabolites of </w:t>
      </w:r>
      <w:proofErr w:type="spellStart"/>
      <w:r w:rsidRPr="002D7F70">
        <w:t>seladelpar</w:t>
      </w:r>
      <w:proofErr w:type="spellEnd"/>
      <w:r w:rsidRPr="002D7F70">
        <w:t xml:space="preserve"> present in both humans and animals and are considered qualified.</w:t>
      </w:r>
    </w:p>
    <w:p w14:paraId="64109165" w14:textId="34536E21" w:rsidR="00D822B9" w:rsidRDefault="005A1354" w:rsidP="00187AC9">
      <w:pPr>
        <w:pStyle w:val="Heading4"/>
      </w:pPr>
      <w:bookmarkStart w:id="41" w:name="_Toc233197016"/>
      <w:r>
        <w:t xml:space="preserve">Recommendation </w:t>
      </w:r>
      <w:r w:rsidR="008E7102">
        <w:t>from</w:t>
      </w:r>
      <w:r w:rsidR="003D0052">
        <w:t xml:space="preserve"> the</w:t>
      </w:r>
      <w:r>
        <w:t xml:space="preserve"> non</w:t>
      </w:r>
      <w:r w:rsidR="003D0052">
        <w:t>-</w:t>
      </w:r>
      <w:r>
        <w:t>clinical evaluat</w:t>
      </w:r>
      <w:r w:rsidR="003D0052">
        <w:t>or</w:t>
      </w:r>
      <w:bookmarkEnd w:id="41"/>
    </w:p>
    <w:p w14:paraId="10A61B1D" w14:textId="37E15D77" w:rsidR="008E7102" w:rsidRPr="008E7102" w:rsidRDefault="008E7102" w:rsidP="00187AC9">
      <w:r w:rsidRPr="008E7102">
        <w:t>The nonclinical dossier contained no critical deficiencies.</w:t>
      </w:r>
    </w:p>
    <w:p w14:paraId="4F6AE14E" w14:textId="68244DA1" w:rsidR="008E7102" w:rsidRPr="008E7102" w:rsidRDefault="008E7102" w:rsidP="00187AC9">
      <w:r w:rsidRPr="008E7102">
        <w:t xml:space="preserve">Primary pharmacology studies, showing activation of </w:t>
      </w:r>
      <w:proofErr w:type="spellStart"/>
      <w:r w:rsidRPr="008E7102">
        <w:t>PPARδ</w:t>
      </w:r>
      <w:proofErr w:type="spellEnd"/>
      <w:r w:rsidRPr="008E7102">
        <w:t xml:space="preserve"> </w:t>
      </w:r>
      <w:r w:rsidRPr="00FA501B">
        <w:rPr>
          <w:i/>
          <w:iCs/>
        </w:rPr>
        <w:t>in vitro</w:t>
      </w:r>
      <w:r w:rsidRPr="008E7102">
        <w:t xml:space="preserve"> and decreased hepatic bile acid synthesis, reduced intestinal cholesterol absorption, and reduced liver fibrosis </w:t>
      </w:r>
      <w:r w:rsidRPr="00FA501B">
        <w:rPr>
          <w:i/>
          <w:iCs/>
        </w:rPr>
        <w:t>in vivo</w:t>
      </w:r>
      <w:r w:rsidRPr="008E7102">
        <w:t xml:space="preserve"> offer support for the proposed use of the drug in the treatment of </w:t>
      </w:r>
      <w:proofErr w:type="spellStart"/>
      <w:r w:rsidR="009561F0">
        <w:t>PBC</w:t>
      </w:r>
      <w:proofErr w:type="spellEnd"/>
      <w:r w:rsidRPr="008E7102">
        <w:t>.</w:t>
      </w:r>
    </w:p>
    <w:p w14:paraId="525248E6" w14:textId="14D4BC1C" w:rsidR="008E7102" w:rsidRPr="008E7102" w:rsidRDefault="008E7102" w:rsidP="00187AC9">
      <w:r w:rsidRPr="008E7102">
        <w:t>No clinically relevant hazards were identified from secondary and safety pharmacology studies.</w:t>
      </w:r>
    </w:p>
    <w:p w14:paraId="39C3780C" w14:textId="2F5CE1C5" w:rsidR="008E7102" w:rsidRPr="008E7102" w:rsidRDefault="008E7102" w:rsidP="00187AC9">
      <w:r w:rsidRPr="008E7102">
        <w:t xml:space="preserve">Liver, skeletal and cardiac muscle, GI tract, kidney and male reproductive organs were identified as major targets for toxicity in repeat-dose studies. Toxicity was largely related to off-target activation of PPARα, was species-specific, or occurred at very high multiples of the clinical exposure. Since </w:t>
      </w:r>
      <w:proofErr w:type="spellStart"/>
      <w:r w:rsidRPr="008E7102">
        <w:t>seladelpar</w:t>
      </w:r>
      <w:proofErr w:type="spellEnd"/>
      <w:r w:rsidRPr="008E7102">
        <w:t xml:space="preserve"> is not expected to activate PPARα in humans, effects on these organ systems are considered unlikely to occur in patients.</w:t>
      </w:r>
    </w:p>
    <w:p w14:paraId="1AE12BB2" w14:textId="183C9A7E" w:rsidR="008E7102" w:rsidRPr="008E7102" w:rsidRDefault="008E7102" w:rsidP="00187AC9">
      <w:r w:rsidRPr="008E7102">
        <w:t xml:space="preserve">There are no nonclinical objections to the registration of </w:t>
      </w:r>
      <w:proofErr w:type="spellStart"/>
      <w:r>
        <w:t>Livdelzi</w:t>
      </w:r>
      <w:proofErr w:type="spellEnd"/>
      <w:r>
        <w:t xml:space="preserve"> </w:t>
      </w:r>
      <w:r w:rsidRPr="008E7102">
        <w:t>for the proposed indication</w:t>
      </w:r>
      <w:r>
        <w:t>.</w:t>
      </w:r>
    </w:p>
    <w:p w14:paraId="35B580A5" w14:textId="40B226DC" w:rsidR="00C22214" w:rsidRDefault="00C22214" w:rsidP="00187AC9">
      <w:pPr>
        <w:pStyle w:val="Heading3"/>
      </w:pPr>
      <w:bookmarkStart w:id="42" w:name="_Toc247691530"/>
      <w:bookmarkStart w:id="43" w:name="_Toc314842513"/>
      <w:bookmarkStart w:id="44" w:name="_Toc103679297"/>
      <w:bookmarkStart w:id="45" w:name="_Toc233197017"/>
      <w:r>
        <w:lastRenderedPageBreak/>
        <w:t>Clinical</w:t>
      </w:r>
      <w:bookmarkEnd w:id="42"/>
      <w:bookmarkEnd w:id="43"/>
      <w:bookmarkEnd w:id="44"/>
      <w:r w:rsidR="00095C6A">
        <w:t xml:space="preserve"> evaluation summary</w:t>
      </w:r>
      <w:bookmarkEnd w:id="45"/>
    </w:p>
    <w:p w14:paraId="32B0DEDA" w14:textId="77777777" w:rsidR="00C22214" w:rsidRPr="00433318" w:rsidRDefault="00C22214" w:rsidP="00187AC9">
      <w:pPr>
        <w:pStyle w:val="Heading4"/>
      </w:pPr>
      <w:bookmarkStart w:id="46" w:name="_Toc98931928"/>
      <w:bookmarkStart w:id="47" w:name="_Toc233197018"/>
      <w:r>
        <w:t>Summary of clinical studies</w:t>
      </w:r>
      <w:bookmarkEnd w:id="46"/>
      <w:bookmarkEnd w:id="47"/>
    </w:p>
    <w:p w14:paraId="46622364" w14:textId="341FC0D0" w:rsidR="00C22214" w:rsidRDefault="00C22214" w:rsidP="00187AC9">
      <w:r w:rsidRPr="00BD5DBD">
        <w:t xml:space="preserve">The clinical dossier </w:t>
      </w:r>
      <w:r w:rsidR="00D86BF9">
        <w:t xml:space="preserve">included the following pivotal </w:t>
      </w:r>
      <w:r w:rsidR="000B0EF6">
        <w:t>and supportive studies.</w:t>
      </w:r>
    </w:p>
    <w:p w14:paraId="5C1B6310" w14:textId="77777777" w:rsidR="000B0EF6" w:rsidRDefault="000B0EF6" w:rsidP="00187AC9">
      <w:pPr>
        <w:pStyle w:val="Heading5"/>
      </w:pPr>
      <w:r>
        <w:t xml:space="preserve">Pivotal study - </w:t>
      </w:r>
      <w:r w:rsidR="00D86BF9" w:rsidRPr="008B47B4">
        <w:t>CB8025-32048 (RESPONSE)</w:t>
      </w:r>
    </w:p>
    <w:p w14:paraId="7FFACA44" w14:textId="636FD8B5" w:rsidR="00D86BF9" w:rsidRPr="0085742A" w:rsidRDefault="00D86BF9" w:rsidP="00187AC9">
      <w:r w:rsidRPr="002E571D">
        <w:t xml:space="preserve">A single pivotal placebo-controlled, randomised, Phase </w:t>
      </w:r>
      <w:r>
        <w:t>III</w:t>
      </w:r>
      <w:r w:rsidRPr="002E571D">
        <w:t xml:space="preserve"> study to evaluate the efficacy and safety of </w:t>
      </w:r>
      <w:proofErr w:type="spellStart"/>
      <w:r w:rsidRPr="002E571D">
        <w:t>seladelpar</w:t>
      </w:r>
      <w:proofErr w:type="spellEnd"/>
      <w:r w:rsidRPr="002E571D">
        <w:t xml:space="preserve"> in patients with PBC and inadequate response to or intolerance to UDCA.</w:t>
      </w:r>
    </w:p>
    <w:p w14:paraId="532E9AB2" w14:textId="098F6B5E" w:rsidR="00D86BF9" w:rsidRPr="00AD7FDA" w:rsidRDefault="00D86BF9" w:rsidP="00187AC9">
      <w:pPr>
        <w:pStyle w:val="Heading6"/>
      </w:pPr>
      <w:r>
        <w:t>Supportive studies</w:t>
      </w:r>
    </w:p>
    <w:p w14:paraId="3DF19294" w14:textId="7A352E7F" w:rsidR="00D86BF9" w:rsidRPr="0085742A" w:rsidRDefault="00D86BF9" w:rsidP="00187AC9">
      <w:pPr>
        <w:pStyle w:val="Numberbullet0"/>
        <w:numPr>
          <w:ilvl w:val="0"/>
          <w:numId w:val="16"/>
        </w:numPr>
      </w:pPr>
      <w:r w:rsidRPr="0085742A">
        <w:t xml:space="preserve">Study CB8025-31735 (ENHANCE) was a phase </w:t>
      </w:r>
      <w:r>
        <w:t>III</w:t>
      </w:r>
      <w:r w:rsidRPr="0085742A">
        <w:t xml:space="preserve"> study in subjects with PBC having a design </w:t>
      </w:r>
      <w:proofErr w:type="gramStart"/>
      <w:r w:rsidRPr="0085742A">
        <w:t>similar to</w:t>
      </w:r>
      <w:proofErr w:type="gramEnd"/>
      <w:r w:rsidRPr="0085742A">
        <w:t xml:space="preserve"> the pivotal study</w:t>
      </w:r>
      <w:r w:rsidR="0018280C">
        <w:t>. T</w:t>
      </w:r>
      <w:r>
        <w:t>his study was terminated early</w:t>
      </w:r>
      <w:r w:rsidRPr="0085742A">
        <w:t>.</w:t>
      </w:r>
    </w:p>
    <w:p w14:paraId="77911187" w14:textId="77777777" w:rsidR="00D86BF9" w:rsidRPr="0085742A" w:rsidRDefault="00D86BF9" w:rsidP="00187AC9">
      <w:pPr>
        <w:pStyle w:val="Numberbullet0"/>
      </w:pPr>
      <w:r w:rsidRPr="0085742A">
        <w:t xml:space="preserve">Study CB8025-31731 was a phase </w:t>
      </w:r>
      <w:r>
        <w:t>III</w:t>
      </w:r>
      <w:r w:rsidRPr="0085742A">
        <w:t xml:space="preserve">, open-label, long-term, study of </w:t>
      </w:r>
      <w:proofErr w:type="spellStart"/>
      <w:r w:rsidRPr="0085742A">
        <w:t>seladelpar</w:t>
      </w:r>
      <w:proofErr w:type="spellEnd"/>
      <w:r w:rsidRPr="0085742A">
        <w:t xml:space="preserve"> that enrolled subjects who completed study CB8025-21629 or CB8025-31735.</w:t>
      </w:r>
    </w:p>
    <w:p w14:paraId="135A591D" w14:textId="77777777" w:rsidR="00D86BF9" w:rsidRPr="0085742A" w:rsidRDefault="00D86BF9" w:rsidP="00187AC9">
      <w:pPr>
        <w:pStyle w:val="Numberbullet0"/>
      </w:pPr>
      <w:r w:rsidRPr="0085742A">
        <w:t xml:space="preserve">Study CB8025-31731-RE (ASSURE) is an ongoing, phase </w:t>
      </w:r>
      <w:r>
        <w:t>III</w:t>
      </w:r>
      <w:r w:rsidRPr="0085742A">
        <w:t xml:space="preserve">, open-label, uncontrolled, multicentre study of </w:t>
      </w:r>
      <w:proofErr w:type="spellStart"/>
      <w:r w:rsidRPr="0085742A">
        <w:t>seladelpar</w:t>
      </w:r>
      <w:proofErr w:type="spellEnd"/>
      <w:r w:rsidRPr="0085742A">
        <w:t xml:space="preserve"> designed to evaluate the long-term safety, tolerability, and efficacy, and effect on patient-reported outcomes (pruritus) in subjects with PBC.</w:t>
      </w:r>
    </w:p>
    <w:p w14:paraId="0C1964C3" w14:textId="77777777" w:rsidR="00D86BF9" w:rsidRPr="0085742A" w:rsidRDefault="00D86BF9" w:rsidP="00187AC9">
      <w:pPr>
        <w:pStyle w:val="Numberbullet0"/>
      </w:pPr>
      <w:r w:rsidRPr="0085742A">
        <w:t xml:space="preserve">Study CB8025-21629 was a </w:t>
      </w:r>
      <w:r>
        <w:t>P</w:t>
      </w:r>
      <w:r w:rsidRPr="0085742A">
        <w:t xml:space="preserve">hase </w:t>
      </w:r>
      <w:r>
        <w:t>II</w:t>
      </w:r>
      <w:r w:rsidRPr="0085742A">
        <w:t xml:space="preserve">, open-label, 8-week dose-ranging (2, 5, and 10 mg once daily) study of </w:t>
      </w:r>
      <w:proofErr w:type="spellStart"/>
      <w:r w:rsidRPr="0085742A">
        <w:t>seladelpar</w:t>
      </w:r>
      <w:proofErr w:type="spellEnd"/>
      <w:r w:rsidRPr="0085742A">
        <w:t xml:space="preserve"> with a 44-week extension period.</w:t>
      </w:r>
    </w:p>
    <w:p w14:paraId="453B3B4C" w14:textId="77777777" w:rsidR="00D86BF9" w:rsidRPr="0085742A" w:rsidRDefault="00D86BF9" w:rsidP="00187AC9">
      <w:pPr>
        <w:pStyle w:val="Numberbullet0"/>
      </w:pPr>
      <w:r w:rsidRPr="0085742A">
        <w:t xml:space="preserve">Study CB8025-21528 was a </w:t>
      </w:r>
      <w:r>
        <w:t>P</w:t>
      </w:r>
      <w:r w:rsidRPr="0085742A">
        <w:t xml:space="preserve">hase </w:t>
      </w:r>
      <w:r>
        <w:t>II</w:t>
      </w:r>
      <w:r w:rsidRPr="0085742A">
        <w:t xml:space="preserve">, placebo-controlled, dose-ranging study of </w:t>
      </w:r>
      <w:proofErr w:type="spellStart"/>
      <w:r w:rsidRPr="0085742A">
        <w:t>seladelpar</w:t>
      </w:r>
      <w:proofErr w:type="spellEnd"/>
      <w:r>
        <w:t xml:space="preserve"> (</w:t>
      </w:r>
      <w:proofErr w:type="spellStart"/>
      <w:r>
        <w:t>50mg</w:t>
      </w:r>
      <w:proofErr w:type="spellEnd"/>
      <w:r>
        <w:t xml:space="preserve"> and </w:t>
      </w:r>
      <w:proofErr w:type="spellStart"/>
      <w:r>
        <w:t>200mg</w:t>
      </w:r>
      <w:proofErr w:type="spellEnd"/>
      <w:r>
        <w:t>).</w:t>
      </w:r>
    </w:p>
    <w:p w14:paraId="7DFF295F" w14:textId="67037704" w:rsidR="00037DB3" w:rsidRPr="00037DB3" w:rsidRDefault="00037DB3" w:rsidP="00187AC9">
      <w:pPr>
        <w:pStyle w:val="Heading4"/>
      </w:pPr>
      <w:bookmarkStart w:id="48" w:name="_Toc314842514"/>
      <w:bookmarkStart w:id="49" w:name="_Toc233197019"/>
      <w:r w:rsidRPr="00037DB3">
        <w:t xml:space="preserve">Efficacy </w:t>
      </w:r>
      <w:r w:rsidR="00387C75">
        <w:t>evaluation</w:t>
      </w:r>
      <w:bookmarkEnd w:id="49"/>
    </w:p>
    <w:p w14:paraId="2EA12ED7" w14:textId="7F1DF7F7" w:rsidR="002B4F74" w:rsidRPr="00187AC9" w:rsidRDefault="00033964" w:rsidP="00187AC9">
      <w:pPr>
        <w:rPr>
          <w:highlight w:val="yellow"/>
        </w:rPr>
      </w:pPr>
      <w:r w:rsidRPr="002B4F74">
        <w:t>The clinical evaluator provided the following recommendation:</w:t>
      </w:r>
    </w:p>
    <w:p w14:paraId="617D1A45" w14:textId="3175855B" w:rsidR="00033964" w:rsidRPr="00187AC9" w:rsidRDefault="008D6AA1" w:rsidP="00187AC9">
      <w:pPr>
        <w:ind w:left="720"/>
        <w:rPr>
          <w:i/>
        </w:rPr>
      </w:pPr>
      <w:r w:rsidRPr="00187AC9">
        <w:rPr>
          <w:i/>
        </w:rPr>
        <w:t>I</w:t>
      </w:r>
      <w:r w:rsidR="00033964" w:rsidRPr="00187AC9">
        <w:rPr>
          <w:i/>
        </w:rPr>
        <w:t xml:space="preserve">t is recommended that approval can be granted for slightly modified wording of proposed indication as follows: </w:t>
      </w:r>
      <w:r w:rsidRPr="00187AC9">
        <w:rPr>
          <w:i/>
        </w:rPr>
        <w:t>‘</w:t>
      </w:r>
      <w:proofErr w:type="spellStart"/>
      <w:r w:rsidR="00033964" w:rsidRPr="00187AC9">
        <w:rPr>
          <w:i/>
        </w:rPr>
        <w:t>Seladelpar</w:t>
      </w:r>
      <w:proofErr w:type="spellEnd"/>
      <w:r w:rsidR="00033964" w:rsidRPr="00187AC9">
        <w:rPr>
          <w:i/>
        </w:rPr>
        <w:t xml:space="preserve"> is indicated for the treatment of primary biliary cholangitis (PBC), in adults in combination with ursodeoxycholic Acid (UDCA) who have an inadequate response to UDCA alone, or as monotherapy in those unable to tolerate UDCA.</w:t>
      </w:r>
      <w:r w:rsidR="00C95ACE" w:rsidRPr="00187AC9">
        <w:rPr>
          <w:i/>
        </w:rPr>
        <w:t>’</w:t>
      </w:r>
    </w:p>
    <w:p w14:paraId="328BDFEB" w14:textId="185743D7" w:rsidR="00033964" w:rsidRDefault="00033964" w:rsidP="00187AC9">
      <w:pPr>
        <w:pStyle w:val="Heading5"/>
      </w:pPr>
      <w:r>
        <w:t>Pharmacokinetics</w:t>
      </w:r>
    </w:p>
    <w:p w14:paraId="3B1A0779" w14:textId="1888CD57" w:rsidR="00033964" w:rsidRPr="006445C1" w:rsidRDefault="00033964" w:rsidP="00187AC9">
      <w:r w:rsidRPr="00E651A1">
        <w:t xml:space="preserve">There was no evidence of </w:t>
      </w:r>
      <w:r>
        <w:t xml:space="preserve">change in </w:t>
      </w:r>
      <w:r w:rsidRPr="00E651A1">
        <w:t xml:space="preserve">exposure (AUC and </w:t>
      </w:r>
      <w:proofErr w:type="spellStart"/>
      <w:r w:rsidRPr="00E651A1">
        <w:t>Cmax</w:t>
      </w:r>
      <w:proofErr w:type="spellEnd"/>
      <w:r w:rsidRPr="00E651A1">
        <w:t xml:space="preserve">) to </w:t>
      </w:r>
      <w:proofErr w:type="spellStart"/>
      <w:r w:rsidRPr="00E651A1">
        <w:t>seladelpar</w:t>
      </w:r>
      <w:proofErr w:type="spellEnd"/>
      <w:r w:rsidRPr="00E651A1">
        <w:t xml:space="preserve"> following oral administration as a capsule compared with the solution formulation in healthy male subjects</w:t>
      </w:r>
      <w:r w:rsidR="00C95ACE">
        <w:t>. T</w:t>
      </w:r>
      <w:r w:rsidRPr="00513F41">
        <w:t xml:space="preserve">he relative bioavailability (capsule/solution) based on the geometric mean ratio </w:t>
      </w:r>
      <w:r>
        <w:t xml:space="preserve">of </w:t>
      </w:r>
      <w:r w:rsidRPr="00513F41">
        <w:t xml:space="preserve">1.06 for </w:t>
      </w:r>
      <w:r>
        <w:t xml:space="preserve">both </w:t>
      </w:r>
      <w:r w:rsidRPr="00513F41">
        <w:t>AUC0-24 and AUC0-∞</w:t>
      </w:r>
      <w:r w:rsidR="00C95ACE">
        <w:t>.</w:t>
      </w:r>
    </w:p>
    <w:p w14:paraId="709D8346" w14:textId="6DC635E8" w:rsidR="00033964" w:rsidRDefault="00033964" w:rsidP="00187AC9">
      <w:proofErr w:type="spellStart"/>
      <w:r w:rsidRPr="001551F5">
        <w:t>Seladelpar</w:t>
      </w:r>
      <w:proofErr w:type="spellEnd"/>
      <w:r w:rsidRPr="001551F5">
        <w:t xml:space="preserve"> 10 mg was rapidly absorbed after a single oral dose, with a median </w:t>
      </w:r>
      <w:proofErr w:type="spellStart"/>
      <w:r>
        <w:t>Tmax</w:t>
      </w:r>
      <w:proofErr w:type="spellEnd"/>
      <w:r w:rsidRPr="001551F5">
        <w:t xml:space="preserve"> of 1.5 hours (Study CB8025-11734). No significant accumulation was observed after multiple daily dosing, and </w:t>
      </w:r>
      <w:r w:rsidR="00A64CE9" w:rsidRPr="001551F5">
        <w:t>steady state</w:t>
      </w:r>
      <w:r w:rsidRPr="001551F5">
        <w:t xml:space="preserve"> was achieved from Day 4 onwards after daily dosing.</w:t>
      </w:r>
    </w:p>
    <w:p w14:paraId="65C1F7DC" w14:textId="2E58FD7B" w:rsidR="00033964" w:rsidRPr="00ED3330" w:rsidRDefault="00033964" w:rsidP="00187AC9">
      <w:proofErr w:type="spellStart"/>
      <w:r w:rsidRPr="001551F5">
        <w:t>Seladelpar</w:t>
      </w:r>
      <w:proofErr w:type="spellEnd"/>
      <w:r w:rsidRPr="001551F5">
        <w:t xml:space="preserve"> exposure increased with increasing single doses of </w:t>
      </w:r>
      <w:proofErr w:type="spellStart"/>
      <w:r w:rsidRPr="001551F5">
        <w:t>seladelpar</w:t>
      </w:r>
      <w:proofErr w:type="spellEnd"/>
      <w:r w:rsidRPr="001551F5">
        <w:t xml:space="preserve"> from 1 to 360 mg</w:t>
      </w:r>
      <w:r w:rsidR="00A64CE9">
        <w:t>. I</w:t>
      </w:r>
      <w:r w:rsidRPr="001551F5">
        <w:t xml:space="preserve">ncreases in exposure were approximately dose proportional through the 15 mg dose, after which the increase in </w:t>
      </w:r>
      <w:proofErr w:type="spellStart"/>
      <w:r w:rsidRPr="001551F5">
        <w:t>Cmax</w:t>
      </w:r>
      <w:proofErr w:type="spellEnd"/>
      <w:r w:rsidRPr="001551F5">
        <w:t xml:space="preserve"> was larger than dose proportional</w:t>
      </w:r>
      <w:r w:rsidR="001773D9">
        <w:t>.</w:t>
      </w:r>
    </w:p>
    <w:p w14:paraId="5D4E8E42" w14:textId="27012BD4" w:rsidR="00033964" w:rsidRPr="0065254B" w:rsidRDefault="00033964" w:rsidP="00187AC9">
      <w:proofErr w:type="spellStart"/>
      <w:r w:rsidRPr="004F2B12">
        <w:t>Seladelpar</w:t>
      </w:r>
      <w:proofErr w:type="spellEnd"/>
      <w:r w:rsidRPr="004F2B12">
        <w:t xml:space="preserve"> and the </w:t>
      </w:r>
      <w:proofErr w:type="spellStart"/>
      <w:r w:rsidRPr="004F2B12">
        <w:t>M2</w:t>
      </w:r>
      <w:proofErr w:type="spellEnd"/>
      <w:r w:rsidRPr="004F2B12">
        <w:t xml:space="preserve"> metabolite were found to be extensively bound (≥ 99.4%) to human plasma proteins in vitro (Module 2.6.4). In patients with PBC, the apparent volume of distribution at steady state of </w:t>
      </w:r>
      <w:proofErr w:type="spellStart"/>
      <w:r w:rsidRPr="004F2B12">
        <w:t>seladelpar</w:t>
      </w:r>
      <w:proofErr w:type="spellEnd"/>
      <w:r w:rsidRPr="004F2B12">
        <w:t xml:space="preserve"> at 10 mg was 110.3 L</w:t>
      </w:r>
      <w:r w:rsidR="001773D9">
        <w:t>.</w:t>
      </w:r>
    </w:p>
    <w:p w14:paraId="29B463ED" w14:textId="77777777" w:rsidR="00033964" w:rsidRDefault="00033964" w:rsidP="00187AC9">
      <w:r w:rsidRPr="004F2B12">
        <w:lastRenderedPageBreak/>
        <w:t xml:space="preserve">After oral administration, </w:t>
      </w:r>
      <w:proofErr w:type="spellStart"/>
      <w:r w:rsidRPr="004F2B12">
        <w:t>seladelpar</w:t>
      </w:r>
      <w:proofErr w:type="spellEnd"/>
      <w:r w:rsidRPr="004F2B12">
        <w:t xml:space="preserve"> was extensively metabolised and rapidly eliminated in urine in the form of metabolites. Urinary excretion was the major route of</w:t>
      </w:r>
      <w:r>
        <w:t xml:space="preserve"> elimination for total radioactivity, with observed mean recovery of total radioactivity in urine of 73.4%. Urinary excretion of </w:t>
      </w:r>
      <w:proofErr w:type="spellStart"/>
      <w:r>
        <w:t>seladelpar</w:t>
      </w:r>
      <w:proofErr w:type="spellEnd"/>
      <w:r>
        <w:t xml:space="preserve"> as metabolites </w:t>
      </w:r>
      <w:proofErr w:type="spellStart"/>
      <w:r>
        <w:t>M1</w:t>
      </w:r>
      <w:proofErr w:type="spellEnd"/>
      <w:r>
        <w:t>, M2, and M3 was greater than the parent drug, representing 8.34%, 1.17%, and 27.5% of the dose, respectively.</w:t>
      </w:r>
    </w:p>
    <w:p w14:paraId="086A4ECC" w14:textId="068A71C2" w:rsidR="00033964" w:rsidRDefault="00033964" w:rsidP="00187AC9">
      <w:r>
        <w:t xml:space="preserve">The metabolites M1, M2, and M3 were slowly produced and eliminated compared with </w:t>
      </w:r>
      <w:proofErr w:type="spellStart"/>
      <w:r>
        <w:t>seladelpar</w:t>
      </w:r>
      <w:proofErr w:type="spellEnd"/>
      <w:r>
        <w:t xml:space="preserve">; the </w:t>
      </w:r>
      <w:r w:rsidRPr="006C7BD6">
        <w:t xml:space="preserve">median </w:t>
      </w:r>
      <w:proofErr w:type="spellStart"/>
      <w:r>
        <w:t>Tmax</w:t>
      </w:r>
      <w:proofErr w:type="spellEnd"/>
      <w:r w:rsidRPr="006C7BD6">
        <w:t xml:space="preserve"> was 10, 4 and 4 hours for</w:t>
      </w:r>
      <w:r>
        <w:t xml:space="preserve"> metabolites M1, M2 and M3, respectively</w:t>
      </w:r>
      <w:r w:rsidR="00ED0C03">
        <w:t>.</w:t>
      </w:r>
    </w:p>
    <w:p w14:paraId="715D9776" w14:textId="180F640B" w:rsidR="00033964" w:rsidRPr="009F2A60" w:rsidRDefault="00033964" w:rsidP="00187AC9">
      <w:r w:rsidRPr="00C16347">
        <w:t>Effect</w:t>
      </w:r>
      <w:r>
        <w:t>s</w:t>
      </w:r>
      <w:r w:rsidRPr="00C16347">
        <w:t xml:space="preserve"> of age, sex, weight, renal impairment, and hepatic impairment on </w:t>
      </w:r>
      <w:proofErr w:type="spellStart"/>
      <w:r w:rsidRPr="00C16347">
        <w:t>seladelpar</w:t>
      </w:r>
      <w:proofErr w:type="spellEnd"/>
      <w:r w:rsidRPr="00C16347">
        <w:t xml:space="preserve"> exposure</w:t>
      </w:r>
      <w:r>
        <w:t xml:space="preserve"> </w:t>
      </w:r>
      <w:r w:rsidRPr="00C16347">
        <w:t xml:space="preserve">were assessed as a covariate in the </w:t>
      </w:r>
      <w:proofErr w:type="spellStart"/>
      <w:r w:rsidRPr="00C16347">
        <w:t>popPK</w:t>
      </w:r>
      <w:proofErr w:type="spellEnd"/>
      <w:r w:rsidRPr="00C16347">
        <w:t xml:space="preserve"> analysis. There was no statistically significant effect</w:t>
      </w:r>
      <w:r>
        <w:t xml:space="preserve"> </w:t>
      </w:r>
      <w:r w:rsidRPr="00C16347">
        <w:t xml:space="preserve">of age, sex, or renal function (measured by eGFR) on </w:t>
      </w:r>
      <w:proofErr w:type="spellStart"/>
      <w:r w:rsidRPr="00C16347">
        <w:t>seladelpar</w:t>
      </w:r>
      <w:proofErr w:type="spellEnd"/>
      <w:r w:rsidRPr="00C16347">
        <w:t xml:space="preserve"> clearance, as the 95% CIs of the</w:t>
      </w:r>
      <w:r>
        <w:t xml:space="preserve"> </w:t>
      </w:r>
      <w:r w:rsidRPr="00C16347">
        <w:t>estimated effects included the null value. There was a trend of increasing clearance with</w:t>
      </w:r>
      <w:r>
        <w:t xml:space="preserve"> </w:t>
      </w:r>
      <w:r w:rsidRPr="00C16347">
        <w:t>increasing weight. The magnitude of the weight effect was considered within the range of</w:t>
      </w:r>
      <w:r>
        <w:t xml:space="preserve"> </w:t>
      </w:r>
      <w:r w:rsidRPr="00C16347">
        <w:t>between-subject variability and is therefore unlikely to be clinically meaningful</w:t>
      </w:r>
      <w:r w:rsidR="00865870">
        <w:t>.</w:t>
      </w:r>
    </w:p>
    <w:p w14:paraId="2E888247" w14:textId="32CF351B" w:rsidR="00033964" w:rsidRPr="005E3CDF" w:rsidRDefault="00033964" w:rsidP="00187AC9">
      <w:r>
        <w:t xml:space="preserve">The Phase I study </w:t>
      </w:r>
      <w:r w:rsidRPr="00C80861">
        <w:rPr>
          <w:b/>
        </w:rPr>
        <w:t>CB8025-11732</w:t>
      </w:r>
      <w:r w:rsidR="00B8561F">
        <w:rPr>
          <w:b/>
        </w:rPr>
        <w:t>,</w:t>
      </w:r>
      <w:r>
        <w:t xml:space="preserve"> evaluated the effects of hepatic impairment (HI) on PKs of </w:t>
      </w:r>
      <w:proofErr w:type="spellStart"/>
      <w:r>
        <w:t>seladelpar</w:t>
      </w:r>
      <w:proofErr w:type="spellEnd"/>
      <w:r>
        <w:t xml:space="preserve"> and its metabolites (M1,</w:t>
      </w:r>
      <w:r w:rsidR="0057258D">
        <w:t xml:space="preserve"> </w:t>
      </w:r>
      <w:r>
        <w:t xml:space="preserve">M2 and M3) in 32 subjects. </w:t>
      </w:r>
      <w:r w:rsidRPr="00FE0065">
        <w:t xml:space="preserve">Exposure to </w:t>
      </w:r>
      <w:proofErr w:type="spellStart"/>
      <w:r w:rsidRPr="00FE0065">
        <w:t>seladelpar</w:t>
      </w:r>
      <w:proofErr w:type="spellEnd"/>
      <w:r w:rsidRPr="00FE0065">
        <w:t xml:space="preserve"> and metabolites was generally similar in subjects with mild HI</w:t>
      </w:r>
      <w:r>
        <w:t xml:space="preserve"> </w:t>
      </w:r>
      <w:r w:rsidRPr="00FE0065">
        <w:t>compared to normal subjects</w:t>
      </w:r>
      <w:r>
        <w:t xml:space="preserve">. </w:t>
      </w:r>
      <w:r w:rsidRPr="00BE5176">
        <w:rPr>
          <w:color w:val="000000"/>
        </w:rPr>
        <w:t xml:space="preserve">The safety and efficacy of </w:t>
      </w:r>
      <w:proofErr w:type="spellStart"/>
      <w:r w:rsidRPr="00BE5176">
        <w:rPr>
          <w:color w:val="000000"/>
        </w:rPr>
        <w:t>seladelpar</w:t>
      </w:r>
      <w:proofErr w:type="spellEnd"/>
      <w:r w:rsidRPr="00BE5176">
        <w:rPr>
          <w:color w:val="000000"/>
        </w:rPr>
        <w:t xml:space="preserve"> in subjects with PBC with moderate to severe </w:t>
      </w:r>
      <w:r>
        <w:rPr>
          <w:color w:val="000000"/>
        </w:rPr>
        <w:t>HI</w:t>
      </w:r>
      <w:r w:rsidR="00037924">
        <w:rPr>
          <w:color w:val="000000"/>
        </w:rPr>
        <w:br/>
      </w:r>
      <w:r w:rsidRPr="00BE5176">
        <w:rPr>
          <w:color w:val="000000"/>
        </w:rPr>
        <w:t>(Child-Pugh</w:t>
      </w:r>
      <w:r w:rsidR="00037924">
        <w:rPr>
          <w:color w:val="000000"/>
        </w:rPr>
        <w:t xml:space="preserve"> </w:t>
      </w:r>
      <w:r w:rsidRPr="00BE5176">
        <w:rPr>
          <w:color w:val="000000"/>
        </w:rPr>
        <w:t>B</w:t>
      </w:r>
      <w:r>
        <w:rPr>
          <w:color w:val="000000"/>
        </w:rPr>
        <w:t xml:space="preserve"> or C) has not been established and no </w:t>
      </w:r>
      <w:r w:rsidRPr="00BE5176">
        <w:rPr>
          <w:color w:val="000000"/>
        </w:rPr>
        <w:t>dosage recommendation can be</w:t>
      </w:r>
      <w:r>
        <w:rPr>
          <w:color w:val="000000"/>
        </w:rPr>
        <w:t xml:space="preserve"> </w:t>
      </w:r>
      <w:r w:rsidRPr="00BE5176">
        <w:rPr>
          <w:color w:val="000000"/>
        </w:rPr>
        <w:t>given for subjects with Child-Pugh B or C</w:t>
      </w:r>
      <w:r w:rsidRPr="003D5D57">
        <w:rPr>
          <w:color w:val="000000"/>
        </w:rPr>
        <w:t xml:space="preserve"> </w:t>
      </w:r>
      <w:r w:rsidRPr="00BE5176">
        <w:rPr>
          <w:color w:val="000000"/>
        </w:rPr>
        <w:t>hepatic impairment.</w:t>
      </w:r>
    </w:p>
    <w:p w14:paraId="45FAB3BC" w14:textId="309392A1" w:rsidR="00033964" w:rsidRDefault="00033964" w:rsidP="00187AC9">
      <w:r w:rsidRPr="00387322">
        <w:t xml:space="preserve">There was no meaningful increase in </w:t>
      </w:r>
      <w:proofErr w:type="spellStart"/>
      <w:r w:rsidRPr="00387322">
        <w:t>seladelpar</w:t>
      </w:r>
      <w:proofErr w:type="spellEnd"/>
      <w:r w:rsidRPr="00387322">
        <w:t xml:space="preserve"> plasma exposure following single oral dose of 10mg capsule (proposed formulation) with worsening renal function. An increase of 59% in </w:t>
      </w:r>
      <w:proofErr w:type="spellStart"/>
      <w:r w:rsidRPr="00387322">
        <w:t>seladelpar</w:t>
      </w:r>
      <w:proofErr w:type="spellEnd"/>
      <w:r w:rsidRPr="00387322">
        <w:t xml:space="preserve"> AUC was observed in the moderate renal impairment group with no increase in </w:t>
      </w:r>
      <w:proofErr w:type="spellStart"/>
      <w:r w:rsidRPr="00387322">
        <w:t>Cmax</w:t>
      </w:r>
      <w:proofErr w:type="spellEnd"/>
      <w:r w:rsidRPr="00387322">
        <w:t>.</w:t>
      </w:r>
    </w:p>
    <w:p w14:paraId="3DCE1A40" w14:textId="399CF815" w:rsidR="00033964" w:rsidRPr="00FD001B" w:rsidRDefault="00033964" w:rsidP="00187AC9">
      <w:r>
        <w:t xml:space="preserve">To further evaluate the plasma PK of </w:t>
      </w:r>
      <w:proofErr w:type="spellStart"/>
      <w:r>
        <w:t>seladelpar</w:t>
      </w:r>
      <w:proofErr w:type="spellEnd"/>
      <w:r>
        <w:t xml:space="preserve"> and to evaluate the impact of covariates of interest and </w:t>
      </w:r>
      <w:r w:rsidRPr="003D5D57">
        <w:t xml:space="preserve">subject variability, </w:t>
      </w:r>
      <w:proofErr w:type="spellStart"/>
      <w:r w:rsidRPr="003D5D57">
        <w:t>popPK</w:t>
      </w:r>
      <w:proofErr w:type="spellEnd"/>
      <w:r w:rsidRPr="003D5D57">
        <w:t xml:space="preserve"> (Report CYMA-</w:t>
      </w:r>
      <w:proofErr w:type="spellStart"/>
      <w:r w:rsidRPr="003D5D57">
        <w:t>PMX</w:t>
      </w:r>
      <w:proofErr w:type="spellEnd"/>
      <w:r w:rsidRPr="003D5D57">
        <w:t>-</w:t>
      </w:r>
      <w:proofErr w:type="spellStart"/>
      <w:r w:rsidRPr="003D5D57">
        <w:t>SELADELPAR</w:t>
      </w:r>
      <w:proofErr w:type="spellEnd"/>
      <w:r w:rsidRPr="003D5D57">
        <w:t>-4391-PPK- 202408), E-R (Report CYMA-PMX-SELADELPAR-4391-ER-20241031), and PBPK (Report CYMA-PBPK-SEL-1C-20231113) analyses were conducted.</w:t>
      </w:r>
      <w:r>
        <w:t xml:space="preserve"> </w:t>
      </w:r>
      <w:r w:rsidRPr="00ED7BA1">
        <w:t xml:space="preserve">The main findings were: Typical PBC patient estimated clearances were 12.0 L/h for </w:t>
      </w:r>
      <w:proofErr w:type="spellStart"/>
      <w:r w:rsidRPr="00ED7BA1">
        <w:t>seladelpar</w:t>
      </w:r>
      <w:proofErr w:type="spellEnd"/>
      <w:r w:rsidRPr="00ED7BA1">
        <w:t xml:space="preserve"> and 4.44 L/h for M2, with between-subject variabilities of 38% and 47%, respectively.</w:t>
      </w:r>
      <w:r>
        <w:t xml:space="preserve"> </w:t>
      </w:r>
      <w:proofErr w:type="spellStart"/>
      <w:r w:rsidRPr="00E76E32">
        <w:t>Seladelpar</w:t>
      </w:r>
      <w:proofErr w:type="spellEnd"/>
      <w:r w:rsidRPr="00E76E32">
        <w:t xml:space="preserve"> administration with food reduced </w:t>
      </w:r>
      <w:proofErr w:type="spellStart"/>
      <w:r w:rsidRPr="00E76E32">
        <w:t>seladelpar</w:t>
      </w:r>
      <w:proofErr w:type="spellEnd"/>
      <w:r w:rsidRPr="00E76E32">
        <w:t xml:space="preserve"> </w:t>
      </w:r>
      <w:proofErr w:type="spellStart"/>
      <w:r w:rsidRPr="00E76E32">
        <w:t>Cmax</w:t>
      </w:r>
      <w:proofErr w:type="spellEnd"/>
      <w:r w:rsidRPr="00E76E32">
        <w:t xml:space="preserve"> by 25% (15% for M2) but did not affect steady-state AUC significantly for either </w:t>
      </w:r>
      <w:proofErr w:type="spellStart"/>
      <w:r>
        <w:t>seladelpar</w:t>
      </w:r>
      <w:proofErr w:type="spellEnd"/>
      <w:r>
        <w:t xml:space="preserve"> or </w:t>
      </w:r>
      <w:proofErr w:type="spellStart"/>
      <w:r>
        <w:t>M2</w:t>
      </w:r>
      <w:proofErr w:type="spellEnd"/>
      <w:r w:rsidR="00DD1D67">
        <w:t>.</w:t>
      </w:r>
    </w:p>
    <w:p w14:paraId="26D1D2C2" w14:textId="77777777" w:rsidR="00033964" w:rsidRPr="006C7204" w:rsidRDefault="00033964" w:rsidP="00187AC9">
      <w:pPr>
        <w:pStyle w:val="Heading5"/>
        <w:rPr>
          <w:rFonts w:eastAsia="TimesNewRoman"/>
        </w:rPr>
      </w:pPr>
      <w:bookmarkStart w:id="50" w:name="_Toc200106163"/>
      <w:r w:rsidRPr="006C7204">
        <w:rPr>
          <w:rFonts w:eastAsia="TimesNewRoman"/>
        </w:rPr>
        <w:t>Pharmacodynamics</w:t>
      </w:r>
      <w:bookmarkEnd w:id="50"/>
    </w:p>
    <w:p w14:paraId="5A8F1738" w14:textId="51A8FA04" w:rsidR="00033964" w:rsidRPr="00187AC9" w:rsidRDefault="00033964" w:rsidP="00187AC9">
      <w:r>
        <w:t xml:space="preserve">Across PBC clinical studies, rapid and consistent reductions in ALP were observed with </w:t>
      </w:r>
      <w:proofErr w:type="spellStart"/>
      <w:r>
        <w:t>seladelpar</w:t>
      </w:r>
      <w:proofErr w:type="spellEnd"/>
      <w:r>
        <w:t>. Onset of ALP reductions have been demonstrated as early as Week 2 in study CB8025-21528, Week 1 in CB8025-21629, and Week 4 (the first timepoint assessed) in phase III studies CB8025-32048, CB8025-31735, CB8025-31731, and CB8025-31731-RE. ALP reduction in the phase III studies were sustained through 12 months and up to 24 months.</w:t>
      </w:r>
    </w:p>
    <w:p w14:paraId="3E7AA8C5" w14:textId="77777777" w:rsidR="00033964" w:rsidRPr="00D14822" w:rsidRDefault="00033964" w:rsidP="00C4442B">
      <w:r w:rsidRPr="00D14822">
        <w:t xml:space="preserve">The reduction of </w:t>
      </w:r>
      <w:proofErr w:type="spellStart"/>
      <w:r w:rsidRPr="00D14822">
        <w:t>C4</w:t>
      </w:r>
      <w:proofErr w:type="spellEnd"/>
      <w:r w:rsidRPr="00D14822">
        <w:t xml:space="preserve"> with other markers of cholestasis, including ALP and </w:t>
      </w:r>
      <w:proofErr w:type="spellStart"/>
      <w:r w:rsidRPr="00D14822">
        <w:t>GGT</w:t>
      </w:r>
      <w:proofErr w:type="spellEnd"/>
      <w:r w:rsidRPr="00D14822">
        <w:t xml:space="preserve"> suggests that </w:t>
      </w:r>
      <w:proofErr w:type="spellStart"/>
      <w:r w:rsidRPr="00D14822">
        <w:t>seladelpar</w:t>
      </w:r>
      <w:proofErr w:type="spellEnd"/>
      <w:r w:rsidRPr="00D14822">
        <w:t xml:space="preserve"> acts to improve cholestasis by reducing hepatocellular bile acid pools.</w:t>
      </w:r>
    </w:p>
    <w:p w14:paraId="02A956DA" w14:textId="77777777" w:rsidR="00033964" w:rsidRPr="00D14822" w:rsidRDefault="00033964" w:rsidP="00187AC9">
      <w:r w:rsidRPr="00D14822">
        <w:t xml:space="preserve">The effects of </w:t>
      </w:r>
      <w:proofErr w:type="spellStart"/>
      <w:r w:rsidRPr="00D14822">
        <w:t>seladelpar</w:t>
      </w:r>
      <w:proofErr w:type="spellEnd"/>
      <w:r w:rsidRPr="00D14822">
        <w:t xml:space="preserve"> on serum levels of FGF21 in study CB8025-32048 support FGF21 as a pharmacodynamic marker of the hepatocellular engagement of PPAR𝛿 by </w:t>
      </w:r>
      <w:proofErr w:type="spellStart"/>
      <w:r w:rsidRPr="00D14822">
        <w:t>seladelpar</w:t>
      </w:r>
      <w:proofErr w:type="spellEnd"/>
      <w:r w:rsidRPr="00D14822">
        <w:t xml:space="preserve"> in </w:t>
      </w:r>
      <w:proofErr w:type="spellStart"/>
      <w:r w:rsidRPr="00D14822">
        <w:t>PBC</w:t>
      </w:r>
      <w:proofErr w:type="spellEnd"/>
      <w:r w:rsidRPr="00D14822">
        <w:t xml:space="preserve"> subjects.</w:t>
      </w:r>
    </w:p>
    <w:p w14:paraId="35758F09" w14:textId="77777777" w:rsidR="00033964" w:rsidRPr="00D14822" w:rsidRDefault="00033964" w:rsidP="00187AC9">
      <w:r w:rsidRPr="00D14822">
        <w:t xml:space="preserve">The effects of </w:t>
      </w:r>
      <w:proofErr w:type="spellStart"/>
      <w:r w:rsidRPr="00D14822">
        <w:t>seladelpar</w:t>
      </w:r>
      <w:proofErr w:type="spellEnd"/>
      <w:r w:rsidRPr="00D14822">
        <w:t xml:space="preserve"> on IL-31 levels in study CB8025-32048 support IL-31 as a pharmacodynamic marker of </w:t>
      </w:r>
      <w:proofErr w:type="spellStart"/>
      <w:r w:rsidRPr="00D14822">
        <w:t>seladelpar</w:t>
      </w:r>
      <w:proofErr w:type="spellEnd"/>
      <w:r w:rsidRPr="00D14822">
        <w:t xml:space="preserve"> effect on pruritus in PBC subjects.</w:t>
      </w:r>
    </w:p>
    <w:p w14:paraId="79FD1BB1" w14:textId="1AD1C05A" w:rsidR="00033964" w:rsidRPr="00D14822" w:rsidRDefault="00033964" w:rsidP="00187AC9">
      <w:r w:rsidRPr="00D14822">
        <w:t xml:space="preserve">Concentration regression analysis showed no effect of </w:t>
      </w:r>
      <w:proofErr w:type="spellStart"/>
      <w:r w:rsidRPr="00D14822">
        <w:t>seladelpar</w:t>
      </w:r>
      <w:proofErr w:type="spellEnd"/>
      <w:r w:rsidRPr="00D14822">
        <w:t xml:space="preserve"> concentration on the</w:t>
      </w:r>
      <w:r w:rsidR="00187AC9">
        <w:t xml:space="preserve"> </w:t>
      </w:r>
      <w:r w:rsidRPr="00D14822">
        <w:t xml:space="preserve">placebo-adjusted change of </w:t>
      </w:r>
      <w:proofErr w:type="spellStart"/>
      <w:r w:rsidRPr="00D14822">
        <w:t>QTcF</w:t>
      </w:r>
      <w:proofErr w:type="spellEnd"/>
      <w:r w:rsidRPr="00D14822">
        <w:t xml:space="preserve"> from baseline and </w:t>
      </w:r>
      <w:proofErr w:type="spellStart"/>
      <w:r w:rsidRPr="00D14822">
        <w:t>seladelpar</w:t>
      </w:r>
      <w:proofErr w:type="spellEnd"/>
      <w:r w:rsidRPr="00D14822">
        <w:t xml:space="preserve"> was not associated with significant QT </w:t>
      </w:r>
      <w:r w:rsidRPr="00D14822">
        <w:lastRenderedPageBreak/>
        <w:t xml:space="preserve">prolongation when administered in single-doses up to 200 mg. </w:t>
      </w:r>
      <w:r w:rsidRPr="003B29DB">
        <w:t>Assay sensitivity using moxifloxacin 400 mg was confirmed.</w:t>
      </w:r>
    </w:p>
    <w:p w14:paraId="7E1C5AD2" w14:textId="77777777" w:rsidR="00033964" w:rsidRDefault="00033964" w:rsidP="00187AC9">
      <w:r>
        <w:t xml:space="preserve">Changes in lipids (total cholesterol, LDL-C, and triglycerides) have been measured in PBC clinical studies with </w:t>
      </w:r>
      <w:proofErr w:type="spellStart"/>
      <w:r>
        <w:t>seladelpar</w:t>
      </w:r>
      <w:proofErr w:type="spellEnd"/>
      <w:r>
        <w:t xml:space="preserve"> and consistent reductions in total cholesterol, LDL-C, and triglycerides levels being observed (with no change in HDL-C levels).</w:t>
      </w:r>
    </w:p>
    <w:p w14:paraId="3B94A12B" w14:textId="77777777" w:rsidR="00033964" w:rsidRDefault="00033964" w:rsidP="00187AC9">
      <w:pPr>
        <w:pStyle w:val="Heading5"/>
      </w:pPr>
      <w:r w:rsidRPr="002030BB">
        <w:t>Dosage selection for the pivotal studies</w:t>
      </w:r>
    </w:p>
    <w:p w14:paraId="249E4CDC" w14:textId="71036DB9" w:rsidR="003A0C1A" w:rsidRDefault="00033964" w:rsidP="00187AC9">
      <w:r w:rsidRPr="00516262">
        <w:rPr>
          <w:b/>
        </w:rPr>
        <w:t>CB8025-21528</w:t>
      </w:r>
      <w:r w:rsidRPr="00516262">
        <w:t xml:space="preserve"> </w:t>
      </w:r>
      <w:r>
        <w:t>was a Phase II</w:t>
      </w:r>
      <w:r w:rsidRPr="00516262">
        <w:t xml:space="preserve">, 12-week, double-blind, randomised, placebo-controlled study to evaluate the effects of two doses of </w:t>
      </w:r>
      <w:proofErr w:type="spellStart"/>
      <w:r w:rsidRPr="00516262">
        <w:t>MBX</w:t>
      </w:r>
      <w:proofErr w:type="spellEnd"/>
      <w:r w:rsidRPr="00516262">
        <w:t>-8025 (</w:t>
      </w:r>
      <w:proofErr w:type="spellStart"/>
      <w:r w:rsidRPr="00516262">
        <w:t>seladelpar</w:t>
      </w:r>
      <w:proofErr w:type="spellEnd"/>
      <w:r w:rsidRPr="00516262">
        <w:t xml:space="preserve"> </w:t>
      </w:r>
      <w:proofErr w:type="spellStart"/>
      <w:r w:rsidRPr="00516262">
        <w:t>50mg</w:t>
      </w:r>
      <w:proofErr w:type="spellEnd"/>
      <w:r w:rsidRPr="00516262">
        <w:t xml:space="preserve"> and </w:t>
      </w:r>
      <w:proofErr w:type="spellStart"/>
      <w:r w:rsidRPr="00516262">
        <w:t>200mg</w:t>
      </w:r>
      <w:proofErr w:type="spellEnd"/>
      <w:r w:rsidRPr="00516262">
        <w:t>) in subjects with PBC and an inadequate response to UDCA.</w:t>
      </w:r>
    </w:p>
    <w:p w14:paraId="4FF7C982" w14:textId="284BF4BC" w:rsidR="00033964" w:rsidRDefault="00033964" w:rsidP="00187AC9">
      <w:pPr>
        <w:rPr>
          <w:rFonts w:eastAsia="TimesNewRoman" w:cs="TimesNewRoman"/>
        </w:rPr>
      </w:pPr>
      <w:r w:rsidRPr="00516262">
        <w:t xml:space="preserve">This study demonstrated rapid and consistent decreases in ALP with both </w:t>
      </w:r>
      <w:proofErr w:type="spellStart"/>
      <w:r w:rsidRPr="00516262">
        <w:t>seladelpar</w:t>
      </w:r>
      <w:proofErr w:type="spellEnd"/>
      <w:r w:rsidRPr="00516262">
        <w:t xml:space="preserve"> doses (while subjects on placebo remained stable)</w:t>
      </w:r>
      <w:r w:rsidR="003A0C1A">
        <w:t>. T</w:t>
      </w:r>
      <w:r w:rsidRPr="00516262">
        <w:t>he reduction</w:t>
      </w:r>
      <w:r w:rsidR="00DC2C97">
        <w:t>s</w:t>
      </w:r>
      <w:r w:rsidRPr="00516262">
        <w:t xml:space="preserve"> in ALP </w:t>
      </w:r>
      <w:r w:rsidRPr="00516262">
        <w:rPr>
          <w:rFonts w:eastAsia="TimesNewRoman" w:cs="TimesNewRoman"/>
        </w:rPr>
        <w:t>in the MBX-8025 groups were also associated with decreases in the other cholestasis enzymes</w:t>
      </w:r>
      <w:r>
        <w:rPr>
          <w:rFonts w:eastAsia="TimesNewRoman" w:cs="TimesNewRoman"/>
        </w:rPr>
        <w:t>,</w:t>
      </w:r>
      <w:r w:rsidRPr="00516262">
        <w:rPr>
          <w:rFonts w:eastAsia="TimesNewRoman" w:cs="TimesNewRoman"/>
        </w:rPr>
        <w:t xml:space="preserve"> GGT and 5’nucleotidase.</w:t>
      </w:r>
      <w:r w:rsidRPr="00C74A45">
        <w:rPr>
          <w:rFonts w:eastAsia="TimesNewRoman" w:cs="TimesNewRoman"/>
        </w:rPr>
        <w:t xml:space="preserve"> </w:t>
      </w:r>
      <w:r w:rsidRPr="00516262">
        <w:rPr>
          <w:rFonts w:eastAsia="TimesNewRoman" w:cs="TimesNewRoman"/>
        </w:rPr>
        <w:t xml:space="preserve">Three subjects (1 on 50mg and 2 on </w:t>
      </w:r>
      <w:proofErr w:type="spellStart"/>
      <w:r w:rsidRPr="00516262">
        <w:rPr>
          <w:rFonts w:eastAsia="TimesNewRoman" w:cs="TimesNewRoman"/>
        </w:rPr>
        <w:t>200mg</w:t>
      </w:r>
      <w:proofErr w:type="spellEnd"/>
      <w:r w:rsidRPr="00516262">
        <w:rPr>
          <w:rFonts w:eastAsia="TimesNewRoman" w:cs="TimesNewRoman"/>
        </w:rPr>
        <w:t xml:space="preserve"> </w:t>
      </w:r>
      <w:proofErr w:type="spellStart"/>
      <w:r w:rsidRPr="00516262">
        <w:rPr>
          <w:rFonts w:eastAsia="TimesNewRoman" w:cs="TimesNewRoman"/>
        </w:rPr>
        <w:t>seladelpar</w:t>
      </w:r>
      <w:proofErr w:type="spellEnd"/>
      <w:r w:rsidRPr="00516262">
        <w:rPr>
          <w:rFonts w:eastAsia="TimesNewRoman" w:cs="TimesNewRoman"/>
        </w:rPr>
        <w:t>) developed grade 3 ALT elevations that were judged to be study medication related or possibly study medication related. The ALT elevations were dose-related, onset was rapid</w:t>
      </w:r>
      <w:r>
        <w:rPr>
          <w:rFonts w:eastAsia="TimesNewRoman" w:cs="TimesNewRoman"/>
        </w:rPr>
        <w:t xml:space="preserve"> </w:t>
      </w:r>
      <w:r w:rsidRPr="00516262">
        <w:rPr>
          <w:rFonts w:eastAsia="TimesNewRoman" w:cs="TimesNewRoman"/>
        </w:rPr>
        <w:t>(noted after 2 week</w:t>
      </w:r>
      <w:r w:rsidR="000F0C59">
        <w:rPr>
          <w:rFonts w:eastAsia="TimesNewRoman" w:cs="TimesNewRoman"/>
        </w:rPr>
        <w:t>s</w:t>
      </w:r>
      <w:r w:rsidRPr="00516262">
        <w:rPr>
          <w:rFonts w:eastAsia="TimesNewRoman" w:cs="TimesNewRoman"/>
        </w:rPr>
        <w:t xml:space="preserve"> of treatment, the first evaluation time point), subjects were asymptomatic</w:t>
      </w:r>
      <w:r w:rsidR="000F0C59">
        <w:rPr>
          <w:rFonts w:eastAsia="TimesNewRoman" w:cs="TimesNewRoman"/>
        </w:rPr>
        <w:t xml:space="preserve"> and</w:t>
      </w:r>
      <w:r w:rsidRPr="00516262">
        <w:rPr>
          <w:rFonts w:eastAsia="TimesNewRoman" w:cs="TimesNewRoman"/>
        </w:rPr>
        <w:t xml:space="preserve"> there were no concurrent elevations in total bilirubin</w:t>
      </w:r>
      <w:r w:rsidR="000F0C59">
        <w:rPr>
          <w:rFonts w:eastAsia="TimesNewRoman" w:cs="TimesNewRoman"/>
        </w:rPr>
        <w:t>. T</w:t>
      </w:r>
      <w:r w:rsidRPr="00516262">
        <w:rPr>
          <w:rFonts w:eastAsia="TimesNewRoman" w:cs="TimesNewRoman"/>
        </w:rPr>
        <w:t>he elevations were fully and quickly reversible upon treatment discontinuation (after 2 to 4 weeks). Furthermore, the 200mg dose was also associated with muscle pain associated with elevation in creatine kinase (peak was 4062 U/L; ULS is &lt;170U/L). The event was diagnosed as a myopathy and considered to be possibly drug related.</w:t>
      </w:r>
    </w:p>
    <w:p w14:paraId="6FFA66BA" w14:textId="56B7D905" w:rsidR="00033964" w:rsidRDefault="00033964" w:rsidP="00187AC9">
      <w:r>
        <w:t xml:space="preserve">In the Phase II study </w:t>
      </w:r>
      <w:r w:rsidRPr="006A6043">
        <w:rPr>
          <w:b/>
        </w:rPr>
        <w:t>CB80</w:t>
      </w:r>
      <w:r>
        <w:rPr>
          <w:b/>
        </w:rPr>
        <w:t xml:space="preserve">25-21629 </w:t>
      </w:r>
      <w:r>
        <w:t xml:space="preserve">dose-dependent improvements in markers of cholestasis, as well as metabolic markers (e.g., decrease in triglycerides and LDL-C) were observed following dosing with </w:t>
      </w:r>
      <w:proofErr w:type="spellStart"/>
      <w:r>
        <w:t>seladelpar</w:t>
      </w:r>
      <w:proofErr w:type="spellEnd"/>
      <w:r>
        <w:t xml:space="preserve"> 2, 5, and 10 mg doses.</w:t>
      </w:r>
      <w:r w:rsidRPr="006A6043">
        <w:t xml:space="preserve"> </w:t>
      </w:r>
      <w:r>
        <w:t xml:space="preserve">By Week 52, 10 of 11 subjects receiving </w:t>
      </w:r>
      <w:proofErr w:type="spellStart"/>
      <w:r>
        <w:t>seladelpar</w:t>
      </w:r>
      <w:proofErr w:type="spellEnd"/>
      <w:r>
        <w:t xml:space="preserve"> 2 mg up-titrated to 5 or 10 mg, and 30 of 53 subjects receiving </w:t>
      </w:r>
      <w:proofErr w:type="spellStart"/>
      <w:r>
        <w:t>seladelpar</w:t>
      </w:r>
      <w:proofErr w:type="spellEnd"/>
      <w:r>
        <w:t xml:space="preserve"> 5 mg up-titrated to 10 mg to improve clinical response.</w:t>
      </w:r>
    </w:p>
    <w:p w14:paraId="6A0EB8D1" w14:textId="6B19913A" w:rsidR="00033964" w:rsidRPr="00657D55" w:rsidRDefault="00033964" w:rsidP="00187AC9">
      <w:pPr>
        <w:rPr>
          <w:lang w:eastAsia="ja-JP"/>
        </w:rPr>
      </w:pPr>
      <w:r w:rsidRPr="00657D55">
        <w:rPr>
          <w:lang w:eastAsia="ja-JP"/>
        </w:rPr>
        <w:t>The Phase III, 52-week, randomised, placebo-controlled study</w:t>
      </w:r>
      <w:r w:rsidRPr="00556216">
        <w:rPr>
          <w:b/>
          <w:bCs/>
          <w:lang w:eastAsia="ja-JP"/>
        </w:rPr>
        <w:t xml:space="preserve"> CB8025-31735 </w:t>
      </w:r>
      <w:r w:rsidRPr="00657D55">
        <w:rPr>
          <w:lang w:eastAsia="ja-JP"/>
        </w:rPr>
        <w:t>evaluated the efficacy</w:t>
      </w:r>
      <w:r w:rsidR="003D27ED">
        <w:rPr>
          <w:lang w:eastAsia="ja-JP"/>
        </w:rPr>
        <w:t xml:space="preserve"> and </w:t>
      </w:r>
      <w:r w:rsidRPr="00657D55">
        <w:rPr>
          <w:lang w:eastAsia="ja-JP"/>
        </w:rPr>
        <w:t xml:space="preserve">safety of two </w:t>
      </w:r>
      <w:proofErr w:type="spellStart"/>
      <w:r w:rsidRPr="00657D55">
        <w:rPr>
          <w:lang w:eastAsia="ja-JP"/>
        </w:rPr>
        <w:t>seladelpar</w:t>
      </w:r>
      <w:proofErr w:type="spellEnd"/>
      <w:r w:rsidRPr="00657D55">
        <w:rPr>
          <w:lang w:eastAsia="ja-JP"/>
        </w:rPr>
        <w:t xml:space="preserve"> dose regimens (</w:t>
      </w:r>
      <w:proofErr w:type="spellStart"/>
      <w:r w:rsidRPr="00657D55">
        <w:rPr>
          <w:lang w:eastAsia="ja-JP"/>
        </w:rPr>
        <w:t>5mg</w:t>
      </w:r>
      <w:proofErr w:type="spellEnd"/>
      <w:r w:rsidRPr="00657D55">
        <w:rPr>
          <w:lang w:eastAsia="ja-JP"/>
        </w:rPr>
        <w:t xml:space="preserve">/day titrated to 10mg/day and 10mg/day) in 265 subjects with PBC </w:t>
      </w:r>
      <w:r w:rsidRPr="00657D55">
        <w:rPr>
          <w:rFonts w:cs="CIDFont+F2"/>
        </w:rPr>
        <w:t>an inadequate response to or an intolerance to</w:t>
      </w:r>
      <w:r>
        <w:rPr>
          <w:rFonts w:cs="CIDFont+F2"/>
        </w:rPr>
        <w:t xml:space="preserve"> </w:t>
      </w:r>
      <w:r w:rsidRPr="00657D55">
        <w:rPr>
          <w:rFonts w:cs="CIDFont+F2"/>
        </w:rPr>
        <w:t xml:space="preserve">ursodeoxycholic acid (UDCA). Although the study </w:t>
      </w:r>
      <w:r>
        <w:rPr>
          <w:rFonts w:cs="CIDFont+F2"/>
        </w:rPr>
        <w:t xml:space="preserve">and all its primary and key secondary endpoints were </w:t>
      </w:r>
      <w:r w:rsidRPr="00657D55">
        <w:rPr>
          <w:rFonts w:cs="CIDFont+F2"/>
        </w:rPr>
        <w:t>planned for 12 months, it was terminated early</w:t>
      </w:r>
      <w:r>
        <w:rPr>
          <w:rFonts w:cs="CIDFont+F2"/>
        </w:rPr>
        <w:t>. However, results from this study contributed to selection of the final dose of 10mg/day. B</w:t>
      </w:r>
      <w:r>
        <w:t xml:space="preserve">oth the 5 mg and 10 mg doses demonstrated efficacy, but the </w:t>
      </w:r>
      <w:proofErr w:type="spellStart"/>
      <w:r>
        <w:t>seladelpar</w:t>
      </w:r>
      <w:proofErr w:type="spellEnd"/>
      <w:r>
        <w:t xml:space="preserve"> 10 mg dose (N = 55) demonstrated superior efficacy in the composite endpoint (ALP &lt; 1.67× ULN, ALP decrease of ≥ 15%, and total bilirubin ≤ ULN; 78.2% versus 57.1%) (p&lt;0.05) with comparable safety compared to </w:t>
      </w:r>
      <w:proofErr w:type="spellStart"/>
      <w:r>
        <w:t>seladelpar</w:t>
      </w:r>
      <w:proofErr w:type="spellEnd"/>
      <w:r>
        <w:t xml:space="preserve"> 5 mg (N = 56) The proposed 10 mg dose was also superior to 5 mg (p&lt;0.01) in normalising ALP (27.3% versus 5.4%), and in subjects with baseline NRS ≥ 4, </w:t>
      </w:r>
      <w:proofErr w:type="spellStart"/>
      <w:r>
        <w:t>seladelpar</w:t>
      </w:r>
      <w:proofErr w:type="spellEnd"/>
      <w:r>
        <w:t xml:space="preserve"> 10 mg showed improvement in pruritus</w:t>
      </w:r>
      <w:r w:rsidRPr="006A6043">
        <w:t xml:space="preserve"> </w:t>
      </w:r>
      <w:r>
        <w:t xml:space="preserve">(least square mean decrease in NRS of 3.15 versus 1.64 in placebo, p&lt;0.03), whereas the </w:t>
      </w:r>
      <w:proofErr w:type="spellStart"/>
      <w:r>
        <w:t>seladelpar</w:t>
      </w:r>
      <w:proofErr w:type="spellEnd"/>
      <w:r>
        <w:t xml:space="preserve"> 5 mg effect was not statistically significant. Adverse events were reported in 74% 63%, and 65% of subjects receiving placebo, </w:t>
      </w:r>
      <w:proofErr w:type="spellStart"/>
      <w:r>
        <w:t>seladelpar</w:t>
      </w:r>
      <w:proofErr w:type="spellEnd"/>
      <w:r>
        <w:t xml:space="preserve"> 5 mg, and </w:t>
      </w:r>
      <w:proofErr w:type="spellStart"/>
      <w:r>
        <w:t>seladelpar</w:t>
      </w:r>
      <w:proofErr w:type="spellEnd"/>
      <w:r>
        <w:t xml:space="preserve"> 10 mg, respectively</w:t>
      </w:r>
      <w:r w:rsidRPr="00657D55">
        <w:rPr>
          <w:rFonts w:cs="CIDFont+F2"/>
          <w:b/>
        </w:rPr>
        <w:t>.</w:t>
      </w:r>
    </w:p>
    <w:p w14:paraId="51D51825" w14:textId="77777777" w:rsidR="00033964" w:rsidRDefault="00033964" w:rsidP="00187AC9">
      <w:pPr>
        <w:rPr>
          <w:lang w:eastAsia="ja-JP"/>
        </w:rPr>
      </w:pPr>
      <w:r w:rsidRPr="00657D55">
        <w:rPr>
          <w:lang w:eastAsia="ja-JP"/>
        </w:rPr>
        <w:t xml:space="preserve">The pivotal Phase III study </w:t>
      </w:r>
      <w:r w:rsidRPr="00716A4A">
        <w:rPr>
          <w:b/>
          <w:bCs/>
          <w:lang w:eastAsia="ja-JP"/>
        </w:rPr>
        <w:t>CB8025-32048</w:t>
      </w:r>
      <w:r w:rsidRPr="00657D55">
        <w:rPr>
          <w:lang w:eastAsia="ja-JP"/>
        </w:rPr>
        <w:t xml:space="preserve"> was conducted using </w:t>
      </w:r>
      <w:r>
        <w:rPr>
          <w:lang w:eastAsia="ja-JP"/>
        </w:rPr>
        <w:t xml:space="preserve">only </w:t>
      </w:r>
      <w:r w:rsidRPr="00657D55">
        <w:rPr>
          <w:lang w:eastAsia="ja-JP"/>
        </w:rPr>
        <w:t xml:space="preserve">the proposed dose of </w:t>
      </w:r>
      <w:proofErr w:type="spellStart"/>
      <w:r w:rsidRPr="00657D55">
        <w:rPr>
          <w:lang w:eastAsia="ja-JP"/>
        </w:rPr>
        <w:t>10mg</w:t>
      </w:r>
      <w:proofErr w:type="spellEnd"/>
      <w:r w:rsidRPr="00657D55">
        <w:rPr>
          <w:lang w:eastAsia="ja-JP"/>
        </w:rPr>
        <w:t xml:space="preserve"> </w:t>
      </w:r>
      <w:proofErr w:type="spellStart"/>
      <w:r w:rsidRPr="00657D55">
        <w:rPr>
          <w:lang w:eastAsia="ja-JP"/>
        </w:rPr>
        <w:t>seladelpar</w:t>
      </w:r>
      <w:proofErr w:type="spellEnd"/>
      <w:r w:rsidRPr="00657D55">
        <w:rPr>
          <w:lang w:eastAsia="ja-JP"/>
        </w:rPr>
        <w:t xml:space="preserve"> once daily.</w:t>
      </w:r>
    </w:p>
    <w:p w14:paraId="4AB4A442" w14:textId="6DBC3E99" w:rsidR="00C157F9" w:rsidRDefault="00C157F9" w:rsidP="00187AC9">
      <w:pPr>
        <w:pStyle w:val="Heading5"/>
      </w:pPr>
      <w:r>
        <w:lastRenderedPageBreak/>
        <w:t xml:space="preserve">Pivotal </w:t>
      </w:r>
      <w:r w:rsidR="00DC1E32">
        <w:t>study</w:t>
      </w:r>
    </w:p>
    <w:p w14:paraId="7F3A8420" w14:textId="77777777" w:rsidR="005D6122" w:rsidRPr="005632DC" w:rsidRDefault="005D6122" w:rsidP="00187AC9">
      <w:pPr>
        <w:pStyle w:val="Heading6"/>
      </w:pPr>
      <w:bookmarkStart w:id="51" w:name="_Ref243301615"/>
      <w:bookmarkStart w:id="52" w:name="_Ref271040927"/>
      <w:bookmarkStart w:id="53" w:name="_Ref271040932"/>
      <w:bookmarkStart w:id="54" w:name="_Toc272414653"/>
      <w:bookmarkStart w:id="55" w:name="_Toc290888501"/>
      <w:bookmarkStart w:id="56" w:name="_Toc416353717"/>
      <w:bookmarkStart w:id="57" w:name="_Ref197585670"/>
      <w:r w:rsidRPr="005632DC">
        <w:t xml:space="preserve">Study </w:t>
      </w:r>
      <w:bookmarkEnd w:id="51"/>
      <w:bookmarkEnd w:id="52"/>
      <w:bookmarkEnd w:id="53"/>
      <w:bookmarkEnd w:id="54"/>
      <w:bookmarkEnd w:id="55"/>
      <w:bookmarkEnd w:id="56"/>
      <w:r w:rsidRPr="002E571D">
        <w:t>CB8025-32048 (RESPONSE)</w:t>
      </w:r>
      <w:bookmarkEnd w:id="57"/>
    </w:p>
    <w:p w14:paraId="02EBAADA" w14:textId="7476A8AB" w:rsidR="005D6122" w:rsidRDefault="005D6122" w:rsidP="00187AC9">
      <w:pPr>
        <w:rPr>
          <w:rFonts w:cs="Verdana"/>
        </w:rPr>
      </w:pPr>
      <w:r w:rsidRPr="00356D76">
        <w:rPr>
          <w:lang w:eastAsia="ja-JP"/>
        </w:rPr>
        <w:t xml:space="preserve">This was a Phase </w:t>
      </w:r>
      <w:r>
        <w:rPr>
          <w:lang w:eastAsia="ja-JP"/>
        </w:rPr>
        <w:t>III</w:t>
      </w:r>
      <w:r w:rsidRPr="00356D76">
        <w:rPr>
          <w:lang w:eastAsia="ja-JP"/>
        </w:rPr>
        <w:t>, international. multicentre, randomised, double-blind, placebo-controlled, parallel-arm s</w:t>
      </w:r>
      <w:r w:rsidRPr="00356D76">
        <w:t xml:space="preserve">tudy to evaluate the efficacy and safety of </w:t>
      </w:r>
      <w:proofErr w:type="spellStart"/>
      <w:r w:rsidRPr="00356D76">
        <w:t>Seladelpar</w:t>
      </w:r>
      <w:proofErr w:type="spellEnd"/>
      <w:r w:rsidRPr="00356D76">
        <w:t xml:space="preserve"> in patients with PBC and an inadequate response to or an intolerance to UDCA.</w:t>
      </w:r>
    </w:p>
    <w:p w14:paraId="26061DFA" w14:textId="77777777" w:rsidR="005D6122" w:rsidRPr="0067345B" w:rsidRDefault="005D6122" w:rsidP="00187AC9">
      <w:r w:rsidRPr="0067345B">
        <w:t>The primary objectives were</w:t>
      </w:r>
      <w:r>
        <w:t xml:space="preserve"> to evaluate:</w:t>
      </w:r>
    </w:p>
    <w:p w14:paraId="53B8BCD0" w14:textId="5EE1EB9D" w:rsidR="005D6122" w:rsidRDefault="005D6122" w:rsidP="00187AC9">
      <w:pPr>
        <w:pStyle w:val="ListBullet"/>
      </w:pPr>
      <w:r w:rsidRPr="0067345B">
        <w:t xml:space="preserve">the treatment effect of </w:t>
      </w:r>
      <w:proofErr w:type="spellStart"/>
      <w:r w:rsidRPr="0067345B">
        <w:t>seladelpar</w:t>
      </w:r>
      <w:proofErr w:type="spellEnd"/>
      <w:r w:rsidRPr="0067345B">
        <w:t xml:space="preserve"> on composite biochemical improvement in cholestasis markers based on alkaline phosphatase (ALP) and total bilirubin at 12 months of treatment compared with placebo</w:t>
      </w:r>
    </w:p>
    <w:p w14:paraId="6DCA5E2E" w14:textId="198181AE" w:rsidR="00B4379C" w:rsidRDefault="005D6122" w:rsidP="00187AC9">
      <w:pPr>
        <w:pStyle w:val="ListBullet"/>
      </w:pPr>
      <w:r w:rsidRPr="0067345B">
        <w:t xml:space="preserve">the safety of </w:t>
      </w:r>
      <w:proofErr w:type="spellStart"/>
      <w:r w:rsidRPr="0067345B">
        <w:t>seladelpar</w:t>
      </w:r>
      <w:proofErr w:type="spellEnd"/>
      <w:r w:rsidRPr="0067345B">
        <w:t xml:space="preserve"> over 12 months of treatment compared with placebo</w:t>
      </w:r>
      <w:r>
        <w:t>.</w:t>
      </w:r>
    </w:p>
    <w:p w14:paraId="684D6FF4" w14:textId="287D664D" w:rsidR="005D6122" w:rsidRPr="0067345B" w:rsidRDefault="005D6122" w:rsidP="00187AC9">
      <w:r w:rsidRPr="0067345B">
        <w:t xml:space="preserve">The </w:t>
      </w:r>
      <w:r>
        <w:t>k</w:t>
      </w:r>
      <w:r w:rsidRPr="0067345B">
        <w:t>ey secondary objectives</w:t>
      </w:r>
      <w:r>
        <w:t xml:space="preserve"> were to evaluate</w:t>
      </w:r>
      <w:r w:rsidRPr="0067345B">
        <w:t>:</w:t>
      </w:r>
    </w:p>
    <w:p w14:paraId="7DCCE257" w14:textId="3E27F6FB" w:rsidR="005D6122" w:rsidRDefault="005D6122" w:rsidP="00187AC9">
      <w:pPr>
        <w:pStyle w:val="ListBullet"/>
      </w:pPr>
      <w:r w:rsidRPr="0067345B">
        <w:t xml:space="preserve">the effect of </w:t>
      </w:r>
      <w:proofErr w:type="spellStart"/>
      <w:r w:rsidRPr="0067345B">
        <w:t>seladelpar</w:t>
      </w:r>
      <w:proofErr w:type="spellEnd"/>
      <w:r w:rsidRPr="0067345B">
        <w:t xml:space="preserve"> on the normali</w:t>
      </w:r>
      <w:r w:rsidR="00DA7FB4">
        <w:t>s</w:t>
      </w:r>
      <w:r w:rsidRPr="0067345B">
        <w:t>ation of ALP values at 12 months of treatment compared</w:t>
      </w:r>
      <w:r>
        <w:t xml:space="preserve"> </w:t>
      </w:r>
      <w:r w:rsidRPr="0067345B">
        <w:t>with placebo</w:t>
      </w:r>
    </w:p>
    <w:p w14:paraId="381429BA" w14:textId="2F94B7BE" w:rsidR="005D6122" w:rsidRDefault="005D6122" w:rsidP="00187AC9">
      <w:pPr>
        <w:pStyle w:val="ListBullet"/>
      </w:pPr>
      <w:r w:rsidRPr="0067345B">
        <w:t xml:space="preserve">the effect of </w:t>
      </w:r>
      <w:proofErr w:type="spellStart"/>
      <w:r w:rsidRPr="0067345B">
        <w:t>seladelpar</w:t>
      </w:r>
      <w:proofErr w:type="spellEnd"/>
      <w:r w:rsidRPr="0067345B">
        <w:t xml:space="preserve"> on pruritus at 6 months of treatment compared with placebo in subjects with baseline moderate to severe pruritus</w:t>
      </w:r>
      <w:r>
        <w:t>.</w:t>
      </w:r>
    </w:p>
    <w:p w14:paraId="7891A3CD" w14:textId="77777777" w:rsidR="005D6122" w:rsidRPr="00B4379C" w:rsidRDefault="005D6122" w:rsidP="00187AC9">
      <w:r w:rsidRPr="00B4379C">
        <w:t>The other secondary objectives were to evaluate:</w:t>
      </w:r>
    </w:p>
    <w:p w14:paraId="0645EA82" w14:textId="77777777" w:rsidR="005D6122" w:rsidRPr="00EB6ED7" w:rsidRDefault="005D6122" w:rsidP="0066197F">
      <w:pPr>
        <w:pStyle w:val="ListBullet"/>
      </w:pPr>
      <w:r w:rsidRPr="00EB6ED7">
        <w:t xml:space="preserve">the effect of </w:t>
      </w:r>
      <w:proofErr w:type="spellStart"/>
      <w:r w:rsidRPr="00EB6ED7">
        <w:t>seladelpar</w:t>
      </w:r>
      <w:proofErr w:type="spellEnd"/>
      <w:r w:rsidRPr="00EB6ED7">
        <w:t xml:space="preserve"> on quality of life (QoL)</w:t>
      </w:r>
    </w:p>
    <w:p w14:paraId="43423A98" w14:textId="633DD3D5" w:rsidR="005D6122" w:rsidRDefault="005D6122" w:rsidP="00187AC9">
      <w:pPr>
        <w:pStyle w:val="ListBullet"/>
      </w:pPr>
      <w:r w:rsidRPr="00EB6ED7">
        <w:t xml:space="preserve">the effect of </w:t>
      </w:r>
      <w:proofErr w:type="spellStart"/>
      <w:r w:rsidRPr="00EB6ED7">
        <w:t>seladelpar</w:t>
      </w:r>
      <w:proofErr w:type="spellEnd"/>
      <w:r w:rsidRPr="00EB6ED7">
        <w:t xml:space="preserve"> on </w:t>
      </w:r>
      <w:proofErr w:type="spellStart"/>
      <w:r w:rsidRPr="00EB6ED7">
        <w:t>PBC</w:t>
      </w:r>
      <w:proofErr w:type="spellEnd"/>
      <w:r w:rsidRPr="00EB6ED7">
        <w:t>-associated clinical outcomes.</w:t>
      </w:r>
    </w:p>
    <w:p w14:paraId="395C47C5" w14:textId="036B89F8" w:rsidR="005D6122" w:rsidRPr="0067345B" w:rsidRDefault="005D6122" w:rsidP="00187AC9">
      <w:r w:rsidRPr="0067345B">
        <w:t xml:space="preserve">The exploratory objectives were </w:t>
      </w:r>
      <w:r>
        <w:t>to evaluate</w:t>
      </w:r>
      <w:r w:rsidRPr="0067345B">
        <w:t>:</w:t>
      </w:r>
    </w:p>
    <w:p w14:paraId="243A29E2" w14:textId="021EAEEC" w:rsidR="005D6122" w:rsidRDefault="005D6122" w:rsidP="00187AC9">
      <w:pPr>
        <w:pStyle w:val="ListBullet"/>
      </w:pPr>
      <w:r w:rsidRPr="0067345B">
        <w:t xml:space="preserve">the effect of </w:t>
      </w:r>
      <w:proofErr w:type="spellStart"/>
      <w:r w:rsidRPr="0067345B">
        <w:t>seladelpar</w:t>
      </w:r>
      <w:proofErr w:type="spellEnd"/>
      <w:r w:rsidRPr="0067345B">
        <w:t xml:space="preserve"> on liver histology, additional measures of QoL, biomarkers of cholestasis and inflammation, lipids and auto-antibody profiles, bile acid synthesis, liver fibrosis and liver injury</w:t>
      </w:r>
    </w:p>
    <w:p w14:paraId="66658A5B" w14:textId="2C43AC8F" w:rsidR="005D6122" w:rsidRPr="0067345B" w:rsidRDefault="005D6122" w:rsidP="00187AC9">
      <w:pPr>
        <w:pStyle w:val="ListBullet"/>
        <w:rPr>
          <w:rFonts w:cs="Verdana"/>
        </w:rPr>
      </w:pPr>
      <w:r w:rsidRPr="0067345B">
        <w:t xml:space="preserve">the plasma concentrations of </w:t>
      </w:r>
      <w:proofErr w:type="spellStart"/>
      <w:r w:rsidRPr="0067345B">
        <w:t>seladelpar</w:t>
      </w:r>
      <w:proofErr w:type="spellEnd"/>
      <w:r w:rsidRPr="0067345B">
        <w:t xml:space="preserve"> and metabolites</w:t>
      </w:r>
      <w:r>
        <w:t>.</w:t>
      </w:r>
    </w:p>
    <w:p w14:paraId="2D7AE206" w14:textId="0B572C5F" w:rsidR="005D6122" w:rsidRDefault="005D6122" w:rsidP="00187AC9">
      <w:r>
        <w:t xml:space="preserve">The study design is summarised in </w:t>
      </w:r>
      <w:r>
        <w:rPr>
          <w:b/>
        </w:rPr>
        <w:t>Figure</w:t>
      </w:r>
      <w:r w:rsidRPr="00E91E05">
        <w:rPr>
          <w:b/>
        </w:rPr>
        <w:t xml:space="preserve"> </w:t>
      </w:r>
      <w:r>
        <w:rPr>
          <w:b/>
        </w:rPr>
        <w:t>1</w:t>
      </w:r>
      <w:r>
        <w:t xml:space="preserve"> below.</w:t>
      </w:r>
    </w:p>
    <w:p w14:paraId="5E3DC2F0" w14:textId="5B7B4B75" w:rsidR="005D6122" w:rsidRPr="00E91E05" w:rsidRDefault="005D6122" w:rsidP="00187AC9">
      <w:pPr>
        <w:pStyle w:val="FigureTitle"/>
      </w:pPr>
      <w:bookmarkStart w:id="58" w:name="_Toc205928707"/>
      <w:r w:rsidRPr="00E91E05">
        <w:t>Fig</w:t>
      </w:r>
      <w:r>
        <w:t>ure</w:t>
      </w:r>
      <w:r w:rsidRPr="00E91E05">
        <w:t xml:space="preserve"> </w:t>
      </w:r>
      <w:r>
        <w:t>1</w:t>
      </w:r>
      <w:r w:rsidR="00062D30">
        <w:t xml:space="preserve">. </w:t>
      </w:r>
      <w:r w:rsidRPr="00E91E05">
        <w:t>CB8025-32048: Study design</w:t>
      </w:r>
      <w:bookmarkEnd w:id="58"/>
    </w:p>
    <w:p w14:paraId="026C6B53" w14:textId="77777777" w:rsidR="005D6122" w:rsidRDefault="005D6122" w:rsidP="00187AC9">
      <w:r>
        <w:rPr>
          <w:noProof/>
          <w:lang w:eastAsia="en-AU"/>
        </w:rPr>
        <w:drawing>
          <wp:inline distT="0" distB="0" distL="0" distR="0" wp14:anchorId="35EC87AA" wp14:editId="1145C741">
            <wp:extent cx="5730124" cy="1905000"/>
            <wp:effectExtent l="0" t="0" r="4445" b="0"/>
            <wp:docPr id="1" name="Picture 1" descr="Figure 1. CB8025-32048: Study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CB8025-32048: Study design"/>
                    <pic:cNvPicPr/>
                  </pic:nvPicPr>
                  <pic:blipFill rotWithShape="1">
                    <a:blip r:embed="rId25"/>
                    <a:srcRect b="1961"/>
                    <a:stretch/>
                  </pic:blipFill>
                  <pic:spPr bwMode="auto">
                    <a:xfrm>
                      <a:off x="0" y="0"/>
                      <a:ext cx="5731510" cy="1905461"/>
                    </a:xfrm>
                    <a:prstGeom prst="rect">
                      <a:avLst/>
                    </a:prstGeom>
                    <a:ln>
                      <a:noFill/>
                    </a:ln>
                    <a:extLst>
                      <a:ext uri="{53640926-AAD7-44D8-BBD7-CCE9431645EC}">
                        <a14:shadowObscured xmlns:a14="http://schemas.microsoft.com/office/drawing/2010/main"/>
                      </a:ext>
                    </a:extLst>
                  </pic:spPr>
                </pic:pic>
              </a:graphicData>
            </a:graphic>
          </wp:inline>
        </w:drawing>
      </w:r>
    </w:p>
    <w:p w14:paraId="7604E73F" w14:textId="77777777" w:rsidR="005D6122" w:rsidRDefault="005D6122" w:rsidP="00187AC9">
      <w:r>
        <w:t xml:space="preserve">On Day 1, subjects were randomly assigned in a 2:1 ratio to receive daily </w:t>
      </w:r>
      <w:proofErr w:type="spellStart"/>
      <w:r>
        <w:t>seladelpar</w:t>
      </w:r>
      <w:proofErr w:type="spellEnd"/>
      <w:r>
        <w:t xml:space="preserve"> 10 mg or placebo. Randomization was stratified by ALP level (&lt; 350 U/L vs ≥ 350 U/L) and the presence of clinically important pruritus (Pruritus NRS &lt; 4 vs NRS ≥ 4) to ensure even distribution across treatment arms. Subjects were considered formally enrolled in the study at the time of randomization.</w:t>
      </w:r>
    </w:p>
    <w:p w14:paraId="0B19EF57" w14:textId="0749219D" w:rsidR="005D6122" w:rsidRDefault="005D6122" w:rsidP="00187AC9">
      <w:r>
        <w:lastRenderedPageBreak/>
        <w:t>The total duration of participation in the study for each subject was up to ~14 months. The</w:t>
      </w:r>
      <w:r w:rsidR="00062D30">
        <w:t xml:space="preserve"> </w:t>
      </w:r>
      <w:r>
        <w:t xml:space="preserve">Screening Period was up to 3 weeks, the Run-in Period was up to 2 weeks, and the Treatment Period was up to 12 months. During the Treatment Period, subjects visited the clinic every 3 months except for the first on-treatment visit, which was performed 1 month after the initiation of </w:t>
      </w:r>
      <w:r w:rsidR="002826BD">
        <w:t xml:space="preserve">the </w:t>
      </w:r>
      <w:r>
        <w:t>study drug.</w:t>
      </w:r>
    </w:p>
    <w:p w14:paraId="73588686" w14:textId="6A302C72" w:rsidR="005D6122" w:rsidRDefault="005D6122" w:rsidP="00187AC9">
      <w:r>
        <w:t>After completion of the Treatment Period, subjects were invited to enrol in an open-label,</w:t>
      </w:r>
      <w:r w:rsidR="00E05994">
        <w:br/>
      </w:r>
      <w:r>
        <w:t xml:space="preserve">long-term study (CB8025-31731-RE) where each subject was to be administered </w:t>
      </w:r>
      <w:proofErr w:type="spellStart"/>
      <w:r>
        <w:t>seladelpar</w:t>
      </w:r>
      <w:proofErr w:type="spellEnd"/>
      <w:r>
        <w:t xml:space="preserve"> (</w:t>
      </w:r>
      <w:r w:rsidR="00BC1B9A">
        <w:t xml:space="preserve">and </w:t>
      </w:r>
      <w:r>
        <w:t>subjects previously randomi</w:t>
      </w:r>
      <w:r w:rsidR="00BC1B9A">
        <w:t>s</w:t>
      </w:r>
      <w:r>
        <w:t xml:space="preserve">ed on placebo were to initiate </w:t>
      </w:r>
      <w:proofErr w:type="spellStart"/>
      <w:r>
        <w:t>seladelpar</w:t>
      </w:r>
      <w:proofErr w:type="spellEnd"/>
      <w:r>
        <w:t xml:space="preserve"> treatment). Subjects who declined participation in th</w:t>
      </w:r>
      <w:r w:rsidR="00B44661">
        <w:t>is</w:t>
      </w:r>
      <w:r>
        <w:t xml:space="preserve"> long-term study had a Safety Follow-up Visit performed 2 weeks (14 days +3) after the last dose of </w:t>
      </w:r>
      <w:r w:rsidR="00EA1912">
        <w:t xml:space="preserve">the </w:t>
      </w:r>
      <w:r>
        <w:t>study drug.</w:t>
      </w:r>
    </w:p>
    <w:p w14:paraId="40D4554D" w14:textId="2F6E8C42" w:rsidR="005D6122" w:rsidRDefault="005D6122" w:rsidP="00187AC9">
      <w:r>
        <w:t xml:space="preserve">The histological status of subject’s liver was evaluated before and after treatment. All subjects were encouraged to have a liver biopsy during the Screening Period (unless </w:t>
      </w:r>
      <w:r w:rsidR="00FE1418">
        <w:t xml:space="preserve">a </w:t>
      </w:r>
      <w:r w:rsidR="00EA1912">
        <w:t>historical biopsy meeting quality standard</w:t>
      </w:r>
      <w:r>
        <w:t xml:space="preserve"> was available) to evaluate PBC stage and histopathology changes from baseline to 1 year following treatment. The follow-up liver biopsy was performed only in subjects with a baseline liver biopsy at Month 12 or at ET if the subjects withdrew from the study early, provided they had received at least 6 months of treatment.</w:t>
      </w:r>
    </w:p>
    <w:p w14:paraId="27B5BFC7" w14:textId="64ECFAB3" w:rsidR="005D6122" w:rsidRDefault="005D6122" w:rsidP="00187AC9">
      <w:r w:rsidRPr="00D06ECE">
        <w:t>The study was conducted in 193 PBC subjects across 90 sites in 24 countries</w:t>
      </w:r>
      <w:r>
        <w:t xml:space="preserve">. </w:t>
      </w:r>
      <w:r w:rsidRPr="00D06ECE">
        <w:t xml:space="preserve">It was conducted from </w:t>
      </w:r>
      <w:r>
        <w:t>21 April 2021 to 11 August 2023.</w:t>
      </w:r>
    </w:p>
    <w:p w14:paraId="28DC5F0A" w14:textId="07C3A1D6" w:rsidR="005D6122" w:rsidRPr="00994D75" w:rsidRDefault="005D6122" w:rsidP="00187AC9">
      <w:pPr>
        <w:rPr>
          <w:lang w:eastAsia="ja-JP"/>
        </w:rPr>
      </w:pPr>
      <w:r w:rsidRPr="00994D75">
        <w:rPr>
          <w:lang w:eastAsia="ja-JP"/>
        </w:rPr>
        <w:t xml:space="preserve">The main criteria for inclusion were: </w:t>
      </w:r>
    </w:p>
    <w:p w14:paraId="2936BF54" w14:textId="0D037133" w:rsidR="005D6122" w:rsidRPr="00372C70" w:rsidRDefault="0027634D" w:rsidP="00187AC9">
      <w:pPr>
        <w:pStyle w:val="Numberbullet0"/>
        <w:numPr>
          <w:ilvl w:val="0"/>
          <w:numId w:val="24"/>
        </w:numPr>
      </w:pPr>
      <w:r>
        <w:t>m</w:t>
      </w:r>
      <w:r w:rsidR="005D6122" w:rsidRPr="00372C70">
        <w:t>ale or female aged 18 to 75 years</w:t>
      </w:r>
    </w:p>
    <w:p w14:paraId="3456C8F1" w14:textId="4538F47D" w:rsidR="005D6122" w:rsidRPr="000448C1" w:rsidRDefault="0027634D" w:rsidP="00187AC9">
      <w:pPr>
        <w:pStyle w:val="Numberbullet0"/>
        <w:numPr>
          <w:ilvl w:val="0"/>
          <w:numId w:val="24"/>
        </w:numPr>
      </w:pPr>
      <w:r>
        <w:t>c</w:t>
      </w:r>
      <w:r w:rsidR="005D6122" w:rsidRPr="000448C1">
        <w:t xml:space="preserve">onfirmed </w:t>
      </w:r>
      <w:proofErr w:type="spellStart"/>
      <w:r w:rsidR="005D6122" w:rsidRPr="000448C1">
        <w:t>PBC</w:t>
      </w:r>
      <w:proofErr w:type="spellEnd"/>
      <w:r w:rsidR="005D6122" w:rsidRPr="000448C1">
        <w:t xml:space="preserve"> as defined by having any 2 of the following 3 diagnostic criteria:</w:t>
      </w:r>
    </w:p>
    <w:p w14:paraId="00678DB6" w14:textId="470EF5D8" w:rsidR="005D6122" w:rsidRPr="00647E6D" w:rsidRDefault="005D6122" w:rsidP="00187AC9">
      <w:pPr>
        <w:pStyle w:val="Numberbullet2"/>
      </w:pPr>
      <w:r w:rsidRPr="00647E6D">
        <w:t>history of ALP above 1.0× ULN for at least 6 months</w:t>
      </w:r>
    </w:p>
    <w:p w14:paraId="1FB42F86" w14:textId="4CB61EBF" w:rsidR="005D6122" w:rsidRPr="00647E6D" w:rsidRDefault="005D6122" w:rsidP="00187AC9">
      <w:pPr>
        <w:pStyle w:val="Numberbullet2"/>
      </w:pPr>
      <w:r w:rsidRPr="00647E6D">
        <w:t>positive AMA titres (&gt; 1:40 on immunofluorescence or M2 positive by ELISA) or positive PBC-specific ANAs</w:t>
      </w:r>
    </w:p>
    <w:p w14:paraId="5E8FE831" w14:textId="4854FDA9" w:rsidR="005D6122" w:rsidRPr="00647E6D" w:rsidRDefault="005D6122" w:rsidP="00187AC9">
      <w:pPr>
        <w:pStyle w:val="Numberbullet2"/>
      </w:pPr>
      <w:r w:rsidRPr="00647E6D">
        <w:t>documented liver biopsy results consistent with PBC</w:t>
      </w:r>
    </w:p>
    <w:p w14:paraId="51CB9716" w14:textId="77777777" w:rsidR="005D6122" w:rsidRPr="000448C1" w:rsidRDefault="005D6122" w:rsidP="00277B6B">
      <w:pPr>
        <w:pStyle w:val="Numberbullet0"/>
        <w:numPr>
          <w:ilvl w:val="0"/>
          <w:numId w:val="24"/>
        </w:numPr>
      </w:pPr>
      <w:r w:rsidRPr="000448C1">
        <w:t>UDCA for the past 12 months (stable dose for &gt; 3 months prior to screening) OR intolerant to UDCA (last dose of UDCA &gt; 3 months prior to screening)</w:t>
      </w:r>
    </w:p>
    <w:p w14:paraId="0A70076E" w14:textId="36D680A8" w:rsidR="005D6122" w:rsidRPr="000448C1" w:rsidRDefault="0027634D" w:rsidP="00277B6B">
      <w:pPr>
        <w:pStyle w:val="Numberbullet0"/>
        <w:numPr>
          <w:ilvl w:val="0"/>
          <w:numId w:val="24"/>
        </w:numPr>
      </w:pPr>
      <w:r>
        <w:t>l</w:t>
      </w:r>
      <w:r w:rsidR="005D6122" w:rsidRPr="000448C1">
        <w:t>aboratory parameters measured by the Central Laboratory at Screening:</w:t>
      </w:r>
    </w:p>
    <w:p w14:paraId="06D9B1AD" w14:textId="77777777" w:rsidR="005D6122" w:rsidRPr="00647E6D" w:rsidRDefault="005D6122" w:rsidP="00277B6B">
      <w:pPr>
        <w:pStyle w:val="Numberbullet2"/>
      </w:pPr>
      <w:r w:rsidRPr="00647E6D">
        <w:t>ALP ≥ 1.67× ULN</w:t>
      </w:r>
    </w:p>
    <w:p w14:paraId="6881DB7D" w14:textId="77777777" w:rsidR="005D6122" w:rsidRPr="00647E6D" w:rsidRDefault="005D6122" w:rsidP="00277B6B">
      <w:pPr>
        <w:pStyle w:val="Numberbullet2"/>
      </w:pPr>
      <w:r w:rsidRPr="00647E6D">
        <w:t>AST ≤ 3× ULN</w:t>
      </w:r>
    </w:p>
    <w:p w14:paraId="58CE399A" w14:textId="77777777" w:rsidR="005D6122" w:rsidRPr="00647E6D" w:rsidRDefault="005D6122" w:rsidP="00277B6B">
      <w:pPr>
        <w:pStyle w:val="Numberbullet2"/>
      </w:pPr>
      <w:r w:rsidRPr="00647E6D">
        <w:t>ALT ≤ 3× ULN</w:t>
      </w:r>
    </w:p>
    <w:p w14:paraId="7A84B810" w14:textId="77777777" w:rsidR="005D6122" w:rsidRPr="00647E6D" w:rsidRDefault="005D6122" w:rsidP="00277B6B">
      <w:pPr>
        <w:pStyle w:val="Numberbullet2"/>
      </w:pPr>
      <w:r w:rsidRPr="00647E6D">
        <w:t>Total bilirubin ≤ 2× ULN</w:t>
      </w:r>
    </w:p>
    <w:p w14:paraId="509625F6" w14:textId="77777777" w:rsidR="005D6122" w:rsidRPr="00647E6D" w:rsidRDefault="005D6122" w:rsidP="00277B6B">
      <w:pPr>
        <w:pStyle w:val="Numberbullet2"/>
      </w:pPr>
      <w:r w:rsidRPr="00647E6D">
        <w:t>eGFR &gt; 45 mL/min/1.73m2 (calculated by the Modification of Diet in Renal Disease Study equation)</w:t>
      </w:r>
    </w:p>
    <w:p w14:paraId="2B3B3ACA" w14:textId="77777777" w:rsidR="005D6122" w:rsidRPr="00647E6D" w:rsidRDefault="005D6122" w:rsidP="00277B6B">
      <w:pPr>
        <w:pStyle w:val="Numberbullet2"/>
      </w:pPr>
      <w:r w:rsidRPr="00647E6D">
        <w:t>INR &lt; 1.1× ULN (For subjects on anticoagulation therapy, INR must have been maintained in the range required for prophylaxis for their specific disease</w:t>
      </w:r>
    </w:p>
    <w:p w14:paraId="1A4B2ADB" w14:textId="5E1288D1" w:rsidR="005D6122" w:rsidRPr="00647E6D" w:rsidRDefault="005D6122" w:rsidP="00277B6B">
      <w:pPr>
        <w:pStyle w:val="Numberbullet2"/>
      </w:pPr>
      <w:r w:rsidRPr="00647E6D">
        <w:t>Platelet count ≥ 100×103/</w:t>
      </w:r>
      <w:proofErr w:type="spellStart"/>
      <w:r w:rsidRPr="00647E6D">
        <w:t>μL</w:t>
      </w:r>
      <w:proofErr w:type="spellEnd"/>
      <w:r w:rsidR="0027634D" w:rsidRPr="00647E6D">
        <w:t>.</w:t>
      </w:r>
    </w:p>
    <w:p w14:paraId="375B1EEC" w14:textId="3F9225A1" w:rsidR="005D6122" w:rsidRDefault="005D6122" w:rsidP="00277B6B">
      <w:pPr>
        <w:rPr>
          <w:rFonts w:asciiTheme="minorHAnsi" w:hAnsiTheme="minorHAnsi"/>
          <w:lang w:eastAsia="ja-JP"/>
        </w:rPr>
      </w:pPr>
      <w:r>
        <w:t>The main exclusion criteria were:</w:t>
      </w:r>
    </w:p>
    <w:p w14:paraId="3DBE187B" w14:textId="0E7AD620" w:rsidR="005D6122" w:rsidRPr="006B5E6A" w:rsidRDefault="0027634D" w:rsidP="00277B6B">
      <w:pPr>
        <w:pStyle w:val="Numberbullet0"/>
        <w:numPr>
          <w:ilvl w:val="0"/>
          <w:numId w:val="21"/>
        </w:numPr>
      </w:pPr>
      <w:r>
        <w:t>a</w:t>
      </w:r>
      <w:r w:rsidR="005D6122" w:rsidRPr="006B5E6A">
        <w:t>dvanced PBC as defined by the Rotterdam criteria (albumin below the LLN and total bilirubin above 1.0× ULN)</w:t>
      </w:r>
    </w:p>
    <w:p w14:paraId="40BDEADE" w14:textId="77039A2B" w:rsidR="005D6122" w:rsidRPr="00647E6D" w:rsidRDefault="0027634D" w:rsidP="00EF4580">
      <w:pPr>
        <w:pStyle w:val="Numberbullet2"/>
      </w:pPr>
      <w:r w:rsidRPr="00647E6D">
        <w:lastRenderedPageBreak/>
        <w:t>p</w:t>
      </w:r>
      <w:r w:rsidR="005D6122" w:rsidRPr="00647E6D">
        <w:t>resence of clinically important hepatic decompensation, including-</w:t>
      </w:r>
    </w:p>
    <w:p w14:paraId="50E82BBA" w14:textId="2F2DE80A" w:rsidR="005D6122" w:rsidRPr="00647E6D" w:rsidRDefault="0027634D" w:rsidP="00EF4580">
      <w:pPr>
        <w:pStyle w:val="Numberbullet2"/>
      </w:pPr>
      <w:r w:rsidRPr="00647E6D">
        <w:t>h</w:t>
      </w:r>
      <w:r w:rsidR="005D6122" w:rsidRPr="00647E6D">
        <w:t>istory of liver transplantation, current placement on liver transplantation list, or current MELD score ≥ 12.</w:t>
      </w:r>
      <w:r w:rsidR="005D6122" w:rsidRPr="00EF4580">
        <w:rPr>
          <w:rStyle w:val="FootnoteReference"/>
        </w:rPr>
        <w:footnoteReference w:id="2"/>
      </w:r>
    </w:p>
    <w:p w14:paraId="75E259AE" w14:textId="1774156B" w:rsidR="005D6122" w:rsidRPr="00647E6D" w:rsidRDefault="0027634D" w:rsidP="00EF4580">
      <w:pPr>
        <w:pStyle w:val="Numberbullet2"/>
      </w:pPr>
      <w:r w:rsidRPr="00647E6D">
        <w:t>c</w:t>
      </w:r>
      <w:r w:rsidR="005D6122" w:rsidRPr="00647E6D">
        <w:t xml:space="preserve">omplications of PHT, including known oesophageal varices, history of variceal bleeds or related interventions (e.g., </w:t>
      </w:r>
      <w:proofErr w:type="spellStart"/>
      <w:r w:rsidR="005D6122" w:rsidRPr="00647E6D">
        <w:t>transjugular</w:t>
      </w:r>
      <w:proofErr w:type="spellEnd"/>
      <w:r w:rsidR="005D6122" w:rsidRPr="00647E6D">
        <w:t xml:space="preserve"> intrahepatic portosystemic shunt placement), ascites, and hepatic encephalopathy</w:t>
      </w:r>
    </w:p>
    <w:p w14:paraId="0797639F" w14:textId="5F4BB0D4" w:rsidR="005D6122" w:rsidRPr="002153F8" w:rsidRDefault="0027634D" w:rsidP="00EF4580">
      <w:pPr>
        <w:pStyle w:val="Numberbullet0"/>
      </w:pPr>
      <w:r>
        <w:t>c</w:t>
      </w:r>
      <w:r w:rsidR="005D6122" w:rsidRPr="002153F8">
        <w:t>irrhosis with complications, including history or presence of spontaneous bacterial peritonitis, hepatocellular carcinoma, or hepatorenal syndrome</w:t>
      </w:r>
    </w:p>
    <w:p w14:paraId="55D58488" w14:textId="214BD734" w:rsidR="005D6122" w:rsidRPr="002153F8" w:rsidRDefault="0027634D" w:rsidP="00EF4580">
      <w:pPr>
        <w:pStyle w:val="Numberbullet0"/>
      </w:pPr>
      <w:r>
        <w:t>t</w:t>
      </w:r>
      <w:r w:rsidR="005D6122" w:rsidRPr="002153F8">
        <w:t xml:space="preserve">reatment with OCA and fibrates (e.g., bezafibrate, fenofibrate, </w:t>
      </w:r>
      <w:proofErr w:type="spellStart"/>
      <w:r w:rsidR="005D6122" w:rsidRPr="002153F8">
        <w:t>elafibranor</w:t>
      </w:r>
      <w:proofErr w:type="spellEnd"/>
      <w:r w:rsidR="005D6122" w:rsidRPr="002153F8">
        <w:t xml:space="preserve">, </w:t>
      </w:r>
      <w:proofErr w:type="spellStart"/>
      <w:r w:rsidR="005D6122" w:rsidRPr="002153F8">
        <w:t>lanifibranor</w:t>
      </w:r>
      <w:proofErr w:type="spellEnd"/>
      <w:r w:rsidR="005D6122" w:rsidRPr="002153F8">
        <w:t xml:space="preserve">, </w:t>
      </w:r>
      <w:proofErr w:type="spellStart"/>
      <w:r w:rsidR="005D6122" w:rsidRPr="002153F8">
        <w:t>pemafibrate</w:t>
      </w:r>
      <w:proofErr w:type="spellEnd"/>
      <w:r w:rsidR="005D6122" w:rsidRPr="002153F8">
        <w:t xml:space="preserve">, and </w:t>
      </w:r>
      <w:proofErr w:type="spellStart"/>
      <w:r w:rsidR="005D6122" w:rsidRPr="002153F8">
        <w:t>saroglit</w:t>
      </w:r>
      <w:r w:rsidR="00B01BFF">
        <w:t>a</w:t>
      </w:r>
      <w:r w:rsidR="005D6122" w:rsidRPr="002153F8">
        <w:t>zar</w:t>
      </w:r>
      <w:proofErr w:type="spellEnd"/>
      <w:r w:rsidR="005D6122" w:rsidRPr="002153F8">
        <w:t>) 6 weeks prior to screening</w:t>
      </w:r>
    </w:p>
    <w:p w14:paraId="7B4A30F7" w14:textId="622B1AAF" w:rsidR="005D6122" w:rsidRPr="002153F8" w:rsidRDefault="0027634D" w:rsidP="002153F8">
      <w:pPr>
        <w:pStyle w:val="Numberbullet0"/>
      </w:pPr>
      <w:r>
        <w:t>t</w:t>
      </w:r>
      <w:r w:rsidR="005D6122" w:rsidRPr="002153F8">
        <w:t xml:space="preserve">reatment with antipruritic drugs (e.g., cholestyramine, naltrexone, rifampicin, sertraline, or any experimental approach) must have been on a stable dose within 1 month prior to </w:t>
      </w:r>
      <w:r w:rsidR="00F83547">
        <w:t>s</w:t>
      </w:r>
      <w:r w:rsidR="00F83547" w:rsidRPr="002153F8">
        <w:t>creening</w:t>
      </w:r>
    </w:p>
    <w:p w14:paraId="68457295" w14:textId="351D7FED" w:rsidR="005D6122" w:rsidRPr="002153F8" w:rsidRDefault="007163A2" w:rsidP="00EF4580">
      <w:pPr>
        <w:pStyle w:val="Numberbullet0"/>
      </w:pPr>
      <w:r>
        <w:t>t</w:t>
      </w:r>
      <w:r w:rsidR="005D6122" w:rsidRPr="002153F8">
        <w:t xml:space="preserve">reatment with colchicine, methotrexate, azathioprine, or long-term systemic corticosteroids (&gt; 2 weeks) during 2 months prior to </w:t>
      </w:r>
      <w:r w:rsidR="00144839">
        <w:t>s</w:t>
      </w:r>
      <w:r w:rsidR="00144839" w:rsidRPr="002153F8">
        <w:t>creening</w:t>
      </w:r>
    </w:p>
    <w:p w14:paraId="4B49ABE6" w14:textId="23EF8732" w:rsidR="005D6122" w:rsidRPr="002153F8" w:rsidRDefault="007163A2" w:rsidP="00EF4580">
      <w:pPr>
        <w:pStyle w:val="Numberbullet0"/>
      </w:pPr>
      <w:r>
        <w:t>o</w:t>
      </w:r>
      <w:r w:rsidR="005D6122" w:rsidRPr="002153F8">
        <w:t>ther chronic liver diseases, known history of HIV, malignancy.</w:t>
      </w:r>
    </w:p>
    <w:p w14:paraId="1700FD83" w14:textId="77777777" w:rsidR="005D6122" w:rsidRPr="005632DC" w:rsidRDefault="005D6122" w:rsidP="00EF4580">
      <w:pPr>
        <w:pStyle w:val="Heading5"/>
      </w:pPr>
      <w:r w:rsidRPr="005632DC">
        <w:t>Study treatments</w:t>
      </w:r>
    </w:p>
    <w:p w14:paraId="1C0A4962" w14:textId="3661A93B" w:rsidR="005D6122" w:rsidRDefault="005D6122" w:rsidP="00EF4580">
      <w:r w:rsidRPr="00994D75">
        <w:t xml:space="preserve">Enrolled subjects were randomized into the study to receive </w:t>
      </w:r>
      <w:proofErr w:type="spellStart"/>
      <w:r w:rsidRPr="00994D75">
        <w:t>seladelpar</w:t>
      </w:r>
      <w:proofErr w:type="spellEnd"/>
      <w:r w:rsidRPr="00994D75">
        <w:t xml:space="preserve"> </w:t>
      </w:r>
      <w:proofErr w:type="spellStart"/>
      <w:r>
        <w:t>10mg</w:t>
      </w:r>
      <w:proofErr w:type="spellEnd"/>
      <w:r>
        <w:t xml:space="preserve"> once daily </w:t>
      </w:r>
      <w:r w:rsidRPr="00994D75">
        <w:t>versus placebo in a</w:t>
      </w:r>
      <w:r>
        <w:t xml:space="preserve"> </w:t>
      </w:r>
      <w:r w:rsidRPr="00994D75">
        <w:t>2:1 ratio.</w:t>
      </w:r>
      <w:r>
        <w:t xml:space="preserve"> </w:t>
      </w:r>
      <w:r w:rsidR="00E40C9E">
        <w:t>The s</w:t>
      </w:r>
      <w:r w:rsidRPr="004B5999">
        <w:t>tudy drug (</w:t>
      </w:r>
      <w:proofErr w:type="spellStart"/>
      <w:r w:rsidRPr="004B5999">
        <w:t>seladelpar</w:t>
      </w:r>
      <w:proofErr w:type="spellEnd"/>
      <w:r w:rsidRPr="004B5999">
        <w:t xml:space="preserve"> or placebo) was administered orally, once daily, for a duration of</w:t>
      </w:r>
      <w:r>
        <w:t xml:space="preserve"> </w:t>
      </w:r>
      <w:r w:rsidRPr="004B5999">
        <w:t>up to 12 months. Subjects were instructed to take 1 capsule every Day, at approximately the</w:t>
      </w:r>
      <w:r>
        <w:t xml:space="preserve"> </w:t>
      </w:r>
      <w:r w:rsidRPr="004B5999">
        <w:t>same time.</w:t>
      </w:r>
      <w:r>
        <w:t xml:space="preserve"> </w:t>
      </w:r>
      <w:r w:rsidRPr="004B5999">
        <w:t>Subjects who met specific safety monitoring criteria or had tolerability issues could have a dose</w:t>
      </w:r>
      <w:r>
        <w:t xml:space="preserve"> </w:t>
      </w:r>
      <w:r w:rsidRPr="004B5999">
        <w:t xml:space="preserve">down-titration. Subjects who were initially assigned to 10 mg </w:t>
      </w:r>
      <w:proofErr w:type="spellStart"/>
      <w:r w:rsidRPr="004B5999">
        <w:t>seladelpar</w:t>
      </w:r>
      <w:proofErr w:type="spellEnd"/>
      <w:r w:rsidRPr="004B5999">
        <w:t xml:space="preserve"> were </w:t>
      </w:r>
      <w:r w:rsidR="00DF58ED" w:rsidRPr="004B5999">
        <w:t>down</w:t>
      </w:r>
      <w:r w:rsidR="00DF58ED">
        <w:t xml:space="preserve"> </w:t>
      </w:r>
      <w:r w:rsidR="00DF58ED" w:rsidRPr="004B5999">
        <w:t>titrated</w:t>
      </w:r>
      <w:r w:rsidRPr="004B5999">
        <w:t xml:space="preserve"> to 5</w:t>
      </w:r>
      <w:r>
        <w:t xml:space="preserve"> </w:t>
      </w:r>
      <w:r w:rsidRPr="004B5999">
        <w:t xml:space="preserve">mg </w:t>
      </w:r>
      <w:proofErr w:type="spellStart"/>
      <w:r w:rsidRPr="004B5999">
        <w:t>seladelpar</w:t>
      </w:r>
      <w:proofErr w:type="spellEnd"/>
      <w:r w:rsidRPr="004B5999">
        <w:t xml:space="preserve"> in a blinded manner. Subjects initially assigned to placebo had a blinded down</w:t>
      </w:r>
      <w:r>
        <w:t xml:space="preserve"> </w:t>
      </w:r>
      <w:r w:rsidRPr="004B5999">
        <w:t>titration</w:t>
      </w:r>
      <w:r>
        <w:t xml:space="preserve"> </w:t>
      </w:r>
      <w:r w:rsidRPr="004B5999">
        <w:t>and remained in the placebo arm</w:t>
      </w:r>
      <w:r>
        <w:t xml:space="preserve">.  </w:t>
      </w:r>
      <w:r w:rsidRPr="004B5999">
        <w:t>UDCA was taken as a background therapy as part of participation in the study.</w:t>
      </w:r>
    </w:p>
    <w:p w14:paraId="18E94AB7" w14:textId="2FD01405" w:rsidR="005D6122" w:rsidRDefault="005D6122" w:rsidP="00EF4580">
      <w:r>
        <w:t>The primary endpoints were:</w:t>
      </w:r>
    </w:p>
    <w:p w14:paraId="48E4088D" w14:textId="412A3B9F" w:rsidR="005D6122" w:rsidRPr="000377B9" w:rsidRDefault="005D52E0" w:rsidP="00EF4580">
      <w:pPr>
        <w:pStyle w:val="Numberbullet0"/>
        <w:numPr>
          <w:ilvl w:val="0"/>
          <w:numId w:val="22"/>
        </w:numPr>
      </w:pPr>
      <w:r>
        <w:t>p</w:t>
      </w:r>
      <w:r w:rsidR="005D6122" w:rsidRPr="000377B9">
        <w:t>roportion of subjects who were considered responders at 12 months based on the following composite endpoint of ALP and total bilirubin at 12 months requiring</w:t>
      </w:r>
    </w:p>
    <w:p w14:paraId="6F28DA4B" w14:textId="77777777" w:rsidR="005D6122" w:rsidRPr="000377B9" w:rsidRDefault="005D6122" w:rsidP="00EF4580">
      <w:pPr>
        <w:pStyle w:val="Numberbullet2"/>
      </w:pPr>
      <w:r w:rsidRPr="000377B9">
        <w:t>ALP &lt; 1.67× ULN</w:t>
      </w:r>
    </w:p>
    <w:p w14:paraId="0D4B5D9E" w14:textId="77777777" w:rsidR="005D6122" w:rsidRPr="000377B9" w:rsidRDefault="005D6122" w:rsidP="000377B9">
      <w:pPr>
        <w:pStyle w:val="Numberbullet2"/>
      </w:pPr>
      <w:r w:rsidRPr="000377B9">
        <w:t>≥ 15% decrease in ALP</w:t>
      </w:r>
    </w:p>
    <w:p w14:paraId="1F533F4E" w14:textId="43F050F2" w:rsidR="005D6122" w:rsidRPr="000377B9" w:rsidRDefault="005D6122" w:rsidP="00EF4580">
      <w:pPr>
        <w:pStyle w:val="Numberbullet2"/>
      </w:pPr>
      <w:r w:rsidRPr="000377B9">
        <w:t xml:space="preserve">Total bilirubin ≤ 1.0× </w:t>
      </w:r>
      <w:proofErr w:type="spellStart"/>
      <w:r w:rsidRPr="000377B9">
        <w:t>ULN</w:t>
      </w:r>
      <w:proofErr w:type="spellEnd"/>
    </w:p>
    <w:p w14:paraId="57B0630F" w14:textId="44A2BFB7" w:rsidR="005D6122" w:rsidRPr="000377B9" w:rsidRDefault="005D52E0" w:rsidP="00EF4580">
      <w:pPr>
        <w:pStyle w:val="Numberbullet0"/>
      </w:pPr>
      <w:r>
        <w:t>a</w:t>
      </w:r>
      <w:r w:rsidR="005D6122" w:rsidRPr="000377B9">
        <w:t>ssessment of treatment-emergent AEs (TEAEs) (National Cancer Institute [NCI] Common.</w:t>
      </w:r>
    </w:p>
    <w:p w14:paraId="24D51A7B" w14:textId="77777777" w:rsidR="005D6122" w:rsidRPr="000377B9" w:rsidRDefault="005D6122" w:rsidP="00EF4580">
      <w:pPr>
        <w:pStyle w:val="Numberbullet0"/>
      </w:pPr>
      <w:r w:rsidRPr="000377B9">
        <w:t>Terminology Criteria for Adverse Events [CTCAE] Version 5.0), biochemistry and haematology.</w:t>
      </w:r>
    </w:p>
    <w:p w14:paraId="3CC33A1B" w14:textId="77777777" w:rsidR="005D6122" w:rsidRDefault="005D6122" w:rsidP="00EF4580">
      <w:r>
        <w:t xml:space="preserve">The key secondary endpoints were: </w:t>
      </w:r>
    </w:p>
    <w:p w14:paraId="2898F8A0" w14:textId="4F33F093" w:rsidR="005D6122" w:rsidRPr="00350F4B" w:rsidRDefault="001962CE" w:rsidP="001962CE">
      <w:pPr>
        <w:pStyle w:val="Numberbullet0"/>
      </w:pPr>
      <w:r>
        <w:t>p</w:t>
      </w:r>
      <w:r w:rsidR="005D6122" w:rsidRPr="00350F4B">
        <w:t>roportion of subjects with ALP ≤ 1.0× ULN at 12 months (e.g., normali</w:t>
      </w:r>
      <w:r w:rsidR="00DA7FB4">
        <w:t>s</w:t>
      </w:r>
      <w:r w:rsidR="005D6122" w:rsidRPr="00350F4B">
        <w:t>ation)</w:t>
      </w:r>
    </w:p>
    <w:p w14:paraId="0F86CB4C" w14:textId="40A0D042" w:rsidR="005D6122" w:rsidRPr="00350F4B" w:rsidRDefault="00B623DD" w:rsidP="00EF4580">
      <w:pPr>
        <w:pStyle w:val="Numberbullet0"/>
      </w:pPr>
      <w:r>
        <w:lastRenderedPageBreak/>
        <w:t>c</w:t>
      </w:r>
      <w:r w:rsidR="005D6122" w:rsidRPr="00350F4B">
        <w:t>hange from baseline in weekly averaged Pruritus NRS in subjects with baseline NRS ≥ 4 at 6 months.</w:t>
      </w:r>
    </w:p>
    <w:p w14:paraId="3355D47B" w14:textId="02BB5FA7" w:rsidR="005D6122" w:rsidRDefault="005D6122" w:rsidP="00EF4580">
      <w:r w:rsidRPr="004B5999">
        <w:t xml:space="preserve">Subjects were randomized in a blinded manner to receive </w:t>
      </w:r>
      <w:proofErr w:type="spellStart"/>
      <w:r w:rsidRPr="004B5999">
        <w:t>seladelpar</w:t>
      </w:r>
      <w:proofErr w:type="spellEnd"/>
      <w:r w:rsidRPr="004B5999">
        <w:t xml:space="preserve"> 10 mg or placebo in a</w:t>
      </w:r>
      <w:r w:rsidR="001B6B5E">
        <w:br/>
      </w:r>
      <w:r w:rsidRPr="004B5999">
        <w:t>2:1</w:t>
      </w:r>
      <w:r>
        <w:t xml:space="preserve"> </w:t>
      </w:r>
      <w:r w:rsidRPr="004B5999">
        <w:t>ratio. In addition, randomi</w:t>
      </w:r>
      <w:r w:rsidR="001B6B5E">
        <w:t>s</w:t>
      </w:r>
      <w:r w:rsidRPr="004B5999">
        <w:t>ation was stratified by ALP level (&lt; 350 U/L vs ≥ 350 U/L) and by</w:t>
      </w:r>
      <w:r>
        <w:t xml:space="preserve"> </w:t>
      </w:r>
      <w:r w:rsidRPr="004B5999">
        <w:t>the presence of clinically important pruritus (Pruritus NRS &lt; 4 vs NRS ≥ 4).</w:t>
      </w:r>
    </w:p>
    <w:p w14:paraId="6EDC8777" w14:textId="20B87440" w:rsidR="005D6122" w:rsidRDefault="005D6122" w:rsidP="00EF4580">
      <w:r>
        <w:t xml:space="preserve">A sample size of 180 randomized subjects who received study drug provided &gt; 90% power to detect a difference between the 10 mg </w:t>
      </w:r>
      <w:proofErr w:type="spellStart"/>
      <w:r>
        <w:t>seladelpar</w:t>
      </w:r>
      <w:proofErr w:type="spellEnd"/>
      <w:r>
        <w:t xml:space="preserve"> arm and the placebo arm</w:t>
      </w:r>
      <w:r w:rsidRPr="00807EA8">
        <w:t xml:space="preserve"> </w:t>
      </w:r>
      <w:r w:rsidR="001B6B5E">
        <w:t>(</w:t>
      </w:r>
      <w:r>
        <w:t>with the use of a 2-sided test of equality of binomial proportions based on Fisher’s exact test at the 0.05 level of significance</w:t>
      </w:r>
      <w:r w:rsidR="001B6B5E">
        <w:t xml:space="preserve">). This </w:t>
      </w:r>
      <w:proofErr w:type="gramStart"/>
      <w:r>
        <w:t>was based on the assumption</w:t>
      </w:r>
      <w:proofErr w:type="gramEnd"/>
      <w:r>
        <w:t xml:space="preserve"> of response rates of 20% and 55% for the primary efficacy endpoint </w:t>
      </w:r>
      <w:r w:rsidRPr="00807EA8">
        <w:t>(composite biochemical response of ALP and total bilirubin)</w:t>
      </w:r>
      <w:r>
        <w:t xml:space="preserve"> in the placebo and </w:t>
      </w:r>
      <w:proofErr w:type="spellStart"/>
      <w:r>
        <w:t>seladelpar</w:t>
      </w:r>
      <w:proofErr w:type="spellEnd"/>
      <w:r>
        <w:t xml:space="preserve"> treatment groups, respectively.</w:t>
      </w:r>
    </w:p>
    <w:p w14:paraId="1BB75FF9" w14:textId="77777777" w:rsidR="005D6122" w:rsidRDefault="005D6122" w:rsidP="00EF4580">
      <w:r>
        <w:t xml:space="preserve">For the key secondary efficacy endpoint of normalisation of ALP levels, the response rate for placebo and </w:t>
      </w:r>
      <w:proofErr w:type="spellStart"/>
      <w:r>
        <w:t>seladelpar</w:t>
      </w:r>
      <w:proofErr w:type="spellEnd"/>
      <w:r>
        <w:t xml:space="preserve"> was estimated to be 2.5% and 25.5% respectively. A sample size of 180 was calculated based on 2-sided Fisher’s exact test with alpha at 0.05 to provide &gt;90% power to detect a difference between </w:t>
      </w:r>
      <w:proofErr w:type="spellStart"/>
      <w:r>
        <w:t>Seladelpar</w:t>
      </w:r>
      <w:proofErr w:type="spellEnd"/>
      <w:r>
        <w:t xml:space="preserve"> and placebo group. For the key secondary efficacy endpoint of change from baseline in weekly averaged Pruritus NRS at Month 6, a sample size of 48 subjects was calculation based on a 2-sample 2-sided t-test with a significance level of 0.05 and a common standard deviation estimated at 2. Under these assumptions, the test would provide &gt;80% power to detect a treatment difference of ≥2 between 10-mg </w:t>
      </w:r>
      <w:proofErr w:type="spellStart"/>
      <w:r>
        <w:t>seladelpar</w:t>
      </w:r>
      <w:proofErr w:type="spellEnd"/>
      <w:r>
        <w:t xml:space="preserve"> and placebo groups.</w:t>
      </w:r>
    </w:p>
    <w:p w14:paraId="728C1C92" w14:textId="663728DA" w:rsidR="005D6122" w:rsidRPr="005632DC" w:rsidRDefault="005D6122" w:rsidP="00EF4580">
      <w:pPr>
        <w:pStyle w:val="Heading5"/>
      </w:pPr>
      <w:r w:rsidRPr="005632DC">
        <w:t>Participant flow</w:t>
      </w:r>
    </w:p>
    <w:p w14:paraId="0F8CBCA6" w14:textId="2E22E9D9" w:rsidR="00016CEA" w:rsidRDefault="005D6122" w:rsidP="00EF4580">
      <w:r w:rsidRPr="00016CEA">
        <w:rPr>
          <w:lang w:eastAsia="ja-JP"/>
        </w:rPr>
        <w:t xml:space="preserve">Of the 360 subjects who were screened, a total of 193 subjects were randomised to receive study treatment (128 and 65 in </w:t>
      </w:r>
      <w:proofErr w:type="spellStart"/>
      <w:r w:rsidRPr="00016CEA">
        <w:rPr>
          <w:lang w:eastAsia="ja-JP"/>
        </w:rPr>
        <w:t>seladelpar</w:t>
      </w:r>
      <w:proofErr w:type="spellEnd"/>
      <w:r w:rsidRPr="00016CEA">
        <w:rPr>
          <w:lang w:eastAsia="ja-JP"/>
        </w:rPr>
        <w:t xml:space="preserve"> and placebo arms, respectively). The 165 screen failures were mostly due to </w:t>
      </w:r>
      <w:r w:rsidRPr="00016CEA">
        <w:t>not meeting laboratory parameter thresholds for ALP, ALT, AST, eGFR, or total bilirubin.</w:t>
      </w:r>
    </w:p>
    <w:p w14:paraId="04310BBF" w14:textId="08F4B07A" w:rsidR="005D6122" w:rsidRPr="00016CEA" w:rsidRDefault="005D6122" w:rsidP="00EF4580">
      <w:r w:rsidRPr="00016CEA">
        <w:t xml:space="preserve">Overall, 175 (90.7%) of the subjects completed the study. The percentage of subjects who did not complete study treatment was lower in the </w:t>
      </w:r>
      <w:proofErr w:type="spellStart"/>
      <w:r w:rsidRPr="00016CEA">
        <w:t>seladelpar</w:t>
      </w:r>
      <w:proofErr w:type="spellEnd"/>
      <w:r w:rsidRPr="00016CEA">
        <w:t xml:space="preserve"> arm (</w:t>
      </w:r>
      <w:proofErr w:type="spellStart"/>
      <w:r w:rsidRPr="00016CEA">
        <w:t>seladelpar</w:t>
      </w:r>
      <w:proofErr w:type="spellEnd"/>
      <w:r w:rsidRPr="00016CEA">
        <w:t xml:space="preserve"> vs placebo: 7.8%</w:t>
      </w:r>
      <w:r w:rsidR="008C1DED">
        <w:br/>
      </w:r>
      <w:r w:rsidRPr="00016CEA">
        <w:t>vs 12.3%)</w:t>
      </w:r>
      <w:r w:rsidR="008C1DED">
        <w:t>. T</w:t>
      </w:r>
      <w:r w:rsidRPr="00016CEA">
        <w:t xml:space="preserve">he most common reasons for early treatment discontinuation in both arms were </w:t>
      </w:r>
      <w:r w:rsidR="007A27C4">
        <w:t xml:space="preserve">adverse events </w:t>
      </w:r>
      <w:r w:rsidRPr="00016CEA">
        <w:t>(3.1% vs 6.1%) and withdrawal of informed consent (3.1% vs 3.1%).</w:t>
      </w:r>
    </w:p>
    <w:p w14:paraId="50E3529C" w14:textId="77777777" w:rsidR="005D6122" w:rsidRPr="00EC3AE0" w:rsidRDefault="005D6122" w:rsidP="00EF4580">
      <w:pPr>
        <w:pStyle w:val="Heading5"/>
      </w:pPr>
      <w:bookmarkStart w:id="59" w:name="_Ref197585768"/>
      <w:r w:rsidRPr="00EC3AE0">
        <w:t>Baseline data</w:t>
      </w:r>
      <w:bookmarkEnd w:id="59"/>
    </w:p>
    <w:p w14:paraId="68C753EA" w14:textId="24F6BB8B" w:rsidR="00E55894" w:rsidRDefault="005D6122" w:rsidP="00EF4580">
      <w:r>
        <w:rPr>
          <w:lang w:eastAsia="ja-JP"/>
        </w:rPr>
        <w:t xml:space="preserve">The </w:t>
      </w:r>
      <w:r w:rsidRPr="00770226">
        <w:t>mean age of subjects was 56.7 years with a range of 28 to 75 years old with majority being</w:t>
      </w:r>
      <w:r>
        <w:t xml:space="preserve"> </w:t>
      </w:r>
      <w:r w:rsidRPr="00770226">
        <w:t xml:space="preserve">female (94.8%), </w:t>
      </w:r>
      <w:r w:rsidR="00E55894">
        <w:t>w</w:t>
      </w:r>
      <w:r w:rsidRPr="00770226">
        <w:t>hite (88.1%), non-Hispanic or Latino (69.9%) and from EMEA (39.4%), North America (32.6%) and Latin America (22.3%).</w:t>
      </w:r>
    </w:p>
    <w:p w14:paraId="3BE513A6" w14:textId="738FA55A" w:rsidR="005D6122" w:rsidRPr="008063A6" w:rsidRDefault="005D6122" w:rsidP="00EF4580">
      <w:r w:rsidRPr="008063A6">
        <w:t xml:space="preserve">Overall, baseline demographics were well-balanced between the </w:t>
      </w:r>
      <w:proofErr w:type="spellStart"/>
      <w:r w:rsidRPr="008063A6">
        <w:t>seladelpar</w:t>
      </w:r>
      <w:proofErr w:type="spellEnd"/>
      <w:r w:rsidRPr="008063A6">
        <w:t xml:space="preserve"> and placebo treatment arms with a few exceptions [</w:t>
      </w:r>
      <w:proofErr w:type="spellStart"/>
      <w:r w:rsidRPr="008063A6">
        <w:t>seladelpar</w:t>
      </w:r>
      <w:proofErr w:type="spellEnd"/>
      <w:r w:rsidRPr="008063A6">
        <w:t xml:space="preserve"> arm had more subjects from North America (39.1% vs 20%) and were non-Hispanic/Latino (75.8% vs 58.6%)]. </w:t>
      </w:r>
      <w:r w:rsidRPr="008063A6">
        <w:rPr>
          <w:rFonts w:cs="TimesNewRomanPSMT"/>
        </w:rPr>
        <w:t xml:space="preserve">Most subjects (93.8%) were on UDCA treatment at baseline, while 12 subjects (6.2%) were intolerant to UDCA (6.3% vs 6.2%).  </w:t>
      </w:r>
      <w:r w:rsidRPr="008063A6">
        <w:t>The mean baseline laboratory values, including ALP and total bilirubin (categorical variables in the primary composite biochemical response endpoint), were generally similar between treatment arms.</w:t>
      </w:r>
    </w:p>
    <w:p w14:paraId="61465CA4" w14:textId="77777777" w:rsidR="005D6122" w:rsidRPr="00EC3AE0" w:rsidRDefault="005D6122" w:rsidP="00EF4580">
      <w:pPr>
        <w:pStyle w:val="Heading5"/>
      </w:pPr>
      <w:bookmarkStart w:id="60" w:name="_Ref197585681"/>
      <w:r w:rsidRPr="00EC3AE0">
        <w:t>Results for the primary efficacy outcome</w:t>
      </w:r>
      <w:bookmarkEnd w:id="60"/>
    </w:p>
    <w:p w14:paraId="223F5AEA" w14:textId="1DA56863" w:rsidR="00CB15D4" w:rsidRDefault="005D6122" w:rsidP="00EF4580">
      <w:proofErr w:type="spellStart"/>
      <w:r w:rsidRPr="00DD1A6F">
        <w:t>Seladelpar</w:t>
      </w:r>
      <w:proofErr w:type="spellEnd"/>
      <w:r w:rsidRPr="00DD1A6F">
        <w:t xml:space="preserve"> treatment led to a significantly higher percentage of subjects achieving the primary efficacy endpoint of composite biochemical response at Month 12 (61.7% vs 20%; </w:t>
      </w:r>
      <w:r>
        <w:t xml:space="preserve">risk difference=41.7%; 95% CI: 27.7, 53.4; </w:t>
      </w:r>
      <w:r w:rsidRPr="00DD1A6F">
        <w:t>p &lt; 0.0001).</w:t>
      </w:r>
    </w:p>
    <w:p w14:paraId="635CF31E" w14:textId="5E5FB06A" w:rsidR="005D6122" w:rsidRDefault="005D6122" w:rsidP="00EF4580">
      <w:pPr>
        <w:rPr>
          <w:b/>
        </w:rPr>
      </w:pPr>
      <w:r w:rsidRPr="00DD1A6F">
        <w:lastRenderedPageBreak/>
        <w:t>The improvement was consistent for the ALP &lt; 1.67× ULN component of the composite biochemical response endpoint (65.6% vs 26.2%) and percentage of subjects with a decrease</w:t>
      </w:r>
      <w:r>
        <w:t xml:space="preserve"> </w:t>
      </w:r>
      <w:r w:rsidRPr="00DD1A6F">
        <w:t>from baseline of ≥ 15% in ALP levels (83.6% vs 32.3%)</w:t>
      </w:r>
      <w:r w:rsidR="00CB15D4">
        <w:t>. T</w:t>
      </w:r>
      <w:r w:rsidRPr="00DD1A6F">
        <w:t xml:space="preserve">he difference between </w:t>
      </w:r>
      <w:proofErr w:type="spellStart"/>
      <w:r w:rsidRPr="00DD1A6F">
        <w:t>seladelpar</w:t>
      </w:r>
      <w:proofErr w:type="spellEnd"/>
      <w:r w:rsidRPr="00DD1A6F">
        <w:t xml:space="preserve"> and placebo was much smaller for percentage of subjects with total bilirubin ≤ 1.0× ULN (81.3% vs 76.9%)</w:t>
      </w:r>
      <w:r>
        <w:t xml:space="preserve"> </w:t>
      </w:r>
      <w:r w:rsidRPr="009263EA">
        <w:rPr>
          <w:bCs/>
        </w:rPr>
        <w:t>(Table 2).</w:t>
      </w:r>
    </w:p>
    <w:p w14:paraId="746C2161" w14:textId="17AF62FC" w:rsidR="005D6122" w:rsidRDefault="005D6122" w:rsidP="00EF4580">
      <w:pPr>
        <w:pStyle w:val="TableTitle"/>
      </w:pPr>
      <w:bookmarkStart w:id="61" w:name="_Toc205928708"/>
      <w:r w:rsidRPr="00DD1A6F">
        <w:t xml:space="preserve">Table </w:t>
      </w:r>
      <w:r>
        <w:t xml:space="preserve">2. </w:t>
      </w:r>
      <w:r w:rsidRPr="00DD1A6F">
        <w:t>Analysis of the Composite Biochemical Response Endpoint at Month 12 (ITT</w:t>
      </w:r>
      <w:r>
        <w:t xml:space="preserve"> </w:t>
      </w:r>
      <w:r w:rsidRPr="00DD1A6F">
        <w:t>Analysis Set)</w:t>
      </w:r>
      <w:bookmarkEnd w:id="61"/>
    </w:p>
    <w:p w14:paraId="7349883C" w14:textId="77777777" w:rsidR="005D6122" w:rsidRDefault="005D6122" w:rsidP="00EF4580">
      <w:pPr>
        <w:rPr>
          <w:rFonts w:ascii="Calibri" w:hAnsi="Calibri" w:cs="Calibri"/>
          <w:b/>
          <w:bCs/>
          <w:sz w:val="20"/>
        </w:rPr>
      </w:pPr>
      <w:r>
        <w:rPr>
          <w:noProof/>
          <w:lang w:eastAsia="en-AU"/>
        </w:rPr>
        <w:drawing>
          <wp:inline distT="0" distB="0" distL="0" distR="0" wp14:anchorId="54E8C61A" wp14:editId="6B227FA5">
            <wp:extent cx="5486400" cy="4067175"/>
            <wp:effectExtent l="0" t="0" r="0" b="9525"/>
            <wp:docPr id="12" name="Picture 12" descr="Table 2. Analysis of the Composite Biochemical Response Endpoint at Month 12 (ITT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able 2. Analysis of the Composite Biochemical Response Endpoint at Month 12 (ITT Analysis Set)"/>
                    <pic:cNvPicPr/>
                  </pic:nvPicPr>
                  <pic:blipFill>
                    <a:blip r:embed="rId26"/>
                    <a:stretch>
                      <a:fillRect/>
                    </a:stretch>
                  </pic:blipFill>
                  <pic:spPr>
                    <a:xfrm>
                      <a:off x="0" y="0"/>
                      <a:ext cx="5486400" cy="4067175"/>
                    </a:xfrm>
                    <a:prstGeom prst="rect">
                      <a:avLst/>
                    </a:prstGeom>
                  </pic:spPr>
                </pic:pic>
              </a:graphicData>
            </a:graphic>
          </wp:inline>
        </w:drawing>
      </w:r>
    </w:p>
    <w:p w14:paraId="7CBC55EA" w14:textId="6D5D7AB6" w:rsidR="005D6122" w:rsidRDefault="005D6122" w:rsidP="00EF4580">
      <w:r>
        <w:t xml:space="preserve">The study drug treatment effect was analysed for each stratum (pruritus NRS and baseline ALP) as the Breslow-Day p-value assessing homogeneity of treatment effect across stratum was significant (&lt; 0.05). The results from the stratum analyses were generally consistent with those of the primary analysis of the primary efficacy endpoint showing a higher percentage of responders in the </w:t>
      </w:r>
      <w:proofErr w:type="spellStart"/>
      <w:r>
        <w:t>seladelpar</w:t>
      </w:r>
      <w:proofErr w:type="spellEnd"/>
      <w:r>
        <w:t xml:space="preserve"> compared with the placebo arm, with the following exception:</w:t>
      </w:r>
    </w:p>
    <w:p w14:paraId="6038F26F" w14:textId="18E215B3" w:rsidR="005D6122" w:rsidRPr="00572F07" w:rsidRDefault="005D6122" w:rsidP="00EF4580">
      <w:pPr>
        <w:pStyle w:val="ListBullet"/>
        <w:rPr>
          <w:rFonts w:eastAsiaTheme="minorHAnsi"/>
        </w:rPr>
      </w:pPr>
      <w:r>
        <w:t xml:space="preserve">A higher percentage of responders in the </w:t>
      </w:r>
      <w:proofErr w:type="spellStart"/>
      <w:r>
        <w:t>seladelpar</w:t>
      </w:r>
      <w:proofErr w:type="spellEnd"/>
      <w:r>
        <w:t xml:space="preserve"> arm compared with placebo was not observed in subjects with ALP ≥ 350 U/L </w:t>
      </w:r>
      <w:r w:rsidRPr="00AE139C">
        <w:t>and</w:t>
      </w:r>
      <w:r>
        <w:t xml:space="preserve"> Pruritus NRS &lt; 4 at baseline [13.3% (2/15) vs 22.2% (2/9)] </w:t>
      </w:r>
      <w:r w:rsidRPr="001A7E01">
        <w:t>although interpretation</w:t>
      </w:r>
      <w:r>
        <w:t xml:space="preserve"> of above result was limited by small sample size</w:t>
      </w:r>
      <w:r w:rsidRPr="00572F07">
        <w:rPr>
          <w:rFonts w:eastAsiaTheme="minorHAnsi"/>
        </w:rPr>
        <w:t>.</w:t>
      </w:r>
    </w:p>
    <w:p w14:paraId="4577EB0B" w14:textId="3A08CB7F" w:rsidR="005D6122" w:rsidRPr="00656D15" w:rsidRDefault="005D6122" w:rsidP="00EF4580">
      <w:pPr>
        <w:pStyle w:val="Heading6"/>
      </w:pPr>
      <w:r w:rsidRPr="00656D15">
        <w:t>Key secondary endpoints</w:t>
      </w:r>
    </w:p>
    <w:p w14:paraId="011F3054" w14:textId="482FD961" w:rsidR="005D6122" w:rsidRPr="00EF4580" w:rsidRDefault="005D6122" w:rsidP="00EF4580">
      <w:pPr>
        <w:rPr>
          <w:b/>
          <w:bCs/>
        </w:rPr>
      </w:pPr>
      <w:r w:rsidRPr="00EF4580">
        <w:rPr>
          <w:b/>
          <w:bCs/>
        </w:rPr>
        <w:t>ALP normali</w:t>
      </w:r>
      <w:r w:rsidR="00B2120F" w:rsidRPr="00EF4580">
        <w:rPr>
          <w:b/>
          <w:bCs/>
        </w:rPr>
        <w:t>s</w:t>
      </w:r>
      <w:r w:rsidRPr="00EF4580">
        <w:rPr>
          <w:b/>
          <w:bCs/>
        </w:rPr>
        <w:t xml:space="preserve">ation (ALP ≤ 1.0× </w:t>
      </w:r>
      <w:proofErr w:type="spellStart"/>
      <w:r w:rsidRPr="00EF4580">
        <w:rPr>
          <w:b/>
          <w:bCs/>
        </w:rPr>
        <w:t>ULN</w:t>
      </w:r>
      <w:proofErr w:type="spellEnd"/>
      <w:r w:rsidRPr="00EF4580">
        <w:rPr>
          <w:b/>
          <w:bCs/>
        </w:rPr>
        <w:t>) at Month 12:</w:t>
      </w:r>
    </w:p>
    <w:p w14:paraId="248DBFB0" w14:textId="1CFDB4F8" w:rsidR="005D6122" w:rsidRDefault="005D6122" w:rsidP="00EF4580">
      <w:r>
        <w:t xml:space="preserve">A significantly higher percentage of subjects in the </w:t>
      </w:r>
      <w:proofErr w:type="spellStart"/>
      <w:r>
        <w:t>seladelpar</w:t>
      </w:r>
      <w:proofErr w:type="spellEnd"/>
      <w:r>
        <w:t xml:space="preserve"> arm achieved ALP normali</w:t>
      </w:r>
      <w:r w:rsidR="00B2120F">
        <w:t>s</w:t>
      </w:r>
      <w:r>
        <w:t xml:space="preserve">ation </w:t>
      </w:r>
      <w:r w:rsidRPr="00E44787">
        <w:rPr>
          <w:rFonts w:cs="TimesNewRomanPSMT"/>
        </w:rPr>
        <w:t xml:space="preserve">(ALP ≤ 1.0× ULN) at month 12 </w:t>
      </w:r>
      <w:r>
        <w:t>compared with the placebo arm [25% vs 0%; risk diff=25% (95% CI: 18.3, 33.2</w:t>
      </w:r>
      <w:r w:rsidRPr="00E44787">
        <w:t>0%)</w:t>
      </w:r>
      <w:r>
        <w:t xml:space="preserve">, </w:t>
      </w:r>
      <w:r w:rsidRPr="00E44787">
        <w:t>p &lt; 0.0001</w:t>
      </w:r>
      <w:r>
        <w:t>]</w:t>
      </w:r>
      <w:r w:rsidRPr="00E44787">
        <w:t xml:space="preserve">. </w:t>
      </w:r>
      <w:r>
        <w:t xml:space="preserve">Significant improvement with </w:t>
      </w:r>
      <w:proofErr w:type="spellStart"/>
      <w:r>
        <w:t>seladelpar</w:t>
      </w:r>
      <w:proofErr w:type="spellEnd"/>
      <w:r>
        <w:t xml:space="preserve"> in this endpoint was observed at Month 1 with effects maintained with ongoing treatment throughout the course of the study.</w:t>
      </w:r>
    </w:p>
    <w:p w14:paraId="22D5967F" w14:textId="5AE3E621" w:rsidR="005D6122" w:rsidRPr="00EF4580" w:rsidRDefault="005D6122" w:rsidP="00EF4580">
      <w:pPr>
        <w:rPr>
          <w:b/>
          <w:bCs/>
        </w:rPr>
      </w:pPr>
      <w:r w:rsidRPr="00EF4580">
        <w:rPr>
          <w:b/>
          <w:bCs/>
        </w:rPr>
        <w:t>Pruritus NRS at Month 6 in subjects with moderate to severe pruritus at baseline (Pruritus NRS ≥ 4):</w:t>
      </w:r>
    </w:p>
    <w:p w14:paraId="76FB593B" w14:textId="77EAEE35" w:rsidR="005D6122" w:rsidRDefault="005D6122" w:rsidP="00EF4580">
      <w:proofErr w:type="spellStart"/>
      <w:r>
        <w:lastRenderedPageBreak/>
        <w:t>Seladelpar</w:t>
      </w:r>
      <w:proofErr w:type="spellEnd"/>
      <w:r>
        <w:t xml:space="preserve"> treatment led to a statistically significant improvement in Pruritus NRS compared with placebo with an LS mean change at month 6 of 3.2 vs 1.7, respectively [LS mean diff=-1.5 (95% CI: -2.5, -0.5), p=0.0047]). Significantly greater decreases in Pruritus NRS in the </w:t>
      </w:r>
      <w:proofErr w:type="spellStart"/>
      <w:r>
        <w:t>seladelpar</w:t>
      </w:r>
      <w:proofErr w:type="spellEnd"/>
      <w:r>
        <w:t xml:space="preserve"> arm relative to placebo were observed as early as Month 1 and this effect was also seen from Month 6 through Month 12. The difference between the </w:t>
      </w:r>
      <w:proofErr w:type="spellStart"/>
      <w:r>
        <w:t>seladelpar</w:t>
      </w:r>
      <w:proofErr w:type="spellEnd"/>
      <w:r>
        <w:t xml:space="preserve"> and placebo groups was not statistically significant at month 3.</w:t>
      </w:r>
    </w:p>
    <w:p w14:paraId="0FD34002" w14:textId="77777777" w:rsidR="005D6122" w:rsidRDefault="005D6122" w:rsidP="00EF4580">
      <w:pPr>
        <w:pStyle w:val="Heading6"/>
      </w:pPr>
      <w:r>
        <w:t>Other secondary and exploratory endpoints</w:t>
      </w:r>
    </w:p>
    <w:p w14:paraId="7EDF8896" w14:textId="21409C22" w:rsidR="005D6122" w:rsidRDefault="005D6122" w:rsidP="00EF4580">
      <w:r>
        <w:t xml:space="preserve">Mean [SD] liver stiffness values at baseline were 9.84 [6.16] kPa for </w:t>
      </w:r>
      <w:proofErr w:type="spellStart"/>
      <w:r>
        <w:t>seladelpar</w:t>
      </w:r>
      <w:proofErr w:type="spellEnd"/>
      <w:r>
        <w:t xml:space="preserve"> vs 8.74 [4.18] kPa for placebo. At Month 12, mean change from baseline in liver stiffness was 0.24 kPa (4.58% change) for subjects receiving </w:t>
      </w:r>
      <w:proofErr w:type="spellStart"/>
      <w:r>
        <w:t>seladelpar</w:t>
      </w:r>
      <w:proofErr w:type="spellEnd"/>
      <w:r>
        <w:t xml:space="preserve"> relative to 1.34 kPa (9.87% change) for those receiving placebo.</w:t>
      </w:r>
      <w:r w:rsidRPr="009B5615">
        <w:t xml:space="preserve"> </w:t>
      </w:r>
      <w:r>
        <w:t xml:space="preserve">The mean [SD] baseline values for the ELF scores were comparable between treatment arms (10.16 [1.03] for </w:t>
      </w:r>
      <w:proofErr w:type="spellStart"/>
      <w:r>
        <w:t>seladelpar</w:t>
      </w:r>
      <w:proofErr w:type="spellEnd"/>
      <w:r>
        <w:t xml:space="preserve"> vs 10.23 [0.85] for placebo). There were</w:t>
      </w:r>
      <w:r w:rsidR="00EE096A">
        <w:t xml:space="preserve"> </w:t>
      </w:r>
      <w:r>
        <w:t xml:space="preserve">no notable differences in mean values of the ELF score or its components (HA, TIMP-1, and </w:t>
      </w:r>
      <w:proofErr w:type="spellStart"/>
      <w:r>
        <w:t>PIIINP</w:t>
      </w:r>
      <w:proofErr w:type="spellEnd"/>
      <w:r>
        <w:t xml:space="preserve">) for the </w:t>
      </w:r>
      <w:proofErr w:type="spellStart"/>
      <w:r>
        <w:t>seladelpar</w:t>
      </w:r>
      <w:proofErr w:type="spellEnd"/>
      <w:r>
        <w:t xml:space="preserve"> arm compared with placebo over the course of the study.</w:t>
      </w:r>
    </w:p>
    <w:p w14:paraId="57F0F9C2" w14:textId="4ADADC0B" w:rsidR="005D6122" w:rsidRPr="00C2059A" w:rsidRDefault="005D6122" w:rsidP="00EF4580">
      <w:pPr>
        <w:rPr>
          <w:rFonts w:cs="TimesNewRomanPSMT"/>
        </w:rPr>
      </w:pPr>
      <w:r w:rsidRPr="00C2059A">
        <w:t xml:space="preserve">The effect of </w:t>
      </w:r>
      <w:proofErr w:type="spellStart"/>
      <w:r w:rsidRPr="00C2059A">
        <w:t>seladelpar</w:t>
      </w:r>
      <w:proofErr w:type="spellEnd"/>
      <w:r w:rsidRPr="00C2059A">
        <w:t xml:space="preserve"> on the </w:t>
      </w:r>
      <w:proofErr w:type="spellStart"/>
      <w:r w:rsidRPr="00C2059A">
        <w:t>PBC</w:t>
      </w:r>
      <w:proofErr w:type="spellEnd"/>
      <w:r w:rsidRPr="00C2059A">
        <w:t xml:space="preserve">-40 QoL questionnaire (total and individual domain scores) in the MSPN analysis set was assessed as a secondary endpoint. </w:t>
      </w:r>
      <w:r w:rsidRPr="00C2059A">
        <w:rPr>
          <w:rFonts w:cs="TimesNewRomanPSMT"/>
        </w:rPr>
        <w:t xml:space="preserve">There were no meaningful differences in scores for the Fatigue Domain or the PBC-QoL total score between treatment arms over the course of the study. </w:t>
      </w:r>
      <w:r w:rsidRPr="00C2059A">
        <w:t xml:space="preserve">Decreases in the Itch Domain of the PBC-40 QoL questionnaire were greater in the </w:t>
      </w:r>
      <w:proofErr w:type="spellStart"/>
      <w:r w:rsidRPr="00C2059A">
        <w:t>seladelpar</w:t>
      </w:r>
      <w:proofErr w:type="spellEnd"/>
      <w:r w:rsidRPr="00C2059A">
        <w:t xml:space="preserve"> arm compared with placebo throughout the course of the study and this was evident as early as Month 1 (p-values for the LS mean differences were &lt; 0.05 from Month 1 through Month 9).</w:t>
      </w:r>
    </w:p>
    <w:p w14:paraId="6E5E46D8" w14:textId="17B5D348" w:rsidR="005D6122" w:rsidRDefault="005D6122" w:rsidP="00EF4580">
      <w:pPr>
        <w:pStyle w:val="Heading5"/>
      </w:pPr>
      <w:bookmarkStart w:id="62" w:name="_Ref197585560"/>
      <w:r>
        <w:t>Supportive studies</w:t>
      </w:r>
    </w:p>
    <w:p w14:paraId="31D0BEF6" w14:textId="4A1E715C" w:rsidR="005D6122" w:rsidRDefault="005D6122" w:rsidP="00EF4580">
      <w:pPr>
        <w:pStyle w:val="Heading6"/>
        <w:rPr>
          <w:rFonts w:asciiTheme="minorHAnsi" w:hAnsiTheme="minorHAnsi"/>
        </w:rPr>
      </w:pPr>
      <w:r w:rsidRPr="00807EA8">
        <w:t>Study CB8025-31735 (ENHANCE)</w:t>
      </w:r>
      <w:bookmarkEnd w:id="62"/>
    </w:p>
    <w:p w14:paraId="4CE4E6C2" w14:textId="46773DB7" w:rsidR="000B75E0" w:rsidRDefault="005D6122" w:rsidP="00EF4580">
      <w:r>
        <w:rPr>
          <w:lang w:eastAsia="ja-JP"/>
        </w:rPr>
        <w:t>This was a</w:t>
      </w:r>
      <w:r w:rsidRPr="001377BB">
        <w:t xml:space="preserve"> Phase </w:t>
      </w:r>
      <w:r>
        <w:t>III</w:t>
      </w:r>
      <w:r w:rsidRPr="001377BB">
        <w:t>, 52-</w:t>
      </w:r>
      <w:r>
        <w:t>w</w:t>
      </w:r>
      <w:r w:rsidRPr="001377BB">
        <w:t xml:space="preserve">eek </w:t>
      </w:r>
      <w:r>
        <w:t>p</w:t>
      </w:r>
      <w:r w:rsidRPr="001377BB">
        <w:t>lacebo-</w:t>
      </w:r>
      <w:r>
        <w:t>c</w:t>
      </w:r>
      <w:r w:rsidRPr="001377BB">
        <w:t xml:space="preserve">ontrolled, </w:t>
      </w:r>
      <w:r>
        <w:t>randomised s</w:t>
      </w:r>
      <w:r w:rsidRPr="001377BB">
        <w:t xml:space="preserve">tudy to </w:t>
      </w:r>
      <w:r>
        <w:t>e</w:t>
      </w:r>
      <w:r w:rsidRPr="001377BB">
        <w:t xml:space="preserve">valuate the </w:t>
      </w:r>
      <w:r>
        <w:t>s</w:t>
      </w:r>
      <w:r w:rsidRPr="001377BB">
        <w:t xml:space="preserve">afety and </w:t>
      </w:r>
      <w:r>
        <w:t>e</w:t>
      </w:r>
      <w:r w:rsidRPr="001377BB">
        <w:t xml:space="preserve">fficacy of </w:t>
      </w:r>
      <w:proofErr w:type="spellStart"/>
      <w:r w:rsidRPr="001377BB">
        <w:t>Seladelpar</w:t>
      </w:r>
      <w:proofErr w:type="spellEnd"/>
      <w:r w:rsidRPr="001377BB">
        <w:t xml:space="preserve"> in </w:t>
      </w:r>
      <w:r>
        <w:t>s</w:t>
      </w:r>
      <w:r w:rsidRPr="001377BB">
        <w:t xml:space="preserve">ubjects with PBC and an </w:t>
      </w:r>
      <w:r>
        <w:t>i</w:t>
      </w:r>
      <w:r w:rsidRPr="001377BB">
        <w:t xml:space="preserve">nadequate </w:t>
      </w:r>
      <w:r>
        <w:t>response to or an i</w:t>
      </w:r>
      <w:r w:rsidRPr="001377BB">
        <w:t>ntolerance to UDCA.</w:t>
      </w:r>
      <w:r>
        <w:t xml:space="preserve"> The </w:t>
      </w:r>
      <w:r w:rsidRPr="00D36D8A">
        <w:t>study design</w:t>
      </w:r>
      <w:r>
        <w:t xml:space="preserve"> objectives were </w:t>
      </w:r>
      <w:proofErr w:type="gramStart"/>
      <w:r w:rsidRPr="00D36D8A">
        <w:t>similar to</w:t>
      </w:r>
      <w:proofErr w:type="gramEnd"/>
      <w:r w:rsidRPr="00D36D8A">
        <w:t xml:space="preserve"> the pivotal Phase III study </w:t>
      </w:r>
      <w:proofErr w:type="spellStart"/>
      <w:r w:rsidRPr="00D36D8A">
        <w:t>CB8025</w:t>
      </w:r>
      <w:proofErr w:type="spellEnd"/>
      <w:r w:rsidRPr="00D36D8A">
        <w:t>-32048</w:t>
      </w:r>
      <w:r>
        <w:t>.</w:t>
      </w:r>
    </w:p>
    <w:p w14:paraId="303AABD3" w14:textId="2315FE9D" w:rsidR="005D6122" w:rsidRDefault="005D6122" w:rsidP="00EF4580">
      <w:r w:rsidRPr="00875C75">
        <w:t xml:space="preserve">A total of 207 subjects had liver stiffness measured at baseline (performed by transient elastography which mapped 41 subjects (15.5%) to an Fl score, 30 subjects (11.3%) to an F2 score, 41 subjects (15.5%) to an F3 score, and 18 subjects (6.8%) to an F4 score. Mean liver stiffness for all subjects was 9.94 kPa but was lower in the placebo group (9.28 kPa) than in the </w:t>
      </w:r>
      <w:proofErr w:type="spellStart"/>
      <w:r w:rsidRPr="00875C75">
        <w:t>seladelpar</w:t>
      </w:r>
      <w:proofErr w:type="spellEnd"/>
      <w:r w:rsidRPr="00875C75">
        <w:t xml:space="preserve"> 10 mg group (11.23 kPa) and </w:t>
      </w:r>
      <w:proofErr w:type="spellStart"/>
      <w:r w:rsidRPr="00875C75">
        <w:t>seladelpar</w:t>
      </w:r>
      <w:proofErr w:type="spellEnd"/>
      <w:r w:rsidRPr="00875C75">
        <w:t xml:space="preserve"> 5 mg group (9.32 kPa). A liver biopsy was performed within a year from </w:t>
      </w:r>
      <w:r w:rsidR="00776BEB">
        <w:t>s</w:t>
      </w:r>
      <w:r w:rsidRPr="00875C75">
        <w:t xml:space="preserve">tudy </w:t>
      </w:r>
      <w:r w:rsidR="00776BEB">
        <w:t>d</w:t>
      </w:r>
      <w:r w:rsidRPr="00875C75">
        <w:t>ay 1 as part of the study in 36 subjects (13.6%)</w:t>
      </w:r>
      <w:r w:rsidR="00EF4580">
        <w:t>.</w:t>
      </w:r>
    </w:p>
    <w:p w14:paraId="555E45DA" w14:textId="1F4C1A3F" w:rsidR="005D6122" w:rsidRDefault="005D6122" w:rsidP="00EF4580">
      <w:r>
        <w:t>This</w:t>
      </w:r>
      <w:r w:rsidRPr="00BD3F70">
        <w:t xml:space="preserve"> study was terminated early due to unexpected and unexplained findings in a concurrent Phase 2 study of </w:t>
      </w:r>
      <w:proofErr w:type="spellStart"/>
      <w:r w:rsidRPr="00BD3F70">
        <w:t>seladelpar</w:t>
      </w:r>
      <w:proofErr w:type="spellEnd"/>
      <w:r w:rsidRPr="00BD3F70">
        <w:t xml:space="preserve"> </w:t>
      </w:r>
      <w:r w:rsidRPr="004962AA">
        <w:t xml:space="preserve">in patients with NASH (CB8025-21730) with findings of atypical and unexpected histological finding following a blinded reading of end-of-treatment (52-week) liver biopsy tissues. </w:t>
      </w:r>
      <w:r>
        <w:rPr>
          <w:sz w:val="23"/>
          <w:szCs w:val="23"/>
        </w:rPr>
        <w:t xml:space="preserve">The histopathologic findings were ultimately found to be present at baseline and an independent committee and the FDA concluded that there was no safety concern with </w:t>
      </w:r>
      <w:proofErr w:type="spellStart"/>
      <w:r>
        <w:rPr>
          <w:sz w:val="23"/>
          <w:szCs w:val="23"/>
        </w:rPr>
        <w:t>seladelpar</w:t>
      </w:r>
      <w:proofErr w:type="spellEnd"/>
      <w:r>
        <w:rPr>
          <w:sz w:val="23"/>
          <w:szCs w:val="23"/>
        </w:rPr>
        <w:t>. Following the conclusion of this assessment, the clinical development program was restarted, and the Phase 3 study was redesigned and instituted as CB8025-32048. The NASH program was not carried into Phase 3, though this decision was related to efficacy and unrelated to the histopathologic findings.</w:t>
      </w:r>
    </w:p>
    <w:p w14:paraId="59C5EC5C" w14:textId="46B2706C" w:rsidR="005D6122" w:rsidRDefault="005D6122" w:rsidP="00EF4580">
      <w:r w:rsidRPr="001D2EA8">
        <w:t xml:space="preserve">The response rate for the primary efficacy composite endpoint after 3 months of treatment was </w:t>
      </w:r>
      <w:r>
        <w:t xml:space="preserve">statistically significantly higher in both </w:t>
      </w:r>
      <w:proofErr w:type="spellStart"/>
      <w:r>
        <w:t>seladelpar</w:t>
      </w:r>
      <w:proofErr w:type="spellEnd"/>
      <w:r>
        <w:t xml:space="preserve"> groups compared with placebo [</w:t>
      </w:r>
      <w:r w:rsidRPr="001D2EA8">
        <w:t xml:space="preserve">12.5%, 57.1%, and 78.2% in the placebo, </w:t>
      </w:r>
      <w:proofErr w:type="spellStart"/>
      <w:r w:rsidRPr="001D2EA8">
        <w:t>seladelpar</w:t>
      </w:r>
      <w:proofErr w:type="spellEnd"/>
      <w:r>
        <w:t xml:space="preserve"> </w:t>
      </w:r>
      <w:r w:rsidRPr="001D2EA8">
        <w:t xml:space="preserve">5 mg, and </w:t>
      </w:r>
      <w:proofErr w:type="spellStart"/>
      <w:r w:rsidRPr="001D2EA8">
        <w:t>seladelpar</w:t>
      </w:r>
      <w:proofErr w:type="spellEnd"/>
      <w:r w:rsidRPr="001D2EA8">
        <w:t xml:space="preserve"> 10 mg groups, respectively</w:t>
      </w:r>
      <w:r>
        <w:t>, p&lt;0.0001]</w:t>
      </w:r>
      <w:r w:rsidRPr="001D2EA8">
        <w:t>.</w:t>
      </w:r>
    </w:p>
    <w:p w14:paraId="19056E97" w14:textId="03C742EE" w:rsidR="005D6122" w:rsidRDefault="005D6122" w:rsidP="00EF4580">
      <w:pPr>
        <w:pStyle w:val="Heading6"/>
      </w:pPr>
      <w:bookmarkStart w:id="63" w:name="_Ref197585433"/>
      <w:r w:rsidRPr="00300796">
        <w:lastRenderedPageBreak/>
        <w:t xml:space="preserve">Study </w:t>
      </w:r>
      <w:proofErr w:type="spellStart"/>
      <w:r w:rsidRPr="0085742A">
        <w:t>CB8025</w:t>
      </w:r>
      <w:proofErr w:type="spellEnd"/>
      <w:r w:rsidRPr="0085742A">
        <w:t>-21629</w:t>
      </w:r>
      <w:bookmarkEnd w:id="63"/>
    </w:p>
    <w:p w14:paraId="32FC76FE" w14:textId="0EA9D713" w:rsidR="007A233D" w:rsidRDefault="005D6122" w:rsidP="00EF4580">
      <w:pPr>
        <w:rPr>
          <w:rFonts w:eastAsia="TimesNewRoman" w:cs="TimesNewRoman"/>
        </w:rPr>
      </w:pPr>
      <w:r w:rsidRPr="00AF6DB2">
        <w:t xml:space="preserve">This was a Phase </w:t>
      </w:r>
      <w:r>
        <w:t>II</w:t>
      </w:r>
      <w:r w:rsidRPr="00AF6DB2">
        <w:t xml:space="preserve">, </w:t>
      </w:r>
      <w:r>
        <w:t xml:space="preserve">multicentre, </w:t>
      </w:r>
      <w:r w:rsidRPr="00AF6DB2">
        <w:t xml:space="preserve">open-label, </w:t>
      </w:r>
      <w:r>
        <w:t xml:space="preserve">randomised, parallel group, </w:t>
      </w:r>
      <w:r w:rsidRPr="00AF6DB2">
        <w:t xml:space="preserve">8-week dose-ranging (2, 5, and 10 mg once daily) study of </w:t>
      </w:r>
      <w:proofErr w:type="spellStart"/>
      <w:r w:rsidRPr="00AF6DB2">
        <w:t>seladelpar</w:t>
      </w:r>
      <w:proofErr w:type="spellEnd"/>
      <w:r w:rsidRPr="00AF6DB2">
        <w:t xml:space="preserve"> with a 44-week extension period in </w:t>
      </w:r>
      <w:r>
        <w:t xml:space="preserve">119 </w:t>
      </w:r>
      <w:r w:rsidRPr="00AF6DB2">
        <w:t xml:space="preserve">subjects with PBC </w:t>
      </w:r>
      <w:r w:rsidRPr="00AF6DB2">
        <w:rPr>
          <w:rFonts w:eastAsia="TimesNewRoman" w:cs="TimesNewRoman"/>
        </w:rPr>
        <w:t xml:space="preserve">and an inadequate response or intolerance </w:t>
      </w:r>
      <w:r w:rsidRPr="00855EA0">
        <w:rPr>
          <w:rFonts w:eastAsia="TimesNewRoman" w:cs="TimesNewRoman"/>
        </w:rPr>
        <w:t>to UDCA</w:t>
      </w:r>
      <w:r>
        <w:rPr>
          <w:rFonts w:eastAsia="TimesNewRoman" w:cs="TimesNewRoman"/>
        </w:rPr>
        <w:t>.</w:t>
      </w:r>
    </w:p>
    <w:p w14:paraId="7F363A59" w14:textId="568CCE8E" w:rsidR="003001DF" w:rsidRDefault="005D6122" w:rsidP="00EF4580">
      <w:r w:rsidRPr="00855EA0">
        <w:t xml:space="preserve">The primary objective </w:t>
      </w:r>
      <w:r w:rsidRPr="00AF6DB2">
        <w:t xml:space="preserve">of this study was to evaluate the safety and efficacy of </w:t>
      </w:r>
      <w:proofErr w:type="spellStart"/>
      <w:r w:rsidRPr="00AF6DB2">
        <w:t>seladelpar</w:t>
      </w:r>
      <w:proofErr w:type="spellEnd"/>
      <w:r w:rsidRPr="00AF6DB2">
        <w:t xml:space="preserve"> over</w:t>
      </w:r>
      <w:r w:rsidR="00EF4580">
        <w:t xml:space="preserve"> </w:t>
      </w:r>
      <w:r w:rsidRPr="00AF6DB2">
        <w:t>8 weeks of treatment.</w:t>
      </w:r>
      <w:r>
        <w:t xml:space="preserve"> The secondary objectives were to </w:t>
      </w:r>
      <w:r w:rsidRPr="00AF6DB2">
        <w:t xml:space="preserve">evaluate the safety and efficacy of </w:t>
      </w:r>
      <w:proofErr w:type="spellStart"/>
      <w:r w:rsidRPr="00AF6DB2">
        <w:t>seladelpar</w:t>
      </w:r>
      <w:proofErr w:type="spellEnd"/>
      <w:r w:rsidRPr="00AF6DB2">
        <w:t xml:space="preserve"> over 12, 26, and 52 weeks of treatment</w:t>
      </w:r>
      <w:r>
        <w:t xml:space="preserve"> and t</w:t>
      </w:r>
      <w:r w:rsidRPr="00AF6DB2">
        <w:t xml:space="preserve">o evaluate the </w:t>
      </w:r>
      <w:r>
        <w:t xml:space="preserve">PKs </w:t>
      </w:r>
      <w:r w:rsidRPr="00AF6DB2">
        <w:t xml:space="preserve">of </w:t>
      </w:r>
      <w:proofErr w:type="spellStart"/>
      <w:r w:rsidRPr="00AF6DB2">
        <w:t>seladelpar</w:t>
      </w:r>
      <w:proofErr w:type="spellEnd"/>
      <w:r>
        <w:t>.</w:t>
      </w:r>
    </w:p>
    <w:p w14:paraId="00705799" w14:textId="54FF3E6A" w:rsidR="005D6122" w:rsidRDefault="005D6122" w:rsidP="00EF4580">
      <w:r>
        <w:t>A</w:t>
      </w:r>
      <w:r w:rsidRPr="00AB7790">
        <w:t xml:space="preserve"> study sample size of 49 subjects per group would have a</w:t>
      </w:r>
      <w:r>
        <w:t xml:space="preserve"> </w:t>
      </w:r>
      <w:r w:rsidRPr="00AB7790">
        <w:t xml:space="preserve">90% power to detect a 10% mean difference between the 5 and 10 mg treatment groups </w:t>
      </w:r>
      <w:r>
        <w:t xml:space="preserve">based </w:t>
      </w:r>
      <w:r w:rsidRPr="00AB7790">
        <w:t>on the use of a 2-</w:t>
      </w:r>
      <w:r>
        <w:t xml:space="preserve"> </w:t>
      </w:r>
      <w:r w:rsidRPr="00AB7790">
        <w:t>sided, 2-sample</w:t>
      </w:r>
      <w:r w:rsidR="00EF4580">
        <w:t xml:space="preserve"> </w:t>
      </w:r>
      <w:r w:rsidRPr="00AB7790">
        <w:t>t-test at the α = 0.05 level of significance</w:t>
      </w:r>
      <w:r>
        <w:t>.</w:t>
      </w:r>
    </w:p>
    <w:p w14:paraId="71F9E142" w14:textId="63B1028E" w:rsidR="005D6122" w:rsidRPr="00E76C3F" w:rsidRDefault="005D6122" w:rsidP="00EF4580">
      <w:r>
        <w:t>The study had a total of 119 subjects. The primary efficacy endpoint of mean (95% CI) percent change in ALP from baseline to Week 8 was -26.1% (-32.2%, -19.9%), -33.4% (-38.6%, -28.1%), and -41.4% (-45.1%, -37.7%) in the 2, 5 and 10 mg dose groups, respectively. The change in the 10 mg dose group was significantly higher compared with the change in the 2 mg (p = 0.0021) and the 5 mg (p = 0.0024) dose groups</w:t>
      </w:r>
      <w:r w:rsidRPr="00485B25">
        <w:rPr>
          <w:b/>
        </w:rPr>
        <w:t>.</w:t>
      </w:r>
    </w:p>
    <w:p w14:paraId="3BC0072B" w14:textId="38663BE5" w:rsidR="005D6122" w:rsidRPr="001377BB" w:rsidRDefault="005D6122" w:rsidP="00EF4580">
      <w:pPr>
        <w:pStyle w:val="Heading6"/>
      </w:pPr>
      <w:r w:rsidRPr="007D496F">
        <w:t>Study CB8025-31731(ASSURE)</w:t>
      </w:r>
    </w:p>
    <w:p w14:paraId="377AEFCC" w14:textId="6421E6AC" w:rsidR="005D6122" w:rsidRPr="006E7C98" w:rsidRDefault="005D6122" w:rsidP="00EF4580">
      <w:pPr>
        <w:rPr>
          <w:rFonts w:cs="TimesNewRomanPSMT"/>
        </w:rPr>
      </w:pPr>
      <w:r w:rsidRPr="006E7C98">
        <w:t xml:space="preserve">This was a phase III, open-label, long-term study of </w:t>
      </w:r>
      <w:proofErr w:type="spellStart"/>
      <w:r w:rsidRPr="006E7C98">
        <w:t>seladelpar</w:t>
      </w:r>
      <w:proofErr w:type="spellEnd"/>
      <w:r w:rsidRPr="006E7C98">
        <w:t xml:space="preserve"> that enrolled subjects who completed study CB8025-21629 or CB8025-31735 (ENHANCE).  The primary endpoint for this study was safety. A total of 106 subjects </w:t>
      </w:r>
      <w:r w:rsidRPr="006E7C98">
        <w:rPr>
          <w:color w:val="050505"/>
        </w:rPr>
        <w:t xml:space="preserve">with PBC who were treated in previous studies with </w:t>
      </w:r>
      <w:proofErr w:type="spellStart"/>
      <w:r w:rsidRPr="006E7C98">
        <w:rPr>
          <w:color w:val="050505"/>
        </w:rPr>
        <w:t>seladelpar</w:t>
      </w:r>
      <w:proofErr w:type="spellEnd"/>
      <w:r w:rsidRPr="006E7C98">
        <w:rPr>
          <w:color w:val="050505"/>
        </w:rPr>
        <w:t xml:space="preserve"> for approximately 1 year </w:t>
      </w:r>
      <w:r w:rsidRPr="006E7C98">
        <w:t xml:space="preserve">were enrolled. </w:t>
      </w:r>
      <w:r w:rsidRPr="006E7C98">
        <w:rPr>
          <w:rFonts w:cs="TimesNewRomanPSMT"/>
        </w:rPr>
        <w:t xml:space="preserve">Overall, 46 subjects (16.4%) with cirrhosis at baseline were included in this study [13 subjects (12.4%) from CB8025-32048 and 33 (19.0%) of the legacy and CB8025-21838 studies]. Based on Rotterdam criteria, </w:t>
      </w:r>
      <w:proofErr w:type="gramStart"/>
      <w:r w:rsidRPr="006E7C98">
        <w:rPr>
          <w:rFonts w:cs="TimesNewRomanPSMT"/>
        </w:rPr>
        <w:t>the majority of</w:t>
      </w:r>
      <w:proofErr w:type="gramEnd"/>
      <w:r w:rsidRPr="006E7C98">
        <w:rPr>
          <w:rFonts w:cs="TimesNewRomanPSMT"/>
        </w:rPr>
        <w:t xml:space="preserve"> subjects (&gt; 83.6%) in the study were considered to have mild disease (normal total bilirubin and albumin), 11.8% had moderately advanced disease (either abnormal albumin or abnormal total bilirubin), and 0.7% had advanced disease (both abnormal albumin and abnormal total bilirubin).</w:t>
      </w:r>
    </w:p>
    <w:p w14:paraId="0D565306" w14:textId="54105349" w:rsidR="005D6122" w:rsidRPr="00EF4580" w:rsidRDefault="005D6122" w:rsidP="00EF4580">
      <w:r>
        <w:rPr>
          <w:b/>
          <w:i/>
        </w:rPr>
        <w:t xml:space="preserve">Efficacy </w:t>
      </w:r>
      <w:r w:rsidRPr="00AA4F86">
        <w:rPr>
          <w:b/>
          <w:i/>
        </w:rPr>
        <w:t xml:space="preserve">in </w:t>
      </w:r>
      <w:r>
        <w:rPr>
          <w:b/>
          <w:i/>
        </w:rPr>
        <w:t>monotherapy subpopulation</w:t>
      </w:r>
      <w:r w:rsidRPr="00AA4F86">
        <w:rPr>
          <w:b/>
          <w:i/>
        </w:rPr>
        <w:t xml:space="preserve">: </w:t>
      </w:r>
      <w:r>
        <w:t xml:space="preserve">Among subjects from CB8025-32048 who were part of the monotherapy subpopulation, 1 crossover subject had enrolled in CB8025-31731-RE at the time of the data cutoff, and this subject achieved the composite biochemical response at both Month 13 and 15. From the continuous </w:t>
      </w:r>
      <w:proofErr w:type="spellStart"/>
      <w:r>
        <w:t>seladelpar</w:t>
      </w:r>
      <w:proofErr w:type="spellEnd"/>
      <w:r>
        <w:t xml:space="preserve"> subjects, 6 had enrolled in CB8025-31731-RE. Of these subjects, 4/6 (66.7%) had achieved a composite response at Month 13, and 3/5 (60%) had achieved a composite response at Month 15. However, interpretation of results in the monotherapy subpopulation is limited by</w:t>
      </w:r>
      <w:r w:rsidR="00AA111D">
        <w:t xml:space="preserve"> the</w:t>
      </w:r>
      <w:r>
        <w:t xml:space="preserve"> small number of subjects.</w:t>
      </w:r>
    </w:p>
    <w:p w14:paraId="15D20A94" w14:textId="27962136" w:rsidR="005D6122" w:rsidRPr="007A3AFA" w:rsidRDefault="005D6122" w:rsidP="00EF4580">
      <w:r>
        <w:rPr>
          <w:b/>
          <w:i/>
        </w:rPr>
        <w:t xml:space="preserve">Efficacy </w:t>
      </w:r>
      <w:r w:rsidRPr="00AA4F86">
        <w:rPr>
          <w:b/>
          <w:i/>
        </w:rPr>
        <w:t xml:space="preserve">in </w:t>
      </w:r>
      <w:r>
        <w:rPr>
          <w:b/>
          <w:i/>
        </w:rPr>
        <w:t>cirrhosis subpopulation</w:t>
      </w:r>
      <w:r w:rsidRPr="00AA4F86">
        <w:rPr>
          <w:b/>
          <w:i/>
        </w:rPr>
        <w:t xml:space="preserve">: </w:t>
      </w:r>
      <w:r>
        <w:t xml:space="preserve">Of the subjects in the cirrhosis subpopulation, 2/9 (22.2%) crossover subjects (from study CB8025-32048) achieved a composite response at Month 12, compared to 7/18 (38.9%) continuous </w:t>
      </w:r>
      <w:proofErr w:type="spellStart"/>
      <w:r>
        <w:t>seladelpar</w:t>
      </w:r>
      <w:proofErr w:type="spellEnd"/>
      <w:r>
        <w:t xml:space="preserve"> subjects</w:t>
      </w:r>
      <w:r w:rsidRPr="008A3252">
        <w:rPr>
          <w:rFonts w:asciiTheme="minorHAnsi" w:hAnsiTheme="minorHAnsi"/>
        </w:rPr>
        <w:t>.</w:t>
      </w:r>
    </w:p>
    <w:p w14:paraId="620095EA" w14:textId="43A4E49D" w:rsidR="00EB6252" w:rsidRPr="00037DB3" w:rsidRDefault="00EB6252" w:rsidP="00EF4580">
      <w:pPr>
        <w:pStyle w:val="Heading4"/>
      </w:pPr>
      <w:bookmarkStart w:id="64" w:name="_Toc103679298"/>
      <w:bookmarkStart w:id="65" w:name="_Toc233197020"/>
      <w:r>
        <w:t xml:space="preserve">Safety </w:t>
      </w:r>
      <w:r w:rsidR="004C103D">
        <w:t>evaluation</w:t>
      </w:r>
      <w:r w:rsidR="00D1397A">
        <w:t xml:space="preserve"> summary</w:t>
      </w:r>
      <w:bookmarkEnd w:id="65"/>
    </w:p>
    <w:p w14:paraId="22AF48FC" w14:textId="66F4BB7A" w:rsidR="00501B1E" w:rsidRDefault="00501B1E" w:rsidP="00EF4580">
      <w:r>
        <w:t xml:space="preserve">The primary evidence of safety of </w:t>
      </w:r>
      <w:proofErr w:type="spellStart"/>
      <w:r>
        <w:t>seladelpar</w:t>
      </w:r>
      <w:proofErr w:type="spellEnd"/>
      <w:r>
        <w:t xml:space="preserve"> in the proposed indication was provided by pivotal Phase III study CB8025-32048 (RESPONSE) in 193 subjects with PBC who had inadequate response or intolerance to UDCA. </w:t>
      </w:r>
      <w:r w:rsidRPr="001317E5">
        <w:t xml:space="preserve">Supportive evidence for safety of </w:t>
      </w:r>
      <w:proofErr w:type="spellStart"/>
      <w:r w:rsidRPr="001317E5">
        <w:t>seladelpar</w:t>
      </w:r>
      <w:proofErr w:type="spellEnd"/>
      <w:r w:rsidRPr="001317E5">
        <w:t xml:space="preserve"> in proposed indication was provided by the </w:t>
      </w:r>
      <w:r>
        <w:t>phase I, II and III</w:t>
      </w:r>
      <w:r w:rsidRPr="001317E5">
        <w:t xml:space="preserve"> studies</w:t>
      </w:r>
      <w:r>
        <w:t xml:space="preserve"> (</w:t>
      </w:r>
      <w:proofErr w:type="spellStart"/>
      <w:r w:rsidRPr="001317E5">
        <w:t>CB8025</w:t>
      </w:r>
      <w:proofErr w:type="spellEnd"/>
      <w:r w:rsidRPr="001317E5">
        <w:t>-31735</w:t>
      </w:r>
      <w:r>
        <w:t xml:space="preserve">, </w:t>
      </w:r>
      <w:proofErr w:type="spellStart"/>
      <w:r w:rsidRPr="001317E5">
        <w:t>CB8025</w:t>
      </w:r>
      <w:proofErr w:type="spellEnd"/>
      <w:r w:rsidRPr="001317E5">
        <w:t>-21629</w:t>
      </w:r>
      <w:r>
        <w:t xml:space="preserve">, </w:t>
      </w:r>
      <w:proofErr w:type="spellStart"/>
      <w:r w:rsidRPr="001317E5">
        <w:t>CB8025</w:t>
      </w:r>
      <w:proofErr w:type="spellEnd"/>
      <w:r w:rsidRPr="001317E5">
        <w:t>-31731</w:t>
      </w:r>
      <w:r>
        <w:t>).</w:t>
      </w:r>
    </w:p>
    <w:p w14:paraId="5B047F1A" w14:textId="238ED3A6" w:rsidR="00501B1E" w:rsidRDefault="00501B1E" w:rsidP="00EF4580">
      <w:r>
        <w:t xml:space="preserve">Overall, 1159 subjects received at least 1 dose of </w:t>
      </w:r>
      <w:proofErr w:type="spellStart"/>
      <w:r>
        <w:t>seladelpar</w:t>
      </w:r>
      <w:proofErr w:type="spellEnd"/>
      <w:r>
        <w:t xml:space="preserve"> (293 subjects received placebo) across the clinical pharmacology studies, placebo-controlled double-blind studies in PBC, uncontrolled open-label studies in PBC, and studies of indications other than PBC. Mean (SD) </w:t>
      </w:r>
      <w:r>
        <w:lastRenderedPageBreak/>
        <w:t xml:space="preserve">duration of </w:t>
      </w:r>
      <w:proofErr w:type="spellStart"/>
      <w:r>
        <w:t>seladelpar</w:t>
      </w:r>
      <w:proofErr w:type="spellEnd"/>
      <w:r>
        <w:t xml:space="preserve"> treatment overall was 39.09 (49.72) weeks. Furthermore</w:t>
      </w:r>
      <w:r w:rsidR="00AD75B3">
        <w:t>,</w:t>
      </w:r>
      <w:r>
        <w:t xml:space="preserve"> </w:t>
      </w:r>
      <w:r w:rsidRPr="0085113B">
        <w:t xml:space="preserve">314 PBC patients were exposed to 10 mg </w:t>
      </w:r>
      <w:proofErr w:type="spellStart"/>
      <w:r w:rsidRPr="0085113B">
        <w:t>seladelpar</w:t>
      </w:r>
      <w:proofErr w:type="spellEnd"/>
      <w:r w:rsidRPr="0085113B">
        <w:t xml:space="preserve"> for ≥ 52 weeks.</w:t>
      </w:r>
    </w:p>
    <w:p w14:paraId="77E2C464" w14:textId="1485A0E9" w:rsidR="00501B1E" w:rsidRDefault="00501B1E" w:rsidP="00EF4580">
      <w:pPr>
        <w:pStyle w:val="Heading5"/>
      </w:pPr>
      <w:r>
        <w:t xml:space="preserve">Adverse events </w:t>
      </w:r>
      <w:r w:rsidR="00152F8E">
        <w:t>(AEs)</w:t>
      </w:r>
    </w:p>
    <w:p w14:paraId="64BB5468" w14:textId="49DFC33A" w:rsidR="00501B1E" w:rsidRDefault="00501B1E" w:rsidP="00EF4580">
      <w:r>
        <w:t xml:space="preserve">Overall, 166 of the 193 subjects (86.0%) </w:t>
      </w:r>
      <w:r w:rsidR="002D100D">
        <w:t>in the pivotal study</w:t>
      </w:r>
      <w:r>
        <w:t xml:space="preserve"> had at least </w:t>
      </w:r>
      <w:r w:rsidRPr="006A1257">
        <w:t xml:space="preserve">1 </w:t>
      </w:r>
      <w:r w:rsidR="00E76192">
        <w:t>T</w:t>
      </w:r>
      <w:r w:rsidR="00CF24B6" w:rsidRPr="006A1257">
        <w:t>reatment</w:t>
      </w:r>
      <w:r w:rsidR="006A1257" w:rsidRPr="006A1257">
        <w:t>-</w:t>
      </w:r>
      <w:r w:rsidR="00E76192">
        <w:t>E</w:t>
      </w:r>
      <w:r w:rsidR="006A1257" w:rsidRPr="006A1257">
        <w:t xml:space="preserve">mergent </w:t>
      </w:r>
      <w:r w:rsidR="00E76192">
        <w:t>A</w:t>
      </w:r>
      <w:r w:rsidR="006A1257" w:rsidRPr="006A1257">
        <w:t xml:space="preserve">dverse </w:t>
      </w:r>
      <w:r w:rsidR="00E76192">
        <w:t>E</w:t>
      </w:r>
      <w:r w:rsidR="006A1257" w:rsidRPr="006A1257">
        <w:t>vent (</w:t>
      </w:r>
      <w:r w:rsidRPr="006A1257">
        <w:t>TEAE</w:t>
      </w:r>
      <w:r w:rsidR="006A1257" w:rsidRPr="006A1257">
        <w:t>)</w:t>
      </w:r>
      <w:r w:rsidRPr="006A1257">
        <w:t xml:space="preserve"> during</w:t>
      </w:r>
      <w:r>
        <w:t xml:space="preserve"> the study with similar incidence in the </w:t>
      </w:r>
      <w:proofErr w:type="spellStart"/>
      <w:r>
        <w:t>seladelpar</w:t>
      </w:r>
      <w:proofErr w:type="spellEnd"/>
      <w:r>
        <w:t xml:space="preserve"> and placebo groups (86.7% vs 84.6%).  The most common </w:t>
      </w:r>
      <w:r w:rsidR="00A862E9">
        <w:t>S</w:t>
      </w:r>
      <w:r w:rsidR="007E52F2">
        <w:t xml:space="preserve">ystem </w:t>
      </w:r>
      <w:r w:rsidR="00A862E9">
        <w:t>O</w:t>
      </w:r>
      <w:r w:rsidR="007E52F2">
        <w:t xml:space="preserve">rgan </w:t>
      </w:r>
      <w:r w:rsidR="00A862E9">
        <w:t>C</w:t>
      </w:r>
      <w:r w:rsidR="007E52F2">
        <w:t>lass</w:t>
      </w:r>
      <w:r w:rsidR="00D01DB2">
        <w:t>es</w:t>
      </w:r>
      <w:r w:rsidR="007E52F2">
        <w:t xml:space="preserve"> (</w:t>
      </w:r>
      <w:r>
        <w:t>SOC</w:t>
      </w:r>
      <w:r w:rsidR="00D01DB2">
        <w:t>s)</w:t>
      </w:r>
      <w:r>
        <w:t xml:space="preserve"> for TEAEs in this study were infections and infestations (48.2%), gastrointestinal disorders (33.7%), musculoskeletal and connective tissue disorders (25.4%), general disorders and administration site conditions (18.7%), skin and subcutaneous tissue disorders (18.1%), and nervous system disorders (16.1%). Within most SOCs, the incidence of TEAEs was similar between the </w:t>
      </w:r>
      <w:proofErr w:type="spellStart"/>
      <w:r>
        <w:t>seladelpar</w:t>
      </w:r>
      <w:proofErr w:type="spellEnd"/>
      <w:r>
        <w:t xml:space="preserve"> 10 mg and placebo groups with the following exceptions: injury, poisoning, and procedural complications (13.3% vs 6.2%), and blood and lymphatic system disorders (11.7% vs 4.6%).</w:t>
      </w:r>
    </w:p>
    <w:p w14:paraId="313F7D0E" w14:textId="1612A4E4" w:rsidR="001D33BE" w:rsidRDefault="00501B1E" w:rsidP="00EF4580">
      <w:pPr>
        <w:rPr>
          <w:rFonts w:cs="TimesNewRomanPSMT"/>
        </w:rPr>
      </w:pPr>
      <w:r w:rsidRPr="00EF1736">
        <w:t xml:space="preserve">The incidence of treatment-related TEAEs as assessed by the Investigator was slightly higher in the </w:t>
      </w:r>
      <w:proofErr w:type="spellStart"/>
      <w:r w:rsidRPr="00EF1736">
        <w:t>seladelpar</w:t>
      </w:r>
      <w:proofErr w:type="spellEnd"/>
      <w:r w:rsidRPr="00EF1736">
        <w:t xml:space="preserve"> compared to the placebo group (17.2% vs 12.3%). </w:t>
      </w:r>
      <w:r w:rsidRPr="00EF1736">
        <w:rPr>
          <w:rFonts w:cs="TimesNewRomanPSMT"/>
        </w:rPr>
        <w:t xml:space="preserve">The most common (≥ 2 subjects) treatment-related </w:t>
      </w:r>
      <w:proofErr w:type="spellStart"/>
      <w:r w:rsidRPr="00EF1736">
        <w:rPr>
          <w:rFonts w:cs="TimesNewRomanPSMT"/>
        </w:rPr>
        <w:t>TEAEs</w:t>
      </w:r>
      <w:proofErr w:type="spellEnd"/>
      <w:r w:rsidRPr="00EF1736">
        <w:rPr>
          <w:rFonts w:cs="TimesNewRomanPSMT"/>
        </w:rPr>
        <w:t xml:space="preserve"> in the </w:t>
      </w:r>
      <w:proofErr w:type="spellStart"/>
      <w:r w:rsidRPr="00EF1736">
        <w:rPr>
          <w:rFonts w:cs="TimesNewRomanPSMT"/>
        </w:rPr>
        <w:t>seladelpar</w:t>
      </w:r>
      <w:proofErr w:type="spellEnd"/>
      <w:r w:rsidRPr="00EF1736">
        <w:rPr>
          <w:rFonts w:cs="TimesNewRomanPSMT"/>
        </w:rPr>
        <w:t xml:space="preserve"> 10 mg group</w:t>
      </w:r>
      <w:r>
        <w:rPr>
          <w:rFonts w:cs="TimesNewRomanPSMT"/>
        </w:rPr>
        <w:t xml:space="preserve"> </w:t>
      </w:r>
      <w:r w:rsidRPr="00EF1736">
        <w:rPr>
          <w:rFonts w:cs="TimesNewRomanPSMT"/>
        </w:rPr>
        <w:t>were headache (3.1%), diarrhoea (2.3%), and abdominal distension, dizziness, nausea, and</w:t>
      </w:r>
      <w:r>
        <w:rPr>
          <w:rFonts w:cs="TimesNewRomanPSMT"/>
        </w:rPr>
        <w:t xml:space="preserve"> </w:t>
      </w:r>
      <w:r w:rsidRPr="00EF1736">
        <w:rPr>
          <w:rFonts w:cs="TimesNewRomanPSMT"/>
        </w:rPr>
        <w:t>vomiting (1.6% each).</w:t>
      </w:r>
    </w:p>
    <w:p w14:paraId="425B8F43" w14:textId="36D5558B" w:rsidR="00501B1E" w:rsidRDefault="00501B1E" w:rsidP="00EF4580">
      <w:r w:rsidRPr="00EF1736">
        <w:t>Treatment-related TEAEs that occurred at a ≥ 2% higher incidence in the</w:t>
      </w:r>
      <w:r>
        <w:t xml:space="preserve"> </w:t>
      </w:r>
      <w:proofErr w:type="spellStart"/>
      <w:r w:rsidRPr="00EF1736">
        <w:t>seladelpar</w:t>
      </w:r>
      <w:proofErr w:type="spellEnd"/>
      <w:r w:rsidRPr="00EF1736">
        <w:t xml:space="preserve"> group compared with the placebo group were headache (3.1% vs 0%) and diarrhoea</w:t>
      </w:r>
      <w:r>
        <w:t xml:space="preserve"> </w:t>
      </w:r>
      <w:r w:rsidRPr="00EF1736">
        <w:t>(2.3% vs 0%)</w:t>
      </w:r>
      <w:r>
        <w:t>.</w:t>
      </w:r>
      <w:r>
        <w:rPr>
          <w:b/>
        </w:rPr>
        <w:t xml:space="preserve"> </w:t>
      </w:r>
      <w:r>
        <w:t>None of the treatment-related TEAEs were reported as Grade ≥ 3 or serious.</w:t>
      </w:r>
    </w:p>
    <w:p w14:paraId="3CB87114" w14:textId="41C883FD" w:rsidR="00501B1E" w:rsidRDefault="00501B1E" w:rsidP="00EF4580">
      <w:pPr>
        <w:pStyle w:val="Heading5"/>
      </w:pPr>
      <w:r>
        <w:t xml:space="preserve">Deaths and other serious adverse events </w:t>
      </w:r>
      <w:r w:rsidR="00A908E7">
        <w:t>(SAEs)</w:t>
      </w:r>
    </w:p>
    <w:p w14:paraId="4D6BB7A4" w14:textId="505F6E84" w:rsidR="003B771C" w:rsidRDefault="00501B1E" w:rsidP="00EF4580">
      <w:r w:rsidRPr="00C2059A">
        <w:t>There were no deaths in the pivotal study.</w:t>
      </w:r>
    </w:p>
    <w:p w14:paraId="673F8D54" w14:textId="43E73400" w:rsidR="002704B5" w:rsidRPr="00EF4580" w:rsidRDefault="00501B1E" w:rsidP="00EF4580">
      <w:r w:rsidRPr="00C2059A">
        <w:t>The incidence of treatment-emergent</w:t>
      </w:r>
      <w:r w:rsidR="00A908E7">
        <w:t xml:space="preserve"> </w:t>
      </w:r>
      <w:r w:rsidRPr="00C2059A">
        <w:t xml:space="preserve">SAEs was similar in the </w:t>
      </w:r>
      <w:proofErr w:type="spellStart"/>
      <w:r w:rsidRPr="00C2059A">
        <w:t>seladelpar</w:t>
      </w:r>
      <w:proofErr w:type="spellEnd"/>
      <w:r w:rsidRPr="00C2059A">
        <w:t xml:space="preserve"> and placebo groups</w:t>
      </w:r>
      <w:r w:rsidR="002704B5">
        <w:br/>
      </w:r>
      <w:r w:rsidRPr="00C2059A">
        <w:t xml:space="preserve">[9 (7.0%) subjects vs 4 (6.2%) subjects] and none of these SAEs were considered treatment-related. All treatment-emergent SAEs were reported for one subject each, </w:t>
      </w:r>
      <w:proofErr w:type="gramStart"/>
      <w:r w:rsidRPr="00C2059A">
        <w:t>with the exception of</w:t>
      </w:r>
      <w:proofErr w:type="gramEnd"/>
      <w:r w:rsidRPr="00C2059A">
        <w:t xml:space="preserve"> COVID-19, which occurred in one subject in eac</w:t>
      </w:r>
      <w:r w:rsidRPr="00EF4580">
        <w:t>h group</w:t>
      </w:r>
      <w:r w:rsidR="00EF4580" w:rsidRPr="00EF4580">
        <w:t>.</w:t>
      </w:r>
    </w:p>
    <w:p w14:paraId="0E8C72D6" w14:textId="194CFE8B" w:rsidR="00BA394A" w:rsidRDefault="00501B1E" w:rsidP="00EF4580">
      <w:r w:rsidRPr="00C2059A">
        <w:t xml:space="preserve">None of the treatment-emergent SAEs </w:t>
      </w:r>
      <w:proofErr w:type="gramStart"/>
      <w:r w:rsidRPr="00C2059A">
        <w:t>were considered to be</w:t>
      </w:r>
      <w:proofErr w:type="gramEnd"/>
      <w:r w:rsidRPr="00C2059A">
        <w:t xml:space="preserve"> treatment-related. Three subjects had a treatment-emergent SAE that led to discontinuation of study drug: Grade 3 papillary thyroid cancer and Grade 3 coagulopathy in the </w:t>
      </w:r>
      <w:proofErr w:type="spellStart"/>
      <w:r w:rsidRPr="00C2059A">
        <w:t>seladelpar</w:t>
      </w:r>
      <w:proofErr w:type="spellEnd"/>
      <w:r w:rsidRPr="00C2059A">
        <w:t xml:space="preserve"> group, and Grade 4 suicide attempt in the placebo group.</w:t>
      </w:r>
    </w:p>
    <w:p w14:paraId="714C2B38" w14:textId="029AFA99" w:rsidR="00501B1E" w:rsidRPr="00C2059A" w:rsidRDefault="00501B1E" w:rsidP="00EF4580">
      <w:r w:rsidRPr="00C2059A">
        <w:t xml:space="preserve">A total of 7 (3.6%) subjects discontinued treatment due to TEAEs, including 4 subjects in the </w:t>
      </w:r>
      <w:proofErr w:type="spellStart"/>
      <w:r w:rsidRPr="00C2059A">
        <w:t>seladelpar</w:t>
      </w:r>
      <w:proofErr w:type="spellEnd"/>
      <w:r w:rsidRPr="00C2059A">
        <w:t xml:space="preserve"> group (3.1%) and 3 subjects in the placebo group (4.6%). </w:t>
      </w:r>
      <w:r w:rsidRPr="00C2059A">
        <w:rPr>
          <w:rFonts w:cs="TimesNewRomanPSMT"/>
        </w:rPr>
        <w:t>All TEAEs leading to treatment discontinuation occurred in 1 subject each</w:t>
      </w:r>
      <w:r w:rsidRPr="00C2059A">
        <w:rPr>
          <w:rFonts w:cs="TimesNewRomanPSMT"/>
          <w:b/>
        </w:rPr>
        <w:t xml:space="preserve">. </w:t>
      </w:r>
      <w:r w:rsidRPr="00C2059A">
        <w:t xml:space="preserve">Treatment-related TEAEs leading to discontinuation of study drug occurred in 2 subjects in the </w:t>
      </w:r>
      <w:proofErr w:type="spellStart"/>
      <w:r w:rsidRPr="00C2059A">
        <w:t>seladelpar</w:t>
      </w:r>
      <w:proofErr w:type="spellEnd"/>
      <w:r w:rsidRPr="00C2059A">
        <w:t xml:space="preserve"> group (disease progression in 1 subject and liver function test increased in 1 subject) </w:t>
      </w:r>
      <w:r w:rsidRPr="00C2059A">
        <w:rPr>
          <w:rFonts w:cs="TimesNewRomanPSMT"/>
        </w:rPr>
        <w:t>and none in the placebo group.</w:t>
      </w:r>
    </w:p>
    <w:p w14:paraId="6412D7E3" w14:textId="0D9DB589" w:rsidR="00F805D7" w:rsidRDefault="00501B1E" w:rsidP="00EF4580">
      <w:pPr>
        <w:rPr>
          <w:lang w:eastAsia="ja-JP"/>
        </w:rPr>
      </w:pPr>
      <w:r>
        <w:t xml:space="preserve">From the pooled safety analyses, the exposure-adjusted subject incidence for muscle-related, renal related, pancreatic-related, and cardiovascular related TEAEs were similar between placebo, </w:t>
      </w:r>
      <w:proofErr w:type="spellStart"/>
      <w:r>
        <w:t>seladelpar</w:t>
      </w:r>
      <w:proofErr w:type="spellEnd"/>
      <w:r>
        <w:t xml:space="preserve"> 10 mg, and </w:t>
      </w:r>
      <w:proofErr w:type="spellStart"/>
      <w:r>
        <w:t>seladelpar</w:t>
      </w:r>
      <w:proofErr w:type="spellEnd"/>
      <w:r>
        <w:t xml:space="preserve"> ≤ 10 mg. However, the exposure-adjusted subject incidence of treatment-related TEAEs, pruritus-related TEAEs, and liver-related TEAEs </w:t>
      </w:r>
      <w:r w:rsidR="004C2DB2">
        <w:t xml:space="preserve">was </w:t>
      </w:r>
      <w:r>
        <w:t xml:space="preserve">lower in subjects treated with </w:t>
      </w:r>
      <w:proofErr w:type="spellStart"/>
      <w:r>
        <w:t>seladelpar</w:t>
      </w:r>
      <w:proofErr w:type="spellEnd"/>
      <w:r>
        <w:t xml:space="preserve"> 10 mg and subjects treated with </w:t>
      </w:r>
      <w:proofErr w:type="spellStart"/>
      <w:r>
        <w:t>seladelpar</w:t>
      </w:r>
      <w:proofErr w:type="spellEnd"/>
      <w:r>
        <w:t xml:space="preserve"> ≤ 10 mg compared to the placebo </w:t>
      </w:r>
      <w:r w:rsidRPr="00D20F16">
        <w:t>group.</w:t>
      </w:r>
    </w:p>
    <w:p w14:paraId="567F9659" w14:textId="290FF410" w:rsidR="00501B1E" w:rsidRDefault="00501B1E" w:rsidP="00EF4580">
      <w:r w:rsidRPr="00D20F16">
        <w:t>The exposure-adjusted subject incidence of TEAE with fatal outcome was 0.15 vs 0 per 100 subject-years but interpretation is limited as there was only one TEAE with a fatal outcome (in study CB8025-31731). A late-breaking treatment-emergent SAE</w:t>
      </w:r>
      <w:r>
        <w:t xml:space="preserve"> leading to death was reported </w:t>
      </w:r>
      <w:r>
        <w:lastRenderedPageBreak/>
        <w:t>after the data cutoff date of 29 Jun 2023 (the fatal event of autoimmune haemolytic anaemia was considered unlikely related to study drug).</w:t>
      </w:r>
    </w:p>
    <w:p w14:paraId="5F424164" w14:textId="77777777" w:rsidR="00501B1E" w:rsidRDefault="00501B1E" w:rsidP="00EF4580">
      <w:pPr>
        <w:pStyle w:val="Heading5"/>
      </w:pPr>
      <w:r>
        <w:t>Evaluation of issues with possible regulatory impact</w:t>
      </w:r>
    </w:p>
    <w:p w14:paraId="4EDB51E8" w14:textId="325E23B2" w:rsidR="00501B1E" w:rsidRPr="004F1F48" w:rsidRDefault="00501B1E" w:rsidP="00EF4580">
      <w:pPr>
        <w:pStyle w:val="Heading6"/>
        <w:rPr>
          <w:lang w:eastAsia="ja-JP"/>
        </w:rPr>
      </w:pPr>
      <w:r w:rsidRPr="004F1F48">
        <w:rPr>
          <w:lang w:eastAsia="ja-JP"/>
        </w:rPr>
        <w:t>Liver function and liver toxicity</w:t>
      </w:r>
    </w:p>
    <w:p w14:paraId="4EE210F7" w14:textId="77777777" w:rsidR="00501B1E" w:rsidRDefault="00501B1E" w:rsidP="00EF4580">
      <w:r>
        <w:t>O</w:t>
      </w:r>
      <w:r w:rsidRPr="005E6ACD">
        <w:t xml:space="preserve">verall, 8 (6.3%) subjects in the </w:t>
      </w:r>
      <w:proofErr w:type="spellStart"/>
      <w:r w:rsidRPr="005E6ACD">
        <w:t>seladelpar</w:t>
      </w:r>
      <w:proofErr w:type="spellEnd"/>
      <w:r w:rsidRPr="005E6ACD">
        <w:t xml:space="preserve"> 10 mg group and 6 (9.2%) in the placebo group experienced a liver-related TEAE</w:t>
      </w:r>
      <w:r>
        <w:t xml:space="preserve">. </w:t>
      </w:r>
      <w:r w:rsidRPr="005E6ACD">
        <w:t>Most liver-related TEAEs were Grade 1 or 2, with exception of a Grade 3</w:t>
      </w:r>
      <w:r>
        <w:t xml:space="preserve"> </w:t>
      </w:r>
      <w:r w:rsidRPr="005E6ACD">
        <w:t>treatment-emergent SAE oesophageal varices haemorrhage that occurred in 1 subject of the</w:t>
      </w:r>
      <w:r>
        <w:t xml:space="preserve"> </w:t>
      </w:r>
      <w:proofErr w:type="spellStart"/>
      <w:r w:rsidRPr="005E6ACD">
        <w:t>seladelpar</w:t>
      </w:r>
      <w:proofErr w:type="spellEnd"/>
      <w:r w:rsidRPr="005E6ACD">
        <w:t xml:space="preserve"> group in the setting of known cirrhosis at baseline.</w:t>
      </w:r>
    </w:p>
    <w:p w14:paraId="51B1ABD8" w14:textId="4626A802" w:rsidR="00501B1E" w:rsidRPr="00B67433" w:rsidRDefault="00501B1E" w:rsidP="00EF4580">
      <w:pPr>
        <w:rPr>
          <w:b/>
        </w:rPr>
      </w:pPr>
      <w:r>
        <w:t xml:space="preserve">Treatment-related hepatic </w:t>
      </w:r>
      <w:r w:rsidRPr="005E6ACD">
        <w:t>TEAEs were reported in 2 subjects</w:t>
      </w:r>
      <w:r>
        <w:t xml:space="preserve"> </w:t>
      </w:r>
      <w:r w:rsidRPr="005E6ACD">
        <w:t xml:space="preserve">in the </w:t>
      </w:r>
      <w:proofErr w:type="spellStart"/>
      <w:r w:rsidRPr="005E6ACD">
        <w:t>seladelpar</w:t>
      </w:r>
      <w:proofErr w:type="spellEnd"/>
      <w:r w:rsidRPr="005E6ACD">
        <w:t xml:space="preserve"> group (blood bilirubin increased and liver function test increased) and 1 subject</w:t>
      </w:r>
      <w:r>
        <w:t xml:space="preserve"> </w:t>
      </w:r>
      <w:r w:rsidRPr="005E6ACD">
        <w:t>in the placebo group (liver function test increased). Liver-related TEAEs leading to</w:t>
      </w:r>
      <w:r>
        <w:t xml:space="preserve"> </w:t>
      </w:r>
      <w:r w:rsidRPr="005E6ACD">
        <w:t xml:space="preserve">discontinuation of </w:t>
      </w:r>
      <w:r w:rsidR="00ED2418">
        <w:t xml:space="preserve">the </w:t>
      </w:r>
      <w:r w:rsidRPr="005E6ACD">
        <w:t>study drug were</w:t>
      </w:r>
      <w:r>
        <w:t xml:space="preserve"> only for 1 subject each in the </w:t>
      </w:r>
      <w:proofErr w:type="spellStart"/>
      <w:r>
        <w:t>se</w:t>
      </w:r>
      <w:r w:rsidRPr="005E6ACD">
        <w:t>ladelpar</w:t>
      </w:r>
      <w:proofErr w:type="spellEnd"/>
      <w:r w:rsidRPr="005E6ACD">
        <w:t xml:space="preserve"> (liver function test increased) and placebo group (</w:t>
      </w:r>
      <w:proofErr w:type="spellStart"/>
      <w:r w:rsidRPr="005E6ACD">
        <w:t>hyperbilirubinaemia</w:t>
      </w:r>
      <w:proofErr w:type="spellEnd"/>
      <w:r w:rsidRPr="005E6ACD">
        <w:t>).</w:t>
      </w:r>
      <w:r>
        <w:t xml:space="preserve"> </w:t>
      </w:r>
      <w:r w:rsidRPr="00D23ACD">
        <w:rPr>
          <w:color w:val="000000"/>
        </w:rPr>
        <w:t xml:space="preserve">Three subjects were identified as meeting potential Hy’s Law criteria: 2 in the placebo group and 1 in the </w:t>
      </w:r>
      <w:proofErr w:type="spellStart"/>
      <w:r w:rsidRPr="00D23ACD">
        <w:rPr>
          <w:color w:val="000000"/>
        </w:rPr>
        <w:t>seladelpar</w:t>
      </w:r>
      <w:proofErr w:type="spellEnd"/>
      <w:r w:rsidRPr="00D23ACD">
        <w:rPr>
          <w:color w:val="000000"/>
        </w:rPr>
        <w:t xml:space="preserve"> group. However, none of these cases were consistent with </w:t>
      </w:r>
      <w:r w:rsidR="00A16F32">
        <w:rPr>
          <w:color w:val="000000"/>
        </w:rPr>
        <w:t>Drug Induced Liver Injury (</w:t>
      </w:r>
      <w:r w:rsidRPr="00D23ACD">
        <w:rPr>
          <w:color w:val="000000"/>
        </w:rPr>
        <w:t>DILI</w:t>
      </w:r>
      <w:r w:rsidR="00A16F32">
        <w:rPr>
          <w:color w:val="000000"/>
        </w:rPr>
        <w:t>)</w:t>
      </w:r>
      <w:r w:rsidRPr="00D23ACD">
        <w:rPr>
          <w:color w:val="000000"/>
        </w:rPr>
        <w:t xml:space="preserve"> related to study drug.</w:t>
      </w:r>
    </w:p>
    <w:p w14:paraId="19151B06" w14:textId="70CC0BD0" w:rsidR="00501B1E" w:rsidRDefault="00501B1E" w:rsidP="00EF4580">
      <w:r>
        <w:t xml:space="preserve">In study CB8025-32048, 27 (14%) subjects (14.1% and 13.8% of subjects in the </w:t>
      </w:r>
      <w:proofErr w:type="spellStart"/>
      <w:r>
        <w:t>seladelpar</w:t>
      </w:r>
      <w:proofErr w:type="spellEnd"/>
      <w:r>
        <w:t xml:space="preserve"> and placebo groups, respectively) had cirrhosis at baseline and the safety profile of </w:t>
      </w:r>
      <w:proofErr w:type="spellStart"/>
      <w:r>
        <w:t>seladelpar</w:t>
      </w:r>
      <w:proofErr w:type="spellEnd"/>
      <w:r>
        <w:t xml:space="preserve"> in these subjects was </w:t>
      </w:r>
      <w:proofErr w:type="gramStart"/>
      <w:r>
        <w:t>similar to</w:t>
      </w:r>
      <w:proofErr w:type="gramEnd"/>
      <w:r>
        <w:t xml:space="preserve"> that observed in those without cirrhosis and generally </w:t>
      </w:r>
      <w:proofErr w:type="gramStart"/>
      <w:r>
        <w:t>similar to</w:t>
      </w:r>
      <w:proofErr w:type="gramEnd"/>
      <w:r>
        <w:t xml:space="preserve"> placebo. It is important to note that subjects with decompensated cirrhosis (CP-B or CP-C) were not evaluated in </w:t>
      </w:r>
      <w:r w:rsidR="00785259">
        <w:t>the pivotal study.</w:t>
      </w:r>
    </w:p>
    <w:p w14:paraId="59BA7AC9" w14:textId="77777777" w:rsidR="00501B1E" w:rsidRPr="00545B14" w:rsidRDefault="00501B1E" w:rsidP="00EF4580">
      <w:pPr>
        <w:pStyle w:val="Heading6"/>
      </w:pPr>
      <w:r>
        <w:t xml:space="preserve">Renal </w:t>
      </w:r>
      <w:r w:rsidRPr="00545B14">
        <w:t>function</w:t>
      </w:r>
      <w:r>
        <w:t xml:space="preserve"> and renal toxicity</w:t>
      </w:r>
    </w:p>
    <w:p w14:paraId="284181C9" w14:textId="40FD6B55" w:rsidR="000B5EE1" w:rsidRDefault="00501B1E" w:rsidP="00501B1E">
      <w:r>
        <w:t>No renal-related TEAEs (defined using broad Acute renal failure SMQ) were reported for the pivotal study.</w:t>
      </w:r>
    </w:p>
    <w:p w14:paraId="62056768" w14:textId="39B678B5" w:rsidR="00501B1E" w:rsidRPr="006C591A" w:rsidRDefault="00501B1E" w:rsidP="00EF4580">
      <w:r>
        <w:t>More</w:t>
      </w:r>
      <w:r w:rsidRPr="006C591A">
        <w:t xml:space="preserve"> subjects in the </w:t>
      </w:r>
      <w:proofErr w:type="spellStart"/>
      <w:r w:rsidRPr="006C591A">
        <w:t>seladelpar</w:t>
      </w:r>
      <w:proofErr w:type="spellEnd"/>
      <w:r w:rsidRPr="006C591A">
        <w:t xml:space="preserve"> group had eGFR decreases of ≥ 25% from base</w:t>
      </w:r>
      <w:r>
        <w:t>line than in the placebo group [n=12 (</w:t>
      </w:r>
      <w:r w:rsidRPr="006C591A">
        <w:t>9.4%</w:t>
      </w:r>
      <w:r>
        <w:t>)</w:t>
      </w:r>
      <w:r w:rsidRPr="006C591A">
        <w:t xml:space="preserve"> vs </w:t>
      </w:r>
      <w:r>
        <w:t>n=1 (</w:t>
      </w:r>
      <w:r w:rsidRPr="006C591A">
        <w:t>1.5%)</w:t>
      </w:r>
      <w:r>
        <w:t>].</w:t>
      </w:r>
      <w:r w:rsidRPr="00944965">
        <w:t xml:space="preserve"> </w:t>
      </w:r>
      <w:r w:rsidRPr="006C591A">
        <w:t>There were no shifts of ≥ 3 severity grades in</w:t>
      </w:r>
      <w:r>
        <w:t xml:space="preserve"> </w:t>
      </w:r>
      <w:r w:rsidRPr="006C591A">
        <w:t>creatinine and no shifts of ≥ 2 severity grades in eGFR levels. Time to onset was variable and the majority of these eGFR decreases resolved within a few months with ongoing treatment.</w:t>
      </w:r>
    </w:p>
    <w:p w14:paraId="793057F3" w14:textId="2F0B5C13" w:rsidR="00501B1E" w:rsidRPr="00501B1E" w:rsidRDefault="00501B1E" w:rsidP="00EF4580">
      <w:pPr>
        <w:pStyle w:val="Heading6"/>
      </w:pPr>
      <w:r>
        <w:t>Other clinical chemistry, vital signs and clinical examination and immunogenicity events</w:t>
      </w:r>
    </w:p>
    <w:p w14:paraId="6CAC8AFD" w14:textId="21B25865" w:rsidR="00DF7203" w:rsidRDefault="00501B1E" w:rsidP="00EF4580">
      <w:r w:rsidRPr="00501B1E">
        <w:t xml:space="preserve">There </w:t>
      </w:r>
      <w:proofErr w:type="gramStart"/>
      <w:r w:rsidRPr="00501B1E">
        <w:t>were</w:t>
      </w:r>
      <w:proofErr w:type="gramEnd"/>
      <w:r w:rsidRPr="00501B1E">
        <w:t xml:space="preserve"> no safety concerns identified related to muscle or pancreatic toxicity.</w:t>
      </w:r>
    </w:p>
    <w:p w14:paraId="4EAAEF27" w14:textId="3B70AD13" w:rsidR="00501B1E" w:rsidRPr="00501B1E" w:rsidRDefault="00501B1E" w:rsidP="00EF4580">
      <w:r w:rsidRPr="00501B1E">
        <w:t xml:space="preserve">Shifts from baseline of ≥ 2 severity grades in CK were experienced by 1 (0.8%) subject in the </w:t>
      </w:r>
      <w:proofErr w:type="spellStart"/>
      <w:r w:rsidRPr="00501B1E">
        <w:t>seladelpar</w:t>
      </w:r>
      <w:proofErr w:type="spellEnd"/>
      <w:r w:rsidRPr="00501B1E">
        <w:t xml:space="preserve"> 10 mg group (a 2-grade shift) and 1 (1.5%) subject in the placebo group (a 4-grade shift); these shifts were transient, and levels returned to normal. Mean absolute values and percentage changes in haematology parameters from baseline were generally similar between treatment groups. Shifts of ≥ 2 grades from baseline in haematology parameters were observed in a similar proportion of subjects between treatment groups. The incidence of shifts of ≥ 2 grades from baseline in select haematology parameters were similar in the </w:t>
      </w:r>
      <w:proofErr w:type="spellStart"/>
      <w:r w:rsidRPr="00501B1E">
        <w:t>seladelpar</w:t>
      </w:r>
      <w:proofErr w:type="spellEnd"/>
      <w:r w:rsidRPr="00501B1E">
        <w:t xml:space="preserve"> </w:t>
      </w:r>
      <w:proofErr w:type="spellStart"/>
      <w:r w:rsidRPr="00501B1E">
        <w:t>10mg</w:t>
      </w:r>
      <w:proofErr w:type="spellEnd"/>
      <w:r w:rsidRPr="00501B1E">
        <w:t xml:space="preserve"> vs placebo groups [18 (14.1%) vs 8 (12.3%) subjects with neutrophil count decreased most common in both groups (8.6% vs 10.8%).</w:t>
      </w:r>
    </w:p>
    <w:p w14:paraId="0146657C" w14:textId="764BF66B" w:rsidR="00F00658" w:rsidRDefault="00501B1E" w:rsidP="00EF4580">
      <w:r>
        <w:t>There were no clinically meaningful changes in vital signs parameters (temperature, heart rate, respiratory rate, blood pressure) in either treatment group.</w:t>
      </w:r>
    </w:p>
    <w:p w14:paraId="7CF845E6" w14:textId="13D264F9" w:rsidR="00501B1E" w:rsidRDefault="00501B1E" w:rsidP="00EF4580">
      <w:r>
        <w:t xml:space="preserve">No safety concerns </w:t>
      </w:r>
      <w:r w:rsidR="00F00658">
        <w:t xml:space="preserve">were </w:t>
      </w:r>
      <w:r>
        <w:t>identified in pivotal or supportive studies regarding immunological events.</w:t>
      </w:r>
    </w:p>
    <w:p w14:paraId="6A19E16E" w14:textId="77777777" w:rsidR="00501B1E" w:rsidRDefault="00501B1E" w:rsidP="00EF4580">
      <w:pPr>
        <w:pStyle w:val="Heading5"/>
      </w:pPr>
      <w:bookmarkStart w:id="66" w:name="_Toc205928086"/>
      <w:r w:rsidRPr="00E4342F">
        <w:lastRenderedPageBreak/>
        <w:t>Post</w:t>
      </w:r>
      <w:r>
        <w:t xml:space="preserve"> </w:t>
      </w:r>
      <w:r w:rsidRPr="00E4342F">
        <w:t>marketing experience</w:t>
      </w:r>
      <w:bookmarkEnd w:id="66"/>
    </w:p>
    <w:p w14:paraId="1C668007" w14:textId="77777777" w:rsidR="00501B1E" w:rsidRPr="009F66F8" w:rsidRDefault="00501B1E" w:rsidP="00EF4580">
      <w:pPr>
        <w:rPr>
          <w:lang w:eastAsia="ja-JP"/>
        </w:rPr>
      </w:pPr>
      <w:r w:rsidRPr="009F66F8">
        <w:t xml:space="preserve">Accelerated approval (equivalent to Australia’s provisional registration) for </w:t>
      </w:r>
      <w:proofErr w:type="spellStart"/>
      <w:r w:rsidRPr="009F66F8">
        <w:t>seladelpar</w:t>
      </w:r>
      <w:proofErr w:type="spellEnd"/>
      <w:r w:rsidRPr="009F66F8">
        <w:t xml:space="preserve"> was obtained in the USA on 14 August 2024 and the sponsor has stated (in the EU-RMP) that no new safety information was identified to date from the post-marketing experience.</w:t>
      </w:r>
    </w:p>
    <w:p w14:paraId="2858B006" w14:textId="2ECB4587" w:rsidR="00C22214" w:rsidRDefault="00C22214" w:rsidP="00EF4580">
      <w:pPr>
        <w:pStyle w:val="Heading3"/>
        <w:rPr>
          <w:lang w:eastAsia="en-AU"/>
        </w:rPr>
      </w:pPr>
      <w:bookmarkStart w:id="67" w:name="_Toc233197021"/>
      <w:r>
        <w:rPr>
          <w:lang w:eastAsia="en-AU"/>
        </w:rPr>
        <w:t>Risk management plan</w:t>
      </w:r>
      <w:bookmarkEnd w:id="48"/>
      <w:bookmarkEnd w:id="64"/>
      <w:bookmarkEnd w:id="67"/>
    </w:p>
    <w:p w14:paraId="39F3CD1D" w14:textId="594B886B" w:rsidR="0072003B" w:rsidRPr="00BD5DBD" w:rsidRDefault="00C22214" w:rsidP="00EF4580">
      <w:bookmarkStart w:id="68" w:name="_Toc247691531"/>
      <w:bookmarkStart w:id="69" w:name="_Toc314842515"/>
      <w:r w:rsidRPr="00BD5DBD">
        <w:t>The summary of safety concerns and their associated risk monitoring and mitigation strategies are summarised in</w:t>
      </w:r>
      <w:r w:rsidR="003B149C">
        <w:t xml:space="preserve"> </w:t>
      </w:r>
      <w:r w:rsidR="003B149C" w:rsidRPr="003B149C">
        <w:fldChar w:fldCharType="begin"/>
      </w:r>
      <w:r w:rsidR="003B149C" w:rsidRPr="003B149C">
        <w:instrText xml:space="preserve"> REF _Ref97629131 \h </w:instrText>
      </w:r>
      <w:r w:rsidR="003B149C">
        <w:instrText xml:space="preserve"> \* MERGEFORMAT </w:instrText>
      </w:r>
      <w:r w:rsidR="003B149C" w:rsidRPr="003B149C">
        <w:fldChar w:fldCharType="separate"/>
      </w:r>
      <w:r w:rsidR="008B1CB5" w:rsidRPr="008B1CB5">
        <w:t xml:space="preserve">Table </w:t>
      </w:r>
      <w:r w:rsidR="008B1CB5" w:rsidRPr="008B1CB5">
        <w:rPr>
          <w:noProof/>
        </w:rPr>
        <w:t>3</w:t>
      </w:r>
      <w:r w:rsidR="003B149C" w:rsidRPr="003B149C">
        <w:fldChar w:fldCharType="end"/>
      </w:r>
      <w:r w:rsidR="008C49C6" w:rsidRPr="003B149C">
        <w:t>.</w:t>
      </w:r>
      <w:r w:rsidR="0072003B" w:rsidRPr="00BD5DBD">
        <w:t xml:space="preserve"> The TGA</w:t>
      </w:r>
      <w:r w:rsidR="00C07551" w:rsidRPr="00BD5DBD">
        <w:t xml:space="preserve"> may</w:t>
      </w:r>
      <w:r w:rsidR="0072003B" w:rsidRPr="00BD5DBD">
        <w:t xml:space="preserve"> request an updated RMP at any stage of a product's </w:t>
      </w:r>
      <w:r w:rsidR="00310D84" w:rsidRPr="00BD5DBD">
        <w:t>life cycle</w:t>
      </w:r>
      <w:r w:rsidR="0072003B" w:rsidRPr="00BD5DBD">
        <w:t>, during both the pre-approval and post-approval phases.</w:t>
      </w:r>
    </w:p>
    <w:p w14:paraId="56B51A93" w14:textId="5FD9FE46" w:rsidR="006A277A" w:rsidRDefault="00C22214" w:rsidP="0099451A">
      <w:pPr>
        <w:pStyle w:val="TableTitle"/>
      </w:pPr>
      <w:bookmarkStart w:id="70" w:name="_Ref97629131"/>
      <w:r>
        <w:t xml:space="preserve">Table </w:t>
      </w:r>
      <w:r w:rsidR="008B1CB5">
        <w:fldChar w:fldCharType="begin"/>
      </w:r>
      <w:r w:rsidR="008B1CB5">
        <w:instrText xml:space="preserve"> SEQ Table \* ARABIC </w:instrText>
      </w:r>
      <w:r w:rsidR="008B1CB5">
        <w:fldChar w:fldCharType="separate"/>
      </w:r>
      <w:r w:rsidR="008B1CB5">
        <w:rPr>
          <w:noProof/>
        </w:rPr>
        <w:t>3</w:t>
      </w:r>
      <w:r w:rsidR="008B1CB5">
        <w:rPr>
          <w:noProof/>
        </w:rPr>
        <w:fldChar w:fldCharType="end"/>
      </w:r>
      <w:bookmarkEnd w:id="70"/>
      <w:r>
        <w:t>: Summary of safety concerns</w:t>
      </w:r>
    </w:p>
    <w:tbl>
      <w:tblPr>
        <w:tblStyle w:val="TableTGAblue2023"/>
        <w:tblW w:w="9195" w:type="dxa"/>
        <w:tblLayout w:type="fixed"/>
        <w:tblLook w:val="04A0" w:firstRow="1" w:lastRow="0" w:firstColumn="1" w:lastColumn="0" w:noHBand="0" w:noVBand="1"/>
      </w:tblPr>
      <w:tblGrid>
        <w:gridCol w:w="1555"/>
        <w:gridCol w:w="2551"/>
        <w:gridCol w:w="1134"/>
        <w:gridCol w:w="1418"/>
        <w:gridCol w:w="1134"/>
        <w:gridCol w:w="1403"/>
      </w:tblGrid>
      <w:tr w:rsidR="00865705" w:rsidRPr="0099451A" w14:paraId="4F65166D" w14:textId="77777777" w:rsidTr="0099451A">
        <w:trPr>
          <w:cnfStyle w:val="100000000000" w:firstRow="1" w:lastRow="0"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4106" w:type="dxa"/>
            <w:gridSpan w:val="2"/>
            <w:vMerge w:val="restart"/>
          </w:tcPr>
          <w:p w14:paraId="6098076E" w14:textId="77777777" w:rsidR="004E00C3" w:rsidRPr="0099451A" w:rsidRDefault="004E00C3" w:rsidP="0099451A">
            <w:pPr>
              <w:rPr>
                <w:b w:val="0"/>
                <w:sz w:val="21"/>
              </w:rPr>
            </w:pPr>
            <w:r w:rsidRPr="0099451A">
              <w:rPr>
                <w:sz w:val="21"/>
              </w:rPr>
              <w:t>Summary of safety concerns</w:t>
            </w:r>
          </w:p>
        </w:tc>
        <w:tc>
          <w:tcPr>
            <w:tcW w:w="2552" w:type="dxa"/>
            <w:gridSpan w:val="2"/>
          </w:tcPr>
          <w:p w14:paraId="43620358" w14:textId="77777777" w:rsidR="004E00C3" w:rsidRPr="0099451A" w:rsidRDefault="004E00C3" w:rsidP="0099451A">
            <w:pPr>
              <w:cnfStyle w:val="100000000000" w:firstRow="1" w:lastRow="0" w:firstColumn="0" w:lastColumn="0" w:oddVBand="0" w:evenVBand="0" w:oddHBand="0" w:evenHBand="0" w:firstRowFirstColumn="0" w:firstRowLastColumn="0" w:lastRowFirstColumn="0" w:lastRowLastColumn="0"/>
              <w:rPr>
                <w:b w:val="0"/>
                <w:sz w:val="21"/>
              </w:rPr>
            </w:pPr>
            <w:r w:rsidRPr="0099451A">
              <w:rPr>
                <w:sz w:val="21"/>
              </w:rPr>
              <w:t>Pharmacovigilance</w:t>
            </w:r>
          </w:p>
        </w:tc>
        <w:tc>
          <w:tcPr>
            <w:tcW w:w="2537" w:type="dxa"/>
            <w:gridSpan w:val="2"/>
          </w:tcPr>
          <w:p w14:paraId="22270E87" w14:textId="77777777" w:rsidR="004E00C3" w:rsidRPr="0099451A" w:rsidRDefault="004E00C3" w:rsidP="0099451A">
            <w:pPr>
              <w:cnfStyle w:val="100000000000" w:firstRow="1" w:lastRow="0" w:firstColumn="0" w:lastColumn="0" w:oddVBand="0" w:evenVBand="0" w:oddHBand="0" w:evenHBand="0" w:firstRowFirstColumn="0" w:firstRowLastColumn="0" w:lastRowFirstColumn="0" w:lastRowLastColumn="0"/>
              <w:rPr>
                <w:b w:val="0"/>
                <w:sz w:val="21"/>
              </w:rPr>
            </w:pPr>
            <w:r w:rsidRPr="0099451A">
              <w:rPr>
                <w:sz w:val="21"/>
              </w:rPr>
              <w:t>Risk Minimisation</w:t>
            </w:r>
          </w:p>
        </w:tc>
      </w:tr>
      <w:tr w:rsidR="00865705" w:rsidRPr="0099451A" w14:paraId="3DD4EE26" w14:textId="77777777" w:rsidTr="0099451A">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106" w:type="dxa"/>
            <w:gridSpan w:val="2"/>
            <w:vMerge/>
          </w:tcPr>
          <w:p w14:paraId="741A3514" w14:textId="77777777" w:rsidR="004E00C3" w:rsidRPr="0099451A" w:rsidRDefault="004E00C3" w:rsidP="0099451A">
            <w:pPr>
              <w:rPr>
                <w:b w:val="0"/>
                <w:sz w:val="21"/>
              </w:rPr>
            </w:pPr>
          </w:p>
        </w:tc>
        <w:tc>
          <w:tcPr>
            <w:tcW w:w="1134" w:type="dxa"/>
          </w:tcPr>
          <w:p w14:paraId="2C73262B" w14:textId="77777777" w:rsidR="004E00C3" w:rsidRPr="0099451A" w:rsidRDefault="004E00C3" w:rsidP="0099451A">
            <w:pPr>
              <w:cnfStyle w:val="100000000000" w:firstRow="1" w:lastRow="0" w:firstColumn="0" w:lastColumn="0" w:oddVBand="0" w:evenVBand="0" w:oddHBand="0" w:evenHBand="0" w:firstRowFirstColumn="0" w:firstRowLastColumn="0" w:lastRowFirstColumn="0" w:lastRowLastColumn="0"/>
              <w:rPr>
                <w:sz w:val="21"/>
              </w:rPr>
            </w:pPr>
            <w:r w:rsidRPr="0099451A">
              <w:rPr>
                <w:sz w:val="21"/>
              </w:rPr>
              <w:t>Routine</w:t>
            </w:r>
          </w:p>
        </w:tc>
        <w:tc>
          <w:tcPr>
            <w:tcW w:w="1418" w:type="dxa"/>
          </w:tcPr>
          <w:p w14:paraId="588C1AA8" w14:textId="77777777" w:rsidR="004E00C3" w:rsidRPr="0099451A" w:rsidRDefault="004E00C3" w:rsidP="0099451A">
            <w:pPr>
              <w:cnfStyle w:val="100000000000" w:firstRow="1" w:lastRow="0" w:firstColumn="0" w:lastColumn="0" w:oddVBand="0" w:evenVBand="0" w:oddHBand="0" w:evenHBand="0" w:firstRowFirstColumn="0" w:firstRowLastColumn="0" w:lastRowFirstColumn="0" w:lastRowLastColumn="0"/>
              <w:rPr>
                <w:sz w:val="21"/>
              </w:rPr>
            </w:pPr>
            <w:r w:rsidRPr="0099451A">
              <w:rPr>
                <w:sz w:val="21"/>
              </w:rPr>
              <w:t>Additional</w:t>
            </w:r>
          </w:p>
        </w:tc>
        <w:tc>
          <w:tcPr>
            <w:tcW w:w="1134" w:type="dxa"/>
          </w:tcPr>
          <w:p w14:paraId="11E79379" w14:textId="77777777" w:rsidR="004E00C3" w:rsidRPr="0099451A" w:rsidRDefault="004E00C3" w:rsidP="0099451A">
            <w:pPr>
              <w:cnfStyle w:val="100000000000" w:firstRow="1" w:lastRow="0" w:firstColumn="0" w:lastColumn="0" w:oddVBand="0" w:evenVBand="0" w:oddHBand="0" w:evenHBand="0" w:firstRowFirstColumn="0" w:firstRowLastColumn="0" w:lastRowFirstColumn="0" w:lastRowLastColumn="0"/>
              <w:rPr>
                <w:sz w:val="21"/>
              </w:rPr>
            </w:pPr>
            <w:r w:rsidRPr="0099451A">
              <w:rPr>
                <w:sz w:val="21"/>
              </w:rPr>
              <w:t>Routine</w:t>
            </w:r>
          </w:p>
        </w:tc>
        <w:tc>
          <w:tcPr>
            <w:tcW w:w="1403" w:type="dxa"/>
          </w:tcPr>
          <w:p w14:paraId="7C1146C5" w14:textId="77777777" w:rsidR="004E00C3" w:rsidRPr="0099451A" w:rsidRDefault="004E00C3" w:rsidP="0099451A">
            <w:pPr>
              <w:cnfStyle w:val="100000000000" w:firstRow="1" w:lastRow="0" w:firstColumn="0" w:lastColumn="0" w:oddVBand="0" w:evenVBand="0" w:oddHBand="0" w:evenHBand="0" w:firstRowFirstColumn="0" w:firstRowLastColumn="0" w:lastRowFirstColumn="0" w:lastRowLastColumn="0"/>
              <w:rPr>
                <w:sz w:val="21"/>
              </w:rPr>
            </w:pPr>
            <w:r w:rsidRPr="0099451A">
              <w:rPr>
                <w:sz w:val="21"/>
              </w:rPr>
              <w:t>Additional</w:t>
            </w:r>
          </w:p>
        </w:tc>
      </w:tr>
      <w:tr w:rsidR="00D3034F" w:rsidRPr="0099451A" w14:paraId="158A4E7C" w14:textId="77777777" w:rsidTr="0099451A">
        <w:trPr>
          <w:trHeight w:val="137"/>
        </w:trPr>
        <w:tc>
          <w:tcPr>
            <w:cnfStyle w:val="001000000000" w:firstRow="0" w:lastRow="0" w:firstColumn="1" w:lastColumn="0" w:oddVBand="0" w:evenVBand="0" w:oddHBand="0" w:evenHBand="0" w:firstRowFirstColumn="0" w:firstRowLastColumn="0" w:lastRowFirstColumn="0" w:lastRowLastColumn="0"/>
            <w:tcW w:w="1555" w:type="dxa"/>
          </w:tcPr>
          <w:p w14:paraId="2CC107F0" w14:textId="77777777" w:rsidR="004E00C3" w:rsidRPr="0099451A" w:rsidRDefault="004E00C3" w:rsidP="0099451A">
            <w:pPr>
              <w:rPr>
                <w:b/>
                <w:bCs/>
                <w:sz w:val="21"/>
              </w:rPr>
            </w:pPr>
            <w:r w:rsidRPr="0099451A">
              <w:rPr>
                <w:b/>
                <w:bCs/>
                <w:sz w:val="21"/>
              </w:rPr>
              <w:t>Important identified risks</w:t>
            </w:r>
          </w:p>
        </w:tc>
        <w:tc>
          <w:tcPr>
            <w:tcW w:w="2551" w:type="dxa"/>
          </w:tcPr>
          <w:p w14:paraId="045A5DC1" w14:textId="77777777" w:rsidR="004E00C3" w:rsidRPr="0099451A" w:rsidRDefault="004E00C3" w:rsidP="0099451A">
            <w:pPr>
              <w:cnfStyle w:val="000000000000" w:firstRow="0" w:lastRow="0" w:firstColumn="0" w:lastColumn="0" w:oddVBand="0" w:evenVBand="0" w:oddHBand="0" w:evenHBand="0" w:firstRowFirstColumn="0" w:firstRowLastColumn="0" w:lastRowFirstColumn="0" w:lastRowLastColumn="0"/>
              <w:rPr>
                <w:sz w:val="21"/>
              </w:rPr>
            </w:pPr>
            <w:r w:rsidRPr="0099451A">
              <w:rPr>
                <w:sz w:val="21"/>
              </w:rPr>
              <w:t>None</w:t>
            </w:r>
          </w:p>
        </w:tc>
        <w:tc>
          <w:tcPr>
            <w:tcW w:w="1134" w:type="dxa"/>
          </w:tcPr>
          <w:p w14:paraId="19CB673E" w14:textId="77777777" w:rsidR="004E00C3" w:rsidRPr="0099451A" w:rsidRDefault="004E00C3" w:rsidP="0099451A">
            <w:pPr>
              <w:cnfStyle w:val="000000000000" w:firstRow="0" w:lastRow="0" w:firstColumn="0" w:lastColumn="0" w:oddVBand="0" w:evenVBand="0" w:oddHBand="0" w:evenHBand="0" w:firstRowFirstColumn="0" w:firstRowLastColumn="0" w:lastRowFirstColumn="0" w:lastRowLastColumn="0"/>
              <w:rPr>
                <w:sz w:val="21"/>
              </w:rPr>
            </w:pPr>
            <w:r w:rsidRPr="0099451A">
              <w:rPr>
                <w:sz w:val="21"/>
              </w:rPr>
              <w:t>–</w:t>
            </w:r>
          </w:p>
        </w:tc>
        <w:tc>
          <w:tcPr>
            <w:tcW w:w="1418" w:type="dxa"/>
          </w:tcPr>
          <w:p w14:paraId="2B447CDB" w14:textId="77777777" w:rsidR="004E00C3" w:rsidRPr="0099451A" w:rsidRDefault="004E00C3" w:rsidP="0099451A">
            <w:pPr>
              <w:cnfStyle w:val="000000000000" w:firstRow="0" w:lastRow="0" w:firstColumn="0" w:lastColumn="0" w:oddVBand="0" w:evenVBand="0" w:oddHBand="0" w:evenHBand="0" w:firstRowFirstColumn="0" w:firstRowLastColumn="0" w:lastRowFirstColumn="0" w:lastRowLastColumn="0"/>
              <w:rPr>
                <w:sz w:val="21"/>
              </w:rPr>
            </w:pPr>
            <w:r w:rsidRPr="0099451A">
              <w:rPr>
                <w:sz w:val="21"/>
              </w:rPr>
              <w:t>–</w:t>
            </w:r>
          </w:p>
        </w:tc>
        <w:tc>
          <w:tcPr>
            <w:tcW w:w="1134" w:type="dxa"/>
          </w:tcPr>
          <w:p w14:paraId="7D76B466" w14:textId="77777777" w:rsidR="004E00C3" w:rsidRPr="0099451A" w:rsidRDefault="004E00C3" w:rsidP="0099451A">
            <w:pPr>
              <w:cnfStyle w:val="000000000000" w:firstRow="0" w:lastRow="0" w:firstColumn="0" w:lastColumn="0" w:oddVBand="0" w:evenVBand="0" w:oddHBand="0" w:evenHBand="0" w:firstRowFirstColumn="0" w:firstRowLastColumn="0" w:lastRowFirstColumn="0" w:lastRowLastColumn="0"/>
              <w:rPr>
                <w:sz w:val="21"/>
              </w:rPr>
            </w:pPr>
            <w:r w:rsidRPr="0099451A">
              <w:rPr>
                <w:sz w:val="21"/>
              </w:rPr>
              <w:t>–</w:t>
            </w:r>
          </w:p>
        </w:tc>
        <w:tc>
          <w:tcPr>
            <w:tcW w:w="1403" w:type="dxa"/>
          </w:tcPr>
          <w:p w14:paraId="4DF39AE6" w14:textId="77777777" w:rsidR="004E00C3" w:rsidRPr="0099451A" w:rsidRDefault="004E00C3" w:rsidP="0099451A">
            <w:pPr>
              <w:cnfStyle w:val="000000000000" w:firstRow="0" w:lastRow="0" w:firstColumn="0" w:lastColumn="0" w:oddVBand="0" w:evenVBand="0" w:oddHBand="0" w:evenHBand="0" w:firstRowFirstColumn="0" w:firstRowLastColumn="0" w:lastRowFirstColumn="0" w:lastRowLastColumn="0"/>
              <w:rPr>
                <w:sz w:val="21"/>
              </w:rPr>
            </w:pPr>
            <w:r w:rsidRPr="0099451A">
              <w:rPr>
                <w:sz w:val="21"/>
              </w:rPr>
              <w:t>–</w:t>
            </w:r>
          </w:p>
        </w:tc>
      </w:tr>
      <w:tr w:rsidR="00D3034F" w:rsidRPr="0099451A" w14:paraId="1444AFAF" w14:textId="77777777" w:rsidTr="0099451A">
        <w:trPr>
          <w:trHeight w:val="159"/>
        </w:trPr>
        <w:tc>
          <w:tcPr>
            <w:cnfStyle w:val="001000000000" w:firstRow="0" w:lastRow="0" w:firstColumn="1" w:lastColumn="0" w:oddVBand="0" w:evenVBand="0" w:oddHBand="0" w:evenHBand="0" w:firstRowFirstColumn="0" w:firstRowLastColumn="0" w:lastRowFirstColumn="0" w:lastRowLastColumn="0"/>
            <w:tcW w:w="1555" w:type="dxa"/>
          </w:tcPr>
          <w:p w14:paraId="75F1B838" w14:textId="77777777" w:rsidR="004E00C3" w:rsidRPr="0099451A" w:rsidRDefault="004E00C3" w:rsidP="0099451A">
            <w:pPr>
              <w:rPr>
                <w:b/>
                <w:bCs/>
                <w:sz w:val="21"/>
              </w:rPr>
            </w:pPr>
            <w:r w:rsidRPr="0099451A">
              <w:rPr>
                <w:b/>
                <w:bCs/>
                <w:sz w:val="21"/>
              </w:rPr>
              <w:t>Important potential risks</w:t>
            </w:r>
          </w:p>
        </w:tc>
        <w:tc>
          <w:tcPr>
            <w:tcW w:w="2551" w:type="dxa"/>
          </w:tcPr>
          <w:p w14:paraId="55353FFE" w14:textId="77777777" w:rsidR="004E00C3" w:rsidRPr="0099451A" w:rsidRDefault="004E00C3" w:rsidP="0099451A">
            <w:pPr>
              <w:cnfStyle w:val="000000000000" w:firstRow="0" w:lastRow="0" w:firstColumn="0" w:lastColumn="0" w:oddVBand="0" w:evenVBand="0" w:oddHBand="0" w:evenHBand="0" w:firstRowFirstColumn="0" w:firstRowLastColumn="0" w:lastRowFirstColumn="0" w:lastRowLastColumn="0"/>
              <w:rPr>
                <w:sz w:val="21"/>
              </w:rPr>
            </w:pPr>
            <w:r w:rsidRPr="0099451A">
              <w:rPr>
                <w:sz w:val="21"/>
              </w:rPr>
              <w:t>Hepatotoxicity</w:t>
            </w:r>
          </w:p>
        </w:tc>
        <w:tc>
          <w:tcPr>
            <w:tcW w:w="1134" w:type="dxa"/>
          </w:tcPr>
          <w:p w14:paraId="76E4D2A7" w14:textId="77777777" w:rsidR="004E00C3" w:rsidRPr="0099451A" w:rsidRDefault="004E00C3" w:rsidP="0099451A">
            <w:pPr>
              <w:cnfStyle w:val="000000000000" w:firstRow="0" w:lastRow="0" w:firstColumn="0" w:lastColumn="0" w:oddVBand="0" w:evenVBand="0" w:oddHBand="0" w:evenHBand="0" w:firstRowFirstColumn="0" w:firstRowLastColumn="0" w:lastRowFirstColumn="0" w:lastRowLastColumn="0"/>
              <w:rPr>
                <w:sz w:val="21"/>
              </w:rPr>
            </w:pPr>
            <w:r w:rsidRPr="0099451A">
              <w:rPr>
                <w:rFonts w:ascii="Wingdings" w:eastAsia="Wingdings" w:hAnsi="Wingdings" w:cs="Wingdings"/>
                <w:sz w:val="21"/>
              </w:rPr>
              <w:sym w:font="Wingdings" w:char="F0FC"/>
            </w:r>
          </w:p>
        </w:tc>
        <w:tc>
          <w:tcPr>
            <w:tcW w:w="1418" w:type="dxa"/>
          </w:tcPr>
          <w:p w14:paraId="437259A3" w14:textId="77777777" w:rsidR="004E00C3" w:rsidRPr="0099451A" w:rsidRDefault="004E00C3" w:rsidP="0099451A">
            <w:pPr>
              <w:cnfStyle w:val="000000000000" w:firstRow="0" w:lastRow="0" w:firstColumn="0" w:lastColumn="0" w:oddVBand="0" w:evenVBand="0" w:oddHBand="0" w:evenHBand="0" w:firstRowFirstColumn="0" w:firstRowLastColumn="0" w:lastRowFirstColumn="0" w:lastRowLastColumn="0"/>
              <w:rPr>
                <w:sz w:val="21"/>
              </w:rPr>
            </w:pPr>
            <w:r w:rsidRPr="0099451A">
              <w:rPr>
                <w:rFonts w:ascii="Wingdings" w:eastAsia="Wingdings" w:hAnsi="Wingdings" w:cs="Wingdings"/>
                <w:sz w:val="21"/>
              </w:rPr>
              <w:sym w:font="Wingdings" w:char="F0FC"/>
            </w:r>
            <w:r w:rsidRPr="0099451A">
              <w:rPr>
                <w:sz w:val="21"/>
                <w:vertAlign w:val="superscript"/>
              </w:rPr>
              <w:t>‡</w:t>
            </w:r>
          </w:p>
        </w:tc>
        <w:tc>
          <w:tcPr>
            <w:tcW w:w="1134" w:type="dxa"/>
          </w:tcPr>
          <w:p w14:paraId="14E59D8E" w14:textId="77777777" w:rsidR="004E00C3" w:rsidRPr="0099451A" w:rsidRDefault="004E00C3" w:rsidP="0099451A">
            <w:pPr>
              <w:cnfStyle w:val="000000000000" w:firstRow="0" w:lastRow="0" w:firstColumn="0" w:lastColumn="0" w:oddVBand="0" w:evenVBand="0" w:oddHBand="0" w:evenHBand="0" w:firstRowFirstColumn="0" w:firstRowLastColumn="0" w:lastRowFirstColumn="0" w:lastRowLastColumn="0"/>
              <w:rPr>
                <w:sz w:val="21"/>
              </w:rPr>
            </w:pPr>
            <w:r w:rsidRPr="0099451A">
              <w:rPr>
                <w:rFonts w:ascii="Wingdings" w:eastAsia="Wingdings" w:hAnsi="Wingdings" w:cs="Wingdings"/>
                <w:sz w:val="21"/>
              </w:rPr>
              <w:sym w:font="Wingdings" w:char="F0FC"/>
            </w:r>
          </w:p>
        </w:tc>
        <w:tc>
          <w:tcPr>
            <w:tcW w:w="1403" w:type="dxa"/>
          </w:tcPr>
          <w:p w14:paraId="47DA142C" w14:textId="77777777" w:rsidR="004E00C3" w:rsidRPr="0099451A" w:rsidRDefault="004E00C3" w:rsidP="0099451A">
            <w:pPr>
              <w:cnfStyle w:val="000000000000" w:firstRow="0" w:lastRow="0" w:firstColumn="0" w:lastColumn="0" w:oddVBand="0" w:evenVBand="0" w:oddHBand="0" w:evenHBand="0" w:firstRowFirstColumn="0" w:firstRowLastColumn="0" w:lastRowFirstColumn="0" w:lastRowLastColumn="0"/>
              <w:rPr>
                <w:sz w:val="21"/>
              </w:rPr>
            </w:pPr>
            <w:r w:rsidRPr="0099451A">
              <w:rPr>
                <w:sz w:val="21"/>
              </w:rPr>
              <w:t>–</w:t>
            </w:r>
          </w:p>
        </w:tc>
      </w:tr>
      <w:tr w:rsidR="00D3034F" w:rsidRPr="0099451A" w14:paraId="67C2716C" w14:textId="77777777" w:rsidTr="0099451A">
        <w:trPr>
          <w:trHeight w:val="178"/>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2A147BEE" w14:textId="77777777" w:rsidR="004E00C3" w:rsidRPr="0099451A" w:rsidRDefault="004E00C3" w:rsidP="0099451A">
            <w:pPr>
              <w:rPr>
                <w:b/>
                <w:bCs/>
                <w:sz w:val="21"/>
              </w:rPr>
            </w:pPr>
            <w:r w:rsidRPr="0099451A">
              <w:rPr>
                <w:b/>
                <w:bCs/>
                <w:sz w:val="21"/>
              </w:rPr>
              <w:t>Missing information</w:t>
            </w:r>
          </w:p>
        </w:tc>
        <w:tc>
          <w:tcPr>
            <w:tcW w:w="2551" w:type="dxa"/>
          </w:tcPr>
          <w:p w14:paraId="6EE32B81" w14:textId="77777777" w:rsidR="004E00C3" w:rsidRPr="0099451A" w:rsidRDefault="004E00C3" w:rsidP="0099451A">
            <w:pPr>
              <w:cnfStyle w:val="000000000000" w:firstRow="0" w:lastRow="0" w:firstColumn="0" w:lastColumn="0" w:oddVBand="0" w:evenVBand="0" w:oddHBand="0" w:evenHBand="0" w:firstRowFirstColumn="0" w:firstRowLastColumn="0" w:lastRowFirstColumn="0" w:lastRowLastColumn="0"/>
              <w:rPr>
                <w:sz w:val="21"/>
              </w:rPr>
            </w:pPr>
            <w:r w:rsidRPr="0099451A">
              <w:rPr>
                <w:sz w:val="21"/>
              </w:rPr>
              <w:t>Use in pregnancy</w:t>
            </w:r>
          </w:p>
        </w:tc>
        <w:tc>
          <w:tcPr>
            <w:tcW w:w="1134" w:type="dxa"/>
          </w:tcPr>
          <w:p w14:paraId="1C08F019" w14:textId="77777777" w:rsidR="004E00C3" w:rsidRPr="0099451A" w:rsidRDefault="004E00C3" w:rsidP="0099451A">
            <w:pPr>
              <w:cnfStyle w:val="000000000000" w:firstRow="0" w:lastRow="0" w:firstColumn="0" w:lastColumn="0" w:oddVBand="0" w:evenVBand="0" w:oddHBand="0" w:evenHBand="0" w:firstRowFirstColumn="0" w:firstRowLastColumn="0" w:lastRowFirstColumn="0" w:lastRowLastColumn="0"/>
              <w:rPr>
                <w:sz w:val="21"/>
              </w:rPr>
            </w:pPr>
            <w:r w:rsidRPr="0099451A">
              <w:rPr>
                <w:rFonts w:ascii="Wingdings" w:eastAsia="Wingdings" w:hAnsi="Wingdings" w:cs="Wingdings"/>
                <w:sz w:val="21"/>
              </w:rPr>
              <w:sym w:font="Wingdings" w:char="F0FC"/>
            </w:r>
          </w:p>
        </w:tc>
        <w:tc>
          <w:tcPr>
            <w:tcW w:w="1418" w:type="dxa"/>
          </w:tcPr>
          <w:p w14:paraId="1DEFA8DB" w14:textId="77777777" w:rsidR="004E00C3" w:rsidRPr="0099451A" w:rsidRDefault="004E00C3" w:rsidP="0099451A">
            <w:pPr>
              <w:cnfStyle w:val="000000000000" w:firstRow="0" w:lastRow="0" w:firstColumn="0" w:lastColumn="0" w:oddVBand="0" w:evenVBand="0" w:oddHBand="0" w:evenHBand="0" w:firstRowFirstColumn="0" w:firstRowLastColumn="0" w:lastRowFirstColumn="0" w:lastRowLastColumn="0"/>
              <w:rPr>
                <w:sz w:val="21"/>
              </w:rPr>
            </w:pPr>
            <w:r w:rsidRPr="0099451A">
              <w:rPr>
                <w:sz w:val="21"/>
              </w:rPr>
              <w:t>–</w:t>
            </w:r>
          </w:p>
        </w:tc>
        <w:tc>
          <w:tcPr>
            <w:tcW w:w="1134" w:type="dxa"/>
          </w:tcPr>
          <w:p w14:paraId="0E2D8EC3" w14:textId="77777777" w:rsidR="004E00C3" w:rsidRPr="0099451A" w:rsidRDefault="004E00C3" w:rsidP="0099451A">
            <w:pPr>
              <w:cnfStyle w:val="000000000000" w:firstRow="0" w:lastRow="0" w:firstColumn="0" w:lastColumn="0" w:oddVBand="0" w:evenVBand="0" w:oddHBand="0" w:evenHBand="0" w:firstRowFirstColumn="0" w:firstRowLastColumn="0" w:lastRowFirstColumn="0" w:lastRowLastColumn="0"/>
              <w:rPr>
                <w:sz w:val="21"/>
              </w:rPr>
            </w:pPr>
            <w:r w:rsidRPr="0099451A">
              <w:rPr>
                <w:rFonts w:ascii="Wingdings" w:eastAsia="Wingdings" w:hAnsi="Wingdings" w:cs="Wingdings"/>
                <w:sz w:val="21"/>
              </w:rPr>
              <w:sym w:font="Wingdings" w:char="F0FC"/>
            </w:r>
          </w:p>
        </w:tc>
        <w:tc>
          <w:tcPr>
            <w:tcW w:w="1403" w:type="dxa"/>
          </w:tcPr>
          <w:p w14:paraId="04CA80F9" w14:textId="77777777" w:rsidR="004E00C3" w:rsidRPr="0099451A" w:rsidRDefault="004E00C3" w:rsidP="0099451A">
            <w:pPr>
              <w:cnfStyle w:val="000000000000" w:firstRow="0" w:lastRow="0" w:firstColumn="0" w:lastColumn="0" w:oddVBand="0" w:evenVBand="0" w:oddHBand="0" w:evenHBand="0" w:firstRowFirstColumn="0" w:firstRowLastColumn="0" w:lastRowFirstColumn="0" w:lastRowLastColumn="0"/>
              <w:rPr>
                <w:sz w:val="21"/>
              </w:rPr>
            </w:pPr>
            <w:r w:rsidRPr="0099451A">
              <w:rPr>
                <w:sz w:val="21"/>
              </w:rPr>
              <w:t>–</w:t>
            </w:r>
          </w:p>
        </w:tc>
      </w:tr>
      <w:tr w:rsidR="00D3034F" w:rsidRPr="0099451A" w14:paraId="35FBE901" w14:textId="77777777" w:rsidTr="0099451A">
        <w:trPr>
          <w:trHeight w:val="103"/>
        </w:trPr>
        <w:tc>
          <w:tcPr>
            <w:cnfStyle w:val="001000000000" w:firstRow="0" w:lastRow="0" w:firstColumn="1" w:lastColumn="0" w:oddVBand="0" w:evenVBand="0" w:oddHBand="0" w:evenHBand="0" w:firstRowFirstColumn="0" w:firstRowLastColumn="0" w:lastRowFirstColumn="0" w:lastRowLastColumn="0"/>
            <w:tcW w:w="1555" w:type="dxa"/>
            <w:vMerge/>
          </w:tcPr>
          <w:p w14:paraId="29863971" w14:textId="77777777" w:rsidR="004E00C3" w:rsidRPr="0099451A" w:rsidRDefault="004E00C3" w:rsidP="0099451A">
            <w:pPr>
              <w:rPr>
                <w:sz w:val="21"/>
              </w:rPr>
            </w:pPr>
          </w:p>
        </w:tc>
        <w:tc>
          <w:tcPr>
            <w:tcW w:w="2551" w:type="dxa"/>
          </w:tcPr>
          <w:p w14:paraId="1D566B89" w14:textId="77777777" w:rsidR="004E00C3" w:rsidRPr="0099451A" w:rsidRDefault="004E00C3" w:rsidP="0099451A">
            <w:pPr>
              <w:cnfStyle w:val="000000000000" w:firstRow="0" w:lastRow="0" w:firstColumn="0" w:lastColumn="0" w:oddVBand="0" w:evenVBand="0" w:oddHBand="0" w:evenHBand="0" w:firstRowFirstColumn="0" w:firstRowLastColumn="0" w:lastRowFirstColumn="0" w:lastRowLastColumn="0"/>
              <w:rPr>
                <w:sz w:val="21"/>
              </w:rPr>
            </w:pPr>
            <w:r w:rsidRPr="0099451A">
              <w:rPr>
                <w:sz w:val="21"/>
              </w:rPr>
              <w:t>Long-term safety</w:t>
            </w:r>
          </w:p>
        </w:tc>
        <w:tc>
          <w:tcPr>
            <w:tcW w:w="1134" w:type="dxa"/>
          </w:tcPr>
          <w:p w14:paraId="17682530" w14:textId="77777777" w:rsidR="004E00C3" w:rsidRPr="0099451A" w:rsidRDefault="004E00C3" w:rsidP="0099451A">
            <w:pPr>
              <w:cnfStyle w:val="000000000000" w:firstRow="0" w:lastRow="0" w:firstColumn="0" w:lastColumn="0" w:oddVBand="0" w:evenVBand="0" w:oddHBand="0" w:evenHBand="0" w:firstRowFirstColumn="0" w:firstRowLastColumn="0" w:lastRowFirstColumn="0" w:lastRowLastColumn="0"/>
              <w:rPr>
                <w:sz w:val="21"/>
              </w:rPr>
            </w:pPr>
            <w:r w:rsidRPr="0099451A">
              <w:rPr>
                <w:rFonts w:ascii="Wingdings" w:eastAsia="Wingdings" w:hAnsi="Wingdings" w:cs="Wingdings"/>
                <w:sz w:val="21"/>
              </w:rPr>
              <w:sym w:font="Wingdings" w:char="F0FC"/>
            </w:r>
          </w:p>
        </w:tc>
        <w:tc>
          <w:tcPr>
            <w:tcW w:w="1418" w:type="dxa"/>
          </w:tcPr>
          <w:p w14:paraId="116761AE" w14:textId="77777777" w:rsidR="004E00C3" w:rsidRPr="0099451A" w:rsidRDefault="004E00C3" w:rsidP="0099451A">
            <w:pPr>
              <w:cnfStyle w:val="000000000000" w:firstRow="0" w:lastRow="0" w:firstColumn="0" w:lastColumn="0" w:oddVBand="0" w:evenVBand="0" w:oddHBand="0" w:evenHBand="0" w:firstRowFirstColumn="0" w:firstRowLastColumn="0" w:lastRowFirstColumn="0" w:lastRowLastColumn="0"/>
              <w:rPr>
                <w:sz w:val="21"/>
              </w:rPr>
            </w:pPr>
            <w:r w:rsidRPr="0099451A">
              <w:rPr>
                <w:rFonts w:ascii="Wingdings" w:eastAsia="Wingdings" w:hAnsi="Wingdings" w:cs="Wingdings"/>
                <w:sz w:val="21"/>
              </w:rPr>
              <w:sym w:font="Wingdings" w:char="F0FC"/>
            </w:r>
            <w:r w:rsidRPr="0099451A">
              <w:rPr>
                <w:sz w:val="21"/>
                <w:vertAlign w:val="superscript"/>
              </w:rPr>
              <w:t>‡</w:t>
            </w:r>
          </w:p>
        </w:tc>
        <w:tc>
          <w:tcPr>
            <w:tcW w:w="1134" w:type="dxa"/>
          </w:tcPr>
          <w:p w14:paraId="461B0F60" w14:textId="77777777" w:rsidR="004E00C3" w:rsidRPr="0099451A" w:rsidRDefault="004E00C3" w:rsidP="0099451A">
            <w:pPr>
              <w:cnfStyle w:val="000000000000" w:firstRow="0" w:lastRow="0" w:firstColumn="0" w:lastColumn="0" w:oddVBand="0" w:evenVBand="0" w:oddHBand="0" w:evenHBand="0" w:firstRowFirstColumn="0" w:firstRowLastColumn="0" w:lastRowFirstColumn="0" w:lastRowLastColumn="0"/>
              <w:rPr>
                <w:sz w:val="21"/>
              </w:rPr>
            </w:pPr>
            <w:r w:rsidRPr="0099451A">
              <w:rPr>
                <w:sz w:val="21"/>
              </w:rPr>
              <w:t>–</w:t>
            </w:r>
          </w:p>
        </w:tc>
        <w:tc>
          <w:tcPr>
            <w:tcW w:w="1403" w:type="dxa"/>
          </w:tcPr>
          <w:p w14:paraId="1729B470" w14:textId="77777777" w:rsidR="004E00C3" w:rsidRPr="0099451A" w:rsidRDefault="004E00C3" w:rsidP="0099451A">
            <w:pPr>
              <w:cnfStyle w:val="000000000000" w:firstRow="0" w:lastRow="0" w:firstColumn="0" w:lastColumn="0" w:oddVBand="0" w:evenVBand="0" w:oddHBand="0" w:evenHBand="0" w:firstRowFirstColumn="0" w:firstRowLastColumn="0" w:lastRowFirstColumn="0" w:lastRowLastColumn="0"/>
              <w:rPr>
                <w:sz w:val="21"/>
              </w:rPr>
            </w:pPr>
            <w:r w:rsidRPr="0099451A">
              <w:rPr>
                <w:sz w:val="21"/>
              </w:rPr>
              <w:t>–</w:t>
            </w:r>
          </w:p>
        </w:tc>
      </w:tr>
      <w:tr w:rsidR="00D3034F" w:rsidRPr="0099451A" w14:paraId="294E6B30" w14:textId="77777777" w:rsidTr="0099451A">
        <w:trPr>
          <w:trHeight w:val="140"/>
        </w:trPr>
        <w:tc>
          <w:tcPr>
            <w:cnfStyle w:val="001000000000" w:firstRow="0" w:lastRow="0" w:firstColumn="1" w:lastColumn="0" w:oddVBand="0" w:evenVBand="0" w:oddHBand="0" w:evenHBand="0" w:firstRowFirstColumn="0" w:firstRowLastColumn="0" w:lastRowFirstColumn="0" w:lastRowLastColumn="0"/>
            <w:tcW w:w="1555" w:type="dxa"/>
            <w:vMerge/>
          </w:tcPr>
          <w:p w14:paraId="1C26ADAC" w14:textId="77777777" w:rsidR="004E00C3" w:rsidRPr="0099451A" w:rsidRDefault="004E00C3" w:rsidP="0099451A">
            <w:pPr>
              <w:rPr>
                <w:sz w:val="21"/>
              </w:rPr>
            </w:pPr>
          </w:p>
        </w:tc>
        <w:tc>
          <w:tcPr>
            <w:tcW w:w="2551" w:type="dxa"/>
          </w:tcPr>
          <w:p w14:paraId="12E15EF4" w14:textId="77777777" w:rsidR="004E00C3" w:rsidRPr="0099451A" w:rsidRDefault="004E00C3" w:rsidP="0099451A">
            <w:pPr>
              <w:cnfStyle w:val="000000000000" w:firstRow="0" w:lastRow="0" w:firstColumn="0" w:lastColumn="0" w:oddVBand="0" w:evenVBand="0" w:oddHBand="0" w:evenHBand="0" w:firstRowFirstColumn="0" w:firstRowLastColumn="0" w:lastRowFirstColumn="0" w:lastRowLastColumn="0"/>
              <w:rPr>
                <w:sz w:val="21"/>
              </w:rPr>
            </w:pPr>
            <w:r w:rsidRPr="0099451A">
              <w:rPr>
                <w:sz w:val="21"/>
              </w:rPr>
              <w:t>Use in PBC patients with moderate (Child Pugh</w:t>
            </w:r>
          </w:p>
          <w:p w14:paraId="6B046458" w14:textId="77777777" w:rsidR="004E00C3" w:rsidRPr="0099451A" w:rsidRDefault="004E00C3" w:rsidP="0099451A">
            <w:pPr>
              <w:cnfStyle w:val="000000000000" w:firstRow="0" w:lastRow="0" w:firstColumn="0" w:lastColumn="0" w:oddVBand="0" w:evenVBand="0" w:oddHBand="0" w:evenHBand="0" w:firstRowFirstColumn="0" w:firstRowLastColumn="0" w:lastRowFirstColumn="0" w:lastRowLastColumn="0"/>
              <w:rPr>
                <w:sz w:val="21"/>
              </w:rPr>
            </w:pPr>
            <w:r w:rsidRPr="0099451A">
              <w:rPr>
                <w:sz w:val="21"/>
              </w:rPr>
              <w:t>B) hepatic impairment</w:t>
            </w:r>
          </w:p>
        </w:tc>
        <w:tc>
          <w:tcPr>
            <w:tcW w:w="1134" w:type="dxa"/>
          </w:tcPr>
          <w:p w14:paraId="228A7C88" w14:textId="77777777" w:rsidR="004E00C3" w:rsidRPr="0099451A" w:rsidRDefault="004E00C3" w:rsidP="0099451A">
            <w:pPr>
              <w:cnfStyle w:val="000000000000" w:firstRow="0" w:lastRow="0" w:firstColumn="0" w:lastColumn="0" w:oddVBand="0" w:evenVBand="0" w:oddHBand="0" w:evenHBand="0" w:firstRowFirstColumn="0" w:firstRowLastColumn="0" w:lastRowFirstColumn="0" w:lastRowLastColumn="0"/>
              <w:rPr>
                <w:sz w:val="21"/>
              </w:rPr>
            </w:pPr>
            <w:r w:rsidRPr="0099451A">
              <w:rPr>
                <w:rFonts w:ascii="Wingdings" w:eastAsia="Wingdings" w:hAnsi="Wingdings" w:cs="Wingdings"/>
                <w:sz w:val="21"/>
              </w:rPr>
              <w:sym w:font="Wingdings" w:char="F0FC"/>
            </w:r>
          </w:p>
        </w:tc>
        <w:tc>
          <w:tcPr>
            <w:tcW w:w="1418" w:type="dxa"/>
          </w:tcPr>
          <w:p w14:paraId="35D82AEC" w14:textId="77777777" w:rsidR="004E00C3" w:rsidRPr="0099451A" w:rsidRDefault="004E00C3" w:rsidP="0099451A">
            <w:pPr>
              <w:cnfStyle w:val="000000000000" w:firstRow="0" w:lastRow="0" w:firstColumn="0" w:lastColumn="0" w:oddVBand="0" w:evenVBand="0" w:oddHBand="0" w:evenHBand="0" w:firstRowFirstColumn="0" w:firstRowLastColumn="0" w:lastRowFirstColumn="0" w:lastRowLastColumn="0"/>
              <w:rPr>
                <w:sz w:val="21"/>
              </w:rPr>
            </w:pPr>
            <w:r w:rsidRPr="0099451A">
              <w:rPr>
                <w:rFonts w:ascii="Wingdings" w:eastAsia="Wingdings" w:hAnsi="Wingdings" w:cs="Wingdings"/>
                <w:sz w:val="21"/>
              </w:rPr>
              <w:sym w:font="Wingdings" w:char="F0FC"/>
            </w:r>
            <w:r w:rsidRPr="0099451A">
              <w:rPr>
                <w:sz w:val="21"/>
                <w:vertAlign w:val="superscript"/>
              </w:rPr>
              <w:t>‡</w:t>
            </w:r>
          </w:p>
        </w:tc>
        <w:tc>
          <w:tcPr>
            <w:tcW w:w="1134" w:type="dxa"/>
          </w:tcPr>
          <w:p w14:paraId="40F37E72" w14:textId="77777777" w:rsidR="004E00C3" w:rsidRPr="0099451A" w:rsidRDefault="004E00C3" w:rsidP="0099451A">
            <w:pPr>
              <w:cnfStyle w:val="000000000000" w:firstRow="0" w:lastRow="0" w:firstColumn="0" w:lastColumn="0" w:oddVBand="0" w:evenVBand="0" w:oddHBand="0" w:evenHBand="0" w:firstRowFirstColumn="0" w:firstRowLastColumn="0" w:lastRowFirstColumn="0" w:lastRowLastColumn="0"/>
              <w:rPr>
                <w:sz w:val="21"/>
              </w:rPr>
            </w:pPr>
            <w:r w:rsidRPr="0099451A">
              <w:rPr>
                <w:rFonts w:ascii="Wingdings" w:eastAsia="Wingdings" w:hAnsi="Wingdings" w:cs="Wingdings"/>
                <w:sz w:val="21"/>
              </w:rPr>
              <w:sym w:font="Wingdings" w:char="F0FC"/>
            </w:r>
          </w:p>
        </w:tc>
        <w:tc>
          <w:tcPr>
            <w:tcW w:w="1403" w:type="dxa"/>
          </w:tcPr>
          <w:p w14:paraId="5846A5AB" w14:textId="77777777" w:rsidR="004E00C3" w:rsidRPr="0099451A" w:rsidRDefault="004E00C3" w:rsidP="0099451A">
            <w:pPr>
              <w:cnfStyle w:val="000000000000" w:firstRow="0" w:lastRow="0" w:firstColumn="0" w:lastColumn="0" w:oddVBand="0" w:evenVBand="0" w:oddHBand="0" w:evenHBand="0" w:firstRowFirstColumn="0" w:firstRowLastColumn="0" w:lastRowFirstColumn="0" w:lastRowLastColumn="0"/>
              <w:rPr>
                <w:sz w:val="21"/>
              </w:rPr>
            </w:pPr>
            <w:r w:rsidRPr="0099451A">
              <w:rPr>
                <w:sz w:val="21"/>
              </w:rPr>
              <w:t>–</w:t>
            </w:r>
          </w:p>
        </w:tc>
      </w:tr>
    </w:tbl>
    <w:p w14:paraId="4072D0A7" w14:textId="77777777" w:rsidR="004E00C3" w:rsidRDefault="004E00C3" w:rsidP="0099451A">
      <w:pPr>
        <w:pStyle w:val="TableDescription"/>
        <w:rPr>
          <w:snapToGrid w:val="0"/>
        </w:rPr>
      </w:pPr>
      <w:r w:rsidRPr="008825FE">
        <w:rPr>
          <w:rFonts w:asciiTheme="majorHAnsi" w:hAnsiTheme="majorHAnsi"/>
          <w:snapToGrid w:val="0"/>
          <w:vertAlign w:val="superscript"/>
        </w:rPr>
        <w:t>‡</w:t>
      </w:r>
      <w:r w:rsidRPr="008825FE">
        <w:t xml:space="preserve"> </w:t>
      </w:r>
      <w:r w:rsidRPr="008825FE">
        <w:rPr>
          <w:snapToGrid w:val="0"/>
        </w:rPr>
        <w:t xml:space="preserve">Study </w:t>
      </w:r>
      <w:proofErr w:type="spellStart"/>
      <w:r w:rsidRPr="008825FE">
        <w:rPr>
          <w:snapToGrid w:val="0"/>
        </w:rPr>
        <w:t>CB8025</w:t>
      </w:r>
      <w:proofErr w:type="spellEnd"/>
      <w:r w:rsidRPr="008825FE">
        <w:rPr>
          <w:snapToGrid w:val="0"/>
        </w:rPr>
        <w:t>-31731-RE (ASSURE)</w:t>
      </w:r>
    </w:p>
    <w:p w14:paraId="2D63EE18" w14:textId="77777777" w:rsidR="00BE004C" w:rsidRPr="00CC0EB6" w:rsidRDefault="00BE004C" w:rsidP="0099451A">
      <w:r w:rsidRPr="00CC0EB6">
        <w:t>The summary of safety concerns in the ASA aligns with the EU-RMP and is satisfactory from an RMP perspective.</w:t>
      </w:r>
    </w:p>
    <w:p w14:paraId="6DB1CDA8" w14:textId="08693967" w:rsidR="00BE004C" w:rsidRPr="00CC0EB6" w:rsidRDefault="00BE004C" w:rsidP="0099451A">
      <w:r w:rsidRPr="00CC0EB6">
        <w:t xml:space="preserve">Routine and additional pharmacovigilance activities are proposed. Additional pharmacovigilance </w:t>
      </w:r>
      <w:r w:rsidR="00F00D41">
        <w:t xml:space="preserve">activity </w:t>
      </w:r>
      <w:r w:rsidRPr="00CC0EB6">
        <w:t>includes study CB8025-31731-RE (ASSURE) to further characterise the important potential risk and missing information. At round 2, study CB8025-21838 has been removed due to completion. The pharmacovigilance plan is acceptable from an RMP perspective.</w:t>
      </w:r>
    </w:p>
    <w:p w14:paraId="592B960C" w14:textId="77777777" w:rsidR="00BE004C" w:rsidRPr="00C70CAE" w:rsidRDefault="00BE004C" w:rsidP="0099451A">
      <w:r w:rsidRPr="00CC0EB6">
        <w:t>Only routine risk minimisation activities have been proposed, and the risk minimisation plan is acceptable from an RMP perspective.</w:t>
      </w:r>
    </w:p>
    <w:p w14:paraId="456C7934" w14:textId="6D1DAADC" w:rsidR="00FA1BC9" w:rsidRDefault="00FA1BC9" w:rsidP="0099451A">
      <w:bookmarkStart w:id="71" w:name="_Toc103679299"/>
      <w:r w:rsidRPr="00BD5DBD">
        <w:t xml:space="preserve">Further information regarding the TGA’s risk management approach can be found in </w:t>
      </w:r>
      <w:hyperlink r:id="rId27" w:history="1">
        <w:r w:rsidRPr="00BD5DBD">
          <w:rPr>
            <w:rStyle w:val="Hyperlink"/>
            <w:szCs w:val="22"/>
          </w:rPr>
          <w:t>risk management plans for medicines and biologicals</w:t>
        </w:r>
      </w:hyperlink>
      <w:r w:rsidRPr="00BD5DBD">
        <w:t xml:space="preserve"> and </w:t>
      </w:r>
      <w:hyperlink r:id="rId28" w:history="1">
        <w:r w:rsidRPr="00BD5DBD">
          <w:rPr>
            <w:rStyle w:val="Hyperlink"/>
            <w:szCs w:val="22"/>
          </w:rPr>
          <w:t>the TGA's risk management approach</w:t>
        </w:r>
      </w:hyperlink>
      <w:r w:rsidRPr="00BD5DBD">
        <w:t xml:space="preserve">. Information on the </w:t>
      </w:r>
      <w:hyperlink r:id="rId29" w:history="1">
        <w:r w:rsidRPr="00BD5DBD">
          <w:rPr>
            <w:rStyle w:val="Hyperlink"/>
            <w:szCs w:val="22"/>
          </w:rPr>
          <w:t>Australia</w:t>
        </w:r>
        <w:r w:rsidR="00C57CEA">
          <w:rPr>
            <w:rStyle w:val="Hyperlink"/>
            <w:szCs w:val="22"/>
          </w:rPr>
          <w:t>-</w:t>
        </w:r>
        <w:r w:rsidRPr="00BD5DBD">
          <w:rPr>
            <w:rStyle w:val="Hyperlink"/>
            <w:szCs w:val="22"/>
          </w:rPr>
          <w:t>specific annex</w:t>
        </w:r>
      </w:hyperlink>
      <w:r w:rsidRPr="00BD5DBD">
        <w:t xml:space="preserve"> (</w:t>
      </w:r>
      <w:hyperlink r:id="rId30" w:history="1">
        <w:r w:rsidRPr="00BD5DBD">
          <w:rPr>
            <w:rStyle w:val="Hyperlink"/>
            <w:szCs w:val="22"/>
          </w:rPr>
          <w:t>ASA</w:t>
        </w:r>
      </w:hyperlink>
      <w:r w:rsidRPr="00BD5DBD">
        <w:t>) can be found on the TGA website.</w:t>
      </w:r>
    </w:p>
    <w:p w14:paraId="74A4F87F" w14:textId="77777777" w:rsidR="00C22214" w:rsidRDefault="00C22214" w:rsidP="0099451A">
      <w:pPr>
        <w:pStyle w:val="Heading3"/>
      </w:pPr>
      <w:bookmarkStart w:id="72" w:name="_Toc233197022"/>
      <w:r>
        <w:t>Risk-benefit analysis</w:t>
      </w:r>
      <w:bookmarkEnd w:id="68"/>
      <w:bookmarkEnd w:id="69"/>
      <w:bookmarkEnd w:id="71"/>
      <w:bookmarkEnd w:id="72"/>
    </w:p>
    <w:p w14:paraId="77DE2655" w14:textId="77777777" w:rsidR="00C22214" w:rsidRDefault="00C22214" w:rsidP="0099451A">
      <w:pPr>
        <w:pStyle w:val="Heading4"/>
      </w:pPr>
      <w:bookmarkStart w:id="73" w:name="_Toc98931932"/>
      <w:bookmarkStart w:id="74" w:name="_Toc233197023"/>
      <w:r>
        <w:t>Delegate’s considerations</w:t>
      </w:r>
      <w:bookmarkEnd w:id="73"/>
      <w:bookmarkEnd w:id="74"/>
    </w:p>
    <w:p w14:paraId="3BA2412D" w14:textId="397FC35A" w:rsidR="00F40EEE" w:rsidRPr="001E0131" w:rsidRDefault="00130503" w:rsidP="0099451A">
      <w:pPr>
        <w:rPr>
          <w:lang w:eastAsia="ja-JP"/>
        </w:rPr>
      </w:pPr>
      <w:r w:rsidRPr="001E0131">
        <w:t>The sponsor is seeking to</w:t>
      </w:r>
      <w:r w:rsidRPr="001E0131">
        <w:rPr>
          <w:lang w:eastAsia="ja-JP"/>
        </w:rPr>
        <w:t xml:space="preserve"> register </w:t>
      </w:r>
      <w:proofErr w:type="spellStart"/>
      <w:r w:rsidRPr="001E0131">
        <w:rPr>
          <w:lang w:eastAsia="ja-JP"/>
        </w:rPr>
        <w:t>seladelpar</w:t>
      </w:r>
      <w:proofErr w:type="spellEnd"/>
      <w:r w:rsidRPr="001E0131">
        <w:rPr>
          <w:lang w:eastAsia="ja-JP"/>
        </w:rPr>
        <w:t xml:space="preserve"> for the proposed indication</w:t>
      </w:r>
      <w:r w:rsidR="00FB3C9B" w:rsidRPr="001E0131">
        <w:rPr>
          <w:lang w:eastAsia="ja-JP"/>
        </w:rPr>
        <w:t>:</w:t>
      </w:r>
    </w:p>
    <w:p w14:paraId="643EDFA8" w14:textId="53F21D3D" w:rsidR="00130503" w:rsidRPr="0099451A" w:rsidRDefault="00130503" w:rsidP="0099451A">
      <w:pPr>
        <w:ind w:left="720"/>
        <w:rPr>
          <w:i/>
          <w:iCs/>
        </w:rPr>
      </w:pPr>
      <w:proofErr w:type="spellStart"/>
      <w:r w:rsidRPr="0099451A">
        <w:rPr>
          <w:i/>
          <w:iCs/>
        </w:rPr>
        <w:lastRenderedPageBreak/>
        <w:t>Seladelpar</w:t>
      </w:r>
      <w:proofErr w:type="spellEnd"/>
      <w:r w:rsidRPr="0099451A">
        <w:rPr>
          <w:i/>
          <w:iCs/>
        </w:rPr>
        <w:t xml:space="preserve"> is indicated for the treatment of primary biliary cholangitis (PBC), including pruritus, in adults in combination with ursodeoxycholic Acid (UDCA) who have an inadequate response to UDCA alone, or as monotherapy in those unable to tolerate UDCA.</w:t>
      </w:r>
    </w:p>
    <w:p w14:paraId="5B170D8A" w14:textId="20CBE6CF" w:rsidR="00130503" w:rsidRPr="00996BC3" w:rsidRDefault="00130503" w:rsidP="0099451A">
      <w:pPr>
        <w:rPr>
          <w:b/>
          <w:bCs/>
        </w:rPr>
      </w:pPr>
      <w:r>
        <w:t xml:space="preserve">The sponsor has sought a full registration of </w:t>
      </w:r>
      <w:proofErr w:type="spellStart"/>
      <w:r>
        <w:t>seladelpar</w:t>
      </w:r>
      <w:proofErr w:type="spellEnd"/>
      <w:r>
        <w:t xml:space="preserve"> in Australia. </w:t>
      </w:r>
      <w:proofErr w:type="spellStart"/>
      <w:r>
        <w:t>Seladelpar</w:t>
      </w:r>
      <w:proofErr w:type="spellEnd"/>
      <w:r>
        <w:t xml:space="preserve"> has only been granted conditional marketing approval by the EMA and was granted accelerated approval by the FDA. Both the EMA and the FDA have requested evidence for </w:t>
      </w:r>
      <w:proofErr w:type="spellStart"/>
      <w:r>
        <w:t>selad</w:t>
      </w:r>
      <w:r w:rsidR="008A0C68">
        <w:t>el</w:t>
      </w:r>
      <w:r>
        <w:t>par</w:t>
      </w:r>
      <w:proofErr w:type="spellEnd"/>
      <w:r>
        <w:t xml:space="preserve"> to demonstrate efficacy for hepatic survival endpoints before full approval. This is particularly relevant as </w:t>
      </w:r>
      <w:proofErr w:type="spellStart"/>
      <w:r>
        <w:t>obeticholic</w:t>
      </w:r>
      <w:proofErr w:type="spellEnd"/>
      <w:r>
        <w:t xml:space="preserve"> acid (</w:t>
      </w:r>
      <w:proofErr w:type="spellStart"/>
      <w:r>
        <w:t>Ocaliva</w:t>
      </w:r>
      <w:proofErr w:type="spellEnd"/>
      <w:r>
        <w:t xml:space="preserve">) had failed to demonstrate benefit in a confirmatory phase 4 study COBALT evaluating the clinical outcomes of </w:t>
      </w:r>
      <w:proofErr w:type="spellStart"/>
      <w:r>
        <w:t>obeticholic</w:t>
      </w:r>
      <w:proofErr w:type="spellEnd"/>
      <w:r>
        <w:t xml:space="preserve"> acid in </w:t>
      </w:r>
      <w:proofErr w:type="spellStart"/>
      <w:r>
        <w:t>PBC</w:t>
      </w:r>
      <w:proofErr w:type="spellEnd"/>
      <w:r>
        <w:t xml:space="preserve"> patients.  However, it is noted that the trial was underpowered, and </w:t>
      </w:r>
      <w:proofErr w:type="gramStart"/>
      <w:r>
        <w:t>the majority of</w:t>
      </w:r>
      <w:proofErr w:type="gramEnd"/>
      <w:r>
        <w:t xml:space="preserve"> the patients had advanced liver disease. It is also noted that </w:t>
      </w:r>
      <w:proofErr w:type="spellStart"/>
      <w:r>
        <w:t>seladelpar</w:t>
      </w:r>
      <w:proofErr w:type="spellEnd"/>
      <w:r>
        <w:t xml:space="preserve"> is a </w:t>
      </w:r>
      <w:r w:rsidRPr="0059361A">
        <w:t xml:space="preserve">selective </w:t>
      </w:r>
      <w:proofErr w:type="spellStart"/>
      <w:r w:rsidRPr="0059361A">
        <w:t>PPARδ</w:t>
      </w:r>
      <w:proofErr w:type="spellEnd"/>
      <w:r w:rsidRPr="0059361A">
        <w:t xml:space="preserve"> agonis</w:t>
      </w:r>
      <w:r>
        <w:t xml:space="preserve">t and thus is mechanistically different to </w:t>
      </w:r>
      <w:proofErr w:type="spellStart"/>
      <w:r>
        <w:t>obeticholic</w:t>
      </w:r>
      <w:proofErr w:type="spellEnd"/>
      <w:r>
        <w:t xml:space="preserve"> acid</w:t>
      </w:r>
      <w:r w:rsidR="00B460FE">
        <w:t>,</w:t>
      </w:r>
      <w:r>
        <w:t xml:space="preserve"> which is a </w:t>
      </w:r>
      <w:proofErr w:type="spellStart"/>
      <w:r>
        <w:t>farsenoid</w:t>
      </w:r>
      <w:proofErr w:type="spellEnd"/>
      <w:r>
        <w:t xml:space="preserve"> x receptor agonist. Therefore, the issues affecting </w:t>
      </w:r>
      <w:proofErr w:type="spellStart"/>
      <w:r>
        <w:t>obeticholic</w:t>
      </w:r>
      <w:proofErr w:type="spellEnd"/>
      <w:r>
        <w:t xml:space="preserve"> acid may not be directly associated with the benefit risk profile of </w:t>
      </w:r>
      <w:proofErr w:type="spellStart"/>
      <w:r>
        <w:t>seladelpar</w:t>
      </w:r>
      <w:proofErr w:type="spellEnd"/>
      <w:r>
        <w:t>.</w:t>
      </w:r>
    </w:p>
    <w:p w14:paraId="28B1986E" w14:textId="64E0DF30" w:rsidR="000F03C6" w:rsidRDefault="00130503" w:rsidP="0099451A">
      <w:r>
        <w:rPr>
          <w:rFonts w:eastAsia="TimesNewRoman" w:cs="TimesNewRoman"/>
        </w:rPr>
        <w:t xml:space="preserve">The single pivotal study </w:t>
      </w:r>
      <w:r w:rsidRPr="00E34C88">
        <w:t>CB8025-32048 (RESPONSE)</w:t>
      </w:r>
      <w:r>
        <w:rPr>
          <w:b/>
          <w:bCs/>
        </w:rPr>
        <w:t xml:space="preserve"> </w:t>
      </w:r>
      <w:r>
        <w:t xml:space="preserve">enrolled adult patients with PBC who have been on </w:t>
      </w:r>
      <w:r w:rsidR="004C20EB">
        <w:t xml:space="preserve">UDCA </w:t>
      </w:r>
      <w:r>
        <w:t xml:space="preserve">for at least 12 months or intolerant to </w:t>
      </w:r>
      <w:r w:rsidR="00022A19">
        <w:t>UDCA</w:t>
      </w:r>
      <w:r>
        <w:t xml:space="preserve">.  In Study </w:t>
      </w:r>
      <w:proofErr w:type="spellStart"/>
      <w:r w:rsidRPr="00E34C88">
        <w:t>CB8025</w:t>
      </w:r>
      <w:proofErr w:type="spellEnd"/>
      <w:r w:rsidRPr="00E34C88">
        <w:t xml:space="preserve">-32048 </w:t>
      </w:r>
      <w:proofErr w:type="spellStart"/>
      <w:r>
        <w:t>seladelpar</w:t>
      </w:r>
      <w:proofErr w:type="spellEnd"/>
      <w:r>
        <w:t xml:space="preserve"> treatment led to</w:t>
      </w:r>
      <w:r w:rsidRPr="00E34C88">
        <w:t xml:space="preserve"> a statistically significant biochemical response at Week 52, defined as ALP &lt;1.67 x ULN, TB ≤ULN, and ALP decrease ≥15%. At week 52, the proportion of responders were 79/128 (61.7%) in the </w:t>
      </w:r>
      <w:proofErr w:type="spellStart"/>
      <w:r w:rsidRPr="00E34C88">
        <w:t>seladelpar</w:t>
      </w:r>
      <w:proofErr w:type="spellEnd"/>
      <w:r w:rsidRPr="00E34C88">
        <w:t xml:space="preserve"> group and 13/65 (20%) in the placebo group, a difference of 41.7% (95% CI: 27.7, 53.4, p&lt;0.0001).</w:t>
      </w:r>
      <w:r>
        <w:t xml:space="preserve"> However biochemical response remains a surrogate marker for clinical outcomes in </w:t>
      </w:r>
      <w:proofErr w:type="spellStart"/>
      <w:r>
        <w:t>PBC</w:t>
      </w:r>
      <w:proofErr w:type="spellEnd"/>
      <w:r>
        <w:t>.</w:t>
      </w:r>
    </w:p>
    <w:p w14:paraId="7CDC032B" w14:textId="14C97BD7" w:rsidR="004427A8" w:rsidRDefault="00130503" w:rsidP="0099451A">
      <w:r>
        <w:t xml:space="preserve">The latest EMA guidance on PBC which was reviewed in the evaluation of </w:t>
      </w:r>
      <w:proofErr w:type="spellStart"/>
      <w:r>
        <w:t>seladelpar</w:t>
      </w:r>
      <w:proofErr w:type="spellEnd"/>
      <w:r>
        <w:t xml:space="preserve"> states </w:t>
      </w:r>
      <w:r w:rsidR="000F03C6">
        <w:t>‘</w:t>
      </w:r>
      <w:r>
        <w:t>at present, it has only been demonstrated for the natural history, as well as for UDCA, that the reduction of ALP and bilirubin leads to an overall improved outcome with regard to the development of end-stage liver disease, decompensation, liver transplantation and death. Whereas on one hand a primary endpoint based on these markers is considered acceptable, on the other hand it needs to be supported by additional secondary clinical endpoints.</w:t>
      </w:r>
      <w:r w:rsidR="00627540">
        <w:t>’</w:t>
      </w:r>
    </w:p>
    <w:p w14:paraId="1E6F5B59" w14:textId="4B6CF136" w:rsidR="00130503" w:rsidRDefault="00130503" w:rsidP="0099451A">
      <w:proofErr w:type="spellStart"/>
      <w:r>
        <w:t>Seladelpar</w:t>
      </w:r>
      <w:proofErr w:type="spellEnd"/>
      <w:r>
        <w:t xml:space="preserve"> was able to demonstrate that t</w:t>
      </w:r>
      <w:r w:rsidRPr="0015398E">
        <w:t>he first multiplicity controlled key secondary endpoint, normali</w:t>
      </w:r>
      <w:r w:rsidR="00B2120F">
        <w:t>s</w:t>
      </w:r>
      <w:r w:rsidRPr="0015398E">
        <w:t xml:space="preserve">ation of ALP at week 52, was reached by 32/128 (25%) of the </w:t>
      </w:r>
      <w:proofErr w:type="spellStart"/>
      <w:r w:rsidRPr="0015398E">
        <w:t>seladelpar</w:t>
      </w:r>
      <w:proofErr w:type="spellEnd"/>
      <w:r w:rsidRPr="0015398E">
        <w:t>-treated participants and 0/65 (0%) of the placebo treated participants (difference 25% [18.3, 33.2], p&lt;0.0001).</w:t>
      </w:r>
      <w:r>
        <w:t xml:space="preserve"> A small reduction in bilirubin levels was also demonstrated, however the majority of PBC patients had normal bilirubin levels at baseline.</w:t>
      </w:r>
    </w:p>
    <w:p w14:paraId="3110349B" w14:textId="286865AF" w:rsidR="00130503" w:rsidRPr="001832B0" w:rsidRDefault="00130503" w:rsidP="0099451A">
      <w:r>
        <w:t>While ALP and bilirubin levels are surrogate endpoints for PBC clinical outcomes, liver specific guidelines support the use of ALP and bilirubin as predictors of prognosis as well as in prognostic models. Specifically</w:t>
      </w:r>
      <w:r w:rsidR="00F23BCB">
        <w:t>,</w:t>
      </w:r>
      <w:r>
        <w:t xml:space="preserve"> ALP</w:t>
      </w:r>
      <w:r w:rsidR="009B414B">
        <w:t>,</w:t>
      </w:r>
      <w:r>
        <w:t xml:space="preserve"> which has been shown to correlate with ductopenia and liver inflammation, is thought to be a reliable predictor of prognosis, and validated prognostic models such as the GLOBE score developed for PBC includes bilirubin and ALP as variables, along with age, albumin and platelet count (AASLD practice guidance 2019 and 2021). The standard clinical practice of monitoring response to therapy is also primarily based </w:t>
      </w:r>
      <w:r w:rsidR="00F23BCB">
        <w:t xml:space="preserve">on </w:t>
      </w:r>
      <w:r>
        <w:t xml:space="preserve">ALP and bilirubin monitoring, with classification of patients as responders or non-responders based on these two biochemical markers at scheduled follow-up timepoints. Prognostic scores such as the GLOBE score </w:t>
      </w:r>
      <w:r w:rsidR="007668A9">
        <w:t>are</w:t>
      </w:r>
      <w:r>
        <w:t xml:space="preserve"> then used to predict patients at increased risk of progression to death or liver transplantation. UCDA, the first line therapy for PBC, was approved for PBC treatment based on trials assessing bilirubin and ALP levels.</w:t>
      </w:r>
    </w:p>
    <w:p w14:paraId="55BEFEE4" w14:textId="7599D040" w:rsidR="00130503" w:rsidRDefault="00130503" w:rsidP="0099451A">
      <w:pPr>
        <w:rPr>
          <w:color w:val="000000" w:themeColor="text1"/>
        </w:rPr>
      </w:pPr>
      <w:r>
        <w:t xml:space="preserve">The EMA guidance also recommends use of supportive endpoints such as symptomatic response, non-invasive tests and liver histology. The sponsor studied </w:t>
      </w:r>
      <w:r w:rsidRPr="003007E6">
        <w:t>change from baseline to month 6 in weekly averaged pruritus NRS in patients with a baseline pruritus score of ≥4</w:t>
      </w:r>
      <w:r>
        <w:t xml:space="preserve"> which was a </w:t>
      </w:r>
      <w:r w:rsidRPr="003007E6">
        <w:t xml:space="preserve">second multiplicity controlled key secondary endpoint, </w:t>
      </w:r>
      <w:r>
        <w:t>which</w:t>
      </w:r>
      <w:r w:rsidRPr="003007E6">
        <w:t xml:space="preserve"> was significantly better in the </w:t>
      </w:r>
      <w:proofErr w:type="spellStart"/>
      <w:r w:rsidRPr="003007E6">
        <w:lastRenderedPageBreak/>
        <w:t>seladelpar</w:t>
      </w:r>
      <w:proofErr w:type="spellEnd"/>
      <w:r w:rsidRPr="003007E6">
        <w:t xml:space="preserve"> group than the placebo group with a LS mean (SE) -3.2 (0.28) vs -1.7 (0.41), difference -1.5 (-2.5, -0.5), P=0.0047)</w:t>
      </w:r>
      <w:r>
        <w:t xml:space="preserve"> compared to placebo. Additionally exploratory endpoints of </w:t>
      </w:r>
      <w:r w:rsidRPr="00AF4E55">
        <w:t>changes in the Itch Domain of the PBC-40 QoL</w:t>
      </w:r>
      <w:r>
        <w:t xml:space="preserve"> from baseline to month 6 favoured </w:t>
      </w:r>
      <w:proofErr w:type="spellStart"/>
      <w:r>
        <w:t>seladelpar</w:t>
      </w:r>
      <w:proofErr w:type="spellEnd"/>
      <w:r w:rsidRPr="000D525A">
        <w:rPr>
          <w:color w:val="000000" w:themeColor="text1"/>
        </w:rPr>
        <w:t>.</w:t>
      </w:r>
      <w:r>
        <w:rPr>
          <w:color w:val="000000" w:themeColor="text1"/>
        </w:rPr>
        <w:t xml:space="preserve"> The sponsor provided evidence to support the responsiveness, test-retest reliability, convergent validity, </w:t>
      </w:r>
      <w:r>
        <w:rPr>
          <w:sz w:val="23"/>
          <w:szCs w:val="23"/>
        </w:rPr>
        <w:t xml:space="preserve">discriminant validity, and known-groups validity for the Pruritus NRS in patients with PBC. </w:t>
      </w:r>
      <w:r>
        <w:rPr>
          <w:color w:val="000000" w:themeColor="text1"/>
        </w:rPr>
        <w:t>T</w:t>
      </w:r>
      <w:r w:rsidRPr="000D525A">
        <w:rPr>
          <w:color w:val="000000" w:themeColor="text1"/>
        </w:rPr>
        <w:t>here was no significant change in liver stiffness or histology results between treatment groups although patient numbers with these results were small.</w:t>
      </w:r>
    </w:p>
    <w:p w14:paraId="1B454FD7" w14:textId="2536C473" w:rsidR="00130503" w:rsidRPr="000069C3" w:rsidRDefault="00130503" w:rsidP="0099451A">
      <w:r>
        <w:t xml:space="preserve">Overall, the pivotal study did not provide efficacy data for measurable clinical outcomes in PBC such as time to progression to end stage liver disease as recommended in the updated EMA reflection for PBC.  Additionally, </w:t>
      </w:r>
      <w:r w:rsidR="00125250" w:rsidRPr="00125250">
        <w:t xml:space="preserve">efficacy data beyond one year are available from open-label studies of </w:t>
      </w:r>
      <w:proofErr w:type="spellStart"/>
      <w:r w:rsidR="00125250" w:rsidRPr="00125250">
        <w:t>seladelpar</w:t>
      </w:r>
      <w:proofErr w:type="spellEnd"/>
      <w:r w:rsidR="00125250" w:rsidRPr="00125250">
        <w:t>.</w:t>
      </w:r>
      <w:r>
        <w:t xml:space="preserve"> </w:t>
      </w:r>
      <w:proofErr w:type="spellStart"/>
      <w:r>
        <w:t>Seladelpar</w:t>
      </w:r>
      <w:proofErr w:type="spellEnd"/>
      <w:r>
        <w:t xml:space="preserve"> has been granted accelerated approval in the United States (equivalent to our provisional registration) and conditional marketing authorisation in Europe. These decisions reflect the fact that the impact of </w:t>
      </w:r>
      <w:proofErr w:type="spellStart"/>
      <w:r>
        <w:t>seladelpar</w:t>
      </w:r>
      <w:proofErr w:type="spellEnd"/>
      <w:r>
        <w:t xml:space="preserve"> on long-term liver survival for patients with PBC is still uncertain. To support the long-term efficacy and data on event-free survival the sponsor is conducting an </w:t>
      </w:r>
      <w:r w:rsidRPr="00637B4D">
        <w:t>ongoing 3-year study CB8025-41837</w:t>
      </w:r>
      <w:r w:rsidR="00A46D81">
        <w:t>,</w:t>
      </w:r>
      <w:r w:rsidRPr="00637B4D">
        <w:t xml:space="preserve"> which includes patients with moderate hepatic impairment.</w:t>
      </w:r>
      <w:r>
        <w:t xml:space="preserve"> It is also noted by the Delegate that at the time of the conception of the clinical program the EMA guidance had not yet been updated and this has not yet been adopted by the TGA.</w:t>
      </w:r>
    </w:p>
    <w:p w14:paraId="4D14AADE" w14:textId="15158A14" w:rsidR="00130503" w:rsidRDefault="00130503" w:rsidP="0099451A">
      <w:r>
        <w:t>The sponsor proposes to include ‘prurit</w:t>
      </w:r>
      <w:r w:rsidR="00652C90">
        <w:t>u</w:t>
      </w:r>
      <w:r>
        <w:t>s’ in the wording of the indication. This is not appropriate as prurit</w:t>
      </w:r>
      <w:r w:rsidR="00652C90">
        <w:t>u</w:t>
      </w:r>
      <w:r>
        <w:t>s was studied as a secondary endpoint and while efficacy and safety results can be outlined in the product information, it should not in general be included in the indication</w:t>
      </w:r>
      <w:r w:rsidRPr="00B636C0">
        <w:t>.</w:t>
      </w:r>
    </w:p>
    <w:p w14:paraId="2CEBF698" w14:textId="2457DCF8" w:rsidR="00130503" w:rsidRDefault="00130503" w:rsidP="0099451A">
      <w:pPr>
        <w:rPr>
          <w:b/>
          <w:bCs/>
        </w:rPr>
      </w:pPr>
      <w:r>
        <w:t xml:space="preserve">The pivotal study duration was 1 year, in contrast to the recommended 2 years duration with the EMA reflection paper published in 2023. The sponsor stated that this updated EMA guidance was published after the commencement of the pivotal trial, and that </w:t>
      </w:r>
      <w:r>
        <w:rPr>
          <w:sz w:val="23"/>
          <w:szCs w:val="23"/>
        </w:rPr>
        <w:t>twelve months was selected as the study duration after discussions with multiple stakeholders with the FDA and EMA. The sponsor also discussed that this length of time has been standard for the primary endpoint used in registrational PBC trials for other second-line agents.</w:t>
      </w:r>
    </w:p>
    <w:p w14:paraId="735FE6EE" w14:textId="4AF78664" w:rsidR="00130503" w:rsidRPr="00AD238D" w:rsidRDefault="00130503" w:rsidP="0099451A">
      <w:r>
        <w:t xml:space="preserve">Consistent with the relative rarity of </w:t>
      </w:r>
      <w:r w:rsidR="008A5A4E">
        <w:t xml:space="preserve">UDCA </w:t>
      </w:r>
      <w:r>
        <w:t xml:space="preserve">intolerance, the pivotal study only included a small number of patients who were </w:t>
      </w:r>
      <w:r w:rsidR="008A5A4E">
        <w:t xml:space="preserve">UDCA </w:t>
      </w:r>
      <w:r>
        <w:t xml:space="preserve">intolerant (6.2%); 8 received </w:t>
      </w:r>
      <w:proofErr w:type="spellStart"/>
      <w:r>
        <w:t>seladelpar</w:t>
      </w:r>
      <w:proofErr w:type="spellEnd"/>
      <w:r>
        <w:t xml:space="preserve"> and 4 received placebo. In the pooled analysis there were 22 patients in total</w:t>
      </w:r>
      <w:r w:rsidR="00840EB3">
        <w:t>,</w:t>
      </w:r>
      <w:r>
        <w:t xml:space="preserve"> of which 16 received </w:t>
      </w:r>
      <w:proofErr w:type="spellStart"/>
      <w:r>
        <w:t>seladelpar</w:t>
      </w:r>
      <w:proofErr w:type="spellEnd"/>
      <w:r>
        <w:t xml:space="preserve">. </w:t>
      </w:r>
      <w:r w:rsidR="00333057">
        <w:t>Eight</w:t>
      </w:r>
      <w:r>
        <w:t xml:space="preserve"> patients (50%) achieved a biochemical response compared to 1 (17%) in placebo, supporting the inclusion of </w:t>
      </w:r>
      <w:proofErr w:type="spellStart"/>
      <w:r>
        <w:t>seladelpar</w:t>
      </w:r>
      <w:proofErr w:type="spellEnd"/>
      <w:r>
        <w:t xml:space="preserve"> as a monotherapy for PBC patients despite the limited number of patients studied. The sponsor also studied the e</w:t>
      </w:r>
      <w:r w:rsidRPr="00F9509B">
        <w:t xml:space="preserve">fficacy of the monotherapy subpopulation in the open-label safety study </w:t>
      </w:r>
      <w:proofErr w:type="spellStart"/>
      <w:r w:rsidRPr="00F9509B">
        <w:t>CB8025</w:t>
      </w:r>
      <w:proofErr w:type="spellEnd"/>
      <w:r w:rsidRPr="00F9509B">
        <w:t>-31731-RE</w:t>
      </w:r>
      <w:r>
        <w:t>.</w:t>
      </w:r>
    </w:p>
    <w:p w14:paraId="4E5411C9" w14:textId="14EB8751" w:rsidR="00E80559" w:rsidRDefault="00130503" w:rsidP="0099451A">
      <w:r>
        <w:t xml:space="preserve">In the pivotal study, </w:t>
      </w:r>
      <w:proofErr w:type="spellStart"/>
      <w:r>
        <w:t>seladelpar</w:t>
      </w:r>
      <w:proofErr w:type="spellEnd"/>
      <w:r>
        <w:t xml:space="preserve"> had a relatively safe safety profile and a lower number of subjects experienced at least 1 liver-related TEA</w:t>
      </w:r>
      <w:r w:rsidR="00A035AD">
        <w:t>E</w:t>
      </w:r>
      <w:r>
        <w:t xml:space="preserve">s compared to the placebo group (8 (6.3%) vs 6 (9.2%)). </w:t>
      </w:r>
    </w:p>
    <w:p w14:paraId="412B1DC4" w14:textId="5A1766D8" w:rsidR="00130503" w:rsidRDefault="00130503" w:rsidP="0099451A">
      <w:r>
        <w:t>Of the 33 subjects from the legacy and CB8025-21838 studies who enrolled in study CB8025-31731-RE, 31 subjects (93.9%) with cirrhosis were classified as Child-Pugh A and 2 subjects (6.1%) as Child-Pugh B; 8 subjects (24.2%) had portal hypertension. However</w:t>
      </w:r>
      <w:r w:rsidR="00CB3AC6">
        <w:t>,</w:t>
      </w:r>
      <w:r>
        <w:t xml:space="preserve"> there was no safety data for </w:t>
      </w:r>
      <w:proofErr w:type="spellStart"/>
      <w:r>
        <w:t>seladelpar</w:t>
      </w:r>
      <w:proofErr w:type="spellEnd"/>
      <w:r>
        <w:t xml:space="preserve"> use in patients with moderate or severe hepatic impairment (Child Pugh Class B and C). The sponsor has addressed this in section 4.2 of the PI regarding special populations, where it is stated that </w:t>
      </w:r>
      <w:proofErr w:type="spellStart"/>
      <w:r>
        <w:t>seladelpar</w:t>
      </w:r>
      <w:proofErr w:type="spellEnd"/>
      <w:r>
        <w:t xml:space="preserve"> is not recommended for patients with decompensated cirrhosis and treatment discontinuation should be considered for patients who progresses to moderate or severe hepatic impairment. Additionally, the sponsor has commitments to the EMA as part of the conditional approval of </w:t>
      </w:r>
      <w:proofErr w:type="spellStart"/>
      <w:r>
        <w:t>seladelpar</w:t>
      </w:r>
      <w:proofErr w:type="spellEnd"/>
      <w:r>
        <w:t xml:space="preserve"> to provide long-term </w:t>
      </w:r>
      <w:r>
        <w:lastRenderedPageBreak/>
        <w:t xml:space="preserve">safety outcomes in patients with moderate hepatic impairment in the </w:t>
      </w:r>
      <w:r w:rsidR="00AD059F">
        <w:t>3-year</w:t>
      </w:r>
      <w:r>
        <w:t xml:space="preserve"> study </w:t>
      </w:r>
      <w:proofErr w:type="spellStart"/>
      <w:r>
        <w:t>CB8025</w:t>
      </w:r>
      <w:proofErr w:type="spellEnd"/>
      <w:r>
        <w:t>-41837 (AFFIRM).</w:t>
      </w:r>
    </w:p>
    <w:p w14:paraId="3916F296" w14:textId="77777777" w:rsidR="00C22214" w:rsidRDefault="00C22214" w:rsidP="0099451A">
      <w:pPr>
        <w:pStyle w:val="Heading4"/>
      </w:pPr>
      <w:bookmarkStart w:id="75" w:name="_Toc98931933"/>
      <w:bookmarkStart w:id="76" w:name="_Toc233197024"/>
      <w:r w:rsidRPr="00D23139">
        <w:t>Proposed action</w:t>
      </w:r>
      <w:bookmarkEnd w:id="75"/>
      <w:bookmarkEnd w:id="76"/>
    </w:p>
    <w:p w14:paraId="3A5DC12A" w14:textId="77777777" w:rsidR="00DD3518" w:rsidRPr="0090057B" w:rsidRDefault="00DD3518" w:rsidP="0099451A">
      <w:bookmarkStart w:id="77" w:name="_Toc98931934"/>
      <w:r w:rsidRPr="0090057B">
        <w:t xml:space="preserve">Pending advice from the Advisory Committee for Medicines, I propose to approve the registration of </w:t>
      </w:r>
      <w:proofErr w:type="spellStart"/>
      <w:r>
        <w:t>seladelpar</w:t>
      </w:r>
      <w:proofErr w:type="spellEnd"/>
      <w:r w:rsidRPr="0090057B">
        <w:t xml:space="preserve"> for the following indication, subject to conditions and agreement on an appropriate PI:</w:t>
      </w:r>
    </w:p>
    <w:p w14:paraId="39C82C71" w14:textId="1A2E4E13" w:rsidR="00DD3518" w:rsidRPr="0099451A" w:rsidRDefault="00C30324" w:rsidP="0099451A">
      <w:pPr>
        <w:ind w:left="720"/>
        <w:rPr>
          <w:i/>
          <w:iCs/>
        </w:rPr>
      </w:pPr>
      <w:proofErr w:type="spellStart"/>
      <w:r w:rsidRPr="0099451A">
        <w:rPr>
          <w:i/>
          <w:iCs/>
        </w:rPr>
        <w:t>S</w:t>
      </w:r>
      <w:r w:rsidR="00DD3518" w:rsidRPr="0099451A">
        <w:rPr>
          <w:i/>
          <w:iCs/>
        </w:rPr>
        <w:t>eladelpar</w:t>
      </w:r>
      <w:proofErr w:type="spellEnd"/>
      <w:r w:rsidR="00DD3518" w:rsidRPr="0099451A">
        <w:rPr>
          <w:i/>
          <w:iCs/>
        </w:rPr>
        <w:t xml:space="preserve"> is indicated for the treatment of primary biliary cholangitis (PBC), in adults in combination with ursodeoxycholic Acid (UDCA) who have an inadequate response to UDCA alone, or as monotherapy in those unable to tolerate UDCA.</w:t>
      </w:r>
    </w:p>
    <w:p w14:paraId="5D065D1A" w14:textId="0D743C15" w:rsidR="00DD3518" w:rsidRPr="00CA5F6C" w:rsidRDefault="00DD3518" w:rsidP="0099451A">
      <w:pPr>
        <w:pStyle w:val="Heading5"/>
      </w:pPr>
      <w:r>
        <w:t>Proposed conditions of registration</w:t>
      </w:r>
    </w:p>
    <w:p w14:paraId="582E837D" w14:textId="32D01007" w:rsidR="00DD3518" w:rsidRPr="0099451A" w:rsidRDefault="00DD3518" w:rsidP="0099451A">
      <w:r w:rsidRPr="00CA5F6C">
        <w:rPr>
          <w:lang w:eastAsia="zh-CN"/>
        </w:rPr>
        <w:t xml:space="preserve">The </w:t>
      </w:r>
      <w:r>
        <w:rPr>
          <w:lang w:eastAsia="zh-CN"/>
        </w:rPr>
        <w:t xml:space="preserve">interim and </w:t>
      </w:r>
      <w:proofErr w:type="gramStart"/>
      <w:r w:rsidRPr="00CA5F6C">
        <w:rPr>
          <w:lang w:eastAsia="zh-CN"/>
        </w:rPr>
        <w:t>final results</w:t>
      </w:r>
      <w:proofErr w:type="gramEnd"/>
      <w:r w:rsidRPr="00CA5F6C">
        <w:rPr>
          <w:lang w:eastAsia="zh-CN"/>
        </w:rPr>
        <w:t xml:space="preserve"> of the </w:t>
      </w:r>
      <w:r>
        <w:rPr>
          <w:lang w:eastAsia="zh-CN"/>
        </w:rPr>
        <w:t xml:space="preserve">ongoing </w:t>
      </w:r>
      <w:r w:rsidRPr="00CA5F6C">
        <w:rPr>
          <w:lang w:eastAsia="zh-CN"/>
        </w:rPr>
        <w:t xml:space="preserve">phase III </w:t>
      </w:r>
      <w:r>
        <w:rPr>
          <w:lang w:eastAsia="zh-CN"/>
        </w:rPr>
        <w:t>study (C</w:t>
      </w:r>
      <w:r w:rsidRPr="006F7944">
        <w:rPr>
          <w:lang w:eastAsia="zh-CN"/>
        </w:rPr>
        <w:t>B8025-41837</w:t>
      </w:r>
      <w:r w:rsidRPr="00CA5F6C">
        <w:rPr>
          <w:lang w:eastAsia="zh-CN"/>
        </w:rPr>
        <w:t>) should be provided to the TGA when they are available</w:t>
      </w:r>
      <w:r>
        <w:rPr>
          <w:lang w:eastAsia="zh-CN"/>
        </w:rPr>
        <w:t xml:space="preserve"> to allow appropriate evaluation of updated efficacy and safety data.</w:t>
      </w:r>
    </w:p>
    <w:p w14:paraId="0D171812" w14:textId="4744F454" w:rsidR="00C22214" w:rsidRDefault="00C22214" w:rsidP="0099451A">
      <w:pPr>
        <w:pStyle w:val="Heading3"/>
      </w:pPr>
      <w:bookmarkStart w:id="78" w:name="_Toc233197025"/>
      <w:bookmarkEnd w:id="77"/>
      <w:r>
        <w:t>Independent expert advice</w:t>
      </w:r>
      <w:bookmarkEnd w:id="78"/>
    </w:p>
    <w:p w14:paraId="4A031B64" w14:textId="77777777" w:rsidR="00C22214" w:rsidRDefault="00C22214" w:rsidP="0099451A">
      <w:r w:rsidRPr="00BD5DBD">
        <w:t>The Delegate received the following independent expert advice.</w:t>
      </w:r>
    </w:p>
    <w:p w14:paraId="318CFABC" w14:textId="082770AE" w:rsidR="00C22214" w:rsidRPr="00F73346" w:rsidRDefault="00C22214" w:rsidP="0099451A">
      <w:pPr>
        <w:pStyle w:val="Heading4"/>
      </w:pPr>
      <w:bookmarkStart w:id="79" w:name="_Toc98931936"/>
      <w:bookmarkStart w:id="80" w:name="_Toc247691532"/>
      <w:bookmarkStart w:id="81" w:name="_Toc314842516"/>
      <w:bookmarkStart w:id="82" w:name="_Toc233197026"/>
      <w:r w:rsidRPr="00F73346">
        <w:t>Advisory Committee</w:t>
      </w:r>
      <w:r w:rsidR="0076772A">
        <w:t xml:space="preserve"> on Medicines</w:t>
      </w:r>
      <w:r w:rsidRPr="00F73346">
        <w:t xml:space="preserve"> considerations</w:t>
      </w:r>
      <w:bookmarkEnd w:id="79"/>
      <w:bookmarkEnd w:id="82"/>
    </w:p>
    <w:p w14:paraId="087BB9CB" w14:textId="6F09479F" w:rsidR="00C22214" w:rsidRPr="00BD5DBD" w:rsidRDefault="00C22214" w:rsidP="0099451A">
      <w:r w:rsidRPr="00BD5DBD">
        <w:t xml:space="preserve">The </w:t>
      </w:r>
      <w:hyperlink r:id="rId31" w:history="1">
        <w:r w:rsidRPr="00BD5DBD">
          <w:rPr>
            <w:rStyle w:val="Hyperlink"/>
            <w:szCs w:val="22"/>
          </w:rPr>
          <w:t>Advisory Committee on Medicines (ACM)</w:t>
        </w:r>
      </w:hyperlink>
      <w:r w:rsidR="007017BA">
        <w:rPr>
          <w:color w:val="007099"/>
        </w:rPr>
        <w:t xml:space="preserve">, </w:t>
      </w:r>
      <w:r w:rsidRPr="00BD5DBD">
        <w:t>having considered the evaluations and the Delegate’s overview, as well as the sponsor’s response to these documents, advised the following.</w:t>
      </w:r>
    </w:p>
    <w:p w14:paraId="0D935CC4" w14:textId="77777777" w:rsidR="00C22214" w:rsidRDefault="00C22214" w:rsidP="0099451A">
      <w:pPr>
        <w:pStyle w:val="Heading5"/>
      </w:pPr>
      <w:r w:rsidRPr="00F73346">
        <w:t>Specific advice to the Delegate</w:t>
      </w:r>
    </w:p>
    <w:p w14:paraId="43CB07F5" w14:textId="780EF97B" w:rsidR="003E16D9" w:rsidRPr="003E16D9" w:rsidRDefault="003E16D9" w:rsidP="0099451A">
      <w:r w:rsidRPr="003E16D9">
        <w:t>The ACM advised the following in response to the Delegate’s specific request for advice:</w:t>
      </w:r>
    </w:p>
    <w:p w14:paraId="5EFD2AAD" w14:textId="5CD02117" w:rsidR="003E16D9" w:rsidRPr="0099451A" w:rsidRDefault="003E16D9" w:rsidP="0099451A">
      <w:pPr>
        <w:pStyle w:val="Numberbullet0"/>
        <w:numPr>
          <w:ilvl w:val="0"/>
          <w:numId w:val="34"/>
        </w:numPr>
        <w:rPr>
          <w:b/>
          <w:bCs/>
          <w:i/>
          <w:iCs/>
        </w:rPr>
      </w:pPr>
      <w:r w:rsidRPr="0099451A">
        <w:rPr>
          <w:b/>
          <w:bCs/>
          <w:i/>
          <w:iCs/>
        </w:rPr>
        <w:t xml:space="preserve">What is the ACM’s opinion regarding the selection of primary endpoint for the single pivotal phase III trial CB8025-32048 and its suitability to demonstrate long term efficacy for </w:t>
      </w:r>
      <w:proofErr w:type="spellStart"/>
      <w:r w:rsidRPr="0099451A">
        <w:rPr>
          <w:b/>
          <w:bCs/>
          <w:i/>
          <w:iCs/>
        </w:rPr>
        <w:t>seladelpar</w:t>
      </w:r>
      <w:proofErr w:type="spellEnd"/>
      <w:r w:rsidRPr="0099451A">
        <w:rPr>
          <w:b/>
          <w:bCs/>
          <w:i/>
          <w:iCs/>
        </w:rPr>
        <w:t>?</w:t>
      </w:r>
    </w:p>
    <w:p w14:paraId="10BBC7D2" w14:textId="16C06780" w:rsidR="003E16D9" w:rsidRPr="003E16D9" w:rsidRDefault="003E16D9" w:rsidP="0099451A">
      <w:r w:rsidRPr="003E16D9">
        <w:t>The ACM advised that the composite endpoint of ALP reduction and bilirubin normalisation is a suitable endpoint as a lower ALP (&lt;1.67 x the upper limit of normal) is associated with improved clinical outcomes and a lower risk of clinical progression. The ACM also noted that ALP reduction has been used as a primary endpoint in studies investigating similar medicines used to treat PBC, such as the ELATIVE (</w:t>
      </w:r>
      <w:proofErr w:type="spellStart"/>
      <w:r w:rsidRPr="003E16D9">
        <w:t>elafibranor</w:t>
      </w:r>
      <w:proofErr w:type="spellEnd"/>
      <w:r w:rsidRPr="003E16D9">
        <w:t>) and POISE (</w:t>
      </w:r>
      <w:proofErr w:type="spellStart"/>
      <w:r w:rsidRPr="003E16D9">
        <w:t>obeticholic</w:t>
      </w:r>
      <w:proofErr w:type="spellEnd"/>
      <w:r w:rsidRPr="003E16D9">
        <w:t xml:space="preserve"> acid) studies.</w:t>
      </w:r>
    </w:p>
    <w:p w14:paraId="0C3F69C7" w14:textId="70521D88" w:rsidR="003E16D9" w:rsidRPr="0099451A" w:rsidRDefault="003E16D9" w:rsidP="0099451A">
      <w:pPr>
        <w:pStyle w:val="Numberbullet0"/>
        <w:rPr>
          <w:b/>
          <w:bCs/>
          <w:i/>
          <w:iCs/>
        </w:rPr>
      </w:pPr>
      <w:r w:rsidRPr="0099451A">
        <w:rPr>
          <w:b/>
          <w:bCs/>
          <w:i/>
          <w:iCs/>
        </w:rPr>
        <w:t xml:space="preserve">Does ACM perceive that the totality of evidence provided by the sponsor is sufficient for the full registration for </w:t>
      </w:r>
      <w:proofErr w:type="spellStart"/>
      <w:r w:rsidRPr="0099451A">
        <w:rPr>
          <w:b/>
          <w:bCs/>
          <w:i/>
          <w:iCs/>
        </w:rPr>
        <w:t>seladelpar</w:t>
      </w:r>
      <w:proofErr w:type="spellEnd"/>
      <w:r w:rsidRPr="0099451A">
        <w:rPr>
          <w:b/>
          <w:bCs/>
          <w:i/>
          <w:iCs/>
        </w:rPr>
        <w:t xml:space="preserve"> (noting that the TGA does not have the regulatory pathway to allow the submission to result in a provisional registration outcome)?</w:t>
      </w:r>
    </w:p>
    <w:p w14:paraId="77C9BE06" w14:textId="6BDB9754" w:rsidR="003E16D9" w:rsidRPr="003E16D9" w:rsidRDefault="003E16D9" w:rsidP="0099451A">
      <w:r w:rsidRPr="003E16D9">
        <w:t xml:space="preserve">The ACM were satisfied that the results of ten Phase I, two Phase II, and three Phase III studies were sufficient to support the full registration of </w:t>
      </w:r>
      <w:proofErr w:type="spellStart"/>
      <w:r w:rsidRPr="003E16D9">
        <w:t>L</w:t>
      </w:r>
      <w:r w:rsidR="00DC4735">
        <w:t>ivdelzi</w:t>
      </w:r>
      <w:proofErr w:type="spellEnd"/>
      <w:r w:rsidRPr="003E16D9">
        <w:t xml:space="preserve">. The ACM considered the amount of available evidence to be comparable to that of other second line agents for </w:t>
      </w:r>
      <w:proofErr w:type="spellStart"/>
      <w:r w:rsidRPr="003E16D9">
        <w:t>PBC</w:t>
      </w:r>
      <w:proofErr w:type="spellEnd"/>
      <w:r w:rsidRPr="003E16D9">
        <w:t>.</w:t>
      </w:r>
    </w:p>
    <w:p w14:paraId="118BD801" w14:textId="1862AEC0" w:rsidR="003E16D9" w:rsidRPr="0099451A" w:rsidRDefault="003E16D9" w:rsidP="0099451A">
      <w:pPr>
        <w:pStyle w:val="Numberbullet0"/>
        <w:rPr>
          <w:b/>
          <w:bCs/>
          <w:i/>
          <w:iCs/>
        </w:rPr>
      </w:pPr>
      <w:r w:rsidRPr="0099451A">
        <w:rPr>
          <w:b/>
          <w:bCs/>
          <w:i/>
          <w:iCs/>
        </w:rPr>
        <w:t>Does the ACM support that the sponsor should provide results of any ongoing phase 3 studies to the TGA when available as a condition of registration?</w:t>
      </w:r>
    </w:p>
    <w:p w14:paraId="0685DD6F" w14:textId="657074C8" w:rsidR="003E16D9" w:rsidRPr="003E16D9" w:rsidRDefault="003E16D9" w:rsidP="0099451A">
      <w:r w:rsidRPr="003E16D9">
        <w:t xml:space="preserve">The ACM held the view that the data to date did not show a change in the long-term clinical outcomes of PBC when treated with </w:t>
      </w:r>
      <w:proofErr w:type="spellStart"/>
      <w:r w:rsidRPr="003E16D9">
        <w:t>L</w:t>
      </w:r>
      <w:r w:rsidR="00DC4735">
        <w:t>ivdelzi</w:t>
      </w:r>
      <w:proofErr w:type="spellEnd"/>
      <w:r w:rsidRPr="003E16D9">
        <w:t xml:space="preserve">. Therefore, the ACM were supportive that all </w:t>
      </w:r>
      <w:r w:rsidRPr="003E16D9">
        <w:lastRenderedPageBreak/>
        <w:t xml:space="preserve">available data should be shared with the TGA when the ongoing, long-term studies have concluded. The ACM were satisfied that this should be a condition of registration of </w:t>
      </w:r>
      <w:proofErr w:type="spellStart"/>
      <w:r w:rsidRPr="003E16D9">
        <w:t>L</w:t>
      </w:r>
      <w:r w:rsidR="00DC4735">
        <w:t>ivdelzi</w:t>
      </w:r>
      <w:proofErr w:type="spellEnd"/>
      <w:r w:rsidRPr="003E16D9">
        <w:t>.</w:t>
      </w:r>
    </w:p>
    <w:p w14:paraId="588C9C40" w14:textId="2238330E" w:rsidR="003E16D9" w:rsidRPr="0099451A" w:rsidRDefault="003E16D9" w:rsidP="0099451A">
      <w:pPr>
        <w:pStyle w:val="Numberbullet0"/>
        <w:rPr>
          <w:b/>
          <w:bCs/>
          <w:i/>
          <w:iCs/>
        </w:rPr>
      </w:pPr>
      <w:r w:rsidRPr="0099451A">
        <w:rPr>
          <w:b/>
          <w:bCs/>
          <w:i/>
          <w:iCs/>
        </w:rPr>
        <w:t xml:space="preserve">What is the ACM’s advice regarding the proposal by the sponsor to include </w:t>
      </w:r>
      <w:proofErr w:type="spellStart"/>
      <w:r w:rsidRPr="0099451A">
        <w:rPr>
          <w:b/>
          <w:bCs/>
          <w:i/>
          <w:iCs/>
        </w:rPr>
        <w:t>seladelpar</w:t>
      </w:r>
      <w:proofErr w:type="spellEnd"/>
      <w:r w:rsidRPr="0099451A">
        <w:rPr>
          <w:b/>
          <w:bCs/>
          <w:i/>
          <w:iCs/>
        </w:rPr>
        <w:t xml:space="preserve"> as monotherapy in adults unable to tolerate UDCA in the indication?</w:t>
      </w:r>
    </w:p>
    <w:p w14:paraId="0413848D" w14:textId="610B591B" w:rsidR="003E16D9" w:rsidRPr="003E16D9" w:rsidRDefault="003E16D9" w:rsidP="0099451A">
      <w:proofErr w:type="spellStart"/>
      <w:r w:rsidRPr="003E16D9">
        <w:t>L</w:t>
      </w:r>
      <w:r w:rsidR="00CA6A01">
        <w:t>ivdelzi</w:t>
      </w:r>
      <w:proofErr w:type="spellEnd"/>
      <w:r w:rsidRPr="003E16D9">
        <w:t xml:space="preserve"> is approved as a monotherapy in the US, EU and UK.</w:t>
      </w:r>
    </w:p>
    <w:p w14:paraId="7BD0D6B5" w14:textId="13918675" w:rsidR="003E16D9" w:rsidRPr="003E16D9" w:rsidRDefault="003E16D9" w:rsidP="0099451A">
      <w:r w:rsidRPr="003E16D9">
        <w:t xml:space="preserve">The ACM reviewed the limited data examining the biochemical response to </w:t>
      </w:r>
      <w:proofErr w:type="spellStart"/>
      <w:r w:rsidRPr="003E16D9">
        <w:t>L</w:t>
      </w:r>
      <w:r w:rsidR="00CA6A01">
        <w:t>ivdelzi</w:t>
      </w:r>
      <w:proofErr w:type="spellEnd"/>
      <w:r w:rsidR="00CA6A01">
        <w:t xml:space="preserve"> </w:t>
      </w:r>
      <w:r w:rsidRPr="003E16D9">
        <w:t>monotherapy that was contained in the RESPONSE and ENHANCE studies. These results showed an appropriate response to the monotherapy at 3 and 12 months.</w:t>
      </w:r>
    </w:p>
    <w:p w14:paraId="15C9D485" w14:textId="24E08D90" w:rsidR="003E16D9" w:rsidRPr="003E16D9" w:rsidRDefault="003E16D9" w:rsidP="0099451A">
      <w:r w:rsidRPr="003E16D9">
        <w:t xml:space="preserve">The ACM noted that the rare patients unable to tolerate UDCA would have a lack of treatment options which would likely lead to disease progression and potentially death. The ACM were satisfied that the available data, although limited, was acceptable to allow the use of </w:t>
      </w:r>
      <w:proofErr w:type="spellStart"/>
      <w:r w:rsidRPr="003E16D9">
        <w:t>L</w:t>
      </w:r>
      <w:r w:rsidR="00CA6A01">
        <w:t>ivdelzi</w:t>
      </w:r>
      <w:proofErr w:type="spellEnd"/>
      <w:r w:rsidRPr="003E16D9">
        <w:t xml:space="preserve"> as a monotherapy in this population.</w:t>
      </w:r>
    </w:p>
    <w:p w14:paraId="7AEAA20B" w14:textId="7C3DBF61" w:rsidR="003E16D9" w:rsidRPr="0099451A" w:rsidRDefault="003E16D9" w:rsidP="0099451A">
      <w:pPr>
        <w:pStyle w:val="Numberbullet0"/>
        <w:rPr>
          <w:b/>
          <w:bCs/>
          <w:i/>
          <w:iCs/>
        </w:rPr>
      </w:pPr>
      <w:r w:rsidRPr="0099451A">
        <w:rPr>
          <w:b/>
          <w:bCs/>
          <w:i/>
          <w:iCs/>
        </w:rPr>
        <w:t>What is the ACM’s advice regarding the proposal by the sponsor to include ‘pruritus’ in the indication?</w:t>
      </w:r>
    </w:p>
    <w:p w14:paraId="342BE9BA" w14:textId="265AF7E8" w:rsidR="003E16D9" w:rsidRPr="003E16D9" w:rsidRDefault="003E16D9" w:rsidP="0099451A">
      <w:r w:rsidRPr="003E16D9">
        <w:t xml:space="preserve">The ACM discussed the three itch scales used in the RESPONSE trial including the NRS, 5-D itch scale, and itch section of the PBC 40 questionnaire. The ACM noted that these scales have been validated in prior studies on </w:t>
      </w:r>
      <w:proofErr w:type="spellStart"/>
      <w:r w:rsidRPr="003E16D9">
        <w:t>PBC</w:t>
      </w:r>
      <w:proofErr w:type="spellEnd"/>
      <w:r w:rsidRPr="003E16D9">
        <w:t>.</w:t>
      </w:r>
    </w:p>
    <w:p w14:paraId="2DEE6F34" w14:textId="0A482892" w:rsidR="003E16D9" w:rsidRPr="003E16D9" w:rsidRDefault="003E16D9" w:rsidP="0099451A">
      <w:r w:rsidRPr="003E16D9">
        <w:t xml:space="preserve">In the RESPONSE trial, significant improvements were seen in the NRS and 5-D itch scores in participants treated with </w:t>
      </w:r>
      <w:proofErr w:type="spellStart"/>
      <w:r w:rsidRPr="003E16D9">
        <w:t>L</w:t>
      </w:r>
      <w:r w:rsidR="003F2241">
        <w:t>ivdelzi</w:t>
      </w:r>
      <w:proofErr w:type="spellEnd"/>
      <w:r w:rsidRPr="003E16D9">
        <w:t xml:space="preserve">. No improvements were seen in the PBC 40 itch scores. This data was compared to results of trials using </w:t>
      </w:r>
      <w:proofErr w:type="spellStart"/>
      <w:r w:rsidRPr="003E16D9">
        <w:t>elafibranor</w:t>
      </w:r>
      <w:proofErr w:type="spellEnd"/>
      <w:r w:rsidRPr="003E16D9">
        <w:t xml:space="preserve"> that used the same scales, in these; the </w:t>
      </w:r>
      <w:proofErr w:type="spellStart"/>
      <w:r w:rsidRPr="003E16D9">
        <w:t>elafibranor</w:t>
      </w:r>
      <w:proofErr w:type="spellEnd"/>
      <w:r w:rsidRPr="003E16D9">
        <w:t xml:space="preserve"> arm saw improvements in the 5-D itch score, and the PBC 40 itch scores, but not the NRS.</w:t>
      </w:r>
    </w:p>
    <w:p w14:paraId="2F2CE107" w14:textId="0284B939" w:rsidR="003E16D9" w:rsidRPr="003E16D9" w:rsidRDefault="003E16D9" w:rsidP="0099451A">
      <w:r w:rsidRPr="003E16D9">
        <w:t xml:space="preserve">On balance, the ACM held the view that decisions to use </w:t>
      </w:r>
      <w:proofErr w:type="spellStart"/>
      <w:r w:rsidRPr="003E16D9">
        <w:t>L</w:t>
      </w:r>
      <w:r w:rsidR="003F2241">
        <w:t>ivdelzi</w:t>
      </w:r>
      <w:proofErr w:type="spellEnd"/>
      <w:r w:rsidRPr="003E16D9">
        <w:t xml:space="preserve"> should be based on hepatic biochemical parameters and not pruritus as is standard for other second-line agents. The ACM advised that pruritus was not necessary to include in the indication. Additionally, the ACM noted that there is no clear difference in pruritus reduction between the various PPAR agonists, and different indications between them could be misleading.</w:t>
      </w:r>
    </w:p>
    <w:p w14:paraId="67C199CA" w14:textId="4CB66523" w:rsidR="003E16D9" w:rsidRPr="0099451A" w:rsidRDefault="003E16D9" w:rsidP="0099451A">
      <w:pPr>
        <w:pStyle w:val="Numberbullet0"/>
        <w:rPr>
          <w:b/>
          <w:bCs/>
          <w:i/>
          <w:iCs/>
        </w:rPr>
      </w:pPr>
      <w:r w:rsidRPr="0099451A">
        <w:rPr>
          <w:b/>
          <w:bCs/>
          <w:i/>
          <w:iCs/>
        </w:rPr>
        <w:t>Please discuss any other aspect of the submission deemed relevant.</w:t>
      </w:r>
    </w:p>
    <w:p w14:paraId="1FAE180B" w14:textId="6F663CD0" w:rsidR="009B52B0" w:rsidRPr="009B52B0" w:rsidRDefault="003E16D9" w:rsidP="0099451A">
      <w:r w:rsidRPr="003E16D9">
        <w:t>The ACM had no additional advice to provide on this submission.</w:t>
      </w:r>
    </w:p>
    <w:p w14:paraId="5291EA2A" w14:textId="41383B92" w:rsidR="00C22214" w:rsidRPr="00F73346" w:rsidRDefault="008D56CA" w:rsidP="0099451A">
      <w:pPr>
        <w:pStyle w:val="Heading5"/>
      </w:pPr>
      <w:r>
        <w:t>A</w:t>
      </w:r>
      <w:r w:rsidR="004A45D4">
        <w:t>dvisory committee c</w:t>
      </w:r>
      <w:r w:rsidR="00C22214" w:rsidRPr="00F73346">
        <w:t>onclusion</w:t>
      </w:r>
    </w:p>
    <w:p w14:paraId="5EAE1F4D" w14:textId="7E366E2F" w:rsidR="00701C6E" w:rsidRDefault="00701C6E" w:rsidP="00701C6E">
      <w:r w:rsidRPr="00701C6E">
        <w:t>The ACM considered this product to have an overall positive benefit-risk profile for the indication:</w:t>
      </w:r>
    </w:p>
    <w:p w14:paraId="2CACB260" w14:textId="5A383791" w:rsidR="00701C6E" w:rsidRPr="0099451A" w:rsidRDefault="00701C6E" w:rsidP="0099451A">
      <w:pPr>
        <w:ind w:left="720"/>
        <w:rPr>
          <w:i/>
          <w:iCs/>
        </w:rPr>
      </w:pPr>
      <w:proofErr w:type="spellStart"/>
      <w:r w:rsidRPr="0099451A">
        <w:rPr>
          <w:i/>
          <w:iCs/>
        </w:rPr>
        <w:t>Seladelpar</w:t>
      </w:r>
      <w:proofErr w:type="spellEnd"/>
      <w:r w:rsidRPr="0099451A">
        <w:rPr>
          <w:i/>
          <w:iCs/>
        </w:rPr>
        <w:t xml:space="preserve"> is indicated for the treatment of primary biliary cholangitis (PBC</w:t>
      </w:r>
      <w:r w:rsidR="00853ADE" w:rsidRPr="0099451A">
        <w:rPr>
          <w:i/>
          <w:iCs/>
        </w:rPr>
        <w:t xml:space="preserve">) </w:t>
      </w:r>
      <w:r w:rsidRPr="0099451A">
        <w:rPr>
          <w:i/>
          <w:iCs/>
        </w:rPr>
        <w:t>in adults in combination with ursodeoxycholic Acid (UDCA) in adults who have an inadequate response to UDCA alone, or as monotherapy in those unable to tolerate UDCA.</w:t>
      </w:r>
    </w:p>
    <w:p w14:paraId="307F236C" w14:textId="6B3942AC" w:rsidR="00C22214" w:rsidRPr="002E238E" w:rsidRDefault="0046285C" w:rsidP="0099451A">
      <w:pPr>
        <w:pStyle w:val="Heading2"/>
      </w:pPr>
      <w:bookmarkStart w:id="83" w:name="_Toc103679300"/>
      <w:bookmarkStart w:id="84" w:name="_Toc233197027"/>
      <w:r>
        <w:t>Assessment</w:t>
      </w:r>
      <w:r w:rsidR="00190853">
        <w:t xml:space="preserve"> </w:t>
      </w:r>
      <w:r>
        <w:t>o</w:t>
      </w:r>
      <w:r w:rsidR="00C22214">
        <w:t>utcome</w:t>
      </w:r>
      <w:bookmarkEnd w:id="80"/>
      <w:bookmarkEnd w:id="81"/>
      <w:bookmarkEnd w:id="83"/>
      <w:bookmarkEnd w:id="84"/>
    </w:p>
    <w:p w14:paraId="4EF22939" w14:textId="300EB92C" w:rsidR="00C22214" w:rsidRPr="0017005C" w:rsidRDefault="00C22214" w:rsidP="0099451A">
      <w:r w:rsidRPr="0017005C">
        <w:t>Based on a</w:t>
      </w:r>
      <w:r w:rsidR="008339FE">
        <w:t xml:space="preserve">n assessment </w:t>
      </w:r>
      <w:r w:rsidRPr="0017005C">
        <w:t xml:space="preserve">of quality, safety, and efficacy, the TGA </w:t>
      </w:r>
      <w:r w:rsidR="00B46DFB">
        <w:t>decided to</w:t>
      </w:r>
      <w:r w:rsidRPr="0017005C">
        <w:t xml:space="preserve"> regist</w:t>
      </w:r>
      <w:r w:rsidR="00B46DFB">
        <w:t>er</w:t>
      </w:r>
      <w:r w:rsidRPr="0017005C">
        <w:t xml:space="preserve"> </w:t>
      </w:r>
      <w:proofErr w:type="spellStart"/>
      <w:r w:rsidR="0063048E">
        <w:t>Livdelzi</w:t>
      </w:r>
      <w:proofErr w:type="spellEnd"/>
      <w:r w:rsidR="0063048E">
        <w:t xml:space="preserve"> </w:t>
      </w:r>
      <w:r w:rsidRPr="0017005C">
        <w:t>(</w:t>
      </w:r>
      <w:proofErr w:type="spellStart"/>
      <w:r w:rsidR="0063048E">
        <w:t>seladelpar</w:t>
      </w:r>
      <w:proofErr w:type="spellEnd"/>
      <w:r w:rsidRPr="0017005C">
        <w:t xml:space="preserve">) </w:t>
      </w:r>
      <w:proofErr w:type="spellStart"/>
      <w:r w:rsidR="000A5D80">
        <w:t>10mg</w:t>
      </w:r>
      <w:proofErr w:type="spellEnd"/>
      <w:r w:rsidR="000A5D80">
        <w:t xml:space="preserve"> </w:t>
      </w:r>
      <w:r w:rsidR="00156DA5">
        <w:t>capsule bottle</w:t>
      </w:r>
      <w:r w:rsidR="00697D56">
        <w:t>. The approved indication for this therapeutic good is:</w:t>
      </w:r>
    </w:p>
    <w:p w14:paraId="4024D763" w14:textId="355918DA" w:rsidR="00156DA5" w:rsidRPr="0099451A" w:rsidRDefault="00697D56" w:rsidP="0099451A">
      <w:pPr>
        <w:ind w:left="720"/>
        <w:rPr>
          <w:i/>
          <w:iCs/>
        </w:rPr>
      </w:pPr>
      <w:proofErr w:type="spellStart"/>
      <w:r w:rsidRPr="0099451A">
        <w:rPr>
          <w:i/>
          <w:iCs/>
        </w:rPr>
        <w:t>Livdelzi</w:t>
      </w:r>
      <w:proofErr w:type="spellEnd"/>
      <w:r w:rsidRPr="0099451A">
        <w:rPr>
          <w:i/>
          <w:iCs/>
        </w:rPr>
        <w:t xml:space="preserve"> is indicated for </w:t>
      </w:r>
      <w:r w:rsidR="00CC3481" w:rsidRPr="0099451A">
        <w:rPr>
          <w:i/>
          <w:iCs/>
        </w:rPr>
        <w:t>the treatment of primary biliary cholangitis (PBC) in combination with ursodeoxycholic acid (UDCA) in adults who have an inadequate response to UDCA alone, or as monotherapy in those unable to tolerate UDCA</w:t>
      </w:r>
      <w:r w:rsidR="0099451A">
        <w:rPr>
          <w:i/>
          <w:iCs/>
        </w:rPr>
        <w:t>.</w:t>
      </w:r>
    </w:p>
    <w:p w14:paraId="0D732DA4" w14:textId="361B425B" w:rsidR="00854D98" w:rsidRDefault="00854D98" w:rsidP="0099451A">
      <w:pPr>
        <w:pStyle w:val="Heading2"/>
      </w:pPr>
      <w:bookmarkStart w:id="85" w:name="_Toc103679301"/>
      <w:bookmarkStart w:id="86" w:name="_Toc233197028"/>
      <w:r w:rsidRPr="00D23139">
        <w:lastRenderedPageBreak/>
        <w:t>Specific conditions of registration</w:t>
      </w:r>
      <w:bookmarkEnd w:id="85"/>
      <w:bookmarkEnd w:id="86"/>
    </w:p>
    <w:p w14:paraId="0B37A25C" w14:textId="15579F84" w:rsidR="005A5A31" w:rsidRDefault="005A5A31" w:rsidP="0099451A">
      <w:pPr>
        <w:pStyle w:val="ListBullet"/>
      </w:pPr>
      <w:proofErr w:type="spellStart"/>
      <w:r w:rsidRPr="005A5A31">
        <w:t>L</w:t>
      </w:r>
      <w:r w:rsidR="005B6362">
        <w:t>ivdelzi</w:t>
      </w:r>
      <w:proofErr w:type="spellEnd"/>
      <w:r w:rsidR="005B6362">
        <w:t xml:space="preserve"> </w:t>
      </w:r>
      <w:r w:rsidRPr="005A5A31">
        <w:t>is to be included in the Black Triangle Scheme. The PI and CMI</w:t>
      </w:r>
      <w:r w:rsidR="002956A4">
        <w:t xml:space="preserve"> </w:t>
      </w:r>
      <w:r w:rsidRPr="005A5A31">
        <w:t xml:space="preserve">for </w:t>
      </w:r>
      <w:proofErr w:type="spellStart"/>
      <w:r w:rsidRPr="005A5A31">
        <w:t>L</w:t>
      </w:r>
      <w:r w:rsidR="00033EBB">
        <w:t>ivdelzi</w:t>
      </w:r>
      <w:proofErr w:type="spellEnd"/>
      <w:r w:rsidRPr="005A5A31">
        <w:t xml:space="preserve"> must include the black triangle symbol and mandatory accompanying text</w:t>
      </w:r>
      <w:r w:rsidR="002956A4">
        <w:t xml:space="preserve"> </w:t>
      </w:r>
      <w:r w:rsidRPr="005A5A31">
        <w:t>for five years, which starts from the date of first supply of the product.</w:t>
      </w:r>
    </w:p>
    <w:p w14:paraId="73BBAB9E" w14:textId="549D668B" w:rsidR="005A5A31" w:rsidRDefault="005A5A31" w:rsidP="0099451A">
      <w:pPr>
        <w:pStyle w:val="ListBullet"/>
      </w:pPr>
      <w:r w:rsidRPr="005A5A31">
        <w:t xml:space="preserve">The </w:t>
      </w:r>
      <w:proofErr w:type="spellStart"/>
      <w:r w:rsidRPr="005A5A31">
        <w:t>L</w:t>
      </w:r>
      <w:r w:rsidR="005E6DED">
        <w:t>ivdelzi</w:t>
      </w:r>
      <w:proofErr w:type="spellEnd"/>
      <w:r w:rsidRPr="005A5A31">
        <w:t xml:space="preserve"> EU-Risk Management Plan (RMP) (version 1.0, dated 12 December 2024,</w:t>
      </w:r>
      <w:r w:rsidR="002956A4">
        <w:t xml:space="preserve"> </w:t>
      </w:r>
      <w:r w:rsidRPr="005A5A31">
        <w:t>data lock point 31 January 2024), with Australia-Specific Annex (ASA) (version 0.2,</w:t>
      </w:r>
      <w:r w:rsidR="002956A4">
        <w:t xml:space="preserve"> </w:t>
      </w:r>
      <w:r w:rsidRPr="005A5A31">
        <w:t>dated July 2025), included with submission PM-2024-05956-1-3, and any subsequent</w:t>
      </w:r>
      <w:r w:rsidR="002956A4">
        <w:t xml:space="preserve"> </w:t>
      </w:r>
      <w:r w:rsidRPr="005A5A31">
        <w:t>revisions, as agreed with the TGA will be implemented in Australia.</w:t>
      </w:r>
    </w:p>
    <w:p w14:paraId="2489C94F" w14:textId="1C4DB4E6" w:rsidR="00E456BD" w:rsidRDefault="005A5A31" w:rsidP="0099451A">
      <w:pPr>
        <w:pStyle w:val="ListBullet"/>
      </w:pPr>
      <w:r w:rsidRPr="005A5A31">
        <w:t>An obligatory component of risk management plans is routine pharmacovigilance.</w:t>
      </w:r>
      <w:r w:rsidR="002956A4">
        <w:t xml:space="preserve"> </w:t>
      </w:r>
      <w:r w:rsidRPr="005A5A31">
        <w:t>Routine pharmacovigilance includes the submission of periodic safety update reports</w:t>
      </w:r>
      <w:r w:rsidR="002956A4">
        <w:t xml:space="preserve"> </w:t>
      </w:r>
      <w:r w:rsidRPr="005A5A31">
        <w:t>(PSURs).</w:t>
      </w:r>
      <w:r w:rsidR="002956A4">
        <w:t xml:space="preserve"> </w:t>
      </w:r>
      <w:r w:rsidRPr="005A5A31">
        <w:t>Reports are to be provided in line with the current published list of EU reference dates</w:t>
      </w:r>
      <w:r w:rsidR="002956A4">
        <w:t xml:space="preserve"> </w:t>
      </w:r>
      <w:r w:rsidRPr="005A5A31">
        <w:t>and frequency of submission of PSURs until the period covered by such reports is not</w:t>
      </w:r>
      <w:r w:rsidR="002956A4">
        <w:t xml:space="preserve"> </w:t>
      </w:r>
      <w:r w:rsidRPr="005A5A31">
        <w:t>less than three years from the date of this approval letter. Each report must be</w:t>
      </w:r>
      <w:r w:rsidR="0019570C">
        <w:t xml:space="preserve"> </w:t>
      </w:r>
      <w:r w:rsidRPr="005A5A31">
        <w:t>submitted within ninety calendar days of the data lock point for that report.</w:t>
      </w:r>
    </w:p>
    <w:p w14:paraId="6DCA82E7" w14:textId="5AE2FC34" w:rsidR="00904980" w:rsidRPr="00E456BD" w:rsidRDefault="00751F25" w:rsidP="0099451A">
      <w:pPr>
        <w:pStyle w:val="ListBullet"/>
      </w:pPr>
      <w:r w:rsidRPr="00751F25">
        <w:t xml:space="preserve">The interim and </w:t>
      </w:r>
      <w:proofErr w:type="gramStart"/>
      <w:r w:rsidRPr="00751F25">
        <w:t>final results</w:t>
      </w:r>
      <w:proofErr w:type="gramEnd"/>
      <w:r w:rsidRPr="00751F25">
        <w:t xml:space="preserve"> of the ongoing phase III study (CB8025-41837) should be</w:t>
      </w:r>
      <w:r>
        <w:t xml:space="preserve"> </w:t>
      </w:r>
      <w:r w:rsidRPr="00751F25">
        <w:t>provided to the TGA when they are available to allow appropriate evaluation of</w:t>
      </w:r>
      <w:r>
        <w:t xml:space="preserve"> </w:t>
      </w:r>
      <w:r w:rsidRPr="00751F25">
        <w:t>updated efficacy and safety data.</w:t>
      </w:r>
    </w:p>
    <w:p w14:paraId="0F9C1952" w14:textId="46BD475E" w:rsidR="00BA657C" w:rsidRPr="00BA657C" w:rsidRDefault="00BA657C" w:rsidP="0099451A">
      <w:pPr>
        <w:pStyle w:val="Heading3"/>
      </w:pPr>
      <w:bookmarkStart w:id="87" w:name="_Toc196738290"/>
      <w:bookmarkStart w:id="88" w:name="_Toc233197029"/>
      <w:r w:rsidRPr="00BA657C">
        <w:t>Product Information and Consumer Medicine Information</w:t>
      </w:r>
      <w:bookmarkEnd w:id="88"/>
      <w:r w:rsidRPr="00BA657C">
        <w:t xml:space="preserve"> </w:t>
      </w:r>
      <w:bookmarkEnd w:id="87"/>
    </w:p>
    <w:p w14:paraId="5F276616" w14:textId="6667B73D" w:rsidR="004D0933" w:rsidRPr="004D0933" w:rsidRDefault="004D0933" w:rsidP="004D0933">
      <w:bookmarkStart w:id="89" w:name="_Hlk200021736"/>
      <w:r w:rsidRPr="004D0933">
        <w:t xml:space="preserve">For the most recent Product Information (PI) and Consumer Medicine Information (CMI), please refer to the TGA </w:t>
      </w:r>
      <w:hyperlink r:id="rId32" w:history="1">
        <w:r w:rsidRPr="004D0933">
          <w:rPr>
            <w:rStyle w:val="Hyperlink"/>
          </w:rPr>
          <w:t>PI/CMI search facility</w:t>
        </w:r>
        <w:r w:rsidRPr="0099451A">
          <w:t>.</w:t>
        </w:r>
      </w:hyperlink>
    </w:p>
    <w:bookmarkEnd w:id="89"/>
    <w:p w14:paraId="40740B65" w14:textId="5819D664" w:rsidR="00C22214" w:rsidRPr="008B4DA3" w:rsidRDefault="00C22214" w:rsidP="00C22214">
      <w:pPr>
        <w:autoSpaceDE w:val="0"/>
        <w:autoSpaceDN w:val="0"/>
        <w:adjustRightInd w:val="0"/>
        <w:spacing w:after="0"/>
      </w:pPr>
    </w:p>
    <w:p w14:paraId="53357BF3" w14:textId="276457B5" w:rsidR="00C22214" w:rsidRDefault="00C22214" w:rsidP="00C22214">
      <w:pPr>
        <w:rPr>
          <w:lang w:eastAsia="ja-JP"/>
        </w:rPr>
        <w:sectPr w:rsidR="00C22214" w:rsidSect="0099451A">
          <w:headerReference w:type="default" r:id="rId33"/>
          <w:footerReference w:type="default" r:id="rId34"/>
          <w:pgSz w:w="11906" w:h="16838" w:code="9"/>
          <w:pgMar w:top="1134" w:right="1416" w:bottom="1418"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2"/>
          <w:bookmarkEnd w:id="3"/>
          <w:p w14:paraId="7E090B86" w14:textId="77777777" w:rsidR="00F02AEC" w:rsidRPr="00215D48" w:rsidRDefault="00F02AEC" w:rsidP="007452E8">
            <w:pPr>
              <w:pStyle w:val="TGASignoff"/>
            </w:pPr>
            <w:r w:rsidRPr="00215D48">
              <w:lastRenderedPageBreak/>
              <w:t>Therapeutic Goods Administration</w:t>
            </w:r>
          </w:p>
        </w:tc>
      </w:tr>
      <w:tr w:rsidR="00F02AEC" w:rsidRPr="00215D48" w14:paraId="70F47EA1" w14:textId="77777777" w:rsidTr="007452E8">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53CB9479" w:rsidR="00F02AEC" w:rsidRDefault="00F02AEC">
            <w:pPr>
              <w:pStyle w:val="Address"/>
              <w:jc w:val="center"/>
              <w:rPr>
                <w:sz w:val="22"/>
                <w:szCs w:val="22"/>
              </w:rPr>
            </w:pPr>
            <w:r w:rsidRPr="00215D48">
              <w:t xml:space="preserve">Email: </w:t>
            </w:r>
            <w:hyperlink r:id="rId35"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4533D80F" w14:textId="1519D7A3" w:rsidR="00F02AEC" w:rsidRPr="00CE32D4" w:rsidRDefault="00F02AEC">
            <w:pPr>
              <w:pStyle w:val="Address"/>
              <w:jc w:val="center"/>
              <w:rPr>
                <w:rStyle w:val="Hyperlink"/>
                <w:color w:val="auto"/>
                <w:sz w:val="22"/>
              </w:rPr>
            </w:pPr>
            <w:hyperlink r:id="rId36" w:history="1">
              <w:r w:rsidRPr="00CE32D4">
                <w:rPr>
                  <w:rStyle w:val="Hyperlink"/>
                </w:rPr>
                <w:t>https://www.tga.gov.au</w:t>
              </w:r>
            </w:hyperlink>
          </w:p>
        </w:tc>
      </w:tr>
    </w:tbl>
    <w:p w14:paraId="788B80FD" w14:textId="77777777" w:rsidR="007452E8" w:rsidRDefault="007452E8"/>
    <w:sectPr w:rsidR="007452E8" w:rsidSect="007452E8">
      <w:headerReference w:type="first" r:id="rId37"/>
      <w:footerReference w:type="first" r:id="rId38"/>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B3ED8" w14:textId="77777777" w:rsidR="00CD1018" w:rsidRDefault="00CD1018" w:rsidP="00F02AEC">
      <w:pPr>
        <w:spacing w:after="0" w:line="240" w:lineRule="auto"/>
      </w:pPr>
      <w:r>
        <w:separator/>
      </w:r>
    </w:p>
  </w:endnote>
  <w:endnote w:type="continuationSeparator" w:id="0">
    <w:p w14:paraId="67905642" w14:textId="77777777" w:rsidR="00CD1018" w:rsidRDefault="00CD1018"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
    <w:altName w:val="Yu Gothic"/>
    <w:panose1 w:val="00000000000000000000"/>
    <w:charset w:val="80"/>
    <w:family w:val="auto"/>
    <w:notTrueType/>
    <w:pitch w:val="default"/>
    <w:sig w:usb0="00000083" w:usb1="08070000" w:usb2="00000010" w:usb3="00000000" w:csb0="00020009" w:csb1="00000000"/>
  </w:font>
  <w:font w:name="CIDFont+F2">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MS Gothic"/>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7CF7" w14:textId="7A536625" w:rsidR="00AA6080" w:rsidRDefault="00AA6080">
    <w:pPr>
      <w:pStyle w:val="Footer"/>
    </w:pPr>
    <w:r>
      <w:rPr>
        <w:noProof/>
      </w:rPr>
      <mc:AlternateContent>
        <mc:Choice Requires="wps">
          <w:drawing>
            <wp:anchor distT="0" distB="0" distL="0" distR="0" simplePos="0" relativeHeight="251658247" behindDoc="0" locked="0" layoutInCell="1" allowOverlap="1" wp14:anchorId="6C82A4BB" wp14:editId="3401825C">
              <wp:simplePos x="635" y="635"/>
              <wp:positionH relativeFrom="page">
                <wp:align>center</wp:align>
              </wp:positionH>
              <wp:positionV relativeFrom="page">
                <wp:align>bottom</wp:align>
              </wp:positionV>
              <wp:extent cx="622300" cy="391160"/>
              <wp:effectExtent l="0" t="0" r="6350" b="0"/>
              <wp:wrapNone/>
              <wp:docPr id="16074558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229CBAB" w14:textId="08773DFC" w:rsidR="00AA6080" w:rsidRPr="00AA6080" w:rsidRDefault="00AA6080" w:rsidP="00AA6080">
                          <w:pPr>
                            <w:spacing w:after="0"/>
                            <w:rPr>
                              <w:rFonts w:ascii="Aptos" w:eastAsia="Aptos" w:hAnsi="Aptos" w:cs="Aptos"/>
                              <w:noProof/>
                              <w:color w:val="FF0000"/>
                              <w:sz w:val="24"/>
                              <w:szCs w:val="24"/>
                            </w:rPr>
                          </w:pPr>
                          <w:r w:rsidRPr="00AA608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82A4BB" id="_x0000_t202" coordsize="21600,21600" o:spt="202" path="m,l,21600r21600,l21600,xe">
              <v:stroke joinstyle="miter"/>
              <v:path gradientshapeok="t" o:connecttype="rect"/>
            </v:shapetype>
            <v:shape id="Text Box 7" o:spid="_x0000_s1028" type="#_x0000_t202" alt="OFFICIAL" style="position:absolute;margin-left:0;margin-top:0;width:49pt;height:30.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3229CBAB" w14:textId="08773DFC" w:rsidR="00AA6080" w:rsidRPr="00AA6080" w:rsidRDefault="00AA6080" w:rsidP="00AA6080">
                    <w:pPr>
                      <w:spacing w:after="0"/>
                      <w:rPr>
                        <w:rFonts w:ascii="Aptos" w:eastAsia="Aptos" w:hAnsi="Aptos" w:cs="Aptos"/>
                        <w:noProof/>
                        <w:color w:val="FF0000"/>
                        <w:sz w:val="24"/>
                        <w:szCs w:val="24"/>
                      </w:rPr>
                    </w:pPr>
                    <w:r w:rsidRPr="00AA6080">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5783EBFF" w:rsidR="007452E8" w:rsidRDefault="00AA6080" w:rsidP="007452E8">
          <w:pPr>
            <w:pStyle w:val="Footer"/>
          </w:pPr>
          <w:r>
            <w:rPr>
              <w:noProof/>
            </w:rPr>
            <mc:AlternateContent>
              <mc:Choice Requires="wps">
                <w:drawing>
                  <wp:anchor distT="0" distB="0" distL="0" distR="0" simplePos="0" relativeHeight="251658248" behindDoc="0" locked="0" layoutInCell="1" allowOverlap="1" wp14:anchorId="7B016761" wp14:editId="723C47A0">
                    <wp:simplePos x="635" y="635"/>
                    <wp:positionH relativeFrom="page">
                      <wp:align>center</wp:align>
                    </wp:positionH>
                    <wp:positionV relativeFrom="page">
                      <wp:align>bottom</wp:align>
                    </wp:positionV>
                    <wp:extent cx="622300" cy="391160"/>
                    <wp:effectExtent l="0" t="0" r="6350" b="0"/>
                    <wp:wrapNone/>
                    <wp:docPr id="127534539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1ADA2E7" w14:textId="4D4F3F1A" w:rsidR="00AA6080" w:rsidRPr="00AA6080" w:rsidRDefault="00AA6080" w:rsidP="00AA6080">
                                <w:pPr>
                                  <w:spacing w:after="0"/>
                                  <w:rPr>
                                    <w:rFonts w:ascii="Aptos" w:eastAsia="Aptos" w:hAnsi="Aptos" w:cs="Aptos"/>
                                    <w:noProof/>
                                    <w:color w:val="FF0000"/>
                                    <w:sz w:val="24"/>
                                    <w:szCs w:val="24"/>
                                  </w:rPr>
                                </w:pPr>
                                <w:r w:rsidRPr="00AA608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016761" id="_x0000_t202" coordsize="21600,21600" o:spt="202" path="m,l,21600r21600,l21600,xe">
                    <v:stroke joinstyle="miter"/>
                    <v:path gradientshapeok="t" o:connecttype="rect"/>
                  </v:shapetype>
                  <v:shape id="Text Box 8" o:spid="_x0000_s1029" type="#_x0000_t202" alt="OFFICIAL" style="position:absolute;margin-left:0;margin-top:0;width:49pt;height:30.8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11ADA2E7" w14:textId="4D4F3F1A" w:rsidR="00AA6080" w:rsidRPr="00AA6080" w:rsidRDefault="00AA6080" w:rsidP="00AA6080">
                          <w:pPr>
                            <w:spacing w:after="0"/>
                            <w:rPr>
                              <w:rFonts w:ascii="Aptos" w:eastAsia="Aptos" w:hAnsi="Aptos" w:cs="Aptos"/>
                              <w:noProof/>
                              <w:color w:val="FF0000"/>
                              <w:sz w:val="24"/>
                              <w:szCs w:val="24"/>
                            </w:rPr>
                          </w:pPr>
                          <w:r w:rsidRPr="00AA6080">
                            <w:rPr>
                              <w:rFonts w:ascii="Aptos" w:eastAsia="Aptos" w:hAnsi="Aptos" w:cs="Aptos"/>
                              <w:noProof/>
                              <w:color w:val="FF0000"/>
                              <w:sz w:val="24"/>
                              <w:szCs w:val="24"/>
                            </w:rPr>
                            <w:t>OFFICIAL</w:t>
                          </w:r>
                        </w:p>
                      </w:txbxContent>
                    </v:textbox>
                    <w10:wrap anchorx="page" anchory="page"/>
                  </v:shape>
                </w:pict>
              </mc:Fallback>
            </mc:AlternateContent>
          </w: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proofErr w:type="spellStart"/>
          <w:r w:rsidRPr="00257138">
            <w:t>V1.0</w:t>
          </w:r>
          <w:proofErr w:type="spellEnd"/>
          <w:r w:rsidRPr="00257138">
            <w:t xml:space="preserve">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A29C" w14:textId="18914230" w:rsidR="007452E8" w:rsidRDefault="007452E8" w:rsidP="007452E8">
    <w:pPr>
      <w:pStyle w:val="Footer"/>
      <w:ind w:left="-1701"/>
    </w:pPr>
    <w:r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7452E8" w:rsidRPr="004A3084" w14:paraId="6266BC33" w14:textId="77777777" w:rsidTr="007452E8">
      <w:trPr>
        <w:trHeight w:val="423"/>
      </w:trPr>
      <w:tc>
        <w:tcPr>
          <w:tcW w:w="7338" w:type="dxa"/>
          <w:tcBorders>
            <w:top w:val="single" w:sz="4" w:space="0" w:color="auto"/>
          </w:tcBorders>
        </w:tcPr>
        <w:p w14:paraId="3C421323" w14:textId="303471B1" w:rsidR="007452E8" w:rsidRPr="004A3084" w:rsidRDefault="007452E8" w:rsidP="007452E8">
          <w:pPr>
            <w:pStyle w:val="Footer"/>
          </w:pPr>
          <w:proofErr w:type="spellStart"/>
          <w:r w:rsidRPr="00487162">
            <w:t>AusPA</w:t>
          </w:r>
          <w:r>
            <w:t>R</w:t>
          </w:r>
          <w:proofErr w:type="spellEnd"/>
          <w:r>
            <w:t xml:space="preserve"> - </w:t>
          </w:r>
          <w:proofErr w:type="spellStart"/>
          <w:r w:rsidR="006400C9">
            <w:t>Livdelzi</w:t>
          </w:r>
          <w:proofErr w:type="spellEnd"/>
          <w:r>
            <w:t xml:space="preserve"> -</w:t>
          </w:r>
          <w:r w:rsidRPr="00460036">
            <w:t xml:space="preserve"> </w:t>
          </w:r>
          <w:proofErr w:type="spellStart"/>
          <w:r w:rsidR="008F0785">
            <w:t>Seladelpar</w:t>
          </w:r>
          <w:proofErr w:type="spellEnd"/>
          <w:r w:rsidRPr="00460036">
            <w:t xml:space="preserve"> </w:t>
          </w:r>
          <w:r w:rsidR="00D7157C">
            <w:t>–</w:t>
          </w:r>
          <w:r>
            <w:t xml:space="preserve"> </w:t>
          </w:r>
          <w:r w:rsidR="00D7157C">
            <w:t>Gilead Sciences Pty Ltd</w:t>
          </w:r>
          <w:r>
            <w:t xml:space="preserve"> - </w:t>
          </w:r>
          <w:r w:rsidR="0061344B" w:rsidRPr="0061344B">
            <w:t>PM-2024-05956-1-3</w:t>
          </w:r>
          <w:r>
            <w:br/>
          </w:r>
          <w:r w:rsidRPr="006C2729">
            <w:t>Date of Finalisation</w:t>
          </w:r>
          <w:r w:rsidR="00F51E09" w:rsidRPr="006C2729">
            <w:t xml:space="preserve">: </w:t>
          </w:r>
          <w:r w:rsidR="006C2729" w:rsidRPr="006C2729">
            <w:t>26 May 2026</w:t>
          </w:r>
        </w:p>
      </w:tc>
      <w:tc>
        <w:tcPr>
          <w:tcW w:w="1734"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6D6B44">
                <w:rPr>
                  <w:noProof/>
                </w:rPr>
                <w:t>13</w:t>
              </w:r>
              <w:r>
                <w:rPr>
                  <w:noProof/>
                </w:rPr>
                <w:fldChar w:fldCharType="end"/>
              </w:r>
              <w:r w:rsidRPr="004A3084">
                <w:t xml:space="preserve"> of </w:t>
              </w:r>
              <w:r w:rsidR="006D6B44">
                <w:fldChar w:fldCharType="begin"/>
              </w:r>
              <w:r w:rsidR="006D6B44">
                <w:instrText xml:space="preserve"> NUMPAGES  </w:instrText>
              </w:r>
              <w:r w:rsidR="006D6B44">
                <w:fldChar w:fldCharType="separate"/>
              </w:r>
              <w:r w:rsidR="006D6B44">
                <w:rPr>
                  <w:noProof/>
                </w:rPr>
                <w:t>17</w:t>
              </w:r>
              <w:r w:rsidR="006D6B44">
                <w:rPr>
                  <w:noProof/>
                </w:rPr>
                <w:fldChar w:fldCharType="end"/>
              </w:r>
            </w:p>
          </w:sdtContent>
        </w:sdt>
      </w:tc>
    </w:tr>
  </w:tbl>
  <w:p w14:paraId="1A4EDE60" w14:textId="77777777" w:rsidR="007452E8" w:rsidRPr="00826007" w:rsidRDefault="007452E8" w:rsidP="007452E8">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F70A" w14:textId="77E05F7B" w:rsidR="007452E8" w:rsidRPr="008E3C43" w:rsidRDefault="00AA6080" w:rsidP="007452E8">
    <w:pPr>
      <w:pStyle w:val="Footer"/>
    </w:pPr>
    <w:r>
      <w:rPr>
        <w:noProof/>
      </w:rPr>
      <mc:AlternateContent>
        <mc:Choice Requires="wps">
          <w:drawing>
            <wp:anchor distT="0" distB="0" distL="0" distR="0" simplePos="0" relativeHeight="251658249" behindDoc="0" locked="0" layoutInCell="1" allowOverlap="1" wp14:anchorId="75BBE838" wp14:editId="4624DE86">
              <wp:simplePos x="635" y="635"/>
              <wp:positionH relativeFrom="page">
                <wp:align>center</wp:align>
              </wp:positionH>
              <wp:positionV relativeFrom="page">
                <wp:align>bottom</wp:align>
              </wp:positionV>
              <wp:extent cx="622300" cy="391160"/>
              <wp:effectExtent l="0" t="0" r="6350" b="0"/>
              <wp:wrapNone/>
              <wp:docPr id="67730484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D069688" w14:textId="70C9A1B7" w:rsidR="00AA6080" w:rsidRPr="00AA6080" w:rsidRDefault="00AA6080" w:rsidP="00AA6080">
                          <w:pPr>
                            <w:spacing w:after="0"/>
                            <w:rPr>
                              <w:rFonts w:ascii="Aptos" w:eastAsia="Aptos" w:hAnsi="Aptos" w:cs="Aptos"/>
                              <w:noProof/>
                              <w:color w:val="FF0000"/>
                              <w:sz w:val="24"/>
                              <w:szCs w:val="24"/>
                            </w:rPr>
                          </w:pPr>
                          <w:r w:rsidRPr="00AA608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BBE838" id="_x0000_t202" coordsize="21600,21600" o:spt="202" path="m,l,21600r21600,l21600,xe">
              <v:stroke joinstyle="miter"/>
              <v:path gradientshapeok="t" o:connecttype="rect"/>
            </v:shapetype>
            <v:shape id="Text Box 10" o:spid="_x0000_s1032" type="#_x0000_t202" alt="OFFICIAL" style="position:absolute;margin-left:0;margin-top:0;width:49pt;height:30.8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T2l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1pkHH6LdRHWgrhxLd3ctVS67Xw4VkgEUzTkmjD&#10;Ex3aQF9xOFucNYA//+aP+YQ7RTnrSTAVt6Rozsx3S3xEbY0GjsY2GcVt/jnCY/fdPZAMC3oRTiaT&#10;vBjMaGqE7pXkvIyNKCSspHYV347mfTgpl56DVMtlSiIZORHWduNkLB3hili+DK8C3RnwQEw9wqgm&#10;Ub7D/ZQbb3q33AdCP5ESoT0BeUacJJi4Oj+XqPG3/ynr+qgXv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A7xPaUNAgAAHAQA&#10;AA4AAAAAAAAAAAAAAAAALgIAAGRycy9lMm9Eb2MueG1sUEsBAi0AFAAGAAgAAAAhAIJRlNfaAAAA&#10;AwEAAA8AAAAAAAAAAAAAAAAAZwQAAGRycy9kb3ducmV2LnhtbFBLBQYAAAAABAAEAPMAAABuBQAA&#10;AAA=&#10;" filled="f" stroked="f">
              <v:textbox style="mso-fit-shape-to-text:t" inset="0,0,0,15pt">
                <w:txbxContent>
                  <w:p w14:paraId="2D069688" w14:textId="70C9A1B7" w:rsidR="00AA6080" w:rsidRPr="00AA6080" w:rsidRDefault="00AA6080" w:rsidP="00AA6080">
                    <w:pPr>
                      <w:spacing w:after="0"/>
                      <w:rPr>
                        <w:rFonts w:ascii="Aptos" w:eastAsia="Aptos" w:hAnsi="Aptos" w:cs="Aptos"/>
                        <w:noProof/>
                        <w:color w:val="FF0000"/>
                        <w:sz w:val="24"/>
                        <w:szCs w:val="24"/>
                      </w:rPr>
                    </w:pPr>
                    <w:r w:rsidRPr="00AA6080">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D79BF" w14:textId="77777777" w:rsidR="00CD1018" w:rsidRDefault="00CD1018" w:rsidP="00F02AEC">
      <w:pPr>
        <w:spacing w:after="0" w:line="240" w:lineRule="auto"/>
      </w:pPr>
      <w:r>
        <w:separator/>
      </w:r>
    </w:p>
  </w:footnote>
  <w:footnote w:type="continuationSeparator" w:id="0">
    <w:p w14:paraId="1678AFA3" w14:textId="77777777" w:rsidR="00CD1018" w:rsidRDefault="00CD1018" w:rsidP="00F02AEC">
      <w:pPr>
        <w:spacing w:after="0" w:line="240" w:lineRule="auto"/>
      </w:pPr>
      <w:r>
        <w:continuationSeparator/>
      </w:r>
    </w:p>
  </w:footnote>
  <w:footnote w:id="1">
    <w:p w14:paraId="68402A9B" w14:textId="42E6F8E0" w:rsidR="007452E8" w:rsidRPr="00A93DC6" w:rsidRDefault="007452E8" w:rsidP="00EF4580">
      <w:pPr>
        <w:pStyle w:val="FootnoteText"/>
        <w:rPr>
          <w:lang w:val="en-GB"/>
        </w:rPr>
      </w:pPr>
      <w:r>
        <w:rPr>
          <w:rStyle w:val="FootnoteReference"/>
        </w:rPr>
        <w:footnoteRef/>
      </w:r>
      <w:r>
        <w:t xml:space="preserve"> </w:t>
      </w:r>
      <w:r w:rsidR="00FB236E">
        <w:t>This is the original indication proposed by the sponsor</w:t>
      </w:r>
      <w:r w:rsidR="00FB236E">
        <w:rPr>
          <w:lang w:val="en-GB"/>
        </w:rPr>
        <w:t xml:space="preserve"> when the TGA commenced the evaluation of this submission. It </w:t>
      </w:r>
      <w:r w:rsidRPr="007452E8">
        <w:rPr>
          <w:lang w:val="en-GB"/>
        </w:rPr>
        <w:t xml:space="preserve">may </w:t>
      </w:r>
      <w:r w:rsidR="00FB236E">
        <w:rPr>
          <w:lang w:val="en-GB"/>
        </w:rPr>
        <w:t>differ</w:t>
      </w:r>
      <w:r w:rsidRPr="007452E8">
        <w:rPr>
          <w:lang w:val="en-GB"/>
        </w:rPr>
        <w:t xml:space="preserve"> to the final indication approved by th</w:t>
      </w:r>
      <w:r w:rsidR="00FB236E">
        <w:rPr>
          <w:lang w:val="en-GB"/>
        </w:rPr>
        <w:t xml:space="preserve">e TGA and registered </w:t>
      </w:r>
      <w:r w:rsidR="005C4B46">
        <w:rPr>
          <w:lang w:val="en-GB"/>
        </w:rPr>
        <w:t xml:space="preserve">in </w:t>
      </w:r>
      <w:r w:rsidR="00FB236E">
        <w:rPr>
          <w:lang w:val="en-GB"/>
        </w:rPr>
        <w:t>the Australian Register of Therapeutic Goods.</w:t>
      </w:r>
    </w:p>
  </w:footnote>
  <w:footnote w:id="2">
    <w:p w14:paraId="2D0B0916" w14:textId="77777777" w:rsidR="005D6122" w:rsidRPr="00DE457C" w:rsidRDefault="005D6122" w:rsidP="00EF4580">
      <w:pPr>
        <w:pStyle w:val="FootnoteText"/>
        <w:rPr>
          <w:lang w:val="en-US"/>
        </w:rPr>
      </w:pPr>
      <w:r w:rsidRPr="0005701A">
        <w:rPr>
          <w:rStyle w:val="FootnoteReference"/>
          <w:sz w:val="16"/>
          <w:szCs w:val="16"/>
        </w:rPr>
        <w:footnoteRef/>
      </w:r>
      <w:r w:rsidRPr="0005701A">
        <w:t xml:space="preserve"> </w:t>
      </w:r>
      <w:r w:rsidRPr="00DE457C">
        <w:t>For subjects on anticoagulation medication, evaluation</w:t>
      </w:r>
      <w:r>
        <w:t xml:space="preserve"> </w:t>
      </w:r>
      <w:r w:rsidRPr="00DE457C">
        <w:t>of the baseline INR, in concert with their current dose adjustments of their</w:t>
      </w:r>
      <w:r>
        <w:t xml:space="preserve"> </w:t>
      </w:r>
      <w:r w:rsidRPr="00DE457C">
        <w:t xml:space="preserve">anticoagulant medication, was </w:t>
      </w:r>
      <w:proofErr w:type="gramStart"/>
      <w:r w:rsidRPr="00DE457C">
        <w:t>taken into account</w:t>
      </w:r>
      <w:proofErr w:type="gramEnd"/>
      <w:r w:rsidRPr="00DE457C">
        <w:t xml:space="preserve"> when calculating the MELD</w:t>
      </w:r>
      <w:r>
        <w:t xml:space="preserve"> </w:t>
      </w:r>
      <w:r w:rsidRPr="00DE457C">
        <w:t>score. This was done in consultation with the Medical Monitor</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BF43" w14:textId="4621B79E" w:rsidR="00AA6080" w:rsidRDefault="00AA6080">
    <w:pPr>
      <w:pStyle w:val="Header"/>
    </w:pPr>
    <w:r>
      <w:rPr>
        <w:noProof/>
      </w:rPr>
      <mc:AlternateContent>
        <mc:Choice Requires="wps">
          <w:drawing>
            <wp:anchor distT="0" distB="0" distL="0" distR="0" simplePos="0" relativeHeight="251658242" behindDoc="0" locked="0" layoutInCell="1" allowOverlap="1" wp14:anchorId="168E078F" wp14:editId="3777CC4B">
              <wp:simplePos x="635" y="635"/>
              <wp:positionH relativeFrom="page">
                <wp:align>center</wp:align>
              </wp:positionH>
              <wp:positionV relativeFrom="page">
                <wp:align>top</wp:align>
              </wp:positionV>
              <wp:extent cx="622300" cy="391160"/>
              <wp:effectExtent l="0" t="0" r="6350" b="8890"/>
              <wp:wrapNone/>
              <wp:docPr id="162645292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7242D30" w14:textId="21E668B3" w:rsidR="00AA6080" w:rsidRPr="00AA6080" w:rsidRDefault="00AA6080" w:rsidP="00AA6080">
                          <w:pPr>
                            <w:spacing w:after="0"/>
                            <w:rPr>
                              <w:rFonts w:ascii="Aptos" w:eastAsia="Aptos" w:hAnsi="Aptos" w:cs="Aptos"/>
                              <w:noProof/>
                              <w:color w:val="FF0000"/>
                              <w:sz w:val="24"/>
                              <w:szCs w:val="24"/>
                            </w:rPr>
                          </w:pPr>
                          <w:r w:rsidRPr="00AA608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8E078F"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57242D30" w14:textId="21E668B3" w:rsidR="00AA6080" w:rsidRPr="00AA6080" w:rsidRDefault="00AA6080" w:rsidP="00AA6080">
                    <w:pPr>
                      <w:spacing w:after="0"/>
                      <w:rPr>
                        <w:rFonts w:ascii="Aptos" w:eastAsia="Aptos" w:hAnsi="Aptos" w:cs="Aptos"/>
                        <w:noProof/>
                        <w:color w:val="FF0000"/>
                        <w:sz w:val="24"/>
                        <w:szCs w:val="24"/>
                      </w:rPr>
                    </w:pPr>
                    <w:r w:rsidRPr="00AA6080">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3517" w14:textId="37A3B326" w:rsidR="007452E8" w:rsidRPr="00CB0550" w:rsidRDefault="00AA6080" w:rsidP="00CB0550">
    <w:pPr>
      <w:pStyle w:val="Header"/>
      <w:jc w:val="left"/>
    </w:pPr>
    <w:r>
      <w:rPr>
        <w:noProof/>
      </w:rPr>
      <mc:AlternateContent>
        <mc:Choice Requires="wps">
          <w:drawing>
            <wp:anchor distT="0" distB="0" distL="0" distR="0" simplePos="0" relativeHeight="251658243" behindDoc="0" locked="0" layoutInCell="1" allowOverlap="1" wp14:anchorId="1E1C9365" wp14:editId="2AEDCC7B">
              <wp:simplePos x="635" y="635"/>
              <wp:positionH relativeFrom="page">
                <wp:align>center</wp:align>
              </wp:positionH>
              <wp:positionV relativeFrom="page">
                <wp:align>top</wp:align>
              </wp:positionV>
              <wp:extent cx="622300" cy="391160"/>
              <wp:effectExtent l="0" t="0" r="6350" b="8890"/>
              <wp:wrapNone/>
              <wp:docPr id="86998396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A4722D9" w14:textId="1610D419" w:rsidR="00AA6080" w:rsidRPr="00AA6080" w:rsidRDefault="00AA6080" w:rsidP="00AA6080">
                          <w:pPr>
                            <w:spacing w:after="0"/>
                            <w:rPr>
                              <w:rFonts w:ascii="Aptos" w:eastAsia="Aptos" w:hAnsi="Aptos" w:cs="Aptos"/>
                              <w:noProof/>
                              <w:color w:val="FF0000"/>
                              <w:sz w:val="24"/>
                              <w:szCs w:val="24"/>
                            </w:rPr>
                          </w:pPr>
                          <w:r w:rsidRPr="00AA608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1C9365"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7A4722D9" w14:textId="1610D419" w:rsidR="00AA6080" w:rsidRPr="00AA6080" w:rsidRDefault="00AA6080" w:rsidP="00AA6080">
                    <w:pPr>
                      <w:spacing w:after="0"/>
                      <w:rPr>
                        <w:rFonts w:ascii="Aptos" w:eastAsia="Aptos" w:hAnsi="Aptos" w:cs="Aptos"/>
                        <w:noProof/>
                        <w:color w:val="FF0000"/>
                        <w:sz w:val="24"/>
                        <w:szCs w:val="24"/>
                      </w:rPr>
                    </w:pPr>
                    <w:r w:rsidRPr="00AA6080">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1A1F69EB" w:rsidR="007452E8" w:rsidRPr="002B29B2" w:rsidRDefault="00AA6080" w:rsidP="007452E8">
          <w:pPr>
            <w:ind w:left="-57"/>
            <w:rPr>
              <w:noProof/>
            </w:rPr>
          </w:pPr>
          <w:r>
            <w:rPr>
              <w:noProof/>
            </w:rPr>
            <mc:AlternateContent>
              <mc:Choice Requires="wps">
                <w:drawing>
                  <wp:anchor distT="0" distB="0" distL="0" distR="0" simplePos="0" relativeHeight="251658241" behindDoc="0" locked="0" layoutInCell="1" allowOverlap="1" wp14:anchorId="422F140B" wp14:editId="490F3E2F">
                    <wp:simplePos x="635" y="635"/>
                    <wp:positionH relativeFrom="page">
                      <wp:align>center</wp:align>
                    </wp:positionH>
                    <wp:positionV relativeFrom="page">
                      <wp:align>top</wp:align>
                    </wp:positionV>
                    <wp:extent cx="622300" cy="391160"/>
                    <wp:effectExtent l="0" t="0" r="6350" b="8890"/>
                    <wp:wrapNone/>
                    <wp:docPr id="12206007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A069E31" w14:textId="4AEFAA85" w:rsidR="00AA6080" w:rsidRPr="00AA6080" w:rsidRDefault="00AA6080" w:rsidP="00AA6080">
                                <w:pPr>
                                  <w:spacing w:after="0"/>
                                  <w:rPr>
                                    <w:rFonts w:ascii="Aptos" w:eastAsia="Aptos" w:hAnsi="Aptos" w:cs="Aptos"/>
                                    <w:noProof/>
                                    <w:color w:val="FF0000"/>
                                    <w:sz w:val="24"/>
                                    <w:szCs w:val="24"/>
                                  </w:rPr>
                                </w:pPr>
                                <w:r w:rsidRPr="00AA608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2F140B"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5A069E31" w14:textId="4AEFAA85" w:rsidR="00AA6080" w:rsidRPr="00AA6080" w:rsidRDefault="00AA6080" w:rsidP="00AA6080">
                          <w:pPr>
                            <w:spacing w:after="0"/>
                            <w:rPr>
                              <w:rFonts w:ascii="Aptos" w:eastAsia="Aptos" w:hAnsi="Aptos" w:cs="Aptos"/>
                              <w:noProof/>
                              <w:color w:val="FF0000"/>
                              <w:sz w:val="24"/>
                              <w:szCs w:val="24"/>
                            </w:rPr>
                          </w:pPr>
                          <w:r w:rsidRPr="00AA6080">
                            <w:rPr>
                              <w:rFonts w:ascii="Aptos" w:eastAsia="Aptos" w:hAnsi="Aptos" w:cs="Aptos"/>
                              <w:noProof/>
                              <w:color w:val="FF0000"/>
                              <w:sz w:val="24"/>
                              <w:szCs w:val="24"/>
                            </w:rPr>
                            <w:t>OFFICIAL</w:t>
                          </w:r>
                        </w:p>
                      </w:txbxContent>
                    </v:textbox>
                    <w10:wrap anchorx="page" anchory="page"/>
                  </v:shape>
                </w:pict>
              </mc:Fallback>
            </mc:AlternateContent>
          </w:r>
          <w:sdt>
            <w:sdtPr>
              <w:rPr>
                <w:noProof/>
              </w:rPr>
              <w:id w:val="1926993388"/>
              <w:showingPlcHdr/>
              <w:picture/>
            </w:sdtPr>
            <w:sdtEndPr/>
            <w:sdtContent>
              <w:r w:rsidR="007452E8" w:rsidRPr="00F71E1E">
                <w:rPr>
                  <w:noProof/>
                  <w:lang w:val="en-GB" w:eastAsia="en-GB"/>
                </w:rPr>
                <w:drawing>
                  <wp:inline distT="0" distB="0" distL="0" distR="0" wp14:anchorId="5C7F8AC9" wp14:editId="13950D92">
                    <wp:extent cx="7631430" cy="5677231"/>
                    <wp:effectExtent l="0" t="0" r="7620" b="0"/>
                    <wp:docPr id="268692163" name="Picture 268692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2470" cy="5678005"/>
                            </a:xfrm>
                            <a:prstGeom prst="rect">
                              <a:avLst/>
                            </a:prstGeom>
                            <a:noFill/>
                            <a:ln w="9525">
                              <a:noFill/>
                              <a:miter lim="800000"/>
                              <a:headEnd/>
                              <a:tailEnd/>
                            </a:ln>
                          </pic:spPr>
                        </pic:pic>
                      </a:graphicData>
                    </a:graphic>
                  </wp:inline>
                </w:drawing>
              </w:r>
            </w:sdtContent>
          </w:sdt>
        </w:p>
      </w:tc>
    </w:tr>
  </w:tbl>
  <w:p w14:paraId="6402DE55" w14:textId="38802056" w:rsidR="007452E8" w:rsidRDefault="0006693A" w:rsidP="007452E8">
    <w:pPr>
      <w:rPr>
        <w:noProof/>
      </w:rPr>
    </w:pPr>
    <w:r>
      <w:rPr>
        <w:noProof/>
      </w:rPr>
      <w:drawing>
        <wp:inline distT="0" distB="0" distL="0" distR="0" wp14:anchorId="26654E9F" wp14:editId="78E105AB">
          <wp:extent cx="3344545" cy="694055"/>
          <wp:effectExtent l="0" t="0" r="8255" b="0"/>
          <wp:docPr id="1406455322"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27861" name="Picture 2"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r w:rsidR="007452E8" w:rsidRPr="002B29B2">
      <w:rPr>
        <w:noProof/>
        <w:lang w:val="en-GB" w:eastAsia="en-GB"/>
      </w:rPr>
      <w:drawing>
        <wp:anchor distT="0" distB="0" distL="114300" distR="114300" simplePos="0" relativeHeight="251658240" behindDoc="0" locked="0" layoutInCell="0" allowOverlap="1" wp14:anchorId="14BBEAC1" wp14:editId="5D9F0498">
          <wp:simplePos x="0" y="0"/>
          <wp:positionH relativeFrom="page">
            <wp:align>left</wp:align>
          </wp:positionH>
          <wp:positionV relativeFrom="page">
            <wp:posOffset>3239495</wp:posOffset>
          </wp:positionV>
          <wp:extent cx="7663815" cy="4323091"/>
          <wp:effectExtent l="0" t="0" r="0" b="1270"/>
          <wp:wrapNone/>
          <wp:docPr id="1889892239" name="Picture 1889892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632D" w14:textId="17A4ECDA" w:rsidR="007452E8" w:rsidRDefault="007452E8" w:rsidP="007452E8">
    <w:pPr>
      <w:pStyle w:val="Header"/>
    </w:pPr>
    <w:r w:rsidRPr="000F5176">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477B" w14:textId="47193F49" w:rsidR="007452E8" w:rsidRPr="00FE501F" w:rsidRDefault="00AA6080" w:rsidP="007452E8">
    <w:pPr>
      <w:pStyle w:val="Headernoline"/>
    </w:pPr>
    <w:r>
      <w:rPr>
        <w:noProof/>
      </w:rPr>
      <mc:AlternateContent>
        <mc:Choice Requires="wps">
          <w:drawing>
            <wp:anchor distT="0" distB="0" distL="0" distR="0" simplePos="0" relativeHeight="251658245" behindDoc="0" locked="0" layoutInCell="1" allowOverlap="1" wp14:anchorId="2E9DBE25" wp14:editId="6C92E7E4">
              <wp:simplePos x="635" y="635"/>
              <wp:positionH relativeFrom="page">
                <wp:align>center</wp:align>
              </wp:positionH>
              <wp:positionV relativeFrom="page">
                <wp:align>top</wp:align>
              </wp:positionV>
              <wp:extent cx="622300" cy="391160"/>
              <wp:effectExtent l="0" t="0" r="6350" b="8890"/>
              <wp:wrapNone/>
              <wp:docPr id="9160222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44BABE5" w14:textId="660E2D68" w:rsidR="00AA6080" w:rsidRPr="00AA6080" w:rsidRDefault="00AA6080" w:rsidP="00AA6080">
                          <w:pPr>
                            <w:spacing w:after="0"/>
                            <w:rPr>
                              <w:rFonts w:ascii="Aptos" w:eastAsia="Aptos" w:hAnsi="Aptos" w:cs="Aptos"/>
                              <w:noProof/>
                              <w:color w:val="FF0000"/>
                              <w:sz w:val="24"/>
                              <w:szCs w:val="24"/>
                            </w:rPr>
                          </w:pPr>
                          <w:r w:rsidRPr="00AA608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9DBE25" id="_x0000_t202" coordsize="21600,21600" o:spt="202" path="m,l,21600r21600,l21600,xe">
              <v:stroke joinstyle="miter"/>
              <v:path gradientshapeok="t" o:connecttype="rect"/>
            </v:shapetype>
            <v:shape id="Text Box 5" o:spid="_x0000_s1031" type="#_x0000_t202" alt="OFFICIAL" style="position:absolute;left:0;text-align:left;margin-left:0;margin-top:0;width:49pt;height:30.8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n97tXDQIAABwEAAAO&#10;AAAAAAAAAAAAAAAAAC4CAABkcnMvZTJvRG9jLnhtbFBLAQItABQABgAIAAAAIQBhokho2AAAAAMB&#10;AAAPAAAAAAAAAAAAAAAAAGcEAABkcnMvZG93bnJldi54bWxQSwUGAAAAAAQABADzAAAAbAUAAAAA&#10;" filled="f" stroked="f">
              <v:textbox style="mso-fit-shape-to-text:t" inset="0,15pt,0,0">
                <w:txbxContent>
                  <w:p w14:paraId="044BABE5" w14:textId="660E2D68" w:rsidR="00AA6080" w:rsidRPr="00AA6080" w:rsidRDefault="00AA6080" w:rsidP="00AA6080">
                    <w:pPr>
                      <w:spacing w:after="0"/>
                      <w:rPr>
                        <w:rFonts w:ascii="Aptos" w:eastAsia="Aptos" w:hAnsi="Aptos" w:cs="Aptos"/>
                        <w:noProof/>
                        <w:color w:val="FF0000"/>
                        <w:sz w:val="24"/>
                        <w:szCs w:val="24"/>
                      </w:rPr>
                    </w:pPr>
                    <w:r w:rsidRPr="00AA6080">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B5E"/>
    <w:multiLevelType w:val="hybridMultilevel"/>
    <w:tmpl w:val="3E6AEE36"/>
    <w:lvl w:ilvl="0" w:tplc="BA2228D0">
      <w:start w:val="4"/>
      <w:numFmt w:val="bullet"/>
      <w:lvlText w:val="-"/>
      <w:lvlJc w:val="left"/>
      <w:pPr>
        <w:ind w:left="530" w:hanging="360"/>
      </w:pPr>
      <w:rPr>
        <w:rFonts w:ascii="Calibri" w:eastAsia="Cambria" w:hAnsi="Calibri" w:cs="Calibri"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 w15:restartNumberingAfterBreak="0">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053F11"/>
    <w:multiLevelType w:val="multilevel"/>
    <w:tmpl w:val="9B4A173E"/>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7" w15:restartNumberingAfterBreak="0">
    <w:nsid w:val="1B48604C"/>
    <w:multiLevelType w:val="hybridMultilevel"/>
    <w:tmpl w:val="D458B6D8"/>
    <w:lvl w:ilvl="0" w:tplc="7E38D200">
      <w:numFmt w:val="bullet"/>
      <w:lvlText w:val=""/>
      <w:lvlJc w:val="left"/>
      <w:pPr>
        <w:ind w:left="720" w:hanging="360"/>
      </w:pPr>
      <w:rPr>
        <w:rFonts w:ascii="Symbol" w:eastAsiaTheme="minorHAnsi" w:hAnsi="Symbol" w:cs="Cambri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3C4F5BED"/>
    <w:multiLevelType w:val="hybridMultilevel"/>
    <w:tmpl w:val="ED9C1D60"/>
    <w:lvl w:ilvl="0" w:tplc="F32EE3E2">
      <w:start w:val="1"/>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11"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2"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13" w15:restartNumberingAfterBreak="0">
    <w:nsid w:val="50336B0D"/>
    <w:multiLevelType w:val="hybridMultilevel"/>
    <w:tmpl w:val="5D54CD1A"/>
    <w:lvl w:ilvl="0" w:tplc="4EDE096A">
      <w:start w:val="1"/>
      <w:numFmt w:val="lowerRoman"/>
      <w:pStyle w:val="Numberbullet3"/>
      <w:lvlText w:val="%1."/>
      <w:lvlJc w:val="right"/>
      <w:pPr>
        <w:ind w:left="1324" w:hanging="360"/>
      </w:p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4"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15" w15:restartNumberingAfterBreak="0">
    <w:nsid w:val="68695401"/>
    <w:multiLevelType w:val="hybridMultilevel"/>
    <w:tmpl w:val="CB482D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num w:numId="1" w16cid:durableId="1032997172">
    <w:abstractNumId w:val="5"/>
  </w:num>
  <w:num w:numId="2" w16cid:durableId="1856573705">
    <w:abstractNumId w:val="2"/>
  </w:num>
  <w:num w:numId="3" w16cid:durableId="357703499">
    <w:abstractNumId w:val="4"/>
  </w:num>
  <w:num w:numId="4" w16cid:durableId="1869176708">
    <w:abstractNumId w:val="13"/>
  </w:num>
  <w:num w:numId="5" w16cid:durableId="1652950129">
    <w:abstractNumId w:val="8"/>
  </w:num>
  <w:num w:numId="6" w16cid:durableId="1053193207">
    <w:abstractNumId w:val="11"/>
  </w:num>
  <w:num w:numId="7" w16cid:durableId="201135927">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604608059">
    <w:abstractNumId w:val="12"/>
  </w:num>
  <w:num w:numId="9" w16cid:durableId="173421270">
    <w:abstractNumId w:val="3"/>
  </w:num>
  <w:num w:numId="10" w16cid:durableId="2108043357">
    <w:abstractNumId w:val="6"/>
  </w:num>
  <w:num w:numId="11" w16cid:durableId="1725904230">
    <w:abstractNumId w:val="10"/>
  </w:num>
  <w:num w:numId="12" w16cid:durableId="141579354">
    <w:abstractNumId w:val="14"/>
  </w:num>
  <w:num w:numId="13" w16cid:durableId="283735081">
    <w:abstractNumId w:val="16"/>
  </w:num>
  <w:num w:numId="14" w16cid:durableId="1734428742">
    <w:abstractNumId w:val="2"/>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i w:val="0"/>
          <w:iCs/>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15" w16cid:durableId="1152716128">
    <w:abstractNumId w:val="7"/>
  </w:num>
  <w:num w:numId="16" w16cid:durableId="1948584096">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7" w16cid:durableId="125583376">
    <w:abstractNumId w:val="9"/>
  </w:num>
  <w:num w:numId="18" w16cid:durableId="1391424405">
    <w:abstractNumId w:val="15"/>
  </w:num>
  <w:num w:numId="19" w16cid:durableId="316736071">
    <w:abstractNumId w:val="0"/>
  </w:num>
  <w:num w:numId="20" w16cid:durableId="1615939091">
    <w:abstractNumId w:val="2"/>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1" w16cid:durableId="98910300">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2" w16cid:durableId="1807581131">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3" w16cid:durableId="362941853">
    <w:abstractNumId w:val="5"/>
  </w:num>
  <w:num w:numId="24" w16cid:durableId="1552575546">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i w:val="0"/>
          <w:iCs/>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5" w16cid:durableId="1779639624">
    <w:abstractNumId w:val="2"/>
  </w:num>
  <w:num w:numId="26" w16cid:durableId="1765344380">
    <w:abstractNumId w:val="2"/>
  </w:num>
  <w:num w:numId="27" w16cid:durableId="1224827200">
    <w:abstractNumId w:val="2"/>
  </w:num>
  <w:num w:numId="28" w16cid:durableId="870188965">
    <w:abstractNumId w:val="13"/>
    <w:lvlOverride w:ilvl="0">
      <w:startOverride w:val="1"/>
    </w:lvlOverride>
  </w:num>
  <w:num w:numId="29" w16cid:durableId="581914710">
    <w:abstractNumId w:val="13"/>
  </w:num>
  <w:num w:numId="30" w16cid:durableId="464659466">
    <w:abstractNumId w:val="13"/>
    <w:lvlOverride w:ilvl="0">
      <w:startOverride w:val="1"/>
    </w:lvlOverride>
  </w:num>
  <w:num w:numId="31" w16cid:durableId="276958137">
    <w:abstractNumId w:val="1"/>
  </w:num>
  <w:num w:numId="32" w16cid:durableId="103039609">
    <w:abstractNumId w:val="5"/>
  </w:num>
  <w:num w:numId="33" w16cid:durableId="1406419480">
    <w:abstractNumId w:val="2"/>
  </w:num>
  <w:num w:numId="34" w16cid:durableId="1218543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E6E"/>
    <w:rsid w:val="00004431"/>
    <w:rsid w:val="00005062"/>
    <w:rsid w:val="00005C71"/>
    <w:rsid w:val="00005DFC"/>
    <w:rsid w:val="0001064C"/>
    <w:rsid w:val="00011EEF"/>
    <w:rsid w:val="0001384A"/>
    <w:rsid w:val="00015972"/>
    <w:rsid w:val="00016CEA"/>
    <w:rsid w:val="0001711E"/>
    <w:rsid w:val="00021C13"/>
    <w:rsid w:val="00022A19"/>
    <w:rsid w:val="00026D70"/>
    <w:rsid w:val="00030749"/>
    <w:rsid w:val="00032A0F"/>
    <w:rsid w:val="00032C75"/>
    <w:rsid w:val="00033964"/>
    <w:rsid w:val="00033EBB"/>
    <w:rsid w:val="000377B9"/>
    <w:rsid w:val="00037924"/>
    <w:rsid w:val="00037DB3"/>
    <w:rsid w:val="00040D8D"/>
    <w:rsid w:val="00041209"/>
    <w:rsid w:val="00044857"/>
    <w:rsid w:val="00045122"/>
    <w:rsid w:val="00046315"/>
    <w:rsid w:val="00046423"/>
    <w:rsid w:val="000468AA"/>
    <w:rsid w:val="000477F5"/>
    <w:rsid w:val="0005067C"/>
    <w:rsid w:val="00055189"/>
    <w:rsid w:val="0006045A"/>
    <w:rsid w:val="0006104E"/>
    <w:rsid w:val="000621B2"/>
    <w:rsid w:val="00062D30"/>
    <w:rsid w:val="000640BD"/>
    <w:rsid w:val="00065839"/>
    <w:rsid w:val="00065FDF"/>
    <w:rsid w:val="0006693A"/>
    <w:rsid w:val="00067757"/>
    <w:rsid w:val="000703DB"/>
    <w:rsid w:val="000715D6"/>
    <w:rsid w:val="00077844"/>
    <w:rsid w:val="00083763"/>
    <w:rsid w:val="000844FF"/>
    <w:rsid w:val="00090510"/>
    <w:rsid w:val="000917AE"/>
    <w:rsid w:val="000925EB"/>
    <w:rsid w:val="00094B81"/>
    <w:rsid w:val="00095C6A"/>
    <w:rsid w:val="000975AA"/>
    <w:rsid w:val="000A4B89"/>
    <w:rsid w:val="000A5D80"/>
    <w:rsid w:val="000B0EF6"/>
    <w:rsid w:val="000B4907"/>
    <w:rsid w:val="000B5EE1"/>
    <w:rsid w:val="000B6B15"/>
    <w:rsid w:val="000B75E0"/>
    <w:rsid w:val="000C2012"/>
    <w:rsid w:val="000C25A7"/>
    <w:rsid w:val="000C2F24"/>
    <w:rsid w:val="000D1DA1"/>
    <w:rsid w:val="000D77D5"/>
    <w:rsid w:val="000D78EC"/>
    <w:rsid w:val="000D7934"/>
    <w:rsid w:val="000E2434"/>
    <w:rsid w:val="000E2597"/>
    <w:rsid w:val="000E504E"/>
    <w:rsid w:val="000E5A5D"/>
    <w:rsid w:val="000E6746"/>
    <w:rsid w:val="000E698F"/>
    <w:rsid w:val="000E7F40"/>
    <w:rsid w:val="000F03C6"/>
    <w:rsid w:val="000F0C59"/>
    <w:rsid w:val="000F7B51"/>
    <w:rsid w:val="00101BEE"/>
    <w:rsid w:val="00101CE6"/>
    <w:rsid w:val="00101FB1"/>
    <w:rsid w:val="0010203B"/>
    <w:rsid w:val="0010558A"/>
    <w:rsid w:val="001101FF"/>
    <w:rsid w:val="00111989"/>
    <w:rsid w:val="00111C8C"/>
    <w:rsid w:val="00113F9F"/>
    <w:rsid w:val="00114025"/>
    <w:rsid w:val="0011789E"/>
    <w:rsid w:val="001209A8"/>
    <w:rsid w:val="00121872"/>
    <w:rsid w:val="001224C3"/>
    <w:rsid w:val="00123034"/>
    <w:rsid w:val="0012473C"/>
    <w:rsid w:val="00124AFD"/>
    <w:rsid w:val="00125250"/>
    <w:rsid w:val="00127A74"/>
    <w:rsid w:val="00130503"/>
    <w:rsid w:val="0013132F"/>
    <w:rsid w:val="00131B1B"/>
    <w:rsid w:val="0013306D"/>
    <w:rsid w:val="00133996"/>
    <w:rsid w:val="0013528C"/>
    <w:rsid w:val="001406E0"/>
    <w:rsid w:val="00141982"/>
    <w:rsid w:val="00143B2F"/>
    <w:rsid w:val="001442A2"/>
    <w:rsid w:val="00144349"/>
    <w:rsid w:val="00144839"/>
    <w:rsid w:val="001468CA"/>
    <w:rsid w:val="001500A8"/>
    <w:rsid w:val="00152F8E"/>
    <w:rsid w:val="00155D85"/>
    <w:rsid w:val="0015608E"/>
    <w:rsid w:val="00156DA5"/>
    <w:rsid w:val="00162532"/>
    <w:rsid w:val="00162676"/>
    <w:rsid w:val="00162B0D"/>
    <w:rsid w:val="00163341"/>
    <w:rsid w:val="0016526F"/>
    <w:rsid w:val="00165D28"/>
    <w:rsid w:val="001660E0"/>
    <w:rsid w:val="0017005C"/>
    <w:rsid w:val="0017489F"/>
    <w:rsid w:val="00175666"/>
    <w:rsid w:val="00175CD8"/>
    <w:rsid w:val="001764A9"/>
    <w:rsid w:val="001773D9"/>
    <w:rsid w:val="001802E5"/>
    <w:rsid w:val="0018280C"/>
    <w:rsid w:val="00182BD8"/>
    <w:rsid w:val="00185AB7"/>
    <w:rsid w:val="0018709F"/>
    <w:rsid w:val="00187827"/>
    <w:rsid w:val="00187AC9"/>
    <w:rsid w:val="0019030B"/>
    <w:rsid w:val="00190853"/>
    <w:rsid w:val="00191683"/>
    <w:rsid w:val="0019570C"/>
    <w:rsid w:val="001962CE"/>
    <w:rsid w:val="001A1414"/>
    <w:rsid w:val="001A38BC"/>
    <w:rsid w:val="001A529E"/>
    <w:rsid w:val="001A76F9"/>
    <w:rsid w:val="001B06FF"/>
    <w:rsid w:val="001B1703"/>
    <w:rsid w:val="001B5927"/>
    <w:rsid w:val="001B5A66"/>
    <w:rsid w:val="001B6B5E"/>
    <w:rsid w:val="001B7AA7"/>
    <w:rsid w:val="001C1C2E"/>
    <w:rsid w:val="001C268F"/>
    <w:rsid w:val="001C31A1"/>
    <w:rsid w:val="001C3FA2"/>
    <w:rsid w:val="001C53D8"/>
    <w:rsid w:val="001C5EE2"/>
    <w:rsid w:val="001D0077"/>
    <w:rsid w:val="001D33BE"/>
    <w:rsid w:val="001D7340"/>
    <w:rsid w:val="001D7BA7"/>
    <w:rsid w:val="001E0131"/>
    <w:rsid w:val="001E15CD"/>
    <w:rsid w:val="001E165E"/>
    <w:rsid w:val="001E2D33"/>
    <w:rsid w:val="001E407B"/>
    <w:rsid w:val="001E7FC6"/>
    <w:rsid w:val="001F2502"/>
    <w:rsid w:val="001F6159"/>
    <w:rsid w:val="001F70A5"/>
    <w:rsid w:val="00200012"/>
    <w:rsid w:val="0020235D"/>
    <w:rsid w:val="0020369B"/>
    <w:rsid w:val="002060E2"/>
    <w:rsid w:val="00207B4D"/>
    <w:rsid w:val="00210F9B"/>
    <w:rsid w:val="002117B1"/>
    <w:rsid w:val="002153F8"/>
    <w:rsid w:val="00217CCE"/>
    <w:rsid w:val="002203B1"/>
    <w:rsid w:val="00221AFC"/>
    <w:rsid w:val="00226F39"/>
    <w:rsid w:val="00227D78"/>
    <w:rsid w:val="002334AD"/>
    <w:rsid w:val="00241B60"/>
    <w:rsid w:val="00247599"/>
    <w:rsid w:val="0024768D"/>
    <w:rsid w:val="002547A2"/>
    <w:rsid w:val="0025785B"/>
    <w:rsid w:val="00257907"/>
    <w:rsid w:val="00257969"/>
    <w:rsid w:val="00265CD1"/>
    <w:rsid w:val="0026605C"/>
    <w:rsid w:val="002704B5"/>
    <w:rsid w:val="0027059B"/>
    <w:rsid w:val="002707E4"/>
    <w:rsid w:val="0027279A"/>
    <w:rsid w:val="0027288D"/>
    <w:rsid w:val="0027634D"/>
    <w:rsid w:val="0027666C"/>
    <w:rsid w:val="0027680F"/>
    <w:rsid w:val="00277B6B"/>
    <w:rsid w:val="00280048"/>
    <w:rsid w:val="00281A72"/>
    <w:rsid w:val="00281D97"/>
    <w:rsid w:val="002826BD"/>
    <w:rsid w:val="0028436B"/>
    <w:rsid w:val="0028489E"/>
    <w:rsid w:val="002848DE"/>
    <w:rsid w:val="0028794E"/>
    <w:rsid w:val="002947A2"/>
    <w:rsid w:val="002948DF"/>
    <w:rsid w:val="002956A4"/>
    <w:rsid w:val="0029733B"/>
    <w:rsid w:val="002A23BC"/>
    <w:rsid w:val="002A4367"/>
    <w:rsid w:val="002A5841"/>
    <w:rsid w:val="002B1EDF"/>
    <w:rsid w:val="002B2061"/>
    <w:rsid w:val="002B33C3"/>
    <w:rsid w:val="002B4F74"/>
    <w:rsid w:val="002B6496"/>
    <w:rsid w:val="002C1232"/>
    <w:rsid w:val="002C1E44"/>
    <w:rsid w:val="002C5C92"/>
    <w:rsid w:val="002C5E29"/>
    <w:rsid w:val="002C71E1"/>
    <w:rsid w:val="002D0478"/>
    <w:rsid w:val="002D100D"/>
    <w:rsid w:val="002D56E7"/>
    <w:rsid w:val="002D7127"/>
    <w:rsid w:val="002E66B3"/>
    <w:rsid w:val="002F1DCC"/>
    <w:rsid w:val="002F599E"/>
    <w:rsid w:val="002F7C73"/>
    <w:rsid w:val="003001DF"/>
    <w:rsid w:val="003008D8"/>
    <w:rsid w:val="00301D9A"/>
    <w:rsid w:val="003029E4"/>
    <w:rsid w:val="00302E73"/>
    <w:rsid w:val="0030303D"/>
    <w:rsid w:val="00303959"/>
    <w:rsid w:val="003045B3"/>
    <w:rsid w:val="00305B19"/>
    <w:rsid w:val="00306E72"/>
    <w:rsid w:val="00310D84"/>
    <w:rsid w:val="00312171"/>
    <w:rsid w:val="00312AC3"/>
    <w:rsid w:val="0031348E"/>
    <w:rsid w:val="00314430"/>
    <w:rsid w:val="003163BC"/>
    <w:rsid w:val="00317A38"/>
    <w:rsid w:val="003212D9"/>
    <w:rsid w:val="0032351A"/>
    <w:rsid w:val="00324B33"/>
    <w:rsid w:val="00327488"/>
    <w:rsid w:val="00333057"/>
    <w:rsid w:val="00336FE1"/>
    <w:rsid w:val="00337BD8"/>
    <w:rsid w:val="00342D56"/>
    <w:rsid w:val="0034392D"/>
    <w:rsid w:val="003456E7"/>
    <w:rsid w:val="00346EC2"/>
    <w:rsid w:val="003477F9"/>
    <w:rsid w:val="00350F4B"/>
    <w:rsid w:val="0035444D"/>
    <w:rsid w:val="00356D62"/>
    <w:rsid w:val="0036273B"/>
    <w:rsid w:val="00363EE3"/>
    <w:rsid w:val="00364D2F"/>
    <w:rsid w:val="00371950"/>
    <w:rsid w:val="00372C70"/>
    <w:rsid w:val="003735F3"/>
    <w:rsid w:val="00374729"/>
    <w:rsid w:val="003760E6"/>
    <w:rsid w:val="00377393"/>
    <w:rsid w:val="0038415F"/>
    <w:rsid w:val="00387298"/>
    <w:rsid w:val="00387984"/>
    <w:rsid w:val="00387C75"/>
    <w:rsid w:val="0039021B"/>
    <w:rsid w:val="00390A0F"/>
    <w:rsid w:val="00395140"/>
    <w:rsid w:val="003975EF"/>
    <w:rsid w:val="003A0C1A"/>
    <w:rsid w:val="003A175A"/>
    <w:rsid w:val="003A2422"/>
    <w:rsid w:val="003B149C"/>
    <w:rsid w:val="003B30EA"/>
    <w:rsid w:val="003B771C"/>
    <w:rsid w:val="003C0FDB"/>
    <w:rsid w:val="003C1192"/>
    <w:rsid w:val="003C39E0"/>
    <w:rsid w:val="003C55E2"/>
    <w:rsid w:val="003C56DB"/>
    <w:rsid w:val="003C63D5"/>
    <w:rsid w:val="003C7AA8"/>
    <w:rsid w:val="003D0052"/>
    <w:rsid w:val="003D27ED"/>
    <w:rsid w:val="003D71A1"/>
    <w:rsid w:val="003E16D9"/>
    <w:rsid w:val="003E44E4"/>
    <w:rsid w:val="003F2241"/>
    <w:rsid w:val="003F549F"/>
    <w:rsid w:val="003F5976"/>
    <w:rsid w:val="00402ACC"/>
    <w:rsid w:val="0041688F"/>
    <w:rsid w:val="00417492"/>
    <w:rsid w:val="004215A6"/>
    <w:rsid w:val="0042376F"/>
    <w:rsid w:val="004246B8"/>
    <w:rsid w:val="004248F1"/>
    <w:rsid w:val="00424C07"/>
    <w:rsid w:val="00431ADA"/>
    <w:rsid w:val="00433318"/>
    <w:rsid w:val="004363B7"/>
    <w:rsid w:val="00436BF9"/>
    <w:rsid w:val="00440972"/>
    <w:rsid w:val="004411D9"/>
    <w:rsid w:val="004427A8"/>
    <w:rsid w:val="00442A56"/>
    <w:rsid w:val="004431AD"/>
    <w:rsid w:val="004444B0"/>
    <w:rsid w:val="00444EFD"/>
    <w:rsid w:val="0045060B"/>
    <w:rsid w:val="004509C9"/>
    <w:rsid w:val="004569EE"/>
    <w:rsid w:val="00456D15"/>
    <w:rsid w:val="004626FF"/>
    <w:rsid w:val="0046285C"/>
    <w:rsid w:val="00463BD6"/>
    <w:rsid w:val="00465531"/>
    <w:rsid w:val="004661B8"/>
    <w:rsid w:val="00470A52"/>
    <w:rsid w:val="00471BD5"/>
    <w:rsid w:val="00473EF7"/>
    <w:rsid w:val="00476E8E"/>
    <w:rsid w:val="00477C4E"/>
    <w:rsid w:val="00477F07"/>
    <w:rsid w:val="00481087"/>
    <w:rsid w:val="00481503"/>
    <w:rsid w:val="00481594"/>
    <w:rsid w:val="00481D12"/>
    <w:rsid w:val="004821DC"/>
    <w:rsid w:val="004848ED"/>
    <w:rsid w:val="004854A6"/>
    <w:rsid w:val="00491A55"/>
    <w:rsid w:val="00493CB3"/>
    <w:rsid w:val="004949E6"/>
    <w:rsid w:val="00494C3E"/>
    <w:rsid w:val="00497DF1"/>
    <w:rsid w:val="004A318E"/>
    <w:rsid w:val="004A40C7"/>
    <w:rsid w:val="004A45D4"/>
    <w:rsid w:val="004A57E8"/>
    <w:rsid w:val="004B3081"/>
    <w:rsid w:val="004B4A09"/>
    <w:rsid w:val="004B5D01"/>
    <w:rsid w:val="004C103D"/>
    <w:rsid w:val="004C20EB"/>
    <w:rsid w:val="004C2DB2"/>
    <w:rsid w:val="004C41CE"/>
    <w:rsid w:val="004C5208"/>
    <w:rsid w:val="004C631B"/>
    <w:rsid w:val="004C6A6C"/>
    <w:rsid w:val="004D0933"/>
    <w:rsid w:val="004D1FC5"/>
    <w:rsid w:val="004D2F00"/>
    <w:rsid w:val="004D31D8"/>
    <w:rsid w:val="004D35D1"/>
    <w:rsid w:val="004D433E"/>
    <w:rsid w:val="004D4AD5"/>
    <w:rsid w:val="004D5388"/>
    <w:rsid w:val="004E00C3"/>
    <w:rsid w:val="004E33F0"/>
    <w:rsid w:val="004E7F16"/>
    <w:rsid w:val="004F18EC"/>
    <w:rsid w:val="004F4A84"/>
    <w:rsid w:val="004F621F"/>
    <w:rsid w:val="004F77AE"/>
    <w:rsid w:val="004F7FC4"/>
    <w:rsid w:val="00500D68"/>
    <w:rsid w:val="00501B1E"/>
    <w:rsid w:val="005033D5"/>
    <w:rsid w:val="0050694F"/>
    <w:rsid w:val="00516CBD"/>
    <w:rsid w:val="00521ED5"/>
    <w:rsid w:val="00522012"/>
    <w:rsid w:val="00523D33"/>
    <w:rsid w:val="00531F4A"/>
    <w:rsid w:val="0053377D"/>
    <w:rsid w:val="00535DFE"/>
    <w:rsid w:val="005373B5"/>
    <w:rsid w:val="00537AB7"/>
    <w:rsid w:val="005462BA"/>
    <w:rsid w:val="0054669B"/>
    <w:rsid w:val="00554B94"/>
    <w:rsid w:val="00555D3F"/>
    <w:rsid w:val="00556868"/>
    <w:rsid w:val="005570F8"/>
    <w:rsid w:val="00557684"/>
    <w:rsid w:val="00557B60"/>
    <w:rsid w:val="00560EC1"/>
    <w:rsid w:val="005610D1"/>
    <w:rsid w:val="00562F42"/>
    <w:rsid w:val="005650C8"/>
    <w:rsid w:val="00565739"/>
    <w:rsid w:val="00565E63"/>
    <w:rsid w:val="005675CA"/>
    <w:rsid w:val="0056766D"/>
    <w:rsid w:val="00570385"/>
    <w:rsid w:val="0057258D"/>
    <w:rsid w:val="00575215"/>
    <w:rsid w:val="005775D0"/>
    <w:rsid w:val="0058074D"/>
    <w:rsid w:val="00581138"/>
    <w:rsid w:val="00581383"/>
    <w:rsid w:val="0058575E"/>
    <w:rsid w:val="0058783C"/>
    <w:rsid w:val="005911AE"/>
    <w:rsid w:val="005926E2"/>
    <w:rsid w:val="0059313A"/>
    <w:rsid w:val="005A1354"/>
    <w:rsid w:val="005A54EA"/>
    <w:rsid w:val="005A5A31"/>
    <w:rsid w:val="005B023F"/>
    <w:rsid w:val="005B02A2"/>
    <w:rsid w:val="005B1343"/>
    <w:rsid w:val="005B1417"/>
    <w:rsid w:val="005B4CA0"/>
    <w:rsid w:val="005B6362"/>
    <w:rsid w:val="005B687C"/>
    <w:rsid w:val="005B69CF"/>
    <w:rsid w:val="005C3F07"/>
    <w:rsid w:val="005C41D5"/>
    <w:rsid w:val="005C4B46"/>
    <w:rsid w:val="005C5DC5"/>
    <w:rsid w:val="005D0E1E"/>
    <w:rsid w:val="005D1DF7"/>
    <w:rsid w:val="005D2089"/>
    <w:rsid w:val="005D52E0"/>
    <w:rsid w:val="005D5A9D"/>
    <w:rsid w:val="005D6122"/>
    <w:rsid w:val="005D6FA3"/>
    <w:rsid w:val="005D7124"/>
    <w:rsid w:val="005D7514"/>
    <w:rsid w:val="005D7C09"/>
    <w:rsid w:val="005E0FC6"/>
    <w:rsid w:val="005E1A7B"/>
    <w:rsid w:val="005E231F"/>
    <w:rsid w:val="005E6DED"/>
    <w:rsid w:val="005F3453"/>
    <w:rsid w:val="005F74BD"/>
    <w:rsid w:val="00602D6E"/>
    <w:rsid w:val="00605C05"/>
    <w:rsid w:val="00610104"/>
    <w:rsid w:val="00611351"/>
    <w:rsid w:val="0061217D"/>
    <w:rsid w:val="006129AE"/>
    <w:rsid w:val="0061300E"/>
    <w:rsid w:val="0061344B"/>
    <w:rsid w:val="006166E9"/>
    <w:rsid w:val="00616D5B"/>
    <w:rsid w:val="00617244"/>
    <w:rsid w:val="006172E4"/>
    <w:rsid w:val="0062119B"/>
    <w:rsid w:val="00627540"/>
    <w:rsid w:val="006277A1"/>
    <w:rsid w:val="0063048E"/>
    <w:rsid w:val="00630810"/>
    <w:rsid w:val="00633381"/>
    <w:rsid w:val="00633BD7"/>
    <w:rsid w:val="00634580"/>
    <w:rsid w:val="00634884"/>
    <w:rsid w:val="006351D9"/>
    <w:rsid w:val="00637130"/>
    <w:rsid w:val="00637F0E"/>
    <w:rsid w:val="006400C9"/>
    <w:rsid w:val="0064140A"/>
    <w:rsid w:val="006423F2"/>
    <w:rsid w:val="006427C3"/>
    <w:rsid w:val="006428C5"/>
    <w:rsid w:val="00647E6D"/>
    <w:rsid w:val="00650234"/>
    <w:rsid w:val="00652C90"/>
    <w:rsid w:val="00654949"/>
    <w:rsid w:val="0066044B"/>
    <w:rsid w:val="0066197F"/>
    <w:rsid w:val="006630AA"/>
    <w:rsid w:val="00663544"/>
    <w:rsid w:val="00664499"/>
    <w:rsid w:val="00666539"/>
    <w:rsid w:val="00666911"/>
    <w:rsid w:val="00672ADA"/>
    <w:rsid w:val="00674546"/>
    <w:rsid w:val="00675F81"/>
    <w:rsid w:val="00676DA6"/>
    <w:rsid w:val="006770D6"/>
    <w:rsid w:val="00677B6B"/>
    <w:rsid w:val="0068143E"/>
    <w:rsid w:val="00684A8B"/>
    <w:rsid w:val="0068507D"/>
    <w:rsid w:val="0068539D"/>
    <w:rsid w:val="006905F9"/>
    <w:rsid w:val="00691AF2"/>
    <w:rsid w:val="00692B80"/>
    <w:rsid w:val="00692CCD"/>
    <w:rsid w:val="00692D51"/>
    <w:rsid w:val="00694DD7"/>
    <w:rsid w:val="0069636B"/>
    <w:rsid w:val="00696608"/>
    <w:rsid w:val="00697D56"/>
    <w:rsid w:val="006A1257"/>
    <w:rsid w:val="006A1525"/>
    <w:rsid w:val="006A1762"/>
    <w:rsid w:val="006A19CE"/>
    <w:rsid w:val="006A1F0B"/>
    <w:rsid w:val="006A277A"/>
    <w:rsid w:val="006A3F3D"/>
    <w:rsid w:val="006A5973"/>
    <w:rsid w:val="006B04F3"/>
    <w:rsid w:val="006B0743"/>
    <w:rsid w:val="006B2064"/>
    <w:rsid w:val="006B4FEF"/>
    <w:rsid w:val="006B5E64"/>
    <w:rsid w:val="006B5E6A"/>
    <w:rsid w:val="006B693C"/>
    <w:rsid w:val="006B7126"/>
    <w:rsid w:val="006C2729"/>
    <w:rsid w:val="006C6B86"/>
    <w:rsid w:val="006D4553"/>
    <w:rsid w:val="006D4A35"/>
    <w:rsid w:val="006D5B2B"/>
    <w:rsid w:val="006D6B44"/>
    <w:rsid w:val="006E0F71"/>
    <w:rsid w:val="006E12B8"/>
    <w:rsid w:val="006E1609"/>
    <w:rsid w:val="006E27FE"/>
    <w:rsid w:val="006E7355"/>
    <w:rsid w:val="006F298A"/>
    <w:rsid w:val="00700654"/>
    <w:rsid w:val="00701110"/>
    <w:rsid w:val="007017BA"/>
    <w:rsid w:val="00701C6E"/>
    <w:rsid w:val="00701F80"/>
    <w:rsid w:val="00702E91"/>
    <w:rsid w:val="0070330F"/>
    <w:rsid w:val="00703624"/>
    <w:rsid w:val="007046ED"/>
    <w:rsid w:val="0070541F"/>
    <w:rsid w:val="007072A1"/>
    <w:rsid w:val="00707318"/>
    <w:rsid w:val="0071060C"/>
    <w:rsid w:val="00710BC5"/>
    <w:rsid w:val="007121CA"/>
    <w:rsid w:val="007163A2"/>
    <w:rsid w:val="00716A4A"/>
    <w:rsid w:val="0072003B"/>
    <w:rsid w:val="00721059"/>
    <w:rsid w:val="007211E6"/>
    <w:rsid w:val="007220C4"/>
    <w:rsid w:val="00723B7F"/>
    <w:rsid w:val="00725B3A"/>
    <w:rsid w:val="007305ED"/>
    <w:rsid w:val="007311B9"/>
    <w:rsid w:val="00732361"/>
    <w:rsid w:val="0073301E"/>
    <w:rsid w:val="00734DFB"/>
    <w:rsid w:val="007357B9"/>
    <w:rsid w:val="007417FF"/>
    <w:rsid w:val="007419D7"/>
    <w:rsid w:val="00741AB9"/>
    <w:rsid w:val="00742D03"/>
    <w:rsid w:val="00744216"/>
    <w:rsid w:val="007446A4"/>
    <w:rsid w:val="007452E8"/>
    <w:rsid w:val="00745369"/>
    <w:rsid w:val="00746990"/>
    <w:rsid w:val="00747093"/>
    <w:rsid w:val="00747BC4"/>
    <w:rsid w:val="00747D99"/>
    <w:rsid w:val="00750D70"/>
    <w:rsid w:val="00751F25"/>
    <w:rsid w:val="007575D0"/>
    <w:rsid w:val="00761D6D"/>
    <w:rsid w:val="007656F0"/>
    <w:rsid w:val="00765ED2"/>
    <w:rsid w:val="007662E0"/>
    <w:rsid w:val="007668A9"/>
    <w:rsid w:val="0076772A"/>
    <w:rsid w:val="007759FE"/>
    <w:rsid w:val="00776BEB"/>
    <w:rsid w:val="00776E9C"/>
    <w:rsid w:val="00780A77"/>
    <w:rsid w:val="007816D8"/>
    <w:rsid w:val="00781721"/>
    <w:rsid w:val="00783768"/>
    <w:rsid w:val="00784150"/>
    <w:rsid w:val="00784672"/>
    <w:rsid w:val="00785259"/>
    <w:rsid w:val="00793272"/>
    <w:rsid w:val="00793667"/>
    <w:rsid w:val="0079499A"/>
    <w:rsid w:val="00794B64"/>
    <w:rsid w:val="007967C3"/>
    <w:rsid w:val="007971CA"/>
    <w:rsid w:val="007A0A33"/>
    <w:rsid w:val="007A233D"/>
    <w:rsid w:val="007A27C4"/>
    <w:rsid w:val="007A4728"/>
    <w:rsid w:val="007B04DE"/>
    <w:rsid w:val="007B0AE6"/>
    <w:rsid w:val="007B0FCF"/>
    <w:rsid w:val="007B4A10"/>
    <w:rsid w:val="007C0F0B"/>
    <w:rsid w:val="007C57BC"/>
    <w:rsid w:val="007C67AB"/>
    <w:rsid w:val="007C68AA"/>
    <w:rsid w:val="007C6AA0"/>
    <w:rsid w:val="007D04CA"/>
    <w:rsid w:val="007D0A2B"/>
    <w:rsid w:val="007D12A1"/>
    <w:rsid w:val="007D32EF"/>
    <w:rsid w:val="007D40E5"/>
    <w:rsid w:val="007D4138"/>
    <w:rsid w:val="007D64F4"/>
    <w:rsid w:val="007D78AC"/>
    <w:rsid w:val="007E3803"/>
    <w:rsid w:val="007E4178"/>
    <w:rsid w:val="007E52F2"/>
    <w:rsid w:val="007E6443"/>
    <w:rsid w:val="007F0A77"/>
    <w:rsid w:val="007F1E37"/>
    <w:rsid w:val="007F50D3"/>
    <w:rsid w:val="007F5AC8"/>
    <w:rsid w:val="007F5F4A"/>
    <w:rsid w:val="007F6B1F"/>
    <w:rsid w:val="008013F0"/>
    <w:rsid w:val="00801AB2"/>
    <w:rsid w:val="00803926"/>
    <w:rsid w:val="00804897"/>
    <w:rsid w:val="008063A6"/>
    <w:rsid w:val="00811A1F"/>
    <w:rsid w:val="008121D7"/>
    <w:rsid w:val="0081270C"/>
    <w:rsid w:val="008139E0"/>
    <w:rsid w:val="0081480F"/>
    <w:rsid w:val="00815B02"/>
    <w:rsid w:val="008166D1"/>
    <w:rsid w:val="00824161"/>
    <w:rsid w:val="00830575"/>
    <w:rsid w:val="008314AF"/>
    <w:rsid w:val="008329DB"/>
    <w:rsid w:val="008339FE"/>
    <w:rsid w:val="008361C5"/>
    <w:rsid w:val="0083628F"/>
    <w:rsid w:val="00836D91"/>
    <w:rsid w:val="00837AB9"/>
    <w:rsid w:val="00840EB3"/>
    <w:rsid w:val="0084129D"/>
    <w:rsid w:val="00843FC4"/>
    <w:rsid w:val="00847D61"/>
    <w:rsid w:val="00850637"/>
    <w:rsid w:val="00853ADE"/>
    <w:rsid w:val="008541CC"/>
    <w:rsid w:val="00854D98"/>
    <w:rsid w:val="0085751E"/>
    <w:rsid w:val="00860B29"/>
    <w:rsid w:val="008622E8"/>
    <w:rsid w:val="00862761"/>
    <w:rsid w:val="00864597"/>
    <w:rsid w:val="008645EE"/>
    <w:rsid w:val="00864B62"/>
    <w:rsid w:val="00865705"/>
    <w:rsid w:val="00865870"/>
    <w:rsid w:val="00870144"/>
    <w:rsid w:val="008705E9"/>
    <w:rsid w:val="0087072C"/>
    <w:rsid w:val="00871045"/>
    <w:rsid w:val="00871312"/>
    <w:rsid w:val="00871FDF"/>
    <w:rsid w:val="00872490"/>
    <w:rsid w:val="00873D7A"/>
    <w:rsid w:val="0087654A"/>
    <w:rsid w:val="00877CB3"/>
    <w:rsid w:val="008804CF"/>
    <w:rsid w:val="00882D58"/>
    <w:rsid w:val="00882F19"/>
    <w:rsid w:val="008832CB"/>
    <w:rsid w:val="00883D35"/>
    <w:rsid w:val="00884569"/>
    <w:rsid w:val="00884A5E"/>
    <w:rsid w:val="008868B5"/>
    <w:rsid w:val="00887A51"/>
    <w:rsid w:val="0089038A"/>
    <w:rsid w:val="00890D9B"/>
    <w:rsid w:val="00891C6C"/>
    <w:rsid w:val="00893CCD"/>
    <w:rsid w:val="00894A10"/>
    <w:rsid w:val="008964B3"/>
    <w:rsid w:val="008A0C68"/>
    <w:rsid w:val="008A3139"/>
    <w:rsid w:val="008A5A4E"/>
    <w:rsid w:val="008B1CB5"/>
    <w:rsid w:val="008B209F"/>
    <w:rsid w:val="008B2B8B"/>
    <w:rsid w:val="008C1DED"/>
    <w:rsid w:val="008C2D69"/>
    <w:rsid w:val="008C4579"/>
    <w:rsid w:val="008C49C6"/>
    <w:rsid w:val="008C754C"/>
    <w:rsid w:val="008D2B42"/>
    <w:rsid w:val="008D2C06"/>
    <w:rsid w:val="008D56C9"/>
    <w:rsid w:val="008D56CA"/>
    <w:rsid w:val="008D6A54"/>
    <w:rsid w:val="008D6AA1"/>
    <w:rsid w:val="008E2585"/>
    <w:rsid w:val="008E2D7A"/>
    <w:rsid w:val="008E56AE"/>
    <w:rsid w:val="008E7102"/>
    <w:rsid w:val="008F0785"/>
    <w:rsid w:val="008F2318"/>
    <w:rsid w:val="008F2E60"/>
    <w:rsid w:val="008F31E9"/>
    <w:rsid w:val="008F3215"/>
    <w:rsid w:val="008F4A62"/>
    <w:rsid w:val="008F676B"/>
    <w:rsid w:val="008F7256"/>
    <w:rsid w:val="0090207F"/>
    <w:rsid w:val="0090424C"/>
    <w:rsid w:val="00904980"/>
    <w:rsid w:val="00905049"/>
    <w:rsid w:val="0090605E"/>
    <w:rsid w:val="00906A56"/>
    <w:rsid w:val="00906AF8"/>
    <w:rsid w:val="00906C74"/>
    <w:rsid w:val="0091024C"/>
    <w:rsid w:val="009108CE"/>
    <w:rsid w:val="00911DAE"/>
    <w:rsid w:val="009146B0"/>
    <w:rsid w:val="009156B9"/>
    <w:rsid w:val="00915A9F"/>
    <w:rsid w:val="00916701"/>
    <w:rsid w:val="00926602"/>
    <w:rsid w:val="00930D58"/>
    <w:rsid w:val="00935AAA"/>
    <w:rsid w:val="00936C33"/>
    <w:rsid w:val="00936F9A"/>
    <w:rsid w:val="00940E4D"/>
    <w:rsid w:val="00942E2C"/>
    <w:rsid w:val="00944061"/>
    <w:rsid w:val="009440A8"/>
    <w:rsid w:val="00944236"/>
    <w:rsid w:val="00947D69"/>
    <w:rsid w:val="0095031E"/>
    <w:rsid w:val="0095215B"/>
    <w:rsid w:val="00954297"/>
    <w:rsid w:val="009542CF"/>
    <w:rsid w:val="009561F0"/>
    <w:rsid w:val="00960289"/>
    <w:rsid w:val="00960A56"/>
    <w:rsid w:val="009634D8"/>
    <w:rsid w:val="009645C5"/>
    <w:rsid w:val="00964CC2"/>
    <w:rsid w:val="009657AD"/>
    <w:rsid w:val="00965987"/>
    <w:rsid w:val="00966EF1"/>
    <w:rsid w:val="00967223"/>
    <w:rsid w:val="009740DA"/>
    <w:rsid w:val="00974D8E"/>
    <w:rsid w:val="009751F7"/>
    <w:rsid w:val="00976B74"/>
    <w:rsid w:val="0098168B"/>
    <w:rsid w:val="0098347F"/>
    <w:rsid w:val="0098350E"/>
    <w:rsid w:val="00983F15"/>
    <w:rsid w:val="0098512C"/>
    <w:rsid w:val="00990C12"/>
    <w:rsid w:val="00990FEA"/>
    <w:rsid w:val="00991000"/>
    <w:rsid w:val="009936CA"/>
    <w:rsid w:val="0099404F"/>
    <w:rsid w:val="0099451A"/>
    <w:rsid w:val="00996FA5"/>
    <w:rsid w:val="0099703E"/>
    <w:rsid w:val="009A6721"/>
    <w:rsid w:val="009A6E49"/>
    <w:rsid w:val="009B414B"/>
    <w:rsid w:val="009B52B0"/>
    <w:rsid w:val="009B5662"/>
    <w:rsid w:val="009C2211"/>
    <w:rsid w:val="009C40E8"/>
    <w:rsid w:val="009C45C5"/>
    <w:rsid w:val="009C6377"/>
    <w:rsid w:val="009C6665"/>
    <w:rsid w:val="009D0138"/>
    <w:rsid w:val="009D2DF7"/>
    <w:rsid w:val="009D4195"/>
    <w:rsid w:val="009D5CDC"/>
    <w:rsid w:val="009E0E0A"/>
    <w:rsid w:val="009E1951"/>
    <w:rsid w:val="009E4869"/>
    <w:rsid w:val="009E6858"/>
    <w:rsid w:val="009E6F8C"/>
    <w:rsid w:val="009F0A23"/>
    <w:rsid w:val="009F2F32"/>
    <w:rsid w:val="009F405F"/>
    <w:rsid w:val="00A01C56"/>
    <w:rsid w:val="00A035AD"/>
    <w:rsid w:val="00A05E9E"/>
    <w:rsid w:val="00A06D54"/>
    <w:rsid w:val="00A06EA2"/>
    <w:rsid w:val="00A06EFD"/>
    <w:rsid w:val="00A11293"/>
    <w:rsid w:val="00A124CD"/>
    <w:rsid w:val="00A14FB5"/>
    <w:rsid w:val="00A16F32"/>
    <w:rsid w:val="00A1732B"/>
    <w:rsid w:val="00A23DBD"/>
    <w:rsid w:val="00A32C50"/>
    <w:rsid w:val="00A3471C"/>
    <w:rsid w:val="00A34BD0"/>
    <w:rsid w:val="00A358E7"/>
    <w:rsid w:val="00A4380B"/>
    <w:rsid w:val="00A46270"/>
    <w:rsid w:val="00A46D81"/>
    <w:rsid w:val="00A472F5"/>
    <w:rsid w:val="00A51A2D"/>
    <w:rsid w:val="00A52CBC"/>
    <w:rsid w:val="00A53B2C"/>
    <w:rsid w:val="00A5596B"/>
    <w:rsid w:val="00A6106E"/>
    <w:rsid w:val="00A62961"/>
    <w:rsid w:val="00A63C07"/>
    <w:rsid w:val="00A63D9B"/>
    <w:rsid w:val="00A64CE9"/>
    <w:rsid w:val="00A704DC"/>
    <w:rsid w:val="00A764F9"/>
    <w:rsid w:val="00A80CFC"/>
    <w:rsid w:val="00A862E9"/>
    <w:rsid w:val="00A908E7"/>
    <w:rsid w:val="00A93D67"/>
    <w:rsid w:val="00A93DC6"/>
    <w:rsid w:val="00A9411A"/>
    <w:rsid w:val="00A94BCB"/>
    <w:rsid w:val="00A97E66"/>
    <w:rsid w:val="00AA05CA"/>
    <w:rsid w:val="00AA0FAE"/>
    <w:rsid w:val="00AA111D"/>
    <w:rsid w:val="00AA4A4B"/>
    <w:rsid w:val="00AA5954"/>
    <w:rsid w:val="00AA6080"/>
    <w:rsid w:val="00AA6682"/>
    <w:rsid w:val="00AA75BC"/>
    <w:rsid w:val="00AA7C1F"/>
    <w:rsid w:val="00AA7E59"/>
    <w:rsid w:val="00AB0613"/>
    <w:rsid w:val="00AB11B6"/>
    <w:rsid w:val="00AB24E0"/>
    <w:rsid w:val="00AB2934"/>
    <w:rsid w:val="00AB7C5C"/>
    <w:rsid w:val="00AB7CBF"/>
    <w:rsid w:val="00AD0111"/>
    <w:rsid w:val="00AD059F"/>
    <w:rsid w:val="00AD0B68"/>
    <w:rsid w:val="00AD3718"/>
    <w:rsid w:val="00AD40C3"/>
    <w:rsid w:val="00AD4C72"/>
    <w:rsid w:val="00AD5451"/>
    <w:rsid w:val="00AD61AC"/>
    <w:rsid w:val="00AD63B3"/>
    <w:rsid w:val="00AD7044"/>
    <w:rsid w:val="00AD75B3"/>
    <w:rsid w:val="00AD7FDA"/>
    <w:rsid w:val="00AE139C"/>
    <w:rsid w:val="00AE1947"/>
    <w:rsid w:val="00AE63E3"/>
    <w:rsid w:val="00AF0C3A"/>
    <w:rsid w:val="00AF105F"/>
    <w:rsid w:val="00AF1C8B"/>
    <w:rsid w:val="00AF2363"/>
    <w:rsid w:val="00AF299B"/>
    <w:rsid w:val="00AF6938"/>
    <w:rsid w:val="00AF7E43"/>
    <w:rsid w:val="00B01BFF"/>
    <w:rsid w:val="00B023D5"/>
    <w:rsid w:val="00B02AE0"/>
    <w:rsid w:val="00B03F25"/>
    <w:rsid w:val="00B05326"/>
    <w:rsid w:val="00B062EB"/>
    <w:rsid w:val="00B07B84"/>
    <w:rsid w:val="00B07EA0"/>
    <w:rsid w:val="00B10330"/>
    <w:rsid w:val="00B14545"/>
    <w:rsid w:val="00B14E60"/>
    <w:rsid w:val="00B14F74"/>
    <w:rsid w:val="00B15926"/>
    <w:rsid w:val="00B172B0"/>
    <w:rsid w:val="00B17BA2"/>
    <w:rsid w:val="00B2120F"/>
    <w:rsid w:val="00B252C5"/>
    <w:rsid w:val="00B26DC3"/>
    <w:rsid w:val="00B279EB"/>
    <w:rsid w:val="00B30A9E"/>
    <w:rsid w:val="00B30B9D"/>
    <w:rsid w:val="00B4379C"/>
    <w:rsid w:val="00B44477"/>
    <w:rsid w:val="00B44661"/>
    <w:rsid w:val="00B44BF6"/>
    <w:rsid w:val="00B4574D"/>
    <w:rsid w:val="00B460FE"/>
    <w:rsid w:val="00B468E1"/>
    <w:rsid w:val="00B46BC0"/>
    <w:rsid w:val="00B46DFB"/>
    <w:rsid w:val="00B46F93"/>
    <w:rsid w:val="00B47D63"/>
    <w:rsid w:val="00B5141B"/>
    <w:rsid w:val="00B53522"/>
    <w:rsid w:val="00B54BA4"/>
    <w:rsid w:val="00B55681"/>
    <w:rsid w:val="00B56319"/>
    <w:rsid w:val="00B57AAD"/>
    <w:rsid w:val="00B623DD"/>
    <w:rsid w:val="00B6374E"/>
    <w:rsid w:val="00B72B16"/>
    <w:rsid w:val="00B73C82"/>
    <w:rsid w:val="00B77FA2"/>
    <w:rsid w:val="00B80408"/>
    <w:rsid w:val="00B81397"/>
    <w:rsid w:val="00B8561F"/>
    <w:rsid w:val="00B92439"/>
    <w:rsid w:val="00B925DB"/>
    <w:rsid w:val="00B9529E"/>
    <w:rsid w:val="00B967FF"/>
    <w:rsid w:val="00B974B9"/>
    <w:rsid w:val="00BA260C"/>
    <w:rsid w:val="00BA3708"/>
    <w:rsid w:val="00BA394A"/>
    <w:rsid w:val="00BA3F6D"/>
    <w:rsid w:val="00BA4BE6"/>
    <w:rsid w:val="00BA4FC0"/>
    <w:rsid w:val="00BA5404"/>
    <w:rsid w:val="00BA61E0"/>
    <w:rsid w:val="00BA657C"/>
    <w:rsid w:val="00BA7F7D"/>
    <w:rsid w:val="00BB0C10"/>
    <w:rsid w:val="00BB1C14"/>
    <w:rsid w:val="00BB1F86"/>
    <w:rsid w:val="00BB5CD5"/>
    <w:rsid w:val="00BB6847"/>
    <w:rsid w:val="00BB7F8F"/>
    <w:rsid w:val="00BC12F8"/>
    <w:rsid w:val="00BC1B9A"/>
    <w:rsid w:val="00BC64D1"/>
    <w:rsid w:val="00BC67F8"/>
    <w:rsid w:val="00BC716A"/>
    <w:rsid w:val="00BC741D"/>
    <w:rsid w:val="00BD07DF"/>
    <w:rsid w:val="00BD26F4"/>
    <w:rsid w:val="00BD5DBD"/>
    <w:rsid w:val="00BD5DF6"/>
    <w:rsid w:val="00BE0041"/>
    <w:rsid w:val="00BE004C"/>
    <w:rsid w:val="00BE43C2"/>
    <w:rsid w:val="00BE5107"/>
    <w:rsid w:val="00BE528C"/>
    <w:rsid w:val="00BE640F"/>
    <w:rsid w:val="00BE6D2A"/>
    <w:rsid w:val="00BF0D50"/>
    <w:rsid w:val="00BF4638"/>
    <w:rsid w:val="00BF4D12"/>
    <w:rsid w:val="00BF510D"/>
    <w:rsid w:val="00BF5130"/>
    <w:rsid w:val="00BF6607"/>
    <w:rsid w:val="00C00844"/>
    <w:rsid w:val="00C011CE"/>
    <w:rsid w:val="00C03E4D"/>
    <w:rsid w:val="00C04DA3"/>
    <w:rsid w:val="00C059D0"/>
    <w:rsid w:val="00C05D1F"/>
    <w:rsid w:val="00C07551"/>
    <w:rsid w:val="00C1109F"/>
    <w:rsid w:val="00C12D65"/>
    <w:rsid w:val="00C133AB"/>
    <w:rsid w:val="00C157F9"/>
    <w:rsid w:val="00C2059A"/>
    <w:rsid w:val="00C20B56"/>
    <w:rsid w:val="00C21688"/>
    <w:rsid w:val="00C22214"/>
    <w:rsid w:val="00C26F72"/>
    <w:rsid w:val="00C30324"/>
    <w:rsid w:val="00C309A7"/>
    <w:rsid w:val="00C316E7"/>
    <w:rsid w:val="00C335AB"/>
    <w:rsid w:val="00C407AB"/>
    <w:rsid w:val="00C442A5"/>
    <w:rsid w:val="00C4442B"/>
    <w:rsid w:val="00C46921"/>
    <w:rsid w:val="00C52B7B"/>
    <w:rsid w:val="00C547CD"/>
    <w:rsid w:val="00C5622D"/>
    <w:rsid w:val="00C570FF"/>
    <w:rsid w:val="00C57CEA"/>
    <w:rsid w:val="00C60BB8"/>
    <w:rsid w:val="00C60FEC"/>
    <w:rsid w:val="00C62113"/>
    <w:rsid w:val="00C62B1C"/>
    <w:rsid w:val="00C6574E"/>
    <w:rsid w:val="00C663D1"/>
    <w:rsid w:val="00C67692"/>
    <w:rsid w:val="00C707FD"/>
    <w:rsid w:val="00C73F53"/>
    <w:rsid w:val="00C761ED"/>
    <w:rsid w:val="00C76DEB"/>
    <w:rsid w:val="00C76E0E"/>
    <w:rsid w:val="00C80F71"/>
    <w:rsid w:val="00C811D8"/>
    <w:rsid w:val="00C816C6"/>
    <w:rsid w:val="00C82C4E"/>
    <w:rsid w:val="00C863A7"/>
    <w:rsid w:val="00C87979"/>
    <w:rsid w:val="00C9046A"/>
    <w:rsid w:val="00C912F4"/>
    <w:rsid w:val="00C9156F"/>
    <w:rsid w:val="00C9419F"/>
    <w:rsid w:val="00C9581A"/>
    <w:rsid w:val="00C95ACE"/>
    <w:rsid w:val="00C9689E"/>
    <w:rsid w:val="00C971EC"/>
    <w:rsid w:val="00C97301"/>
    <w:rsid w:val="00C97D29"/>
    <w:rsid w:val="00CA0CFF"/>
    <w:rsid w:val="00CA6A01"/>
    <w:rsid w:val="00CB0550"/>
    <w:rsid w:val="00CB15D4"/>
    <w:rsid w:val="00CB3AC6"/>
    <w:rsid w:val="00CB40FC"/>
    <w:rsid w:val="00CB6813"/>
    <w:rsid w:val="00CC3481"/>
    <w:rsid w:val="00CD1018"/>
    <w:rsid w:val="00CD5D04"/>
    <w:rsid w:val="00CE266A"/>
    <w:rsid w:val="00CE2BC2"/>
    <w:rsid w:val="00CE32D4"/>
    <w:rsid w:val="00CE571D"/>
    <w:rsid w:val="00CE7200"/>
    <w:rsid w:val="00CF24B6"/>
    <w:rsid w:val="00CF5CA1"/>
    <w:rsid w:val="00CF6A55"/>
    <w:rsid w:val="00CF6DC6"/>
    <w:rsid w:val="00CF6DCF"/>
    <w:rsid w:val="00CF79DC"/>
    <w:rsid w:val="00D01DB2"/>
    <w:rsid w:val="00D01DDB"/>
    <w:rsid w:val="00D046FC"/>
    <w:rsid w:val="00D078BE"/>
    <w:rsid w:val="00D106C7"/>
    <w:rsid w:val="00D10A1C"/>
    <w:rsid w:val="00D1397A"/>
    <w:rsid w:val="00D13F8A"/>
    <w:rsid w:val="00D14822"/>
    <w:rsid w:val="00D14E5B"/>
    <w:rsid w:val="00D16F60"/>
    <w:rsid w:val="00D2172F"/>
    <w:rsid w:val="00D22981"/>
    <w:rsid w:val="00D24398"/>
    <w:rsid w:val="00D24576"/>
    <w:rsid w:val="00D3013C"/>
    <w:rsid w:val="00D3034F"/>
    <w:rsid w:val="00D32449"/>
    <w:rsid w:val="00D3349B"/>
    <w:rsid w:val="00D36E5F"/>
    <w:rsid w:val="00D374C2"/>
    <w:rsid w:val="00D424A8"/>
    <w:rsid w:val="00D426C6"/>
    <w:rsid w:val="00D456BA"/>
    <w:rsid w:val="00D47872"/>
    <w:rsid w:val="00D50FFC"/>
    <w:rsid w:val="00D53D5F"/>
    <w:rsid w:val="00D54688"/>
    <w:rsid w:val="00D55D56"/>
    <w:rsid w:val="00D6036F"/>
    <w:rsid w:val="00D62877"/>
    <w:rsid w:val="00D63760"/>
    <w:rsid w:val="00D6703F"/>
    <w:rsid w:val="00D708F5"/>
    <w:rsid w:val="00D7101A"/>
    <w:rsid w:val="00D7157C"/>
    <w:rsid w:val="00D734EB"/>
    <w:rsid w:val="00D7378A"/>
    <w:rsid w:val="00D74DD5"/>
    <w:rsid w:val="00D75CD7"/>
    <w:rsid w:val="00D770EF"/>
    <w:rsid w:val="00D822B9"/>
    <w:rsid w:val="00D82713"/>
    <w:rsid w:val="00D86B51"/>
    <w:rsid w:val="00D86BF9"/>
    <w:rsid w:val="00D86F00"/>
    <w:rsid w:val="00D918D5"/>
    <w:rsid w:val="00D94C8E"/>
    <w:rsid w:val="00D955A7"/>
    <w:rsid w:val="00DA556D"/>
    <w:rsid w:val="00DA7FB4"/>
    <w:rsid w:val="00DB1372"/>
    <w:rsid w:val="00DB192C"/>
    <w:rsid w:val="00DB1CF3"/>
    <w:rsid w:val="00DB2B6F"/>
    <w:rsid w:val="00DB5425"/>
    <w:rsid w:val="00DB72A6"/>
    <w:rsid w:val="00DC1D36"/>
    <w:rsid w:val="00DC1E32"/>
    <w:rsid w:val="00DC2C97"/>
    <w:rsid w:val="00DC33AF"/>
    <w:rsid w:val="00DC4735"/>
    <w:rsid w:val="00DC6611"/>
    <w:rsid w:val="00DD03A9"/>
    <w:rsid w:val="00DD1D67"/>
    <w:rsid w:val="00DD3434"/>
    <w:rsid w:val="00DD3518"/>
    <w:rsid w:val="00DD5AFB"/>
    <w:rsid w:val="00DD7A5E"/>
    <w:rsid w:val="00DE00C2"/>
    <w:rsid w:val="00DE1344"/>
    <w:rsid w:val="00DE3650"/>
    <w:rsid w:val="00DE43D8"/>
    <w:rsid w:val="00DE7825"/>
    <w:rsid w:val="00DF1CFD"/>
    <w:rsid w:val="00DF1FA4"/>
    <w:rsid w:val="00DF3707"/>
    <w:rsid w:val="00DF58ED"/>
    <w:rsid w:val="00DF5BFE"/>
    <w:rsid w:val="00DF7203"/>
    <w:rsid w:val="00E00933"/>
    <w:rsid w:val="00E019CA"/>
    <w:rsid w:val="00E02961"/>
    <w:rsid w:val="00E041AC"/>
    <w:rsid w:val="00E0523F"/>
    <w:rsid w:val="00E058BE"/>
    <w:rsid w:val="00E05994"/>
    <w:rsid w:val="00E11145"/>
    <w:rsid w:val="00E1303B"/>
    <w:rsid w:val="00E23E50"/>
    <w:rsid w:val="00E26213"/>
    <w:rsid w:val="00E274DF"/>
    <w:rsid w:val="00E3284F"/>
    <w:rsid w:val="00E33DCF"/>
    <w:rsid w:val="00E343E0"/>
    <w:rsid w:val="00E34D66"/>
    <w:rsid w:val="00E3587E"/>
    <w:rsid w:val="00E362C4"/>
    <w:rsid w:val="00E375ED"/>
    <w:rsid w:val="00E40C9E"/>
    <w:rsid w:val="00E439BF"/>
    <w:rsid w:val="00E456BD"/>
    <w:rsid w:val="00E4613E"/>
    <w:rsid w:val="00E46CC2"/>
    <w:rsid w:val="00E47E0C"/>
    <w:rsid w:val="00E5014C"/>
    <w:rsid w:val="00E509FA"/>
    <w:rsid w:val="00E51813"/>
    <w:rsid w:val="00E51B5C"/>
    <w:rsid w:val="00E526A4"/>
    <w:rsid w:val="00E52C0B"/>
    <w:rsid w:val="00E53D3F"/>
    <w:rsid w:val="00E5579B"/>
    <w:rsid w:val="00E55894"/>
    <w:rsid w:val="00E57FF4"/>
    <w:rsid w:val="00E62748"/>
    <w:rsid w:val="00E65239"/>
    <w:rsid w:val="00E679D1"/>
    <w:rsid w:val="00E67C1C"/>
    <w:rsid w:val="00E7195A"/>
    <w:rsid w:val="00E76192"/>
    <w:rsid w:val="00E8020F"/>
    <w:rsid w:val="00E80559"/>
    <w:rsid w:val="00E852F9"/>
    <w:rsid w:val="00E9063C"/>
    <w:rsid w:val="00E91F11"/>
    <w:rsid w:val="00E93018"/>
    <w:rsid w:val="00E93027"/>
    <w:rsid w:val="00E9477F"/>
    <w:rsid w:val="00E95EA7"/>
    <w:rsid w:val="00E9706D"/>
    <w:rsid w:val="00E97496"/>
    <w:rsid w:val="00E97688"/>
    <w:rsid w:val="00EA1912"/>
    <w:rsid w:val="00EA20F1"/>
    <w:rsid w:val="00EA3AF4"/>
    <w:rsid w:val="00EB0C46"/>
    <w:rsid w:val="00EB23B0"/>
    <w:rsid w:val="00EB6252"/>
    <w:rsid w:val="00EB7412"/>
    <w:rsid w:val="00ED0527"/>
    <w:rsid w:val="00ED0C03"/>
    <w:rsid w:val="00ED2418"/>
    <w:rsid w:val="00EE096A"/>
    <w:rsid w:val="00EE34D2"/>
    <w:rsid w:val="00EE4B01"/>
    <w:rsid w:val="00EE786F"/>
    <w:rsid w:val="00EF20FF"/>
    <w:rsid w:val="00EF3F0B"/>
    <w:rsid w:val="00EF4580"/>
    <w:rsid w:val="00EF5583"/>
    <w:rsid w:val="00F00658"/>
    <w:rsid w:val="00F00D41"/>
    <w:rsid w:val="00F011CF"/>
    <w:rsid w:val="00F0289D"/>
    <w:rsid w:val="00F02AEC"/>
    <w:rsid w:val="00F06CDE"/>
    <w:rsid w:val="00F07572"/>
    <w:rsid w:val="00F127A6"/>
    <w:rsid w:val="00F1497B"/>
    <w:rsid w:val="00F157FC"/>
    <w:rsid w:val="00F178AC"/>
    <w:rsid w:val="00F23BCB"/>
    <w:rsid w:val="00F27EFB"/>
    <w:rsid w:val="00F30AF3"/>
    <w:rsid w:val="00F364B9"/>
    <w:rsid w:val="00F379B6"/>
    <w:rsid w:val="00F407EA"/>
    <w:rsid w:val="00F40EEE"/>
    <w:rsid w:val="00F43CD1"/>
    <w:rsid w:val="00F45AE0"/>
    <w:rsid w:val="00F46565"/>
    <w:rsid w:val="00F4718C"/>
    <w:rsid w:val="00F51E09"/>
    <w:rsid w:val="00F53243"/>
    <w:rsid w:val="00F60CF2"/>
    <w:rsid w:val="00F657B4"/>
    <w:rsid w:val="00F6654F"/>
    <w:rsid w:val="00F670B9"/>
    <w:rsid w:val="00F71CA3"/>
    <w:rsid w:val="00F72725"/>
    <w:rsid w:val="00F73FA1"/>
    <w:rsid w:val="00F7649F"/>
    <w:rsid w:val="00F772B5"/>
    <w:rsid w:val="00F805D7"/>
    <w:rsid w:val="00F8083B"/>
    <w:rsid w:val="00F82D1B"/>
    <w:rsid w:val="00F83547"/>
    <w:rsid w:val="00F839F8"/>
    <w:rsid w:val="00F85532"/>
    <w:rsid w:val="00F8568E"/>
    <w:rsid w:val="00F860D5"/>
    <w:rsid w:val="00F86417"/>
    <w:rsid w:val="00F865A7"/>
    <w:rsid w:val="00F916E5"/>
    <w:rsid w:val="00FA0754"/>
    <w:rsid w:val="00FA1BC9"/>
    <w:rsid w:val="00FA4845"/>
    <w:rsid w:val="00FA49C3"/>
    <w:rsid w:val="00FA501B"/>
    <w:rsid w:val="00FB236E"/>
    <w:rsid w:val="00FB3C9B"/>
    <w:rsid w:val="00FB3F7B"/>
    <w:rsid w:val="00FB4C2A"/>
    <w:rsid w:val="00FC2107"/>
    <w:rsid w:val="00FC47A0"/>
    <w:rsid w:val="00FC48FE"/>
    <w:rsid w:val="00FC6F56"/>
    <w:rsid w:val="00FC7E4D"/>
    <w:rsid w:val="00FD6666"/>
    <w:rsid w:val="00FD798E"/>
    <w:rsid w:val="00FE087C"/>
    <w:rsid w:val="00FE1418"/>
    <w:rsid w:val="00FE2EB7"/>
    <w:rsid w:val="00FE79A0"/>
    <w:rsid w:val="00FF0939"/>
    <w:rsid w:val="00FF1A3F"/>
    <w:rsid w:val="00FF424C"/>
    <w:rsid w:val="1C8D88CB"/>
    <w:rsid w:val="6CA59379"/>
    <w:rsid w:val="70F6DA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F4A62C78-16FF-440D-93F9-DDA92444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51A"/>
    <w:rPr>
      <w:rFonts w:ascii="Cambria" w:hAnsi="Cambria"/>
      <w:sz w:val="22"/>
    </w:rPr>
  </w:style>
  <w:style w:type="paragraph" w:styleId="Heading1">
    <w:name w:val="heading 1"/>
    <w:basedOn w:val="Normal"/>
    <w:next w:val="Normal"/>
    <w:link w:val="Heading1Char"/>
    <w:uiPriority w:val="9"/>
    <w:qFormat/>
    <w:rsid w:val="00FC47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paragraph" w:styleId="Heading7">
    <w:name w:val="heading 7"/>
    <w:basedOn w:val="Normal"/>
    <w:next w:val="Normal"/>
    <w:link w:val="Heading7Char"/>
    <w:uiPriority w:val="9"/>
    <w:unhideWhenUsed/>
    <w:qFormat/>
    <w:rsid w:val="00EF458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D6122"/>
    <w:pPr>
      <w:keepNext/>
      <w:keepLines/>
      <w:spacing w:before="40" w:after="0" w:line="240" w:lineRule="atLeast"/>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qFormat/>
    <w:rsid w:val="00FC6F56"/>
    <w:pPr>
      <w:numPr>
        <w:numId w:val="2"/>
      </w:numPr>
    </w:pPr>
  </w:style>
  <w:style w:type="paragraph" w:customStyle="1" w:styleId="Numberbullet2">
    <w:name w:val="Number bullet 2"/>
    <w:basedOn w:val="ListBullet2"/>
    <w:qFormat/>
    <w:rsid w:val="00F02AEC"/>
    <w:pPr>
      <w:numPr>
        <w:numId w:val="2"/>
      </w:numPr>
      <w:ind w:left="850" w:hanging="425"/>
    </w:pPr>
  </w:style>
  <w:style w:type="paragraph" w:customStyle="1" w:styleId="Numberbullet3">
    <w:name w:val="Number bullet 3"/>
    <w:basedOn w:val="Normal"/>
    <w:qFormat/>
    <w:rsid w:val="00F02AEC"/>
    <w:pPr>
      <w:numPr>
        <w:numId w:val="4"/>
      </w:numPr>
      <w:spacing w:before="120" w:after="180" w:line="240" w:lineRule="atLeast"/>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rsid w:val="00FE087C"/>
    <w:rPr>
      <w:rFonts w:ascii="Cambria" w:eastAsia="Cambria" w:hAnsi="Cambria" w:cs="Times New Roman"/>
      <w:color w:val="333F48"/>
      <w:sz w:val="17"/>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Wingdings 3" w:hAnsi="Wingdings 3"/>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AB0613"/>
    <w:pPr>
      <w:keepNext/>
    </w:pPr>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basedOn w:val="Normal"/>
    <w:link w:val="ListParagraphChar"/>
    <w:uiPriority w:val="34"/>
    <w:qFormat/>
    <w:rsid w:val="006B7126"/>
    <w:pPr>
      <w:spacing w:after="160"/>
      <w:ind w:left="720"/>
      <w:contextualSpacing/>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B7126"/>
    <w:rPr>
      <w:rFonts w:ascii="Times New Roman" w:hAnsi="Times New Roman" w:cs="Times New Roman"/>
      <w:sz w:val="24"/>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 w:type="character" w:customStyle="1" w:styleId="Heading1Char">
    <w:name w:val="Heading 1 Char"/>
    <w:basedOn w:val="DefaultParagraphFont"/>
    <w:link w:val="Heading1"/>
    <w:uiPriority w:val="9"/>
    <w:rsid w:val="00FC47A0"/>
    <w:rPr>
      <w:rFonts w:asciiTheme="majorHAnsi" w:eastAsiaTheme="majorEastAsia" w:hAnsiTheme="majorHAnsi" w:cstheme="majorBidi"/>
      <w:color w:val="2F5496" w:themeColor="accent1" w:themeShade="BF"/>
      <w:sz w:val="32"/>
      <w:szCs w:val="32"/>
    </w:rPr>
  </w:style>
  <w:style w:type="paragraph" w:customStyle="1" w:styleId="Standard">
    <w:name w:val="Standard"/>
    <w:basedOn w:val="Normal"/>
    <w:link w:val="StandardChar"/>
    <w:qFormat/>
    <w:rsid w:val="008868B5"/>
    <w:pPr>
      <w:spacing w:after="220" w:line="252" w:lineRule="auto"/>
    </w:pPr>
    <w:rPr>
      <w:rFonts w:eastAsia="Times New Roman" w:cs="Times New Roman"/>
      <w:snapToGrid w:val="0"/>
      <w:kern w:val="16"/>
      <w:sz w:val="23"/>
      <w:szCs w:val="24"/>
    </w:rPr>
  </w:style>
  <w:style w:type="character" w:customStyle="1" w:styleId="StandardChar">
    <w:name w:val="Standard Char"/>
    <w:basedOn w:val="DefaultParagraphFont"/>
    <w:link w:val="Standard"/>
    <w:rsid w:val="008868B5"/>
    <w:rPr>
      <w:rFonts w:ascii="Cambria" w:eastAsia="Times New Roman" w:hAnsi="Cambria" w:cs="Times New Roman"/>
      <w:snapToGrid w:val="0"/>
      <w:kern w:val="16"/>
      <w:sz w:val="23"/>
      <w:szCs w:val="24"/>
    </w:rPr>
  </w:style>
  <w:style w:type="paragraph" w:customStyle="1" w:styleId="Default">
    <w:name w:val="Default"/>
    <w:rsid w:val="00D822B9"/>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semiHidden/>
    <w:unhideWhenUsed/>
    <w:rsid w:val="0028436B"/>
    <w:rPr>
      <w:rFonts w:ascii="Times New Roman" w:hAnsi="Times New Roman" w:cs="Times New Roman"/>
      <w:sz w:val="24"/>
      <w:szCs w:val="24"/>
    </w:rPr>
  </w:style>
  <w:style w:type="character" w:customStyle="1" w:styleId="Heading8Char">
    <w:name w:val="Heading 8 Char"/>
    <w:basedOn w:val="DefaultParagraphFont"/>
    <w:link w:val="Heading8"/>
    <w:uiPriority w:val="9"/>
    <w:semiHidden/>
    <w:rsid w:val="005D6122"/>
    <w:rPr>
      <w:rFonts w:asciiTheme="majorHAnsi" w:eastAsiaTheme="majorEastAsia" w:hAnsiTheme="majorHAnsi" w:cstheme="majorBidi"/>
      <w:color w:val="272727" w:themeColor="text1" w:themeTint="D8"/>
      <w:sz w:val="21"/>
      <w:szCs w:val="21"/>
    </w:rPr>
  </w:style>
  <w:style w:type="paragraph" w:customStyle="1" w:styleId="Tabletext0">
    <w:name w:val="Table text"/>
    <w:basedOn w:val="Normal"/>
    <w:link w:val="TabletextChar"/>
    <w:qFormat/>
    <w:rsid w:val="004E00C3"/>
    <w:pPr>
      <w:spacing w:before="120" w:line="240" w:lineRule="atLeast"/>
    </w:pPr>
    <w:rPr>
      <w:rFonts w:eastAsia="Cambria" w:cs="Times New Roman"/>
      <w:kern w:val="16"/>
      <w:sz w:val="19"/>
      <w:szCs w:val="22"/>
    </w:rPr>
  </w:style>
  <w:style w:type="character" w:customStyle="1" w:styleId="TabletextChar">
    <w:name w:val="Table text Char"/>
    <w:basedOn w:val="StandardChar"/>
    <w:link w:val="Tabletext0"/>
    <w:rsid w:val="004E00C3"/>
    <w:rPr>
      <w:rFonts w:ascii="Cambria" w:eastAsia="Cambria" w:hAnsi="Cambria" w:cs="Times New Roman"/>
      <w:snapToGrid/>
      <w:kern w:val="16"/>
      <w:sz w:val="19"/>
      <w:szCs w:val="22"/>
    </w:rPr>
  </w:style>
  <w:style w:type="paragraph" w:customStyle="1" w:styleId="Bulletlist">
    <w:name w:val="Bullet list"/>
    <w:basedOn w:val="Standard"/>
    <w:link w:val="BulletlistChar"/>
    <w:qFormat/>
    <w:rsid w:val="00BE004C"/>
    <w:pPr>
      <w:numPr>
        <w:numId w:val="31"/>
      </w:numPr>
      <w:spacing w:after="180"/>
      <w:ind w:left="426" w:hanging="284"/>
    </w:pPr>
    <w:rPr>
      <w:kern w:val="2"/>
    </w:rPr>
  </w:style>
  <w:style w:type="character" w:customStyle="1" w:styleId="BulletlistChar">
    <w:name w:val="Bullet list Char"/>
    <w:basedOn w:val="StandardChar"/>
    <w:link w:val="Bulletlist"/>
    <w:rsid w:val="00BE004C"/>
    <w:rPr>
      <w:rFonts w:ascii="Cambria" w:eastAsia="Times New Roman" w:hAnsi="Cambria" w:cs="Times New Roman"/>
      <w:snapToGrid w:val="0"/>
      <w:kern w:val="2"/>
      <w:sz w:val="23"/>
      <w:szCs w:val="24"/>
    </w:rPr>
  </w:style>
  <w:style w:type="character" w:styleId="Mention">
    <w:name w:val="Mention"/>
    <w:basedOn w:val="DefaultParagraphFont"/>
    <w:uiPriority w:val="99"/>
    <w:unhideWhenUsed/>
    <w:rsid w:val="0034392D"/>
    <w:rPr>
      <w:color w:val="2B579A"/>
      <w:shd w:val="clear" w:color="auto" w:fill="E1DFDD"/>
    </w:rPr>
  </w:style>
  <w:style w:type="character" w:customStyle="1" w:styleId="Heading7Char">
    <w:name w:val="Heading 7 Char"/>
    <w:basedOn w:val="DefaultParagraphFont"/>
    <w:link w:val="Heading7"/>
    <w:uiPriority w:val="9"/>
    <w:rsid w:val="00EF4580"/>
    <w:rPr>
      <w:rFonts w:asciiTheme="majorHAnsi" w:eastAsiaTheme="majorEastAsia" w:hAnsiTheme="majorHAnsi" w:cstheme="majorBidi"/>
      <w:i/>
      <w:iCs/>
      <w:color w:val="1F3763" w:themeColor="accent1" w:themeShade="7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ga.gov.au/australian-public-assessment-report-auspar-guidance" TargetMode="External"/><Relationship Id="rId26" Type="http://schemas.openxmlformats.org/officeDocument/2006/relationships/image" Target="media/image5.png"/><Relationship Id="rId39" Type="http://schemas.openxmlformats.org/officeDocument/2006/relationships/fontTable" Target="fontTable.xml"/><Relationship Id="rId21" Type="http://schemas.openxmlformats.org/officeDocument/2006/relationships/hyperlink" Target="https://www.tga.gov.au/resources/sponsor/gilead-sciences-pty-ltd"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tga.gov.au/" TargetMode="External"/><Relationship Id="rId25" Type="http://schemas.openxmlformats.org/officeDocument/2006/relationships/image" Target="media/image4.png"/><Relationship Id="rId33" Type="http://schemas.openxmlformats.org/officeDocument/2006/relationships/header" Target="header4.xm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tga.gov.au/black-triangle-scheme" TargetMode="External"/><Relationship Id="rId29" Type="http://schemas.openxmlformats.org/officeDocument/2006/relationships/hyperlink" Target="https://www.tga.gov.au/resources/resource/guidance/risk-management-plans-medicines-and-biologicals/australia-specific-annex-eu-rm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tga.gov.au/how-we-regulate/supply-therapeutic-good-0/supply-prescription-medicine/application-process/prescription-medicines-registration-process" TargetMode="External"/><Relationship Id="rId32" Type="http://schemas.openxmlformats.org/officeDocument/2006/relationships/hyperlink" Target="https://www.ebs.tga.gov.au/"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tga.gov.au/obstetric-drug-information-services" TargetMode="External"/><Relationship Id="rId28" Type="http://schemas.openxmlformats.org/officeDocument/2006/relationships/hyperlink" Target="https://www.tga.gov.au/tgas-risk-management-approach" TargetMode="External"/><Relationship Id="rId36" Type="http://schemas.openxmlformats.org/officeDocument/2006/relationships/hyperlink" Target="https://www.tga.gov.au" TargetMode="External"/><Relationship Id="rId10" Type="http://schemas.openxmlformats.org/officeDocument/2006/relationships/endnotes" Target="endnotes.xml"/><Relationship Id="rId19" Type="http://schemas.openxmlformats.org/officeDocument/2006/relationships/hyperlink" Target="mailto:tga.copyright@tga.gov.au" TargetMode="External"/><Relationship Id="rId31" Type="http://schemas.openxmlformats.org/officeDocument/2006/relationships/hyperlink" Target="https://www.tga.gov.au/committee/advisory-committee-medicines-ac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ga.gov.au/products/medicines/find-information-about-medicine/prescribing-medicines-pregnancy-database" TargetMode="External"/><Relationship Id="rId27" Type="http://schemas.openxmlformats.org/officeDocument/2006/relationships/hyperlink" Target="https://www.tga.gov.au/publication/risk-management-plans-medicines-and-biologicals" TargetMode="External"/><Relationship Id="rId30" Type="http://schemas.openxmlformats.org/officeDocument/2006/relationships/hyperlink" Target="https://www.tga.gov.au/resources/resource/guidance/risk-management-plans-medicines-and-biologicals/australia-specific-annex-eu-rmp" TargetMode="External"/><Relationship Id="rId35" Type="http://schemas.openxmlformats.org/officeDocument/2006/relationships/hyperlink" Target="mailto:info@tga.gov.a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858058EDE73B4BB27DA0E7FC2F155C" ma:contentTypeVersion="18" ma:contentTypeDescription="Create a new document." ma:contentTypeScope="" ma:versionID="d6da57c771057c9c63849740def0de71">
  <xsd:schema xmlns:xsd="http://www.w3.org/2001/XMLSchema" xmlns:xs="http://www.w3.org/2001/XMLSchema" xmlns:p="http://schemas.microsoft.com/office/2006/metadata/properties" xmlns:ns2="f185e45a-dcbc-410f-b295-d1d68008fbe5" xmlns:ns3="30d5ae29-99ca-447a-b852-6d00a7ffe8ac" targetNamespace="http://schemas.microsoft.com/office/2006/metadata/properties" ma:root="true" ma:fieldsID="8583f91a98b178cde97bf77da0adde4b" ns2:_="" ns3:_="">
    <xsd:import namespace="f185e45a-dcbc-410f-b295-d1d68008fbe5"/>
    <xsd:import namespace="30d5ae29-99ca-447a-b852-6d00a7ffe8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e45a-dcbc-410f-b295-d1d68008f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59aaaf-67c2-4a9b-8dae-6c62ae0ca49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d5ae29-99ca-447a-b852-6d00a7ffe8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caabba-39a1-4907-a1f1-d1e4f331084c}" ma:internalName="TaxCatchAll" ma:showField="CatchAllData" ma:web="30d5ae29-99ca-447a-b852-6d00a7ffe8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0d5ae29-99ca-447a-b852-6d00a7ffe8ac" xsi:nil="true"/>
    <lcf76f155ced4ddcb4097134ff3c332f xmlns="f185e45a-dcbc-410f-b295-d1d68008fb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customXml/itemProps2.xml><?xml version="1.0" encoding="utf-8"?>
<ds:datastoreItem xmlns:ds="http://schemas.openxmlformats.org/officeDocument/2006/customXml" ds:itemID="{2F1B5807-3553-463C-837E-42E99C376EB9}">
  <ds:schemaRefs>
    <ds:schemaRef ds:uri="http://schemas.microsoft.com/sharepoint/v3/contenttype/forms"/>
  </ds:schemaRefs>
</ds:datastoreItem>
</file>

<file path=customXml/itemProps3.xml><?xml version="1.0" encoding="utf-8"?>
<ds:datastoreItem xmlns:ds="http://schemas.openxmlformats.org/officeDocument/2006/customXml" ds:itemID="{CD29529E-9829-4E06-8AD0-713BBFCCA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e45a-dcbc-410f-b295-d1d68008fbe5"/>
    <ds:schemaRef ds:uri="30d5ae29-99ca-447a-b852-6d00a7ffe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620DCF-8450-4993-B572-D31417EA670B}">
  <ds:schemaRefs>
    <ds:schemaRef ds:uri="http://schemas.microsoft.com/office/2006/metadata/properties"/>
    <ds:schemaRef ds:uri="http://schemas.microsoft.com/office/infopath/2007/PartnerControls"/>
    <ds:schemaRef ds:uri="30d5ae29-99ca-447a-b852-6d00a7ffe8ac"/>
    <ds:schemaRef ds:uri="f185e45a-dcbc-410f-b295-d1d68008fbe5"/>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33</Pages>
  <Words>12167</Words>
  <Characters>69354</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Disability and Ageing</Company>
  <LinksUpToDate>false</LinksUpToDate>
  <CharactersWithSpaces>81359</CharactersWithSpaces>
  <SharedDoc>false</SharedDoc>
  <HLinks>
    <vt:vector size="282" baseType="variant">
      <vt:variant>
        <vt:i4>3473445</vt:i4>
      </vt:variant>
      <vt:variant>
        <vt:i4>222</vt:i4>
      </vt:variant>
      <vt:variant>
        <vt:i4>0</vt:i4>
      </vt:variant>
      <vt:variant>
        <vt:i4>5</vt:i4>
      </vt:variant>
      <vt:variant>
        <vt:lpwstr>https://www.tga.gov.au/</vt:lpwstr>
      </vt:variant>
      <vt:variant>
        <vt:lpwstr/>
      </vt:variant>
      <vt:variant>
        <vt:i4>5242926</vt:i4>
      </vt:variant>
      <vt:variant>
        <vt:i4>219</vt:i4>
      </vt:variant>
      <vt:variant>
        <vt:i4>0</vt:i4>
      </vt:variant>
      <vt:variant>
        <vt:i4>5</vt:i4>
      </vt:variant>
      <vt:variant>
        <vt:lpwstr>mailto:info@tga.gov.au</vt:lpwstr>
      </vt:variant>
      <vt:variant>
        <vt:lpwstr/>
      </vt:variant>
      <vt:variant>
        <vt:i4>7929907</vt:i4>
      </vt:variant>
      <vt:variant>
        <vt:i4>216</vt:i4>
      </vt:variant>
      <vt:variant>
        <vt:i4>0</vt:i4>
      </vt:variant>
      <vt:variant>
        <vt:i4>5</vt:i4>
      </vt:variant>
      <vt:variant>
        <vt:lpwstr>https://www.ebs.tga.gov.au/</vt:lpwstr>
      </vt:variant>
      <vt:variant>
        <vt:lpwstr/>
      </vt:variant>
      <vt:variant>
        <vt:i4>524365</vt:i4>
      </vt:variant>
      <vt:variant>
        <vt:i4>213</vt:i4>
      </vt:variant>
      <vt:variant>
        <vt:i4>0</vt:i4>
      </vt:variant>
      <vt:variant>
        <vt:i4>5</vt:i4>
      </vt:variant>
      <vt:variant>
        <vt:lpwstr>https://www.tga.gov.au/committee/advisory-committee-medicines-acm</vt:lpwstr>
      </vt:variant>
      <vt:variant>
        <vt:lpwstr/>
      </vt:variant>
      <vt:variant>
        <vt:i4>2424877</vt:i4>
      </vt:variant>
      <vt:variant>
        <vt:i4>210</vt:i4>
      </vt:variant>
      <vt:variant>
        <vt:i4>0</vt:i4>
      </vt:variant>
      <vt:variant>
        <vt:i4>5</vt:i4>
      </vt:variant>
      <vt:variant>
        <vt:lpwstr>https://www.tga.gov.au/resources/resource/guidance/risk-management-plans-medicines-and-biologicals/australia-specific-annex-eu-rmp</vt:lpwstr>
      </vt:variant>
      <vt:variant>
        <vt:lpwstr/>
      </vt:variant>
      <vt:variant>
        <vt:i4>2424877</vt:i4>
      </vt:variant>
      <vt:variant>
        <vt:i4>207</vt:i4>
      </vt:variant>
      <vt:variant>
        <vt:i4>0</vt:i4>
      </vt:variant>
      <vt:variant>
        <vt:i4>5</vt:i4>
      </vt:variant>
      <vt:variant>
        <vt:lpwstr>https://www.tga.gov.au/resources/resource/guidance/risk-management-plans-medicines-and-biologicals/australia-specific-annex-eu-rmp</vt:lpwstr>
      </vt:variant>
      <vt:variant>
        <vt:lpwstr/>
      </vt:variant>
      <vt:variant>
        <vt:i4>5111899</vt:i4>
      </vt:variant>
      <vt:variant>
        <vt:i4>204</vt:i4>
      </vt:variant>
      <vt:variant>
        <vt:i4>0</vt:i4>
      </vt:variant>
      <vt:variant>
        <vt:i4>5</vt:i4>
      </vt:variant>
      <vt:variant>
        <vt:lpwstr>https://www.tga.gov.au/tgas-risk-management-approach</vt:lpwstr>
      </vt:variant>
      <vt:variant>
        <vt:lpwstr/>
      </vt:variant>
      <vt:variant>
        <vt:i4>7929888</vt:i4>
      </vt:variant>
      <vt:variant>
        <vt:i4>201</vt:i4>
      </vt:variant>
      <vt:variant>
        <vt:i4>0</vt:i4>
      </vt:variant>
      <vt:variant>
        <vt:i4>5</vt:i4>
      </vt:variant>
      <vt:variant>
        <vt:lpwstr>https://www.tga.gov.au/publication/risk-management-plans-medicines-and-biologicals</vt:lpwstr>
      </vt:variant>
      <vt:variant>
        <vt:lpwstr/>
      </vt:variant>
      <vt:variant>
        <vt:i4>1835097</vt:i4>
      </vt:variant>
      <vt:variant>
        <vt:i4>189</vt:i4>
      </vt:variant>
      <vt:variant>
        <vt:i4>0</vt:i4>
      </vt:variant>
      <vt:variant>
        <vt:i4>5</vt:i4>
      </vt:variant>
      <vt:variant>
        <vt:lpwstr>https://www.tga.gov.au/how-we-regulate/supply-therapeutic-good-0/supply-prescription-medicine/application-process/prescription-medicines-registration-process</vt:lpwstr>
      </vt:variant>
      <vt:variant>
        <vt:lpwstr/>
      </vt:variant>
      <vt:variant>
        <vt:i4>3670063</vt:i4>
      </vt:variant>
      <vt:variant>
        <vt:i4>183</vt:i4>
      </vt:variant>
      <vt:variant>
        <vt:i4>0</vt:i4>
      </vt:variant>
      <vt:variant>
        <vt:i4>5</vt:i4>
      </vt:variant>
      <vt:variant>
        <vt:lpwstr>https://www.tga.gov.au/obstetric-drug-information-services</vt:lpwstr>
      </vt:variant>
      <vt:variant>
        <vt:lpwstr/>
      </vt:variant>
      <vt:variant>
        <vt:i4>2949173</vt:i4>
      </vt:variant>
      <vt:variant>
        <vt:i4>180</vt:i4>
      </vt:variant>
      <vt:variant>
        <vt:i4>0</vt:i4>
      </vt:variant>
      <vt:variant>
        <vt:i4>5</vt:i4>
      </vt:variant>
      <vt:variant>
        <vt:lpwstr>https://www.tga.gov.au/products/medicines/find-information-about-medicine/prescribing-medicines-pregnancy-database</vt:lpwstr>
      </vt:variant>
      <vt:variant>
        <vt:lpwstr/>
      </vt:variant>
      <vt:variant>
        <vt:i4>1835039</vt:i4>
      </vt:variant>
      <vt:variant>
        <vt:i4>177</vt:i4>
      </vt:variant>
      <vt:variant>
        <vt:i4>0</vt:i4>
      </vt:variant>
      <vt:variant>
        <vt:i4>5</vt:i4>
      </vt:variant>
      <vt:variant>
        <vt:lpwstr>https://www.tga.gov.au/resources/sponsor/gilead-sciences-pty-ltd</vt:lpwstr>
      </vt:variant>
      <vt:variant>
        <vt:lpwstr/>
      </vt:variant>
      <vt:variant>
        <vt:i4>786511</vt:i4>
      </vt:variant>
      <vt:variant>
        <vt:i4>174</vt:i4>
      </vt:variant>
      <vt:variant>
        <vt:i4>0</vt:i4>
      </vt:variant>
      <vt:variant>
        <vt:i4>5</vt:i4>
      </vt:variant>
      <vt:variant>
        <vt:lpwstr>https://www.tga.gov.au/black-triangle-scheme</vt:lpwstr>
      </vt:variant>
      <vt:variant>
        <vt:lpwstr/>
      </vt:variant>
      <vt:variant>
        <vt:i4>1441841</vt:i4>
      </vt:variant>
      <vt:variant>
        <vt:i4>167</vt:i4>
      </vt:variant>
      <vt:variant>
        <vt:i4>0</vt:i4>
      </vt:variant>
      <vt:variant>
        <vt:i4>5</vt:i4>
      </vt:variant>
      <vt:variant>
        <vt:lpwstr/>
      </vt:variant>
      <vt:variant>
        <vt:lpwstr>_Toc229133916</vt:lpwstr>
      </vt:variant>
      <vt:variant>
        <vt:i4>1441841</vt:i4>
      </vt:variant>
      <vt:variant>
        <vt:i4>161</vt:i4>
      </vt:variant>
      <vt:variant>
        <vt:i4>0</vt:i4>
      </vt:variant>
      <vt:variant>
        <vt:i4>5</vt:i4>
      </vt:variant>
      <vt:variant>
        <vt:lpwstr/>
      </vt:variant>
      <vt:variant>
        <vt:lpwstr>_Toc229133915</vt:lpwstr>
      </vt:variant>
      <vt:variant>
        <vt:i4>1441841</vt:i4>
      </vt:variant>
      <vt:variant>
        <vt:i4>155</vt:i4>
      </vt:variant>
      <vt:variant>
        <vt:i4>0</vt:i4>
      </vt:variant>
      <vt:variant>
        <vt:i4>5</vt:i4>
      </vt:variant>
      <vt:variant>
        <vt:lpwstr/>
      </vt:variant>
      <vt:variant>
        <vt:lpwstr>_Toc229133914</vt:lpwstr>
      </vt:variant>
      <vt:variant>
        <vt:i4>1441841</vt:i4>
      </vt:variant>
      <vt:variant>
        <vt:i4>149</vt:i4>
      </vt:variant>
      <vt:variant>
        <vt:i4>0</vt:i4>
      </vt:variant>
      <vt:variant>
        <vt:i4>5</vt:i4>
      </vt:variant>
      <vt:variant>
        <vt:lpwstr/>
      </vt:variant>
      <vt:variant>
        <vt:lpwstr>_Toc229133913</vt:lpwstr>
      </vt:variant>
      <vt:variant>
        <vt:i4>1441841</vt:i4>
      </vt:variant>
      <vt:variant>
        <vt:i4>143</vt:i4>
      </vt:variant>
      <vt:variant>
        <vt:i4>0</vt:i4>
      </vt:variant>
      <vt:variant>
        <vt:i4>5</vt:i4>
      </vt:variant>
      <vt:variant>
        <vt:lpwstr/>
      </vt:variant>
      <vt:variant>
        <vt:lpwstr>_Toc229133912</vt:lpwstr>
      </vt:variant>
      <vt:variant>
        <vt:i4>1441841</vt:i4>
      </vt:variant>
      <vt:variant>
        <vt:i4>137</vt:i4>
      </vt:variant>
      <vt:variant>
        <vt:i4>0</vt:i4>
      </vt:variant>
      <vt:variant>
        <vt:i4>5</vt:i4>
      </vt:variant>
      <vt:variant>
        <vt:lpwstr/>
      </vt:variant>
      <vt:variant>
        <vt:lpwstr>_Toc229133911</vt:lpwstr>
      </vt:variant>
      <vt:variant>
        <vt:i4>1441841</vt:i4>
      </vt:variant>
      <vt:variant>
        <vt:i4>131</vt:i4>
      </vt:variant>
      <vt:variant>
        <vt:i4>0</vt:i4>
      </vt:variant>
      <vt:variant>
        <vt:i4>5</vt:i4>
      </vt:variant>
      <vt:variant>
        <vt:lpwstr/>
      </vt:variant>
      <vt:variant>
        <vt:lpwstr>_Toc229133910</vt:lpwstr>
      </vt:variant>
      <vt:variant>
        <vt:i4>1507377</vt:i4>
      </vt:variant>
      <vt:variant>
        <vt:i4>125</vt:i4>
      </vt:variant>
      <vt:variant>
        <vt:i4>0</vt:i4>
      </vt:variant>
      <vt:variant>
        <vt:i4>5</vt:i4>
      </vt:variant>
      <vt:variant>
        <vt:lpwstr/>
      </vt:variant>
      <vt:variant>
        <vt:lpwstr>_Toc229133909</vt:lpwstr>
      </vt:variant>
      <vt:variant>
        <vt:i4>1507377</vt:i4>
      </vt:variant>
      <vt:variant>
        <vt:i4>119</vt:i4>
      </vt:variant>
      <vt:variant>
        <vt:i4>0</vt:i4>
      </vt:variant>
      <vt:variant>
        <vt:i4>5</vt:i4>
      </vt:variant>
      <vt:variant>
        <vt:lpwstr/>
      </vt:variant>
      <vt:variant>
        <vt:lpwstr>_Toc229133908</vt:lpwstr>
      </vt:variant>
      <vt:variant>
        <vt:i4>1507377</vt:i4>
      </vt:variant>
      <vt:variant>
        <vt:i4>113</vt:i4>
      </vt:variant>
      <vt:variant>
        <vt:i4>0</vt:i4>
      </vt:variant>
      <vt:variant>
        <vt:i4>5</vt:i4>
      </vt:variant>
      <vt:variant>
        <vt:lpwstr/>
      </vt:variant>
      <vt:variant>
        <vt:lpwstr>_Toc229133907</vt:lpwstr>
      </vt:variant>
      <vt:variant>
        <vt:i4>1507377</vt:i4>
      </vt:variant>
      <vt:variant>
        <vt:i4>107</vt:i4>
      </vt:variant>
      <vt:variant>
        <vt:i4>0</vt:i4>
      </vt:variant>
      <vt:variant>
        <vt:i4>5</vt:i4>
      </vt:variant>
      <vt:variant>
        <vt:lpwstr/>
      </vt:variant>
      <vt:variant>
        <vt:lpwstr>_Toc229133906</vt:lpwstr>
      </vt:variant>
      <vt:variant>
        <vt:i4>1507377</vt:i4>
      </vt:variant>
      <vt:variant>
        <vt:i4>101</vt:i4>
      </vt:variant>
      <vt:variant>
        <vt:i4>0</vt:i4>
      </vt:variant>
      <vt:variant>
        <vt:i4>5</vt:i4>
      </vt:variant>
      <vt:variant>
        <vt:lpwstr/>
      </vt:variant>
      <vt:variant>
        <vt:lpwstr>_Toc229133905</vt:lpwstr>
      </vt:variant>
      <vt:variant>
        <vt:i4>1507377</vt:i4>
      </vt:variant>
      <vt:variant>
        <vt:i4>95</vt:i4>
      </vt:variant>
      <vt:variant>
        <vt:i4>0</vt:i4>
      </vt:variant>
      <vt:variant>
        <vt:i4>5</vt:i4>
      </vt:variant>
      <vt:variant>
        <vt:lpwstr/>
      </vt:variant>
      <vt:variant>
        <vt:lpwstr>_Toc229133904</vt:lpwstr>
      </vt:variant>
      <vt:variant>
        <vt:i4>1507377</vt:i4>
      </vt:variant>
      <vt:variant>
        <vt:i4>89</vt:i4>
      </vt:variant>
      <vt:variant>
        <vt:i4>0</vt:i4>
      </vt:variant>
      <vt:variant>
        <vt:i4>5</vt:i4>
      </vt:variant>
      <vt:variant>
        <vt:lpwstr/>
      </vt:variant>
      <vt:variant>
        <vt:lpwstr>_Toc229133903</vt:lpwstr>
      </vt:variant>
      <vt:variant>
        <vt:i4>1507377</vt:i4>
      </vt:variant>
      <vt:variant>
        <vt:i4>83</vt:i4>
      </vt:variant>
      <vt:variant>
        <vt:i4>0</vt:i4>
      </vt:variant>
      <vt:variant>
        <vt:i4>5</vt:i4>
      </vt:variant>
      <vt:variant>
        <vt:lpwstr/>
      </vt:variant>
      <vt:variant>
        <vt:lpwstr>_Toc229133902</vt:lpwstr>
      </vt:variant>
      <vt:variant>
        <vt:i4>1507377</vt:i4>
      </vt:variant>
      <vt:variant>
        <vt:i4>77</vt:i4>
      </vt:variant>
      <vt:variant>
        <vt:i4>0</vt:i4>
      </vt:variant>
      <vt:variant>
        <vt:i4>5</vt:i4>
      </vt:variant>
      <vt:variant>
        <vt:lpwstr/>
      </vt:variant>
      <vt:variant>
        <vt:lpwstr>_Toc229133901</vt:lpwstr>
      </vt:variant>
      <vt:variant>
        <vt:i4>1507377</vt:i4>
      </vt:variant>
      <vt:variant>
        <vt:i4>71</vt:i4>
      </vt:variant>
      <vt:variant>
        <vt:i4>0</vt:i4>
      </vt:variant>
      <vt:variant>
        <vt:i4>5</vt:i4>
      </vt:variant>
      <vt:variant>
        <vt:lpwstr/>
      </vt:variant>
      <vt:variant>
        <vt:lpwstr>_Toc229133900</vt:lpwstr>
      </vt:variant>
      <vt:variant>
        <vt:i4>1966128</vt:i4>
      </vt:variant>
      <vt:variant>
        <vt:i4>65</vt:i4>
      </vt:variant>
      <vt:variant>
        <vt:i4>0</vt:i4>
      </vt:variant>
      <vt:variant>
        <vt:i4>5</vt:i4>
      </vt:variant>
      <vt:variant>
        <vt:lpwstr/>
      </vt:variant>
      <vt:variant>
        <vt:lpwstr>_Toc229133899</vt:lpwstr>
      </vt:variant>
      <vt:variant>
        <vt:i4>1966128</vt:i4>
      </vt:variant>
      <vt:variant>
        <vt:i4>59</vt:i4>
      </vt:variant>
      <vt:variant>
        <vt:i4>0</vt:i4>
      </vt:variant>
      <vt:variant>
        <vt:i4>5</vt:i4>
      </vt:variant>
      <vt:variant>
        <vt:lpwstr/>
      </vt:variant>
      <vt:variant>
        <vt:lpwstr>_Toc229133898</vt:lpwstr>
      </vt:variant>
      <vt:variant>
        <vt:i4>1966128</vt:i4>
      </vt:variant>
      <vt:variant>
        <vt:i4>53</vt:i4>
      </vt:variant>
      <vt:variant>
        <vt:i4>0</vt:i4>
      </vt:variant>
      <vt:variant>
        <vt:i4>5</vt:i4>
      </vt:variant>
      <vt:variant>
        <vt:lpwstr/>
      </vt:variant>
      <vt:variant>
        <vt:lpwstr>_Toc229133897</vt:lpwstr>
      </vt:variant>
      <vt:variant>
        <vt:i4>1966128</vt:i4>
      </vt:variant>
      <vt:variant>
        <vt:i4>47</vt:i4>
      </vt:variant>
      <vt:variant>
        <vt:i4>0</vt:i4>
      </vt:variant>
      <vt:variant>
        <vt:i4>5</vt:i4>
      </vt:variant>
      <vt:variant>
        <vt:lpwstr/>
      </vt:variant>
      <vt:variant>
        <vt:lpwstr>_Toc229133896</vt:lpwstr>
      </vt:variant>
      <vt:variant>
        <vt:i4>1966128</vt:i4>
      </vt:variant>
      <vt:variant>
        <vt:i4>41</vt:i4>
      </vt:variant>
      <vt:variant>
        <vt:i4>0</vt:i4>
      </vt:variant>
      <vt:variant>
        <vt:i4>5</vt:i4>
      </vt:variant>
      <vt:variant>
        <vt:lpwstr/>
      </vt:variant>
      <vt:variant>
        <vt:lpwstr>_Toc229133895</vt:lpwstr>
      </vt:variant>
      <vt:variant>
        <vt:i4>1966128</vt:i4>
      </vt:variant>
      <vt:variant>
        <vt:i4>35</vt:i4>
      </vt:variant>
      <vt:variant>
        <vt:i4>0</vt:i4>
      </vt:variant>
      <vt:variant>
        <vt:i4>5</vt:i4>
      </vt:variant>
      <vt:variant>
        <vt:lpwstr/>
      </vt:variant>
      <vt:variant>
        <vt:lpwstr>_Toc229133894</vt:lpwstr>
      </vt:variant>
      <vt:variant>
        <vt:i4>1966128</vt:i4>
      </vt:variant>
      <vt:variant>
        <vt:i4>29</vt:i4>
      </vt:variant>
      <vt:variant>
        <vt:i4>0</vt:i4>
      </vt:variant>
      <vt:variant>
        <vt:i4>5</vt:i4>
      </vt:variant>
      <vt:variant>
        <vt:lpwstr/>
      </vt:variant>
      <vt:variant>
        <vt:lpwstr>_Toc229133893</vt:lpwstr>
      </vt:variant>
      <vt:variant>
        <vt:i4>1966128</vt:i4>
      </vt:variant>
      <vt:variant>
        <vt:i4>23</vt:i4>
      </vt:variant>
      <vt:variant>
        <vt:i4>0</vt:i4>
      </vt:variant>
      <vt:variant>
        <vt:i4>5</vt:i4>
      </vt:variant>
      <vt:variant>
        <vt:lpwstr/>
      </vt:variant>
      <vt:variant>
        <vt:lpwstr>_Toc229133892</vt:lpwstr>
      </vt:variant>
      <vt:variant>
        <vt:i4>1966128</vt:i4>
      </vt:variant>
      <vt:variant>
        <vt:i4>17</vt:i4>
      </vt:variant>
      <vt:variant>
        <vt:i4>0</vt:i4>
      </vt:variant>
      <vt:variant>
        <vt:i4>5</vt:i4>
      </vt:variant>
      <vt:variant>
        <vt:lpwstr/>
      </vt:variant>
      <vt:variant>
        <vt:lpwstr>_Toc229133891</vt:lpwstr>
      </vt:variant>
      <vt:variant>
        <vt:i4>1966128</vt:i4>
      </vt:variant>
      <vt:variant>
        <vt:i4>11</vt:i4>
      </vt:variant>
      <vt:variant>
        <vt:i4>0</vt:i4>
      </vt:variant>
      <vt:variant>
        <vt:i4>5</vt:i4>
      </vt:variant>
      <vt:variant>
        <vt:lpwstr/>
      </vt:variant>
      <vt:variant>
        <vt:lpwstr>_Toc229133890</vt:lpwstr>
      </vt:variant>
      <vt:variant>
        <vt:i4>6291548</vt:i4>
      </vt:variant>
      <vt:variant>
        <vt:i4>6</vt:i4>
      </vt:variant>
      <vt:variant>
        <vt:i4>0</vt:i4>
      </vt:variant>
      <vt:variant>
        <vt:i4>5</vt:i4>
      </vt:variant>
      <vt:variant>
        <vt:lpwstr>mailto:tga.copyright@tga.gov.au</vt:lpwstr>
      </vt:variant>
      <vt:variant>
        <vt:lpwstr/>
      </vt:variant>
      <vt:variant>
        <vt:i4>7995497</vt:i4>
      </vt:variant>
      <vt:variant>
        <vt:i4>3</vt:i4>
      </vt:variant>
      <vt:variant>
        <vt:i4>0</vt:i4>
      </vt:variant>
      <vt:variant>
        <vt:i4>5</vt:i4>
      </vt:variant>
      <vt:variant>
        <vt:lpwstr>https://www.tga.gov.au/australian-public-assessment-report-auspar-guidance</vt:lpwstr>
      </vt:variant>
      <vt:variant>
        <vt:lpwstr/>
      </vt:variant>
      <vt:variant>
        <vt:i4>3473445</vt:i4>
      </vt:variant>
      <vt:variant>
        <vt:i4>0</vt:i4>
      </vt:variant>
      <vt:variant>
        <vt:i4>0</vt:i4>
      </vt:variant>
      <vt:variant>
        <vt:i4>5</vt:i4>
      </vt:variant>
      <vt:variant>
        <vt:lpwstr>https://www.tga.gov.au/</vt:lpwstr>
      </vt:variant>
      <vt:variant>
        <vt:lpwstr/>
      </vt:variant>
      <vt:variant>
        <vt:i4>4522032</vt:i4>
      </vt:variant>
      <vt:variant>
        <vt:i4>9</vt:i4>
      </vt:variant>
      <vt:variant>
        <vt:i4>0</vt:i4>
      </vt:variant>
      <vt:variant>
        <vt:i4>5</vt:i4>
      </vt:variant>
      <vt:variant>
        <vt:lpwstr>mailto:Timmy.Duong@gilead.com</vt:lpwstr>
      </vt:variant>
      <vt:variant>
        <vt:lpwstr/>
      </vt:variant>
      <vt:variant>
        <vt:i4>2228294</vt:i4>
      </vt:variant>
      <vt:variant>
        <vt:i4>6</vt:i4>
      </vt:variant>
      <vt:variant>
        <vt:i4>0</vt:i4>
      </vt:variant>
      <vt:variant>
        <vt:i4>5</vt:i4>
      </vt:variant>
      <vt:variant>
        <vt:lpwstr>mailto:Kasia.Zemanek@gilead.com</vt:lpwstr>
      </vt:variant>
      <vt:variant>
        <vt:lpwstr/>
      </vt:variant>
      <vt:variant>
        <vt:i4>6553648</vt:i4>
      </vt:variant>
      <vt:variant>
        <vt:i4>3</vt:i4>
      </vt:variant>
      <vt:variant>
        <vt:i4>0</vt:i4>
      </vt:variant>
      <vt:variant>
        <vt:i4>5</vt:i4>
      </vt:variant>
      <vt:variant>
        <vt:lpwstr>https://www.tga.gov.au/sites/default/files/2025-08/auspar-iqirvo-250806.pdf</vt:lpwstr>
      </vt:variant>
      <vt:variant>
        <vt:lpwstr/>
      </vt:variant>
      <vt:variant>
        <vt:i4>6553648</vt:i4>
      </vt:variant>
      <vt:variant>
        <vt:i4>0</vt:i4>
      </vt:variant>
      <vt:variant>
        <vt:i4>0</vt:i4>
      </vt:variant>
      <vt:variant>
        <vt:i4>5</vt:i4>
      </vt:variant>
      <vt:variant>
        <vt:lpwstr>https://www.tga.gov.au/sites/default/files/2025-08/auspar-iqirvo-250806.pdf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Livdelzi</dc:title>
  <dc:subject>Prescription medicines</dc:subject>
  <dc:creator>Therapeutic Goods Administration</dc:creator>
  <cp:keywords/>
  <dc:description/>
  <dcterms:created xsi:type="dcterms:W3CDTF">2026-06-24T01:09:00Z</dcterms:created>
  <dcterms:modified xsi:type="dcterms:W3CDTF">2026-06-24T02:36:00Z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48c0e39b,60f1b3bd,33dae6e1,7507f474,575bd30</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7e282a4a,994c871,4c0439f0,615ee556,285eda09</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2026-02-24T05:09:39Z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e6c271ff-d1d0-47ed-8240-a1a1720452d2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0x01010064858058EDE73B4BB27DA0E7FC2F155C</vt:lpwstr>
  </property>
  <property fmtid="{D5CDD505-2E9C-101B-9397-08002B2CF9AE}" pid="17" name="docLang">
    <vt:lpwstr>en</vt:lpwstr>
  </property>
  <property fmtid="{D5CDD505-2E9C-101B-9397-08002B2CF9AE}" pid="18" name="MediaServiceImageTags">
    <vt:lpwstr/>
  </property>
  <property fmtid="{D5CDD505-2E9C-101B-9397-08002B2CF9AE}" pid="19" name="MSIP_Label_418c1083-8924-401d-97ae-40f5eed0fcd8_Enabled">
    <vt:lpwstr>true</vt:lpwstr>
  </property>
  <property fmtid="{D5CDD505-2E9C-101B-9397-08002B2CF9AE}" pid="20" name="MSIP_Label_418c1083-8924-401d-97ae-40f5eed0fcd8_SetDate">
    <vt:lpwstr>2026-05-12T03:27:25Z</vt:lpwstr>
  </property>
  <property fmtid="{D5CDD505-2E9C-101B-9397-08002B2CF9AE}" pid="21" name="MSIP_Label_418c1083-8924-401d-97ae-40f5eed0fcd8_Method">
    <vt:lpwstr>Standard</vt:lpwstr>
  </property>
  <property fmtid="{D5CDD505-2E9C-101B-9397-08002B2CF9AE}" pid="22" name="MSIP_Label_418c1083-8924-401d-97ae-40f5eed0fcd8_Name">
    <vt:lpwstr>418c1083-8924-401d-97ae-40f5eed0fcd8</vt:lpwstr>
  </property>
  <property fmtid="{D5CDD505-2E9C-101B-9397-08002B2CF9AE}" pid="23" name="MSIP_Label_418c1083-8924-401d-97ae-40f5eed0fcd8_SiteId">
    <vt:lpwstr>a5a8bcaa-3292-41e6-b735-5e8b21f4dbfd</vt:lpwstr>
  </property>
  <property fmtid="{D5CDD505-2E9C-101B-9397-08002B2CF9AE}" pid="24" name="MSIP_Label_418c1083-8924-401d-97ae-40f5eed0fcd8_ActionId">
    <vt:lpwstr>ca11182f-475e-43ee-aa1f-b4f6d38587a3</vt:lpwstr>
  </property>
  <property fmtid="{D5CDD505-2E9C-101B-9397-08002B2CF9AE}" pid="25" name="MSIP_Label_418c1083-8924-401d-97ae-40f5eed0fcd8_ContentBits">
    <vt:lpwstr>0</vt:lpwstr>
  </property>
  <property fmtid="{D5CDD505-2E9C-101B-9397-08002B2CF9AE}" pid="26" name="MSIP_Label_418c1083-8924-401d-97ae-40f5eed0fcd8_Tag">
    <vt:lpwstr>50, 3, 0, 1</vt:lpwstr>
  </property>
  <property fmtid="{D5CDD505-2E9C-101B-9397-08002B2CF9AE}" pid="27" name="go_back_to_my_user_name">
    <vt:lpwstr>Mark Sheng</vt:lpwstr>
  </property>
  <property fmtid="{D5CDD505-2E9C-101B-9397-08002B2CF9AE}" pid="28" name="go_back_to_my_initials">
    <vt:lpwstr>MS</vt:lpwstr>
  </property>
  <property fmtid="{D5CDD505-2E9C-101B-9397-08002B2CF9AE}" pid="29" name="UserName_var2">
    <vt:lpwstr>Mark Sheng</vt:lpwstr>
  </property>
  <property fmtid="{D5CDD505-2E9C-101B-9397-08002B2CF9AE}" pid="30" name="timer">
    <vt:lpwstr>56128.95</vt:lpwstr>
  </property>
</Properties>
</file>