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F5B7CE7" w:rsidR="00F02AEC" w:rsidRPr="00215D48" w:rsidRDefault="00346EC2" w:rsidP="007452E8">
            <w:pPr>
              <w:pStyle w:val="Title"/>
            </w:pPr>
            <w:r w:rsidRPr="00346EC2">
              <w:t xml:space="preserve">Australian Public Assessment Report for </w:t>
            </w:r>
            <w:r w:rsidR="007D3A0E">
              <w:t>Filsuvez</w:t>
            </w:r>
          </w:p>
        </w:tc>
      </w:tr>
      <w:tr w:rsidR="00F02AEC" w:rsidRPr="00215D48" w14:paraId="318A40A3" w14:textId="77777777" w:rsidTr="00346EC2">
        <w:trPr>
          <w:trHeight w:val="995"/>
        </w:trPr>
        <w:tc>
          <w:tcPr>
            <w:tcW w:w="8720" w:type="dxa"/>
          </w:tcPr>
          <w:p w14:paraId="7276FFE9" w14:textId="5BCF8077" w:rsidR="00D15EF3" w:rsidRPr="00D15EF3" w:rsidRDefault="00346EC2" w:rsidP="00D15EF3">
            <w:pPr>
              <w:pStyle w:val="Subtitle"/>
              <w:ind w:left="0"/>
              <w:rPr>
                <w:bCs w:val="0"/>
              </w:rPr>
            </w:pPr>
            <w:r w:rsidRPr="00346EC2">
              <w:t xml:space="preserve">Active ingredient: </w:t>
            </w:r>
            <w:r w:rsidR="007524C8">
              <w:rPr>
                <w:bCs w:val="0"/>
              </w:rPr>
              <w:t>B</w:t>
            </w:r>
            <w:r w:rsidR="00D15EF3" w:rsidRPr="00D15EF3">
              <w:rPr>
                <w:bCs w:val="0"/>
              </w:rPr>
              <w:t>irch bark dry extract (84</w:t>
            </w:r>
            <w:r w:rsidR="005176DD">
              <w:rPr>
                <w:bCs w:val="0"/>
              </w:rPr>
              <w:t xml:space="preserve"> </w:t>
            </w:r>
            <w:r w:rsidR="00D15EF3" w:rsidRPr="00D15EF3">
              <w:rPr>
                <w:bCs w:val="0"/>
              </w:rPr>
              <w:t>-95% triterpenes)</w:t>
            </w:r>
          </w:p>
          <w:p w14:paraId="1AA7C701" w14:textId="112F2242" w:rsidR="00F02AEC" w:rsidRPr="00215D48" w:rsidRDefault="00F02AEC" w:rsidP="007452E8">
            <w:pPr>
              <w:pStyle w:val="Subtitle"/>
              <w:ind w:left="0"/>
            </w:pPr>
          </w:p>
        </w:tc>
      </w:tr>
      <w:tr w:rsidR="00346EC2" w:rsidRPr="00215D48" w14:paraId="362CCAE4" w14:textId="77777777" w:rsidTr="007452E8">
        <w:trPr>
          <w:trHeight w:val="1916"/>
        </w:trPr>
        <w:tc>
          <w:tcPr>
            <w:tcW w:w="8720" w:type="dxa"/>
          </w:tcPr>
          <w:p w14:paraId="709C45C0" w14:textId="714EDD60" w:rsidR="00346EC2" w:rsidRPr="005762CF" w:rsidRDefault="00346EC2" w:rsidP="007452E8">
            <w:pPr>
              <w:pStyle w:val="Subtitle"/>
              <w:ind w:left="0"/>
            </w:pPr>
            <w:r w:rsidRPr="005762CF">
              <w:t>Sponsor:</w:t>
            </w:r>
            <w:r w:rsidR="00D15EF3" w:rsidRPr="005762CF">
              <w:t xml:space="preserve"> Chiesi Australia </w:t>
            </w:r>
            <w:r w:rsidR="002368BA" w:rsidRPr="005762CF">
              <w:t>Pty Ltd</w:t>
            </w:r>
          </w:p>
        </w:tc>
      </w:tr>
      <w:tr w:rsidR="00F02AEC" w:rsidRPr="00215D48" w14:paraId="37F2AA1F" w14:textId="77777777" w:rsidTr="007452E8">
        <w:tc>
          <w:tcPr>
            <w:tcW w:w="8720" w:type="dxa"/>
          </w:tcPr>
          <w:p w14:paraId="1FDE8DCD" w14:textId="10809B76" w:rsidR="00F02AEC" w:rsidRPr="00215D48" w:rsidRDefault="002372B6" w:rsidP="007452E8">
            <w:pPr>
              <w:pStyle w:val="Date"/>
            </w:pPr>
            <w:r>
              <w:t>June</w:t>
            </w:r>
            <w:r w:rsidR="002368BA">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31CD973A" w:rsidR="00175CD8" w:rsidRPr="00346EC2" w:rsidRDefault="00F02AEC" w:rsidP="00346EC2">
      <w:pPr>
        <w:pStyle w:val="LegalCopy"/>
        <w:rPr>
          <w:rFonts w:cs="Arial"/>
        </w:rPr>
      </w:pPr>
      <w:r w:rsidRPr="00215D48">
        <w:rPr>
          <w:rFonts w:cs="Arial"/>
        </w:rPr>
        <w:t>© Commonwealth of Australia 20</w:t>
      </w:r>
      <w:r>
        <w:rPr>
          <w:rFonts w:cs="Arial"/>
        </w:rPr>
        <w:t>2</w:t>
      </w:r>
      <w:r w:rsidR="004E16C6">
        <w:rPr>
          <w:rFonts w:cs="Arial"/>
        </w:rPr>
        <w:t>6</w:t>
      </w:r>
      <w:r w:rsidR="009E125E">
        <w:rPr>
          <w:rFonts w:cs="Arial"/>
        </w:rPr>
        <w:t>.</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0C5432"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13F9199F" w14:textId="44899E7A" w:rsidR="00B200CF"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3030838" w:history="1">
            <w:r w:rsidR="00B200CF" w:rsidRPr="00112558">
              <w:rPr>
                <w:rStyle w:val="Hyperlink"/>
                <w:noProof/>
              </w:rPr>
              <w:t>List of abbreviations</w:t>
            </w:r>
            <w:r w:rsidR="00B200CF">
              <w:rPr>
                <w:noProof/>
                <w:webHidden/>
              </w:rPr>
              <w:tab/>
            </w:r>
            <w:r w:rsidR="00B200CF">
              <w:rPr>
                <w:noProof/>
                <w:webHidden/>
              </w:rPr>
              <w:fldChar w:fldCharType="begin"/>
            </w:r>
            <w:r w:rsidR="00B200CF">
              <w:rPr>
                <w:noProof/>
                <w:webHidden/>
              </w:rPr>
              <w:instrText xml:space="preserve"> PAGEREF _Toc233030838 \h </w:instrText>
            </w:r>
            <w:r w:rsidR="00B200CF">
              <w:rPr>
                <w:noProof/>
                <w:webHidden/>
              </w:rPr>
            </w:r>
            <w:r w:rsidR="00B200CF">
              <w:rPr>
                <w:noProof/>
                <w:webHidden/>
              </w:rPr>
              <w:fldChar w:fldCharType="separate"/>
            </w:r>
            <w:r w:rsidR="00B200CF">
              <w:rPr>
                <w:noProof/>
                <w:webHidden/>
              </w:rPr>
              <w:t>4</w:t>
            </w:r>
            <w:r w:rsidR="00B200CF">
              <w:rPr>
                <w:noProof/>
                <w:webHidden/>
              </w:rPr>
              <w:fldChar w:fldCharType="end"/>
            </w:r>
          </w:hyperlink>
        </w:p>
        <w:p w14:paraId="5658950B" w14:textId="623246C5" w:rsidR="00B200CF" w:rsidRDefault="00B200C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030839" w:history="1">
            <w:r w:rsidRPr="00112558">
              <w:rPr>
                <w:rStyle w:val="Hyperlink"/>
                <w:noProof/>
              </w:rPr>
              <w:t>Product submission</w:t>
            </w:r>
            <w:r>
              <w:rPr>
                <w:noProof/>
                <w:webHidden/>
              </w:rPr>
              <w:tab/>
            </w:r>
            <w:r>
              <w:rPr>
                <w:noProof/>
                <w:webHidden/>
              </w:rPr>
              <w:fldChar w:fldCharType="begin"/>
            </w:r>
            <w:r>
              <w:rPr>
                <w:noProof/>
                <w:webHidden/>
              </w:rPr>
              <w:instrText xml:space="preserve"> PAGEREF _Toc233030839 \h </w:instrText>
            </w:r>
            <w:r>
              <w:rPr>
                <w:noProof/>
                <w:webHidden/>
              </w:rPr>
            </w:r>
            <w:r>
              <w:rPr>
                <w:noProof/>
                <w:webHidden/>
              </w:rPr>
              <w:fldChar w:fldCharType="separate"/>
            </w:r>
            <w:r>
              <w:rPr>
                <w:noProof/>
                <w:webHidden/>
              </w:rPr>
              <w:t>6</w:t>
            </w:r>
            <w:r>
              <w:rPr>
                <w:noProof/>
                <w:webHidden/>
              </w:rPr>
              <w:fldChar w:fldCharType="end"/>
            </w:r>
          </w:hyperlink>
        </w:p>
        <w:p w14:paraId="1F5AAE40" w14:textId="360F5174" w:rsidR="00B200CF" w:rsidRDefault="00B200C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030840" w:history="1">
            <w:r w:rsidRPr="00112558">
              <w:rPr>
                <w:rStyle w:val="Hyperlink"/>
                <w:noProof/>
                <w:lang w:eastAsia="en-AU"/>
              </w:rPr>
              <w:t>Submission details</w:t>
            </w:r>
            <w:r>
              <w:rPr>
                <w:noProof/>
                <w:webHidden/>
              </w:rPr>
              <w:tab/>
            </w:r>
            <w:r>
              <w:rPr>
                <w:noProof/>
                <w:webHidden/>
              </w:rPr>
              <w:fldChar w:fldCharType="begin"/>
            </w:r>
            <w:r>
              <w:rPr>
                <w:noProof/>
                <w:webHidden/>
              </w:rPr>
              <w:instrText xml:space="preserve"> PAGEREF _Toc233030840 \h </w:instrText>
            </w:r>
            <w:r>
              <w:rPr>
                <w:noProof/>
                <w:webHidden/>
              </w:rPr>
            </w:r>
            <w:r>
              <w:rPr>
                <w:noProof/>
                <w:webHidden/>
              </w:rPr>
              <w:fldChar w:fldCharType="separate"/>
            </w:r>
            <w:r>
              <w:rPr>
                <w:noProof/>
                <w:webHidden/>
              </w:rPr>
              <w:t>6</w:t>
            </w:r>
            <w:r>
              <w:rPr>
                <w:noProof/>
                <w:webHidden/>
              </w:rPr>
              <w:fldChar w:fldCharType="end"/>
            </w:r>
          </w:hyperlink>
        </w:p>
        <w:p w14:paraId="74DB8C43" w14:textId="1F0BD628" w:rsidR="00B200CF" w:rsidRDefault="00B200C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030841" w:history="1">
            <w:r w:rsidRPr="00112558">
              <w:rPr>
                <w:rStyle w:val="Hyperlink"/>
                <w:noProof/>
              </w:rPr>
              <w:t>Product background</w:t>
            </w:r>
            <w:r>
              <w:rPr>
                <w:noProof/>
                <w:webHidden/>
              </w:rPr>
              <w:tab/>
            </w:r>
            <w:r>
              <w:rPr>
                <w:noProof/>
                <w:webHidden/>
              </w:rPr>
              <w:fldChar w:fldCharType="begin"/>
            </w:r>
            <w:r>
              <w:rPr>
                <w:noProof/>
                <w:webHidden/>
              </w:rPr>
              <w:instrText xml:space="preserve"> PAGEREF _Toc233030841 \h </w:instrText>
            </w:r>
            <w:r>
              <w:rPr>
                <w:noProof/>
                <w:webHidden/>
              </w:rPr>
            </w:r>
            <w:r>
              <w:rPr>
                <w:noProof/>
                <w:webHidden/>
              </w:rPr>
              <w:fldChar w:fldCharType="separate"/>
            </w:r>
            <w:r>
              <w:rPr>
                <w:noProof/>
                <w:webHidden/>
              </w:rPr>
              <w:t>7</w:t>
            </w:r>
            <w:r>
              <w:rPr>
                <w:noProof/>
                <w:webHidden/>
              </w:rPr>
              <w:fldChar w:fldCharType="end"/>
            </w:r>
          </w:hyperlink>
        </w:p>
        <w:p w14:paraId="25A0DD54" w14:textId="7E75CF6E"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42" w:history="1">
            <w:r w:rsidRPr="00112558">
              <w:rPr>
                <w:rStyle w:val="Hyperlink"/>
                <w:noProof/>
              </w:rPr>
              <w:t>Condition</w:t>
            </w:r>
            <w:r>
              <w:rPr>
                <w:noProof/>
                <w:webHidden/>
              </w:rPr>
              <w:tab/>
            </w:r>
            <w:r>
              <w:rPr>
                <w:noProof/>
                <w:webHidden/>
              </w:rPr>
              <w:fldChar w:fldCharType="begin"/>
            </w:r>
            <w:r>
              <w:rPr>
                <w:noProof/>
                <w:webHidden/>
              </w:rPr>
              <w:instrText xml:space="preserve"> PAGEREF _Toc233030842 \h </w:instrText>
            </w:r>
            <w:r>
              <w:rPr>
                <w:noProof/>
                <w:webHidden/>
              </w:rPr>
            </w:r>
            <w:r>
              <w:rPr>
                <w:noProof/>
                <w:webHidden/>
              </w:rPr>
              <w:fldChar w:fldCharType="separate"/>
            </w:r>
            <w:r>
              <w:rPr>
                <w:noProof/>
                <w:webHidden/>
              </w:rPr>
              <w:t>7</w:t>
            </w:r>
            <w:r>
              <w:rPr>
                <w:noProof/>
                <w:webHidden/>
              </w:rPr>
              <w:fldChar w:fldCharType="end"/>
            </w:r>
          </w:hyperlink>
        </w:p>
        <w:p w14:paraId="2757A414" w14:textId="09A37A18"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43" w:history="1">
            <w:r w:rsidRPr="00112558">
              <w:rPr>
                <w:rStyle w:val="Hyperlink"/>
                <w:noProof/>
              </w:rPr>
              <w:t>Current treatment options</w:t>
            </w:r>
            <w:r>
              <w:rPr>
                <w:noProof/>
                <w:webHidden/>
              </w:rPr>
              <w:tab/>
            </w:r>
            <w:r>
              <w:rPr>
                <w:noProof/>
                <w:webHidden/>
              </w:rPr>
              <w:fldChar w:fldCharType="begin"/>
            </w:r>
            <w:r>
              <w:rPr>
                <w:noProof/>
                <w:webHidden/>
              </w:rPr>
              <w:instrText xml:space="preserve"> PAGEREF _Toc233030843 \h </w:instrText>
            </w:r>
            <w:r>
              <w:rPr>
                <w:noProof/>
                <w:webHidden/>
              </w:rPr>
            </w:r>
            <w:r>
              <w:rPr>
                <w:noProof/>
                <w:webHidden/>
              </w:rPr>
              <w:fldChar w:fldCharType="separate"/>
            </w:r>
            <w:r>
              <w:rPr>
                <w:noProof/>
                <w:webHidden/>
              </w:rPr>
              <w:t>8</w:t>
            </w:r>
            <w:r>
              <w:rPr>
                <w:noProof/>
                <w:webHidden/>
              </w:rPr>
              <w:fldChar w:fldCharType="end"/>
            </w:r>
          </w:hyperlink>
        </w:p>
        <w:p w14:paraId="683E4E75" w14:textId="26DC717F"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44" w:history="1">
            <w:r w:rsidRPr="00112558">
              <w:rPr>
                <w:rStyle w:val="Hyperlink"/>
                <w:noProof/>
              </w:rPr>
              <w:t>Clinical rationale</w:t>
            </w:r>
            <w:r>
              <w:rPr>
                <w:noProof/>
                <w:webHidden/>
              </w:rPr>
              <w:tab/>
            </w:r>
            <w:r>
              <w:rPr>
                <w:noProof/>
                <w:webHidden/>
              </w:rPr>
              <w:fldChar w:fldCharType="begin"/>
            </w:r>
            <w:r>
              <w:rPr>
                <w:noProof/>
                <w:webHidden/>
              </w:rPr>
              <w:instrText xml:space="preserve"> PAGEREF _Toc233030844 \h </w:instrText>
            </w:r>
            <w:r>
              <w:rPr>
                <w:noProof/>
                <w:webHidden/>
              </w:rPr>
            </w:r>
            <w:r>
              <w:rPr>
                <w:noProof/>
                <w:webHidden/>
              </w:rPr>
              <w:fldChar w:fldCharType="separate"/>
            </w:r>
            <w:r>
              <w:rPr>
                <w:noProof/>
                <w:webHidden/>
              </w:rPr>
              <w:t>10</w:t>
            </w:r>
            <w:r>
              <w:rPr>
                <w:noProof/>
                <w:webHidden/>
              </w:rPr>
              <w:fldChar w:fldCharType="end"/>
            </w:r>
          </w:hyperlink>
        </w:p>
        <w:p w14:paraId="3954CB60" w14:textId="418C6B8E" w:rsidR="00B200CF" w:rsidRDefault="00B200C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030845" w:history="1">
            <w:r w:rsidRPr="00112558">
              <w:rPr>
                <w:rStyle w:val="Hyperlink"/>
                <w:noProof/>
              </w:rPr>
              <w:t>Regulatory status</w:t>
            </w:r>
            <w:r>
              <w:rPr>
                <w:noProof/>
                <w:webHidden/>
              </w:rPr>
              <w:tab/>
            </w:r>
            <w:r>
              <w:rPr>
                <w:noProof/>
                <w:webHidden/>
              </w:rPr>
              <w:fldChar w:fldCharType="begin"/>
            </w:r>
            <w:r>
              <w:rPr>
                <w:noProof/>
                <w:webHidden/>
              </w:rPr>
              <w:instrText xml:space="preserve"> PAGEREF _Toc233030845 \h </w:instrText>
            </w:r>
            <w:r>
              <w:rPr>
                <w:noProof/>
                <w:webHidden/>
              </w:rPr>
            </w:r>
            <w:r>
              <w:rPr>
                <w:noProof/>
                <w:webHidden/>
              </w:rPr>
              <w:fldChar w:fldCharType="separate"/>
            </w:r>
            <w:r>
              <w:rPr>
                <w:noProof/>
                <w:webHidden/>
              </w:rPr>
              <w:t>10</w:t>
            </w:r>
            <w:r>
              <w:rPr>
                <w:noProof/>
                <w:webHidden/>
              </w:rPr>
              <w:fldChar w:fldCharType="end"/>
            </w:r>
          </w:hyperlink>
        </w:p>
        <w:p w14:paraId="050AF8CC" w14:textId="7DBC71DF"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46" w:history="1">
            <w:r w:rsidRPr="00112558">
              <w:rPr>
                <w:rStyle w:val="Hyperlink"/>
                <w:noProof/>
              </w:rPr>
              <w:t>Australian regulatory status</w:t>
            </w:r>
            <w:r>
              <w:rPr>
                <w:noProof/>
                <w:webHidden/>
              </w:rPr>
              <w:tab/>
            </w:r>
            <w:r>
              <w:rPr>
                <w:noProof/>
                <w:webHidden/>
              </w:rPr>
              <w:fldChar w:fldCharType="begin"/>
            </w:r>
            <w:r>
              <w:rPr>
                <w:noProof/>
                <w:webHidden/>
              </w:rPr>
              <w:instrText xml:space="preserve"> PAGEREF _Toc233030846 \h </w:instrText>
            </w:r>
            <w:r>
              <w:rPr>
                <w:noProof/>
                <w:webHidden/>
              </w:rPr>
            </w:r>
            <w:r>
              <w:rPr>
                <w:noProof/>
                <w:webHidden/>
              </w:rPr>
              <w:fldChar w:fldCharType="separate"/>
            </w:r>
            <w:r>
              <w:rPr>
                <w:noProof/>
                <w:webHidden/>
              </w:rPr>
              <w:t>10</w:t>
            </w:r>
            <w:r>
              <w:rPr>
                <w:noProof/>
                <w:webHidden/>
              </w:rPr>
              <w:fldChar w:fldCharType="end"/>
            </w:r>
          </w:hyperlink>
        </w:p>
        <w:p w14:paraId="10F75233" w14:textId="050AB52E"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47" w:history="1">
            <w:r w:rsidRPr="00112558">
              <w:rPr>
                <w:rStyle w:val="Hyperlink"/>
                <w:noProof/>
              </w:rPr>
              <w:t>International regulatory status</w:t>
            </w:r>
            <w:r>
              <w:rPr>
                <w:noProof/>
                <w:webHidden/>
              </w:rPr>
              <w:tab/>
            </w:r>
            <w:r>
              <w:rPr>
                <w:noProof/>
                <w:webHidden/>
              </w:rPr>
              <w:fldChar w:fldCharType="begin"/>
            </w:r>
            <w:r>
              <w:rPr>
                <w:noProof/>
                <w:webHidden/>
              </w:rPr>
              <w:instrText xml:space="preserve"> PAGEREF _Toc233030847 \h </w:instrText>
            </w:r>
            <w:r>
              <w:rPr>
                <w:noProof/>
                <w:webHidden/>
              </w:rPr>
            </w:r>
            <w:r>
              <w:rPr>
                <w:noProof/>
                <w:webHidden/>
              </w:rPr>
              <w:fldChar w:fldCharType="separate"/>
            </w:r>
            <w:r>
              <w:rPr>
                <w:noProof/>
                <w:webHidden/>
              </w:rPr>
              <w:t>11</w:t>
            </w:r>
            <w:r>
              <w:rPr>
                <w:noProof/>
                <w:webHidden/>
              </w:rPr>
              <w:fldChar w:fldCharType="end"/>
            </w:r>
          </w:hyperlink>
        </w:p>
        <w:p w14:paraId="7B1928D1" w14:textId="43C2617A" w:rsidR="00B200CF" w:rsidRDefault="00B200C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030848" w:history="1">
            <w:r w:rsidRPr="00112558">
              <w:rPr>
                <w:rStyle w:val="Hyperlink"/>
                <w:noProof/>
              </w:rPr>
              <w:t>Registration timeline</w:t>
            </w:r>
            <w:r>
              <w:rPr>
                <w:noProof/>
                <w:webHidden/>
              </w:rPr>
              <w:tab/>
            </w:r>
            <w:r>
              <w:rPr>
                <w:noProof/>
                <w:webHidden/>
              </w:rPr>
              <w:fldChar w:fldCharType="begin"/>
            </w:r>
            <w:r>
              <w:rPr>
                <w:noProof/>
                <w:webHidden/>
              </w:rPr>
              <w:instrText xml:space="preserve"> PAGEREF _Toc233030848 \h </w:instrText>
            </w:r>
            <w:r>
              <w:rPr>
                <w:noProof/>
                <w:webHidden/>
              </w:rPr>
            </w:r>
            <w:r>
              <w:rPr>
                <w:noProof/>
                <w:webHidden/>
              </w:rPr>
              <w:fldChar w:fldCharType="separate"/>
            </w:r>
            <w:r>
              <w:rPr>
                <w:noProof/>
                <w:webHidden/>
              </w:rPr>
              <w:t>11</w:t>
            </w:r>
            <w:r>
              <w:rPr>
                <w:noProof/>
                <w:webHidden/>
              </w:rPr>
              <w:fldChar w:fldCharType="end"/>
            </w:r>
          </w:hyperlink>
        </w:p>
        <w:p w14:paraId="0F3FE645" w14:textId="29C04D06" w:rsidR="00B200CF" w:rsidRDefault="00B200C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030849" w:history="1">
            <w:r w:rsidRPr="00112558">
              <w:rPr>
                <w:rStyle w:val="Hyperlink"/>
                <w:noProof/>
              </w:rPr>
              <w:t>Assessment overview</w:t>
            </w:r>
            <w:r>
              <w:rPr>
                <w:noProof/>
                <w:webHidden/>
              </w:rPr>
              <w:tab/>
            </w:r>
            <w:r>
              <w:rPr>
                <w:noProof/>
                <w:webHidden/>
              </w:rPr>
              <w:fldChar w:fldCharType="begin"/>
            </w:r>
            <w:r>
              <w:rPr>
                <w:noProof/>
                <w:webHidden/>
              </w:rPr>
              <w:instrText xml:space="preserve"> PAGEREF _Toc233030849 \h </w:instrText>
            </w:r>
            <w:r>
              <w:rPr>
                <w:noProof/>
                <w:webHidden/>
              </w:rPr>
            </w:r>
            <w:r>
              <w:rPr>
                <w:noProof/>
                <w:webHidden/>
              </w:rPr>
              <w:fldChar w:fldCharType="separate"/>
            </w:r>
            <w:r>
              <w:rPr>
                <w:noProof/>
                <w:webHidden/>
              </w:rPr>
              <w:t>12</w:t>
            </w:r>
            <w:r>
              <w:rPr>
                <w:noProof/>
                <w:webHidden/>
              </w:rPr>
              <w:fldChar w:fldCharType="end"/>
            </w:r>
          </w:hyperlink>
        </w:p>
        <w:p w14:paraId="2171A0C9" w14:textId="2AE68312" w:rsidR="00B200CF" w:rsidRDefault="00B200C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030850" w:history="1">
            <w:r w:rsidRPr="00112558">
              <w:rPr>
                <w:rStyle w:val="Hyperlink"/>
                <w:noProof/>
              </w:rPr>
              <w:t>Quality evaluation summary</w:t>
            </w:r>
            <w:r>
              <w:rPr>
                <w:noProof/>
                <w:webHidden/>
              </w:rPr>
              <w:tab/>
            </w:r>
            <w:r>
              <w:rPr>
                <w:noProof/>
                <w:webHidden/>
              </w:rPr>
              <w:fldChar w:fldCharType="begin"/>
            </w:r>
            <w:r>
              <w:rPr>
                <w:noProof/>
                <w:webHidden/>
              </w:rPr>
              <w:instrText xml:space="preserve"> PAGEREF _Toc233030850 \h </w:instrText>
            </w:r>
            <w:r>
              <w:rPr>
                <w:noProof/>
                <w:webHidden/>
              </w:rPr>
            </w:r>
            <w:r>
              <w:rPr>
                <w:noProof/>
                <w:webHidden/>
              </w:rPr>
              <w:fldChar w:fldCharType="separate"/>
            </w:r>
            <w:r>
              <w:rPr>
                <w:noProof/>
                <w:webHidden/>
              </w:rPr>
              <w:t>12</w:t>
            </w:r>
            <w:r>
              <w:rPr>
                <w:noProof/>
                <w:webHidden/>
              </w:rPr>
              <w:fldChar w:fldCharType="end"/>
            </w:r>
          </w:hyperlink>
        </w:p>
        <w:p w14:paraId="1F320FF2" w14:textId="57AD83E3" w:rsidR="00B200CF" w:rsidRDefault="00B200C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030851" w:history="1">
            <w:r w:rsidRPr="00112558">
              <w:rPr>
                <w:rStyle w:val="Hyperlink"/>
                <w:noProof/>
              </w:rPr>
              <w:t>Nonclinical evaluation summary</w:t>
            </w:r>
            <w:r>
              <w:rPr>
                <w:noProof/>
                <w:webHidden/>
              </w:rPr>
              <w:tab/>
            </w:r>
            <w:r>
              <w:rPr>
                <w:noProof/>
                <w:webHidden/>
              </w:rPr>
              <w:fldChar w:fldCharType="begin"/>
            </w:r>
            <w:r>
              <w:rPr>
                <w:noProof/>
                <w:webHidden/>
              </w:rPr>
              <w:instrText xml:space="preserve"> PAGEREF _Toc233030851 \h </w:instrText>
            </w:r>
            <w:r>
              <w:rPr>
                <w:noProof/>
                <w:webHidden/>
              </w:rPr>
            </w:r>
            <w:r>
              <w:rPr>
                <w:noProof/>
                <w:webHidden/>
              </w:rPr>
              <w:fldChar w:fldCharType="separate"/>
            </w:r>
            <w:r>
              <w:rPr>
                <w:noProof/>
                <w:webHidden/>
              </w:rPr>
              <w:t>12</w:t>
            </w:r>
            <w:r>
              <w:rPr>
                <w:noProof/>
                <w:webHidden/>
              </w:rPr>
              <w:fldChar w:fldCharType="end"/>
            </w:r>
          </w:hyperlink>
        </w:p>
        <w:p w14:paraId="5E9A70FB" w14:textId="1D902850" w:rsidR="00B200CF" w:rsidRDefault="00B200C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030852" w:history="1">
            <w:r w:rsidRPr="00112558">
              <w:rPr>
                <w:rStyle w:val="Hyperlink"/>
                <w:noProof/>
              </w:rPr>
              <w:t>Clinical evaluation summary</w:t>
            </w:r>
            <w:r>
              <w:rPr>
                <w:noProof/>
                <w:webHidden/>
              </w:rPr>
              <w:tab/>
            </w:r>
            <w:r>
              <w:rPr>
                <w:noProof/>
                <w:webHidden/>
              </w:rPr>
              <w:fldChar w:fldCharType="begin"/>
            </w:r>
            <w:r>
              <w:rPr>
                <w:noProof/>
                <w:webHidden/>
              </w:rPr>
              <w:instrText xml:space="preserve"> PAGEREF _Toc233030852 \h </w:instrText>
            </w:r>
            <w:r>
              <w:rPr>
                <w:noProof/>
                <w:webHidden/>
              </w:rPr>
            </w:r>
            <w:r>
              <w:rPr>
                <w:noProof/>
                <w:webHidden/>
              </w:rPr>
              <w:fldChar w:fldCharType="separate"/>
            </w:r>
            <w:r>
              <w:rPr>
                <w:noProof/>
                <w:webHidden/>
              </w:rPr>
              <w:t>13</w:t>
            </w:r>
            <w:r>
              <w:rPr>
                <w:noProof/>
                <w:webHidden/>
              </w:rPr>
              <w:fldChar w:fldCharType="end"/>
            </w:r>
          </w:hyperlink>
        </w:p>
        <w:p w14:paraId="65ED449E" w14:textId="1B329DD0"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53" w:history="1">
            <w:r w:rsidRPr="00112558">
              <w:rPr>
                <w:rStyle w:val="Hyperlink"/>
                <w:noProof/>
              </w:rPr>
              <w:t>Summary of clinical studies</w:t>
            </w:r>
            <w:r>
              <w:rPr>
                <w:noProof/>
                <w:webHidden/>
              </w:rPr>
              <w:tab/>
            </w:r>
            <w:r>
              <w:rPr>
                <w:noProof/>
                <w:webHidden/>
              </w:rPr>
              <w:fldChar w:fldCharType="begin"/>
            </w:r>
            <w:r>
              <w:rPr>
                <w:noProof/>
                <w:webHidden/>
              </w:rPr>
              <w:instrText xml:space="preserve"> PAGEREF _Toc233030853 \h </w:instrText>
            </w:r>
            <w:r>
              <w:rPr>
                <w:noProof/>
                <w:webHidden/>
              </w:rPr>
            </w:r>
            <w:r>
              <w:rPr>
                <w:noProof/>
                <w:webHidden/>
              </w:rPr>
              <w:fldChar w:fldCharType="separate"/>
            </w:r>
            <w:r>
              <w:rPr>
                <w:noProof/>
                <w:webHidden/>
              </w:rPr>
              <w:t>13</w:t>
            </w:r>
            <w:r>
              <w:rPr>
                <w:noProof/>
                <w:webHidden/>
              </w:rPr>
              <w:fldChar w:fldCharType="end"/>
            </w:r>
          </w:hyperlink>
        </w:p>
        <w:p w14:paraId="5A6E4FC4" w14:textId="5B061F0D"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54" w:history="1">
            <w:r w:rsidRPr="00112558">
              <w:rPr>
                <w:rStyle w:val="Hyperlink"/>
                <w:noProof/>
              </w:rPr>
              <w:t>Pharmacology</w:t>
            </w:r>
            <w:r>
              <w:rPr>
                <w:noProof/>
                <w:webHidden/>
              </w:rPr>
              <w:tab/>
            </w:r>
            <w:r>
              <w:rPr>
                <w:noProof/>
                <w:webHidden/>
              </w:rPr>
              <w:fldChar w:fldCharType="begin"/>
            </w:r>
            <w:r>
              <w:rPr>
                <w:noProof/>
                <w:webHidden/>
              </w:rPr>
              <w:instrText xml:space="preserve"> PAGEREF _Toc233030854 \h </w:instrText>
            </w:r>
            <w:r>
              <w:rPr>
                <w:noProof/>
                <w:webHidden/>
              </w:rPr>
            </w:r>
            <w:r>
              <w:rPr>
                <w:noProof/>
                <w:webHidden/>
              </w:rPr>
              <w:fldChar w:fldCharType="separate"/>
            </w:r>
            <w:r>
              <w:rPr>
                <w:noProof/>
                <w:webHidden/>
              </w:rPr>
              <w:t>14</w:t>
            </w:r>
            <w:r>
              <w:rPr>
                <w:noProof/>
                <w:webHidden/>
              </w:rPr>
              <w:fldChar w:fldCharType="end"/>
            </w:r>
          </w:hyperlink>
        </w:p>
        <w:p w14:paraId="54F70165" w14:textId="408A0CD4"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55" w:history="1">
            <w:r w:rsidRPr="00112558">
              <w:rPr>
                <w:rStyle w:val="Hyperlink"/>
                <w:noProof/>
              </w:rPr>
              <w:t>Efficacy</w:t>
            </w:r>
            <w:r>
              <w:rPr>
                <w:noProof/>
                <w:webHidden/>
              </w:rPr>
              <w:tab/>
            </w:r>
            <w:r>
              <w:rPr>
                <w:noProof/>
                <w:webHidden/>
              </w:rPr>
              <w:fldChar w:fldCharType="begin"/>
            </w:r>
            <w:r>
              <w:rPr>
                <w:noProof/>
                <w:webHidden/>
              </w:rPr>
              <w:instrText xml:space="preserve"> PAGEREF _Toc233030855 \h </w:instrText>
            </w:r>
            <w:r>
              <w:rPr>
                <w:noProof/>
                <w:webHidden/>
              </w:rPr>
            </w:r>
            <w:r>
              <w:rPr>
                <w:noProof/>
                <w:webHidden/>
              </w:rPr>
              <w:fldChar w:fldCharType="separate"/>
            </w:r>
            <w:r>
              <w:rPr>
                <w:noProof/>
                <w:webHidden/>
              </w:rPr>
              <w:t>16</w:t>
            </w:r>
            <w:r>
              <w:rPr>
                <w:noProof/>
                <w:webHidden/>
              </w:rPr>
              <w:fldChar w:fldCharType="end"/>
            </w:r>
          </w:hyperlink>
        </w:p>
        <w:p w14:paraId="22FD6ED0" w14:textId="24757C7A"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56" w:history="1">
            <w:r w:rsidRPr="00112558">
              <w:rPr>
                <w:rStyle w:val="Hyperlink"/>
                <w:noProof/>
              </w:rPr>
              <w:t>Safety</w:t>
            </w:r>
            <w:r>
              <w:rPr>
                <w:noProof/>
                <w:webHidden/>
              </w:rPr>
              <w:tab/>
            </w:r>
            <w:r>
              <w:rPr>
                <w:noProof/>
                <w:webHidden/>
              </w:rPr>
              <w:fldChar w:fldCharType="begin"/>
            </w:r>
            <w:r>
              <w:rPr>
                <w:noProof/>
                <w:webHidden/>
              </w:rPr>
              <w:instrText xml:space="preserve"> PAGEREF _Toc233030856 \h </w:instrText>
            </w:r>
            <w:r>
              <w:rPr>
                <w:noProof/>
                <w:webHidden/>
              </w:rPr>
            </w:r>
            <w:r>
              <w:rPr>
                <w:noProof/>
                <w:webHidden/>
              </w:rPr>
              <w:fldChar w:fldCharType="separate"/>
            </w:r>
            <w:r>
              <w:rPr>
                <w:noProof/>
                <w:webHidden/>
              </w:rPr>
              <w:t>24</w:t>
            </w:r>
            <w:r>
              <w:rPr>
                <w:noProof/>
                <w:webHidden/>
              </w:rPr>
              <w:fldChar w:fldCharType="end"/>
            </w:r>
          </w:hyperlink>
        </w:p>
        <w:p w14:paraId="6F90E359" w14:textId="6F7EAE85" w:rsidR="00B200CF" w:rsidRDefault="00B200C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030857" w:history="1">
            <w:r w:rsidRPr="00112558">
              <w:rPr>
                <w:rStyle w:val="Hyperlink"/>
                <w:noProof/>
              </w:rPr>
              <w:t>Risk management plan</w:t>
            </w:r>
            <w:r>
              <w:rPr>
                <w:noProof/>
                <w:webHidden/>
              </w:rPr>
              <w:tab/>
            </w:r>
            <w:r>
              <w:rPr>
                <w:noProof/>
                <w:webHidden/>
              </w:rPr>
              <w:fldChar w:fldCharType="begin"/>
            </w:r>
            <w:r>
              <w:rPr>
                <w:noProof/>
                <w:webHidden/>
              </w:rPr>
              <w:instrText xml:space="preserve"> PAGEREF _Toc233030857 \h </w:instrText>
            </w:r>
            <w:r>
              <w:rPr>
                <w:noProof/>
                <w:webHidden/>
              </w:rPr>
            </w:r>
            <w:r>
              <w:rPr>
                <w:noProof/>
                <w:webHidden/>
              </w:rPr>
              <w:fldChar w:fldCharType="separate"/>
            </w:r>
            <w:r>
              <w:rPr>
                <w:noProof/>
                <w:webHidden/>
              </w:rPr>
              <w:t>30</w:t>
            </w:r>
            <w:r>
              <w:rPr>
                <w:noProof/>
                <w:webHidden/>
              </w:rPr>
              <w:fldChar w:fldCharType="end"/>
            </w:r>
          </w:hyperlink>
        </w:p>
        <w:p w14:paraId="246EB99B" w14:textId="3B0A6311"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58" w:history="1">
            <w:r w:rsidRPr="00112558">
              <w:rPr>
                <w:rStyle w:val="Hyperlink"/>
                <w:noProof/>
              </w:rPr>
              <w:t>Delegate’s considerations</w:t>
            </w:r>
            <w:r>
              <w:rPr>
                <w:noProof/>
                <w:webHidden/>
              </w:rPr>
              <w:tab/>
            </w:r>
            <w:r>
              <w:rPr>
                <w:noProof/>
                <w:webHidden/>
              </w:rPr>
              <w:fldChar w:fldCharType="begin"/>
            </w:r>
            <w:r>
              <w:rPr>
                <w:noProof/>
                <w:webHidden/>
              </w:rPr>
              <w:instrText xml:space="preserve"> PAGEREF _Toc233030858 \h </w:instrText>
            </w:r>
            <w:r>
              <w:rPr>
                <w:noProof/>
                <w:webHidden/>
              </w:rPr>
            </w:r>
            <w:r>
              <w:rPr>
                <w:noProof/>
                <w:webHidden/>
              </w:rPr>
              <w:fldChar w:fldCharType="separate"/>
            </w:r>
            <w:r>
              <w:rPr>
                <w:noProof/>
                <w:webHidden/>
              </w:rPr>
              <w:t>31</w:t>
            </w:r>
            <w:r>
              <w:rPr>
                <w:noProof/>
                <w:webHidden/>
              </w:rPr>
              <w:fldChar w:fldCharType="end"/>
            </w:r>
          </w:hyperlink>
        </w:p>
        <w:p w14:paraId="46D334EB" w14:textId="19E8EC92" w:rsidR="00B200CF" w:rsidRDefault="00B200C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030859" w:history="1">
            <w:r w:rsidRPr="00112558">
              <w:rPr>
                <w:rStyle w:val="Hyperlink"/>
                <w:noProof/>
              </w:rPr>
              <w:t>Proposed action</w:t>
            </w:r>
            <w:r>
              <w:rPr>
                <w:noProof/>
                <w:webHidden/>
              </w:rPr>
              <w:tab/>
            </w:r>
            <w:r>
              <w:rPr>
                <w:noProof/>
                <w:webHidden/>
              </w:rPr>
              <w:fldChar w:fldCharType="begin"/>
            </w:r>
            <w:r>
              <w:rPr>
                <w:noProof/>
                <w:webHidden/>
              </w:rPr>
              <w:instrText xml:space="preserve"> PAGEREF _Toc233030859 \h </w:instrText>
            </w:r>
            <w:r>
              <w:rPr>
                <w:noProof/>
                <w:webHidden/>
              </w:rPr>
            </w:r>
            <w:r>
              <w:rPr>
                <w:noProof/>
                <w:webHidden/>
              </w:rPr>
              <w:fldChar w:fldCharType="separate"/>
            </w:r>
            <w:r>
              <w:rPr>
                <w:noProof/>
                <w:webHidden/>
              </w:rPr>
              <w:t>32</w:t>
            </w:r>
            <w:r>
              <w:rPr>
                <w:noProof/>
                <w:webHidden/>
              </w:rPr>
              <w:fldChar w:fldCharType="end"/>
            </w:r>
          </w:hyperlink>
        </w:p>
        <w:p w14:paraId="2FA1EB65" w14:textId="7C71F65A" w:rsidR="00B200CF" w:rsidRDefault="00B200C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030860" w:history="1">
            <w:r w:rsidRPr="00112558">
              <w:rPr>
                <w:rStyle w:val="Hyperlink"/>
                <w:noProof/>
              </w:rPr>
              <w:t>Assessment outcome</w:t>
            </w:r>
            <w:r>
              <w:rPr>
                <w:noProof/>
                <w:webHidden/>
              </w:rPr>
              <w:tab/>
            </w:r>
            <w:r>
              <w:rPr>
                <w:noProof/>
                <w:webHidden/>
              </w:rPr>
              <w:fldChar w:fldCharType="begin"/>
            </w:r>
            <w:r>
              <w:rPr>
                <w:noProof/>
                <w:webHidden/>
              </w:rPr>
              <w:instrText xml:space="preserve"> PAGEREF _Toc233030860 \h </w:instrText>
            </w:r>
            <w:r>
              <w:rPr>
                <w:noProof/>
                <w:webHidden/>
              </w:rPr>
            </w:r>
            <w:r>
              <w:rPr>
                <w:noProof/>
                <w:webHidden/>
              </w:rPr>
              <w:fldChar w:fldCharType="separate"/>
            </w:r>
            <w:r>
              <w:rPr>
                <w:noProof/>
                <w:webHidden/>
              </w:rPr>
              <w:t>33</w:t>
            </w:r>
            <w:r>
              <w:rPr>
                <w:noProof/>
                <w:webHidden/>
              </w:rPr>
              <w:fldChar w:fldCharType="end"/>
            </w:r>
          </w:hyperlink>
        </w:p>
        <w:p w14:paraId="71D05B3A" w14:textId="44349C8A" w:rsidR="00B200CF" w:rsidRDefault="00B200C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030861" w:history="1">
            <w:r w:rsidRPr="00112558">
              <w:rPr>
                <w:rStyle w:val="Hyperlink"/>
                <w:noProof/>
              </w:rPr>
              <w:t>Specific conditions of registration</w:t>
            </w:r>
            <w:r>
              <w:rPr>
                <w:noProof/>
                <w:webHidden/>
              </w:rPr>
              <w:tab/>
            </w:r>
            <w:r>
              <w:rPr>
                <w:noProof/>
                <w:webHidden/>
              </w:rPr>
              <w:fldChar w:fldCharType="begin"/>
            </w:r>
            <w:r>
              <w:rPr>
                <w:noProof/>
                <w:webHidden/>
              </w:rPr>
              <w:instrText xml:space="preserve"> PAGEREF _Toc233030861 \h </w:instrText>
            </w:r>
            <w:r>
              <w:rPr>
                <w:noProof/>
                <w:webHidden/>
              </w:rPr>
            </w:r>
            <w:r>
              <w:rPr>
                <w:noProof/>
                <w:webHidden/>
              </w:rPr>
              <w:fldChar w:fldCharType="separate"/>
            </w:r>
            <w:r>
              <w:rPr>
                <w:noProof/>
                <w:webHidden/>
              </w:rPr>
              <w:t>33</w:t>
            </w:r>
            <w:r>
              <w:rPr>
                <w:noProof/>
                <w:webHidden/>
              </w:rPr>
              <w:fldChar w:fldCharType="end"/>
            </w:r>
          </w:hyperlink>
        </w:p>
        <w:p w14:paraId="6148C298" w14:textId="3AB9340D" w:rsidR="00B200CF" w:rsidRDefault="00B200C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030862" w:history="1">
            <w:r w:rsidRPr="00112558">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_Toc233030862 \h </w:instrText>
            </w:r>
            <w:r>
              <w:rPr>
                <w:noProof/>
                <w:webHidden/>
              </w:rPr>
            </w:r>
            <w:r>
              <w:rPr>
                <w:noProof/>
                <w:webHidden/>
              </w:rPr>
              <w:fldChar w:fldCharType="separate"/>
            </w:r>
            <w:r>
              <w:rPr>
                <w:noProof/>
                <w:webHidden/>
              </w:rPr>
              <w:t>33</w:t>
            </w:r>
            <w:r>
              <w:rPr>
                <w:noProof/>
                <w:webHidden/>
              </w:rPr>
              <w:fldChar w:fldCharType="end"/>
            </w:r>
          </w:hyperlink>
        </w:p>
        <w:p w14:paraId="77659F2D" w14:textId="3F5E2B3E"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33030838"/>
      <w:bookmarkStart w:id="3" w:name="_Toc323739589"/>
      <w:bookmarkStart w:id="4" w:name="_Toc356305216"/>
      <w:r>
        <w:lastRenderedPageBreak/>
        <w:t>List of abbreviations</w:t>
      </w:r>
      <w:bookmarkEnd w:id="0"/>
      <w:bookmarkEnd w:id="1"/>
      <w:bookmarkEnd w:id="2"/>
    </w:p>
    <w:p w14:paraId="58578454" w14:textId="196A8B0D" w:rsidR="00324B33" w:rsidRDefault="00324B33" w:rsidP="00324B33">
      <w:pPr>
        <w:rPr>
          <w:i/>
          <w:color w:val="007099"/>
        </w:rPr>
      </w:pPr>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894055" w:rsidRPr="00D01DDB" w14:paraId="6F92A02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7F0786" w14:textId="7EBA4B3C" w:rsidR="00894055" w:rsidRPr="00D01DDB" w:rsidRDefault="00894055" w:rsidP="00324B33">
            <w:pPr>
              <w:rPr>
                <w:szCs w:val="22"/>
              </w:rPr>
            </w:pPr>
            <w:r>
              <w:rPr>
                <w:szCs w:val="22"/>
              </w:rPr>
              <w:t>AE</w:t>
            </w:r>
          </w:p>
        </w:tc>
        <w:tc>
          <w:tcPr>
            <w:tcW w:w="3800" w:type="pct"/>
          </w:tcPr>
          <w:p w14:paraId="5D50607E" w14:textId="305B4046" w:rsidR="00894055" w:rsidRPr="00D01DDB" w:rsidRDefault="0089405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894055">
              <w:rPr>
                <w:szCs w:val="22"/>
              </w:rPr>
              <w:t>dverse event</w:t>
            </w:r>
          </w:p>
        </w:tc>
      </w:tr>
      <w:tr w:rsidR="007A36AA" w:rsidRPr="00D01DDB" w14:paraId="7F6280E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AC4C4B" w14:textId="21B95C53" w:rsidR="007A36AA" w:rsidRDefault="007A36AA" w:rsidP="00324B33">
            <w:pPr>
              <w:rPr>
                <w:szCs w:val="22"/>
              </w:rPr>
            </w:pPr>
            <w:r>
              <w:rPr>
                <w:szCs w:val="22"/>
              </w:rPr>
              <w:t>AHEG</w:t>
            </w:r>
          </w:p>
        </w:tc>
        <w:tc>
          <w:tcPr>
            <w:tcW w:w="3800" w:type="pct"/>
          </w:tcPr>
          <w:p w14:paraId="52F796D6" w14:textId="3B7F1517" w:rsidR="007A36AA" w:rsidRDefault="007A36AA" w:rsidP="00324B33">
            <w:pPr>
              <w:cnfStyle w:val="000000000000" w:firstRow="0" w:lastRow="0" w:firstColumn="0" w:lastColumn="0" w:oddVBand="0" w:evenVBand="0" w:oddHBand="0" w:evenHBand="0" w:firstRowFirstColumn="0" w:firstRowLastColumn="0" w:lastRowFirstColumn="0" w:lastRowLastColumn="0"/>
              <w:rPr>
                <w:szCs w:val="22"/>
              </w:rPr>
            </w:pPr>
            <w:r w:rsidRPr="007A36AA">
              <w:rPr>
                <w:szCs w:val="22"/>
              </w:rPr>
              <w:t xml:space="preserve">Ad-Hoc Expert Group </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F066CA" w:rsidRPr="00D01DDB" w14:paraId="2290D37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07AEB7" w14:textId="6AE3DC48" w:rsidR="00F066CA" w:rsidRPr="00D01DDB" w:rsidRDefault="00F066CA" w:rsidP="00324B33">
            <w:pPr>
              <w:rPr>
                <w:szCs w:val="22"/>
              </w:rPr>
            </w:pPr>
            <w:r>
              <w:rPr>
                <w:szCs w:val="22"/>
              </w:rPr>
              <w:t>BCCs</w:t>
            </w:r>
          </w:p>
        </w:tc>
        <w:tc>
          <w:tcPr>
            <w:tcW w:w="3800" w:type="pct"/>
          </w:tcPr>
          <w:p w14:paraId="52C6755A" w14:textId="38124116" w:rsidR="00F066CA" w:rsidRPr="00D01DDB" w:rsidRDefault="00F066C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w:t>
            </w:r>
            <w:r w:rsidRPr="00F066CA">
              <w:rPr>
                <w:szCs w:val="22"/>
              </w:rPr>
              <w:t xml:space="preserve">asal cell carcinomas </w:t>
            </w:r>
          </w:p>
        </w:tc>
      </w:tr>
      <w:tr w:rsidR="00DC3D58" w:rsidRPr="00D01DDB" w14:paraId="553A4D7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0FB7DE" w14:textId="450570A0" w:rsidR="00DC3D58" w:rsidRPr="00D01DDB" w:rsidRDefault="00DC3D58" w:rsidP="00324B33">
            <w:pPr>
              <w:rPr>
                <w:szCs w:val="22"/>
              </w:rPr>
            </w:pPr>
            <w:r>
              <w:rPr>
                <w:szCs w:val="22"/>
              </w:rPr>
              <w:t>BMI</w:t>
            </w:r>
          </w:p>
        </w:tc>
        <w:tc>
          <w:tcPr>
            <w:tcW w:w="3800" w:type="pct"/>
          </w:tcPr>
          <w:p w14:paraId="230D6DCE" w14:textId="77F3209F" w:rsidR="00DC3D58" w:rsidRPr="00D01DDB" w:rsidRDefault="00731BE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Body Mass Index</w:t>
            </w:r>
          </w:p>
        </w:tc>
      </w:tr>
      <w:tr w:rsidR="00667B9E" w:rsidRPr="00D01DDB" w14:paraId="7A575A3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1ADBD0" w14:textId="650BD410" w:rsidR="00667B9E" w:rsidRDefault="00667B9E" w:rsidP="00324B33">
            <w:pPr>
              <w:rPr>
                <w:szCs w:val="22"/>
              </w:rPr>
            </w:pPr>
            <w:r>
              <w:rPr>
                <w:szCs w:val="22"/>
              </w:rPr>
              <w:t>CAS</w:t>
            </w:r>
          </w:p>
        </w:tc>
        <w:tc>
          <w:tcPr>
            <w:tcW w:w="3800" w:type="pct"/>
          </w:tcPr>
          <w:p w14:paraId="7F6FAD46" w14:textId="042D5065" w:rsidR="00667B9E" w:rsidRDefault="00667B9E" w:rsidP="00324B33">
            <w:pPr>
              <w:cnfStyle w:val="000000000000" w:firstRow="0" w:lastRow="0" w:firstColumn="0" w:lastColumn="0" w:oddVBand="0" w:evenVBand="0" w:oddHBand="0" w:evenHBand="0" w:firstRowFirstColumn="0" w:firstRowLastColumn="0" w:lastRowFirstColumn="0" w:lastRowLastColumn="0"/>
              <w:rPr>
                <w:szCs w:val="22"/>
              </w:rPr>
            </w:pPr>
            <w:r w:rsidRPr="00667B9E">
              <w:rPr>
                <w:szCs w:val="22"/>
              </w:rPr>
              <w:t>Completer Analysis Set</w:t>
            </w:r>
          </w:p>
        </w:tc>
      </w:tr>
      <w:tr w:rsidR="00191204" w:rsidRPr="00D01DDB" w14:paraId="28421C1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338E8A" w14:textId="6AF9411C" w:rsidR="00191204" w:rsidRPr="00D01DDB" w:rsidRDefault="004C00D2" w:rsidP="00324B33">
            <w:pPr>
              <w:rPr>
                <w:szCs w:val="22"/>
              </w:rPr>
            </w:pPr>
            <w:r>
              <w:rPr>
                <w:szCs w:val="22"/>
              </w:rPr>
              <w:t>CHMP</w:t>
            </w:r>
          </w:p>
        </w:tc>
        <w:tc>
          <w:tcPr>
            <w:tcW w:w="3800" w:type="pct"/>
          </w:tcPr>
          <w:p w14:paraId="2FF01428" w14:textId="2980E6BC" w:rsidR="00191204" w:rsidRPr="00D01DDB" w:rsidRDefault="00191204" w:rsidP="00191204">
            <w:pPr>
              <w:cnfStyle w:val="000000000000" w:firstRow="0" w:lastRow="0" w:firstColumn="0" w:lastColumn="0" w:oddVBand="0" w:evenVBand="0" w:oddHBand="0" w:evenHBand="0" w:firstRowFirstColumn="0" w:firstRowLastColumn="0" w:lastRowFirstColumn="0" w:lastRowLastColumn="0"/>
              <w:rPr>
                <w:szCs w:val="22"/>
              </w:rPr>
            </w:pPr>
            <w:r w:rsidRPr="00191204">
              <w:rPr>
                <w:szCs w:val="22"/>
              </w:rPr>
              <w:t>Committee for Medicinal Products for Human Use </w:t>
            </w:r>
            <w:r>
              <w:rPr>
                <w:szCs w:val="22"/>
              </w:rPr>
              <w:t>(EMA)</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2D439A" w:rsidRPr="00D01DDB" w14:paraId="5FF34BB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464F5C" w14:textId="3AF2CF5F" w:rsidR="002D439A" w:rsidRPr="00D01DDB" w:rsidRDefault="002D439A" w:rsidP="00324B33">
            <w:pPr>
              <w:rPr>
                <w:szCs w:val="22"/>
              </w:rPr>
            </w:pPr>
            <w:r>
              <w:rPr>
                <w:szCs w:val="22"/>
              </w:rPr>
              <w:t>CSR</w:t>
            </w:r>
          </w:p>
        </w:tc>
        <w:tc>
          <w:tcPr>
            <w:tcW w:w="3800" w:type="pct"/>
          </w:tcPr>
          <w:p w14:paraId="215F4BFF" w14:textId="13AD1376" w:rsidR="002D439A" w:rsidRPr="00D01DDB" w:rsidRDefault="002D439A" w:rsidP="00324B33">
            <w:pPr>
              <w:cnfStyle w:val="000000000000" w:firstRow="0" w:lastRow="0" w:firstColumn="0" w:lastColumn="0" w:oddVBand="0" w:evenVBand="0" w:oddHBand="0" w:evenHBand="0" w:firstRowFirstColumn="0" w:firstRowLastColumn="0" w:lastRowFirstColumn="0" w:lastRowLastColumn="0"/>
              <w:rPr>
                <w:szCs w:val="22"/>
              </w:rPr>
            </w:pPr>
            <w:r w:rsidRPr="002D439A">
              <w:rPr>
                <w:szCs w:val="22"/>
              </w:rPr>
              <w:t>Clinical Study Report</w:t>
            </w:r>
          </w:p>
        </w:tc>
      </w:tr>
      <w:tr w:rsidR="00E95B8F" w:rsidRPr="00D01DDB" w14:paraId="4197952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07B7CE" w14:textId="26849B7A" w:rsidR="00E95B8F" w:rsidRDefault="00E95B8F" w:rsidP="00324B33">
            <w:pPr>
              <w:rPr>
                <w:szCs w:val="22"/>
              </w:rPr>
            </w:pPr>
            <w:r w:rsidRPr="00E95B8F">
              <w:rPr>
                <w:szCs w:val="22"/>
              </w:rPr>
              <w:t>DBP</w:t>
            </w:r>
          </w:p>
        </w:tc>
        <w:tc>
          <w:tcPr>
            <w:tcW w:w="3800" w:type="pct"/>
          </w:tcPr>
          <w:p w14:paraId="13230586" w14:textId="652DAD9B" w:rsidR="00E95B8F" w:rsidRPr="002D439A" w:rsidRDefault="00920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Pr="00920375">
              <w:rPr>
                <w:szCs w:val="22"/>
              </w:rPr>
              <w:t>ouble-blind phase</w:t>
            </w:r>
          </w:p>
        </w:tc>
      </w:tr>
      <w:tr w:rsidR="006B5CD8" w:rsidRPr="00D01DDB" w14:paraId="161F0D4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57BF4C" w14:textId="6D486603" w:rsidR="006B5CD8" w:rsidRDefault="00C93101" w:rsidP="00324B33">
            <w:pPr>
              <w:rPr>
                <w:szCs w:val="22"/>
              </w:rPr>
            </w:pPr>
            <w:r>
              <w:rPr>
                <w:szCs w:val="22"/>
              </w:rPr>
              <w:t>DBS</w:t>
            </w:r>
          </w:p>
        </w:tc>
        <w:tc>
          <w:tcPr>
            <w:tcW w:w="3800" w:type="pct"/>
          </w:tcPr>
          <w:p w14:paraId="4C528E04" w14:textId="45A974A8" w:rsidR="006B5CD8" w:rsidRPr="002D439A" w:rsidRDefault="00C9310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006B5CD8" w:rsidRPr="006B5CD8">
              <w:rPr>
                <w:szCs w:val="22"/>
              </w:rPr>
              <w:t>ried blood spot</w:t>
            </w:r>
          </w:p>
        </w:tc>
      </w:tr>
      <w:tr w:rsidR="007B6658" w:rsidRPr="00D01DDB" w14:paraId="2154772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66F1D5" w14:textId="31141120" w:rsidR="007B6658" w:rsidRPr="00D01DDB" w:rsidRDefault="007B6658" w:rsidP="00324B33">
            <w:pPr>
              <w:rPr>
                <w:szCs w:val="22"/>
              </w:rPr>
            </w:pPr>
            <w:r>
              <w:rPr>
                <w:szCs w:val="22"/>
              </w:rPr>
              <w:t>DEB</w:t>
            </w:r>
          </w:p>
        </w:tc>
        <w:tc>
          <w:tcPr>
            <w:tcW w:w="3800" w:type="pct"/>
          </w:tcPr>
          <w:p w14:paraId="3C5844CE" w14:textId="39FE913B" w:rsidR="007B6658" w:rsidRPr="00D01DDB" w:rsidRDefault="007B665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Pr="007B6658">
              <w:rPr>
                <w:szCs w:val="22"/>
              </w:rPr>
              <w:t xml:space="preserve">ystrophic </w:t>
            </w:r>
            <w:r w:rsidR="0083163A">
              <w:rPr>
                <w:szCs w:val="22"/>
              </w:rPr>
              <w:t>e</w:t>
            </w:r>
            <w:r w:rsidRPr="007B6658">
              <w:rPr>
                <w:szCs w:val="22"/>
              </w:rPr>
              <w:t xml:space="preserve">pidermolysis </w:t>
            </w:r>
            <w:r>
              <w:rPr>
                <w:szCs w:val="22"/>
              </w:rPr>
              <w:t>b</w:t>
            </w:r>
            <w:r w:rsidRPr="007B6658">
              <w:rPr>
                <w:szCs w:val="22"/>
              </w:rPr>
              <w:t>ullosa</w:t>
            </w:r>
          </w:p>
        </w:tc>
      </w:tr>
      <w:tr w:rsidR="006B5CD8" w:rsidRPr="00D01DDB" w14:paraId="478CDAB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F18A76" w14:textId="1490AFEE" w:rsidR="006B5CD8" w:rsidRDefault="00E80CC8" w:rsidP="00324B33">
            <w:pPr>
              <w:rPr>
                <w:szCs w:val="22"/>
              </w:rPr>
            </w:pPr>
            <w:r>
              <w:rPr>
                <w:szCs w:val="22"/>
              </w:rPr>
              <w:t>DIBD</w:t>
            </w:r>
          </w:p>
        </w:tc>
        <w:tc>
          <w:tcPr>
            <w:tcW w:w="3800" w:type="pct"/>
          </w:tcPr>
          <w:p w14:paraId="405993EE" w14:textId="0C68BB18" w:rsidR="006B5CD8" w:rsidRPr="00E80CC8" w:rsidRDefault="0057071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00E80CC8" w:rsidRPr="00E80CC8">
              <w:rPr>
                <w:szCs w:val="22"/>
              </w:rPr>
              <w:t>evelopment international birth date</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1F00C7" w:rsidRPr="00D01DDB" w14:paraId="20E0B3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A5DA96" w14:textId="45424AAC" w:rsidR="001F00C7" w:rsidRPr="00D01DDB" w:rsidRDefault="001F00C7" w:rsidP="00324B33">
            <w:pPr>
              <w:rPr>
                <w:szCs w:val="22"/>
              </w:rPr>
            </w:pPr>
            <w:r>
              <w:rPr>
                <w:szCs w:val="22"/>
              </w:rPr>
              <w:t>EB</w:t>
            </w:r>
          </w:p>
        </w:tc>
        <w:tc>
          <w:tcPr>
            <w:tcW w:w="3800" w:type="pct"/>
          </w:tcPr>
          <w:p w14:paraId="3CBFB071" w14:textId="39C95042" w:rsidR="001F00C7" w:rsidRPr="001F00C7" w:rsidRDefault="001F00C7" w:rsidP="00324B33">
            <w:pPr>
              <w:cnfStyle w:val="000000000000" w:firstRow="0" w:lastRow="0" w:firstColumn="0" w:lastColumn="0" w:oddVBand="0" w:evenVBand="0" w:oddHBand="0" w:evenHBand="0" w:firstRowFirstColumn="0" w:firstRowLastColumn="0" w:lastRowFirstColumn="0" w:lastRowLastColumn="0"/>
              <w:rPr>
                <w:szCs w:val="22"/>
              </w:rPr>
            </w:pPr>
            <w:r w:rsidRPr="001F00C7">
              <w:rPr>
                <w:szCs w:val="22"/>
              </w:rPr>
              <w:t>Epidermolysis bullosa</w:t>
            </w:r>
          </w:p>
        </w:tc>
      </w:tr>
      <w:tr w:rsidR="00B72BD4" w:rsidRPr="00D01DDB" w14:paraId="415ADC4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E74FB0" w14:textId="31380D9A" w:rsidR="00B72BD4" w:rsidRDefault="00B72BD4" w:rsidP="00324B33">
            <w:pPr>
              <w:rPr>
                <w:szCs w:val="22"/>
              </w:rPr>
            </w:pPr>
            <w:r>
              <w:rPr>
                <w:szCs w:val="22"/>
              </w:rPr>
              <w:t>EBDASI</w:t>
            </w:r>
          </w:p>
        </w:tc>
        <w:tc>
          <w:tcPr>
            <w:tcW w:w="3800" w:type="pct"/>
          </w:tcPr>
          <w:p w14:paraId="35E8DC5E" w14:textId="4E6E9301" w:rsidR="00B72BD4" w:rsidRPr="001F00C7" w:rsidRDefault="00B72BD4" w:rsidP="00324B33">
            <w:pPr>
              <w:cnfStyle w:val="000000000000" w:firstRow="0" w:lastRow="0" w:firstColumn="0" w:lastColumn="0" w:oddVBand="0" w:evenVBand="0" w:oddHBand="0" w:evenHBand="0" w:firstRowFirstColumn="0" w:firstRowLastColumn="0" w:lastRowFirstColumn="0" w:lastRowLastColumn="0"/>
              <w:rPr>
                <w:szCs w:val="22"/>
              </w:rPr>
            </w:pPr>
            <w:r w:rsidRPr="00B72BD4">
              <w:rPr>
                <w:szCs w:val="22"/>
              </w:rPr>
              <w:t>EB Disease Activity and Scarring Index</w:t>
            </w:r>
          </w:p>
        </w:tc>
      </w:tr>
      <w:tr w:rsidR="007B6658" w:rsidRPr="00D01DDB" w14:paraId="0BF2CFF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FF33A0" w14:textId="1495E038" w:rsidR="007B6658" w:rsidRDefault="007B6658" w:rsidP="00324B33">
            <w:pPr>
              <w:rPr>
                <w:szCs w:val="22"/>
              </w:rPr>
            </w:pPr>
            <w:r>
              <w:rPr>
                <w:szCs w:val="22"/>
              </w:rPr>
              <w:t>EBS</w:t>
            </w:r>
          </w:p>
        </w:tc>
        <w:tc>
          <w:tcPr>
            <w:tcW w:w="3800" w:type="pct"/>
          </w:tcPr>
          <w:p w14:paraId="5A6C6886" w14:textId="17605502" w:rsidR="007B6658" w:rsidRPr="001F00C7" w:rsidRDefault="007B6658" w:rsidP="00324B33">
            <w:pPr>
              <w:cnfStyle w:val="000000000000" w:firstRow="0" w:lastRow="0" w:firstColumn="0" w:lastColumn="0" w:oddVBand="0" w:evenVBand="0" w:oddHBand="0" w:evenHBand="0" w:firstRowFirstColumn="0" w:firstRowLastColumn="0" w:lastRowFirstColumn="0" w:lastRowLastColumn="0"/>
              <w:rPr>
                <w:szCs w:val="22"/>
              </w:rPr>
            </w:pPr>
            <w:r w:rsidRPr="007B6658">
              <w:rPr>
                <w:szCs w:val="22"/>
              </w:rPr>
              <w:t>Epidermolysis bullosa simplex</w:t>
            </w:r>
          </w:p>
        </w:tc>
      </w:tr>
      <w:tr w:rsidR="00D7058C" w:rsidRPr="00D01DDB" w14:paraId="74B5C0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AF396A" w14:textId="654EA297" w:rsidR="00D7058C" w:rsidRDefault="00D7058C" w:rsidP="00324B33">
            <w:pPr>
              <w:rPr>
                <w:szCs w:val="22"/>
              </w:rPr>
            </w:pPr>
            <w:r>
              <w:rPr>
                <w:szCs w:val="22"/>
              </w:rPr>
              <w:t>EDTA</w:t>
            </w:r>
          </w:p>
        </w:tc>
        <w:tc>
          <w:tcPr>
            <w:tcW w:w="3800" w:type="pct"/>
          </w:tcPr>
          <w:p w14:paraId="2F3A9012" w14:textId="1F760B49" w:rsidR="00D7058C" w:rsidRPr="007B6658" w:rsidRDefault="00D7058C" w:rsidP="00324B33">
            <w:pPr>
              <w:cnfStyle w:val="000000000000" w:firstRow="0" w:lastRow="0" w:firstColumn="0" w:lastColumn="0" w:oddVBand="0" w:evenVBand="0" w:oddHBand="0" w:evenHBand="0" w:firstRowFirstColumn="0" w:firstRowLastColumn="0" w:lastRowFirstColumn="0" w:lastRowLastColumn="0"/>
              <w:rPr>
                <w:szCs w:val="22"/>
              </w:rPr>
            </w:pPr>
            <w:r w:rsidRPr="00D7058C">
              <w:rPr>
                <w:szCs w:val="22"/>
              </w:rPr>
              <w:t> Ethylenediaminetetraacetic Acid</w:t>
            </w:r>
          </w:p>
        </w:tc>
      </w:tr>
      <w:tr w:rsidR="009E183B" w:rsidRPr="00D01DDB" w14:paraId="4D2D6A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B0CBA1" w14:textId="5EE50468" w:rsidR="009E183B" w:rsidRDefault="009E183B" w:rsidP="00324B33">
            <w:pPr>
              <w:rPr>
                <w:szCs w:val="22"/>
              </w:rPr>
            </w:pPr>
            <w:r>
              <w:rPr>
                <w:szCs w:val="22"/>
              </w:rPr>
              <w:t>EMA</w:t>
            </w:r>
          </w:p>
        </w:tc>
        <w:tc>
          <w:tcPr>
            <w:tcW w:w="3800" w:type="pct"/>
          </w:tcPr>
          <w:p w14:paraId="7D80B1AE" w14:textId="76A7C44E" w:rsidR="009E183B" w:rsidRPr="001F00C7" w:rsidRDefault="009E183B" w:rsidP="00324B33">
            <w:pPr>
              <w:cnfStyle w:val="000000000000" w:firstRow="0" w:lastRow="0" w:firstColumn="0" w:lastColumn="0" w:oddVBand="0" w:evenVBand="0" w:oddHBand="0" w:evenHBand="0" w:firstRowFirstColumn="0" w:firstRowLastColumn="0" w:lastRowFirstColumn="0" w:lastRowLastColumn="0"/>
              <w:rPr>
                <w:szCs w:val="22"/>
              </w:rPr>
            </w:pPr>
            <w:r w:rsidRPr="009E183B">
              <w:rPr>
                <w:iCs/>
                <w:szCs w:val="22"/>
              </w:rPr>
              <w:t>European Medicines Agency</w:t>
            </w:r>
          </w:p>
        </w:tc>
      </w:tr>
      <w:tr w:rsidR="00292DA9" w:rsidRPr="00D01DDB" w14:paraId="071FFFC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FAA83F" w14:textId="7147CD21" w:rsidR="00292DA9" w:rsidRDefault="00292DA9" w:rsidP="00324B33">
            <w:pPr>
              <w:rPr>
                <w:szCs w:val="22"/>
              </w:rPr>
            </w:pPr>
            <w:r>
              <w:rPr>
                <w:szCs w:val="22"/>
              </w:rPr>
              <w:t>FAS</w:t>
            </w:r>
          </w:p>
        </w:tc>
        <w:tc>
          <w:tcPr>
            <w:tcW w:w="3800" w:type="pct"/>
          </w:tcPr>
          <w:p w14:paraId="40152B04" w14:textId="4C3D0E85" w:rsidR="00292DA9" w:rsidRPr="009E183B" w:rsidRDefault="00292DA9" w:rsidP="00324B33">
            <w:pPr>
              <w:cnfStyle w:val="000000000000" w:firstRow="0" w:lastRow="0" w:firstColumn="0" w:lastColumn="0" w:oddVBand="0" w:evenVBand="0" w:oddHBand="0" w:evenHBand="0" w:firstRowFirstColumn="0" w:firstRowLastColumn="0" w:lastRowFirstColumn="0" w:lastRowLastColumn="0"/>
              <w:rPr>
                <w:iCs/>
                <w:szCs w:val="22"/>
              </w:rPr>
            </w:pPr>
            <w:r>
              <w:rPr>
                <w:iCs/>
                <w:szCs w:val="22"/>
              </w:rPr>
              <w:t>Full analysis set</w:t>
            </w:r>
          </w:p>
        </w:tc>
      </w:tr>
      <w:tr w:rsidR="0072491D" w:rsidRPr="00D01DDB" w14:paraId="02DF7D0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335EEE" w14:textId="54BA755E" w:rsidR="0072491D" w:rsidRPr="00037358" w:rsidRDefault="0072491D" w:rsidP="00324B33">
            <w:pPr>
              <w:rPr>
                <w:szCs w:val="22"/>
              </w:rPr>
            </w:pPr>
            <w:proofErr w:type="spellStart"/>
            <w:proofErr w:type="gramStart"/>
            <w:r w:rsidRPr="00037358">
              <w:rPr>
                <w:szCs w:val="22"/>
              </w:rPr>
              <w:t>fu,p</w:t>
            </w:r>
            <w:proofErr w:type="spellEnd"/>
            <w:proofErr w:type="gramEnd"/>
          </w:p>
        </w:tc>
        <w:tc>
          <w:tcPr>
            <w:tcW w:w="3800" w:type="pct"/>
          </w:tcPr>
          <w:p w14:paraId="2FCDBD2F" w14:textId="297653BB" w:rsidR="0072491D" w:rsidRPr="0072491D" w:rsidRDefault="0072491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w:t>
            </w:r>
            <w:r w:rsidRPr="0072491D">
              <w:rPr>
                <w:szCs w:val="22"/>
              </w:rPr>
              <w:t>nbound fractions in plasma</w:t>
            </w:r>
          </w:p>
        </w:tc>
      </w:tr>
      <w:tr w:rsidR="00A05AF7" w:rsidRPr="00D01DDB" w14:paraId="70E44D8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A27C0A" w14:textId="31BFF73B" w:rsidR="00A05AF7" w:rsidRPr="00037358" w:rsidRDefault="00A05AF7" w:rsidP="00324B33">
            <w:pPr>
              <w:rPr>
                <w:szCs w:val="22"/>
              </w:rPr>
            </w:pPr>
            <w:r>
              <w:rPr>
                <w:szCs w:val="22"/>
              </w:rPr>
              <w:t>IDMC</w:t>
            </w:r>
          </w:p>
        </w:tc>
        <w:tc>
          <w:tcPr>
            <w:tcW w:w="3800" w:type="pct"/>
          </w:tcPr>
          <w:p w14:paraId="7C7D604C" w14:textId="66792DA0" w:rsidR="00A05AF7" w:rsidRDefault="00A05AF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Pr="00A05AF7">
              <w:rPr>
                <w:szCs w:val="22"/>
              </w:rPr>
              <w:t xml:space="preserve">ndependent drug monitoring committee </w:t>
            </w:r>
          </w:p>
        </w:tc>
      </w:tr>
      <w:tr w:rsidR="000C5D94" w:rsidRPr="00D01DDB" w14:paraId="312DC11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6686B4" w14:textId="139DE95D" w:rsidR="000C5D94" w:rsidRDefault="000C5D94" w:rsidP="00324B33">
            <w:pPr>
              <w:rPr>
                <w:szCs w:val="22"/>
              </w:rPr>
            </w:pPr>
            <w:r>
              <w:rPr>
                <w:szCs w:val="22"/>
              </w:rPr>
              <w:t>INV</w:t>
            </w:r>
          </w:p>
        </w:tc>
        <w:tc>
          <w:tcPr>
            <w:tcW w:w="3800" w:type="pct"/>
          </w:tcPr>
          <w:p w14:paraId="254A5F10" w14:textId="0EF4B7E2" w:rsidR="000C5D94" w:rsidRPr="009E183B" w:rsidRDefault="000C5D94" w:rsidP="00324B33">
            <w:pPr>
              <w:cnfStyle w:val="000000000000" w:firstRow="0" w:lastRow="0" w:firstColumn="0" w:lastColumn="0" w:oddVBand="0" w:evenVBand="0" w:oddHBand="0" w:evenHBand="0" w:firstRowFirstColumn="0" w:firstRowLastColumn="0" w:lastRowFirstColumn="0" w:lastRowLastColumn="0"/>
              <w:rPr>
                <w:iCs/>
                <w:szCs w:val="22"/>
              </w:rPr>
            </w:pPr>
            <w:proofErr w:type="spellStart"/>
            <w:r>
              <w:rPr>
                <w:iCs/>
                <w:szCs w:val="22"/>
              </w:rPr>
              <w:t>I</w:t>
            </w:r>
            <w:r w:rsidRPr="000C5D94">
              <w:rPr>
                <w:iCs/>
                <w:szCs w:val="22"/>
              </w:rPr>
              <w:t>nvolucrin</w:t>
            </w:r>
            <w:proofErr w:type="spellEnd"/>
          </w:p>
        </w:tc>
      </w:tr>
      <w:tr w:rsidR="007B6658" w:rsidRPr="00D01DDB" w14:paraId="15650E4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3F22C4" w14:textId="1B439C40" w:rsidR="007B6658" w:rsidRDefault="0083163A" w:rsidP="00324B33">
            <w:pPr>
              <w:rPr>
                <w:szCs w:val="22"/>
              </w:rPr>
            </w:pPr>
            <w:r>
              <w:rPr>
                <w:szCs w:val="22"/>
              </w:rPr>
              <w:t>JEB</w:t>
            </w:r>
          </w:p>
        </w:tc>
        <w:tc>
          <w:tcPr>
            <w:tcW w:w="3800" w:type="pct"/>
          </w:tcPr>
          <w:p w14:paraId="01257779" w14:textId="222B0442" w:rsidR="007B6658" w:rsidRPr="009E183B" w:rsidRDefault="007B6658" w:rsidP="00324B33">
            <w:pPr>
              <w:cnfStyle w:val="000000000000" w:firstRow="0" w:lastRow="0" w:firstColumn="0" w:lastColumn="0" w:oddVBand="0" w:evenVBand="0" w:oddHBand="0" w:evenHBand="0" w:firstRowFirstColumn="0" w:firstRowLastColumn="0" w:lastRowFirstColumn="0" w:lastRowLastColumn="0"/>
              <w:rPr>
                <w:iCs/>
                <w:szCs w:val="22"/>
              </w:rPr>
            </w:pPr>
            <w:r>
              <w:rPr>
                <w:iCs/>
                <w:szCs w:val="22"/>
              </w:rPr>
              <w:t>J</w:t>
            </w:r>
            <w:r w:rsidRPr="007B6658">
              <w:rPr>
                <w:iCs/>
                <w:szCs w:val="22"/>
              </w:rPr>
              <w:t xml:space="preserve">unctional </w:t>
            </w:r>
            <w:r w:rsidR="0083163A">
              <w:rPr>
                <w:iCs/>
                <w:szCs w:val="22"/>
              </w:rPr>
              <w:t>e</w:t>
            </w:r>
            <w:r w:rsidRPr="007B6658">
              <w:rPr>
                <w:iCs/>
                <w:szCs w:val="22"/>
              </w:rPr>
              <w:t xml:space="preserve">pidermolysis </w:t>
            </w:r>
            <w:r w:rsidR="0083163A">
              <w:rPr>
                <w:iCs/>
                <w:szCs w:val="22"/>
              </w:rPr>
              <w:t>b</w:t>
            </w:r>
            <w:r w:rsidRPr="007B6658">
              <w:rPr>
                <w:iCs/>
                <w:szCs w:val="22"/>
              </w:rPr>
              <w:t>ullosa</w:t>
            </w:r>
          </w:p>
        </w:tc>
      </w:tr>
      <w:tr w:rsidR="000C5D94" w:rsidRPr="00D01DDB" w14:paraId="010FC71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539AA3" w14:textId="3C6F9312" w:rsidR="000C5D94" w:rsidRDefault="000C5D94" w:rsidP="00324B33">
            <w:pPr>
              <w:rPr>
                <w:szCs w:val="22"/>
              </w:rPr>
            </w:pPr>
            <w:r>
              <w:rPr>
                <w:szCs w:val="22"/>
              </w:rPr>
              <w:t>KRT 10</w:t>
            </w:r>
          </w:p>
        </w:tc>
        <w:tc>
          <w:tcPr>
            <w:tcW w:w="3800" w:type="pct"/>
          </w:tcPr>
          <w:p w14:paraId="16602247" w14:textId="310C0529" w:rsidR="000C5D94" w:rsidRDefault="000C5D94" w:rsidP="00324B33">
            <w:pPr>
              <w:cnfStyle w:val="000000000000" w:firstRow="0" w:lastRow="0" w:firstColumn="0" w:lastColumn="0" w:oddVBand="0" w:evenVBand="0" w:oddHBand="0" w:evenHBand="0" w:firstRowFirstColumn="0" w:firstRowLastColumn="0" w:lastRowFirstColumn="0" w:lastRowLastColumn="0"/>
              <w:rPr>
                <w:iCs/>
                <w:szCs w:val="22"/>
              </w:rPr>
            </w:pPr>
            <w:r>
              <w:rPr>
                <w:iCs/>
                <w:szCs w:val="22"/>
              </w:rPr>
              <w:t>K</w:t>
            </w:r>
            <w:r w:rsidRPr="000C5D94">
              <w:rPr>
                <w:iCs/>
                <w:szCs w:val="22"/>
              </w:rPr>
              <w:t>eratin, type I cytoskeletal 10</w:t>
            </w:r>
          </w:p>
        </w:tc>
      </w:tr>
      <w:tr w:rsidR="0083163A" w:rsidRPr="00D01DDB" w14:paraId="0D708C9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A208B3" w14:textId="429882B0" w:rsidR="0083163A" w:rsidRDefault="0083163A" w:rsidP="00324B33">
            <w:pPr>
              <w:rPr>
                <w:szCs w:val="22"/>
              </w:rPr>
            </w:pPr>
            <w:r>
              <w:rPr>
                <w:szCs w:val="22"/>
              </w:rPr>
              <w:t>KS</w:t>
            </w:r>
          </w:p>
        </w:tc>
        <w:tc>
          <w:tcPr>
            <w:tcW w:w="3800" w:type="pct"/>
          </w:tcPr>
          <w:p w14:paraId="50349CCF" w14:textId="31CF2D97" w:rsidR="0083163A" w:rsidRDefault="0083163A" w:rsidP="00324B33">
            <w:pPr>
              <w:cnfStyle w:val="000000000000" w:firstRow="0" w:lastRow="0" w:firstColumn="0" w:lastColumn="0" w:oddVBand="0" w:evenVBand="0" w:oddHBand="0" w:evenHBand="0" w:firstRowFirstColumn="0" w:firstRowLastColumn="0" w:lastRowFirstColumn="0" w:lastRowLastColumn="0"/>
              <w:rPr>
                <w:iCs/>
                <w:szCs w:val="22"/>
              </w:rPr>
            </w:pPr>
            <w:r w:rsidRPr="0083163A">
              <w:rPr>
                <w:iCs/>
                <w:szCs w:val="22"/>
              </w:rPr>
              <w:t>Kindler syndrome</w:t>
            </w:r>
          </w:p>
        </w:tc>
      </w:tr>
      <w:tr w:rsidR="00515C64" w:rsidRPr="00D01DDB" w14:paraId="40C424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A32748" w14:textId="6350ADF9" w:rsidR="00515C64" w:rsidRDefault="00515C64" w:rsidP="00324B33">
            <w:pPr>
              <w:rPr>
                <w:szCs w:val="22"/>
              </w:rPr>
            </w:pPr>
            <w:r>
              <w:rPr>
                <w:szCs w:val="22"/>
              </w:rPr>
              <w:t>LLOQ</w:t>
            </w:r>
          </w:p>
        </w:tc>
        <w:tc>
          <w:tcPr>
            <w:tcW w:w="3800" w:type="pct"/>
          </w:tcPr>
          <w:p w14:paraId="1726A63D" w14:textId="09B0B233" w:rsidR="00515C64" w:rsidRPr="0083163A" w:rsidRDefault="00515C64" w:rsidP="00324B33">
            <w:pPr>
              <w:cnfStyle w:val="000000000000" w:firstRow="0" w:lastRow="0" w:firstColumn="0" w:lastColumn="0" w:oddVBand="0" w:evenVBand="0" w:oddHBand="0" w:evenHBand="0" w:firstRowFirstColumn="0" w:firstRowLastColumn="0" w:lastRowFirstColumn="0" w:lastRowLastColumn="0"/>
              <w:rPr>
                <w:iCs/>
                <w:szCs w:val="22"/>
              </w:rPr>
            </w:pPr>
            <w:r>
              <w:rPr>
                <w:iCs/>
                <w:szCs w:val="22"/>
              </w:rPr>
              <w:t>L</w:t>
            </w:r>
            <w:r w:rsidRPr="00515C64">
              <w:rPr>
                <w:iCs/>
                <w:szCs w:val="22"/>
              </w:rPr>
              <w:t>ower limit of quantification</w:t>
            </w:r>
          </w:p>
        </w:tc>
      </w:tr>
      <w:tr w:rsidR="00515C64" w:rsidRPr="00D01DDB" w14:paraId="41E7377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C31C76" w14:textId="56D13833" w:rsidR="00515C64" w:rsidRDefault="00EF3B66" w:rsidP="00324B33">
            <w:pPr>
              <w:rPr>
                <w:szCs w:val="22"/>
              </w:rPr>
            </w:pPr>
            <w:r w:rsidRPr="00EF3B66">
              <w:rPr>
                <w:szCs w:val="22"/>
              </w:rPr>
              <w:t>mRNA</w:t>
            </w:r>
          </w:p>
        </w:tc>
        <w:tc>
          <w:tcPr>
            <w:tcW w:w="3800" w:type="pct"/>
          </w:tcPr>
          <w:p w14:paraId="6527C616" w14:textId="0D566443" w:rsidR="00515C64" w:rsidRPr="0083163A" w:rsidRDefault="00715E83" w:rsidP="00324B33">
            <w:pPr>
              <w:cnfStyle w:val="000000000000" w:firstRow="0" w:lastRow="0" w:firstColumn="0" w:lastColumn="0" w:oddVBand="0" w:evenVBand="0" w:oddHBand="0" w:evenHBand="0" w:firstRowFirstColumn="0" w:firstRowLastColumn="0" w:lastRowFirstColumn="0" w:lastRowLastColumn="0"/>
              <w:rPr>
                <w:iCs/>
                <w:szCs w:val="22"/>
              </w:rPr>
            </w:pPr>
            <w:r>
              <w:rPr>
                <w:iCs/>
                <w:szCs w:val="22"/>
              </w:rPr>
              <w:t xml:space="preserve">Messenger </w:t>
            </w:r>
            <w:r w:rsidR="00604C2F">
              <w:rPr>
                <w:iCs/>
                <w:szCs w:val="22"/>
              </w:rPr>
              <w:t>ribonucleic acid</w:t>
            </w:r>
          </w:p>
        </w:tc>
      </w:tr>
      <w:tr w:rsidR="00804EFB" w:rsidRPr="00D01DDB" w14:paraId="63B0F3D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535849" w14:textId="16867624" w:rsidR="00804EFB" w:rsidRDefault="00804EFB" w:rsidP="00324B33">
            <w:pPr>
              <w:rPr>
                <w:szCs w:val="22"/>
              </w:rPr>
            </w:pPr>
            <w:r w:rsidRPr="00804EFB">
              <w:rPr>
                <w:szCs w:val="22"/>
              </w:rPr>
              <w:t>NDIS</w:t>
            </w:r>
          </w:p>
        </w:tc>
        <w:tc>
          <w:tcPr>
            <w:tcW w:w="3800" w:type="pct"/>
          </w:tcPr>
          <w:p w14:paraId="396E9E05" w14:textId="02274B7B" w:rsidR="00804EFB" w:rsidRPr="0083163A" w:rsidRDefault="00A85644" w:rsidP="00324B33">
            <w:pPr>
              <w:cnfStyle w:val="000000000000" w:firstRow="0" w:lastRow="0" w:firstColumn="0" w:lastColumn="0" w:oddVBand="0" w:evenVBand="0" w:oddHBand="0" w:evenHBand="0" w:firstRowFirstColumn="0" w:firstRowLastColumn="0" w:lastRowFirstColumn="0" w:lastRowLastColumn="0"/>
              <w:rPr>
                <w:iCs/>
                <w:szCs w:val="22"/>
              </w:rPr>
            </w:pPr>
            <w:r>
              <w:rPr>
                <w:iCs/>
                <w:szCs w:val="22"/>
              </w:rPr>
              <w:t>National Disability Insurance Scheme</w:t>
            </w:r>
          </w:p>
        </w:tc>
      </w:tr>
      <w:tr w:rsidR="008A2371" w:rsidRPr="00D01DDB" w14:paraId="3BFE6D4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77422C" w14:textId="43C74D3C" w:rsidR="008A2371" w:rsidRPr="00804EFB" w:rsidRDefault="008A2371" w:rsidP="00324B33">
            <w:pPr>
              <w:rPr>
                <w:szCs w:val="22"/>
              </w:rPr>
            </w:pPr>
            <w:r w:rsidRPr="008A2371">
              <w:rPr>
                <w:iCs/>
                <w:szCs w:val="22"/>
              </w:rPr>
              <w:t>NEBDS</w:t>
            </w:r>
          </w:p>
        </w:tc>
        <w:tc>
          <w:tcPr>
            <w:tcW w:w="3800" w:type="pct"/>
          </w:tcPr>
          <w:p w14:paraId="783247EE" w14:textId="461309E8" w:rsidR="008A2371" w:rsidRPr="0083163A" w:rsidRDefault="008A2371" w:rsidP="00324B33">
            <w:pPr>
              <w:cnfStyle w:val="000000000000" w:firstRow="0" w:lastRow="0" w:firstColumn="0" w:lastColumn="0" w:oddVBand="0" w:evenVBand="0" w:oddHBand="0" w:evenHBand="0" w:firstRowFirstColumn="0" w:firstRowLastColumn="0" w:lastRowFirstColumn="0" w:lastRowLastColumn="0"/>
              <w:rPr>
                <w:iCs/>
                <w:szCs w:val="22"/>
              </w:rPr>
            </w:pPr>
            <w:r w:rsidRPr="008A2371">
              <w:rPr>
                <w:iCs/>
                <w:szCs w:val="22"/>
              </w:rPr>
              <w:t xml:space="preserve">National Epidermolysis Bullosa Dressing Scheme </w:t>
            </w:r>
          </w:p>
        </w:tc>
      </w:tr>
      <w:tr w:rsidR="00027544" w:rsidRPr="00D01DDB" w14:paraId="793EFE2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78D112" w14:textId="62D26E79" w:rsidR="00027544" w:rsidRPr="008A2371" w:rsidRDefault="00027544" w:rsidP="00324B33">
            <w:pPr>
              <w:rPr>
                <w:iCs/>
                <w:szCs w:val="22"/>
              </w:rPr>
            </w:pPr>
            <w:r>
              <w:rPr>
                <w:iCs/>
                <w:szCs w:val="22"/>
              </w:rPr>
              <w:lastRenderedPageBreak/>
              <w:t>OLP</w:t>
            </w:r>
          </w:p>
        </w:tc>
        <w:tc>
          <w:tcPr>
            <w:tcW w:w="3800" w:type="pct"/>
          </w:tcPr>
          <w:p w14:paraId="42F983B8" w14:textId="422383BA" w:rsidR="00027544" w:rsidRPr="008A2371" w:rsidRDefault="00027544" w:rsidP="00324B33">
            <w:pPr>
              <w:cnfStyle w:val="000000000000" w:firstRow="0" w:lastRow="0" w:firstColumn="0" w:lastColumn="0" w:oddVBand="0" w:evenVBand="0" w:oddHBand="0" w:evenHBand="0" w:firstRowFirstColumn="0" w:firstRowLastColumn="0" w:lastRowFirstColumn="0" w:lastRowLastColumn="0"/>
              <w:rPr>
                <w:iCs/>
                <w:szCs w:val="22"/>
              </w:rPr>
            </w:pPr>
            <w:r>
              <w:rPr>
                <w:iCs/>
                <w:szCs w:val="22"/>
              </w:rPr>
              <w:t>O</w:t>
            </w:r>
            <w:r w:rsidRPr="00027544">
              <w:rPr>
                <w:iCs/>
                <w:szCs w:val="22"/>
              </w:rPr>
              <w:t>pen-label phase</w:t>
            </w:r>
          </w:p>
        </w:tc>
      </w:tr>
      <w:tr w:rsidR="00393626" w:rsidRPr="00D01DDB" w14:paraId="4C9B941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E28683" w14:textId="6A20AA57" w:rsidR="00393626" w:rsidRPr="008A2371" w:rsidRDefault="00393626" w:rsidP="00324B33">
            <w:pPr>
              <w:rPr>
                <w:iCs/>
                <w:szCs w:val="22"/>
              </w:rPr>
            </w:pPr>
            <w:r>
              <w:rPr>
                <w:iCs/>
                <w:szCs w:val="22"/>
              </w:rPr>
              <w:t>PD</w:t>
            </w:r>
          </w:p>
        </w:tc>
        <w:tc>
          <w:tcPr>
            <w:tcW w:w="3800" w:type="pct"/>
          </w:tcPr>
          <w:p w14:paraId="7A4F3B1C" w14:textId="22C5F05C" w:rsidR="00393626" w:rsidRPr="008A2371" w:rsidRDefault="00393626" w:rsidP="00393626">
            <w:pPr>
              <w:cnfStyle w:val="000000000000" w:firstRow="0" w:lastRow="0" w:firstColumn="0" w:lastColumn="0" w:oddVBand="0" w:evenVBand="0" w:oddHBand="0" w:evenHBand="0" w:firstRowFirstColumn="0" w:firstRowLastColumn="0" w:lastRowFirstColumn="0" w:lastRowLastColumn="0"/>
              <w:rPr>
                <w:iCs/>
                <w:szCs w:val="22"/>
              </w:rPr>
            </w:pPr>
            <w:r w:rsidRPr="00393626">
              <w:rPr>
                <w:szCs w:val="22"/>
              </w:rPr>
              <w:t>Pharmacodynamics</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465D25" w:rsidRPr="00D01DDB" w14:paraId="676B5F5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3F59BA" w14:textId="4665D076" w:rsidR="00465D25" w:rsidRPr="00D01DDB" w:rsidRDefault="00465D25" w:rsidP="00324B33">
            <w:pPr>
              <w:rPr>
                <w:szCs w:val="22"/>
              </w:rPr>
            </w:pPr>
            <w:r>
              <w:rPr>
                <w:szCs w:val="22"/>
              </w:rPr>
              <w:t>PK</w:t>
            </w:r>
          </w:p>
        </w:tc>
        <w:tc>
          <w:tcPr>
            <w:tcW w:w="3800" w:type="pct"/>
          </w:tcPr>
          <w:p w14:paraId="4161FE73" w14:textId="4AFB1FD3" w:rsidR="00465D25" w:rsidRPr="00D01DDB" w:rsidRDefault="00465D25" w:rsidP="00324B33">
            <w:pPr>
              <w:cnfStyle w:val="000000000000" w:firstRow="0" w:lastRow="0" w:firstColumn="0" w:lastColumn="0" w:oddVBand="0" w:evenVBand="0" w:oddHBand="0" w:evenHBand="0" w:firstRowFirstColumn="0" w:firstRowLastColumn="0" w:lastRowFirstColumn="0" w:lastRowLastColumn="0"/>
              <w:rPr>
                <w:szCs w:val="22"/>
              </w:rPr>
            </w:pPr>
            <w:r w:rsidRPr="00465D25">
              <w:rPr>
                <w:szCs w:val="22"/>
              </w:rPr>
              <w:t>Pharmacokinetics</w:t>
            </w:r>
          </w:p>
        </w:tc>
      </w:tr>
      <w:tr w:rsidR="00465D25" w:rsidRPr="00D01DDB" w14:paraId="1171698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A595CA" w14:textId="44708925" w:rsidR="00465D25" w:rsidRPr="00D01DDB" w:rsidRDefault="00D03FCC" w:rsidP="00324B33">
            <w:pPr>
              <w:rPr>
                <w:szCs w:val="22"/>
              </w:rPr>
            </w:pPr>
            <w:r>
              <w:rPr>
                <w:szCs w:val="22"/>
              </w:rPr>
              <w:t>PPS</w:t>
            </w:r>
          </w:p>
        </w:tc>
        <w:tc>
          <w:tcPr>
            <w:tcW w:w="3800" w:type="pct"/>
          </w:tcPr>
          <w:p w14:paraId="48702612" w14:textId="2C4A221D" w:rsidR="00465D25" w:rsidRPr="00D01DDB" w:rsidRDefault="00D03FCC" w:rsidP="00324B33">
            <w:pPr>
              <w:cnfStyle w:val="000000000000" w:firstRow="0" w:lastRow="0" w:firstColumn="0" w:lastColumn="0" w:oddVBand="0" w:evenVBand="0" w:oddHBand="0" w:evenHBand="0" w:firstRowFirstColumn="0" w:firstRowLastColumn="0" w:lastRowFirstColumn="0" w:lastRowLastColumn="0"/>
              <w:rPr>
                <w:szCs w:val="22"/>
              </w:rPr>
            </w:pPr>
            <w:r w:rsidRPr="00D03FCC">
              <w:rPr>
                <w:szCs w:val="22"/>
              </w:rPr>
              <w:t>Per-protocol Set</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BC2FF3" w:rsidRPr="00D01DDB" w14:paraId="1E0F111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618392" w14:textId="430F7333" w:rsidR="00BC2FF3" w:rsidRPr="00D01DDB" w:rsidRDefault="00BC2FF3" w:rsidP="00A704DC">
            <w:pPr>
              <w:rPr>
                <w:szCs w:val="22"/>
              </w:rPr>
            </w:pPr>
            <w:r w:rsidRPr="00BC2FF3">
              <w:rPr>
                <w:szCs w:val="22"/>
              </w:rPr>
              <w:t>RDEB</w:t>
            </w:r>
          </w:p>
        </w:tc>
        <w:tc>
          <w:tcPr>
            <w:tcW w:w="3800" w:type="pct"/>
          </w:tcPr>
          <w:p w14:paraId="430125AC" w14:textId="299B26FB" w:rsidR="00BC2FF3" w:rsidRPr="00D01DDB" w:rsidRDefault="00BC2FF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BC2FF3">
              <w:rPr>
                <w:szCs w:val="22"/>
              </w:rPr>
              <w:t>ecessive (r) inheritance</w:t>
            </w:r>
            <w:r w:rsidRPr="00BC2FF3">
              <w:rPr>
                <w:rFonts w:eastAsiaTheme="minorHAnsi" w:cstheme="minorBidi"/>
                <w:color w:val="auto"/>
                <w:szCs w:val="22"/>
                <w:lang w:eastAsia="en-US"/>
              </w:rPr>
              <w:t xml:space="preserve"> </w:t>
            </w:r>
            <w:r>
              <w:rPr>
                <w:szCs w:val="22"/>
              </w:rPr>
              <w:t>d</w:t>
            </w:r>
            <w:r w:rsidRPr="00BC2FF3">
              <w:rPr>
                <w:szCs w:val="22"/>
              </w:rPr>
              <w:t>ystrophic epidermolysis bullosa</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894055" w:rsidRPr="00D01DDB" w14:paraId="5BB0A54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ABA57F" w14:textId="26CDE627" w:rsidR="00894055" w:rsidRPr="00D01DDB" w:rsidRDefault="00894055" w:rsidP="00A704DC">
            <w:pPr>
              <w:rPr>
                <w:szCs w:val="22"/>
              </w:rPr>
            </w:pPr>
            <w:r>
              <w:rPr>
                <w:szCs w:val="22"/>
              </w:rPr>
              <w:t>SAE</w:t>
            </w:r>
          </w:p>
        </w:tc>
        <w:tc>
          <w:tcPr>
            <w:tcW w:w="3800" w:type="pct"/>
          </w:tcPr>
          <w:p w14:paraId="0FF8ED34" w14:textId="2B98BE37" w:rsidR="00894055" w:rsidRPr="00D01DDB" w:rsidRDefault="00894055"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Serious </w:t>
            </w:r>
            <w:r w:rsidRPr="00894055">
              <w:rPr>
                <w:szCs w:val="22"/>
              </w:rPr>
              <w:t>adverse event</w:t>
            </w:r>
          </w:p>
        </w:tc>
      </w:tr>
      <w:tr w:rsidR="00292DA9" w:rsidRPr="00D01DDB" w14:paraId="2FE9264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3F5C3F" w14:textId="3A8544CA" w:rsidR="00292DA9" w:rsidRDefault="00292DA9" w:rsidP="00A704DC">
            <w:pPr>
              <w:rPr>
                <w:szCs w:val="22"/>
              </w:rPr>
            </w:pPr>
            <w:r>
              <w:rPr>
                <w:szCs w:val="22"/>
              </w:rPr>
              <w:t>SAS</w:t>
            </w:r>
          </w:p>
        </w:tc>
        <w:tc>
          <w:tcPr>
            <w:tcW w:w="3800" w:type="pct"/>
          </w:tcPr>
          <w:p w14:paraId="7DC2A963" w14:textId="1E6DB661" w:rsidR="00292DA9" w:rsidRDefault="00292DA9" w:rsidP="00A704DC">
            <w:pPr>
              <w:cnfStyle w:val="000000000000" w:firstRow="0" w:lastRow="0" w:firstColumn="0" w:lastColumn="0" w:oddVBand="0" w:evenVBand="0" w:oddHBand="0" w:evenHBand="0" w:firstRowFirstColumn="0" w:firstRowLastColumn="0" w:lastRowFirstColumn="0" w:lastRowLastColumn="0"/>
              <w:rPr>
                <w:szCs w:val="22"/>
              </w:rPr>
            </w:pPr>
            <w:r w:rsidRPr="00292DA9">
              <w:rPr>
                <w:szCs w:val="22"/>
              </w:rPr>
              <w:t>Safety Analysis Set</w:t>
            </w:r>
          </w:p>
        </w:tc>
      </w:tr>
      <w:tr w:rsidR="00402DF5" w:rsidRPr="00D01DDB" w14:paraId="3F48843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333011" w14:textId="680E2316" w:rsidR="00402DF5" w:rsidRPr="00D01DDB" w:rsidRDefault="00402DF5" w:rsidP="00A704DC">
            <w:pPr>
              <w:rPr>
                <w:szCs w:val="22"/>
              </w:rPr>
            </w:pPr>
            <w:r>
              <w:rPr>
                <w:szCs w:val="22"/>
              </w:rPr>
              <w:t>SCC</w:t>
            </w:r>
          </w:p>
        </w:tc>
        <w:tc>
          <w:tcPr>
            <w:tcW w:w="3800" w:type="pct"/>
          </w:tcPr>
          <w:p w14:paraId="23C7B3C6" w14:textId="199A7976" w:rsidR="00402DF5" w:rsidRPr="00D01DDB" w:rsidRDefault="00402DF5"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402DF5">
              <w:rPr>
                <w:szCs w:val="22"/>
              </w:rPr>
              <w:t>quamous cell carcinoma</w:t>
            </w:r>
          </w:p>
        </w:tc>
      </w:tr>
      <w:tr w:rsidR="0073558A" w:rsidRPr="00D01DDB" w14:paraId="547FF45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18001A" w14:textId="254543EF" w:rsidR="0073558A" w:rsidRDefault="0073558A" w:rsidP="00A704DC">
            <w:pPr>
              <w:rPr>
                <w:szCs w:val="22"/>
              </w:rPr>
            </w:pPr>
            <w:r>
              <w:rPr>
                <w:szCs w:val="22"/>
              </w:rPr>
              <w:t>SD</w:t>
            </w:r>
          </w:p>
        </w:tc>
        <w:tc>
          <w:tcPr>
            <w:tcW w:w="3800" w:type="pct"/>
          </w:tcPr>
          <w:p w14:paraId="27C8916E" w14:textId="1376A52C" w:rsidR="0073558A" w:rsidRDefault="0073558A"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Standard deviation</w:t>
            </w:r>
          </w:p>
        </w:tc>
      </w:tr>
      <w:tr w:rsidR="004F2CDF" w:rsidRPr="00D01DDB" w14:paraId="1EC392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7E5068" w14:textId="792B011F" w:rsidR="004F2CDF" w:rsidRDefault="004F2CDF" w:rsidP="00A704DC">
            <w:pPr>
              <w:rPr>
                <w:szCs w:val="22"/>
              </w:rPr>
            </w:pPr>
            <w:r>
              <w:rPr>
                <w:szCs w:val="22"/>
              </w:rPr>
              <w:t>TEAE</w:t>
            </w:r>
          </w:p>
        </w:tc>
        <w:tc>
          <w:tcPr>
            <w:tcW w:w="3800" w:type="pct"/>
          </w:tcPr>
          <w:p w14:paraId="7CDF54C2" w14:textId="03FE40FA" w:rsidR="004F2CDF" w:rsidRDefault="004F2CDF"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Treatment emergent adverse events</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33030839"/>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33030840"/>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406E5A66" w:rsidR="00324B33" w:rsidRPr="00BD5DBD" w:rsidRDefault="00324B33" w:rsidP="007452E8">
            <w:pPr>
              <w:rPr>
                <w:i/>
                <w:szCs w:val="22"/>
              </w:rPr>
            </w:pPr>
            <w:r w:rsidRPr="00BD5DBD">
              <w:rPr>
                <w:i/>
                <w:szCs w:val="22"/>
              </w:rPr>
              <w:t>Type of submission:</w:t>
            </w:r>
          </w:p>
        </w:tc>
        <w:tc>
          <w:tcPr>
            <w:tcW w:w="3423" w:type="pct"/>
          </w:tcPr>
          <w:p w14:paraId="4F07C303" w14:textId="6D9A0B88"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6AC1CA1D" w:rsidR="00324B33" w:rsidRPr="00BD5DBD" w:rsidRDefault="00324B33" w:rsidP="007452E8">
            <w:pPr>
              <w:rPr>
                <w:i/>
                <w:szCs w:val="22"/>
              </w:rPr>
            </w:pPr>
            <w:r w:rsidRPr="00BD5DBD">
              <w:rPr>
                <w:i/>
                <w:szCs w:val="22"/>
              </w:rPr>
              <w:t>Product name:</w:t>
            </w:r>
          </w:p>
        </w:tc>
        <w:tc>
          <w:tcPr>
            <w:tcW w:w="3423" w:type="pct"/>
          </w:tcPr>
          <w:p w14:paraId="0E2DEF76" w14:textId="61815B0B" w:rsidR="00324B33" w:rsidRPr="00BD5DBD" w:rsidRDefault="00AF0754" w:rsidP="007452E8">
            <w:pPr>
              <w:rPr>
                <w:szCs w:val="22"/>
              </w:rPr>
            </w:pPr>
            <w:r>
              <w:rPr>
                <w:szCs w:val="22"/>
              </w:rPr>
              <w:t>Filsuvez</w:t>
            </w:r>
          </w:p>
        </w:tc>
      </w:tr>
      <w:tr w:rsidR="00324B33" w:rsidRPr="00BD5DBD" w14:paraId="01255B5B" w14:textId="77777777" w:rsidTr="00F865A7">
        <w:tc>
          <w:tcPr>
            <w:tcW w:w="1577" w:type="pct"/>
          </w:tcPr>
          <w:p w14:paraId="52B4F3D7" w14:textId="0E9E1EA4" w:rsidR="00324B33" w:rsidRPr="00BD5DBD" w:rsidRDefault="00324B33" w:rsidP="007452E8">
            <w:pPr>
              <w:rPr>
                <w:i/>
                <w:szCs w:val="22"/>
              </w:rPr>
            </w:pPr>
            <w:r w:rsidRPr="00BD5DBD">
              <w:rPr>
                <w:i/>
                <w:szCs w:val="22"/>
              </w:rPr>
              <w:t>Active ingredient:</w:t>
            </w:r>
          </w:p>
        </w:tc>
        <w:tc>
          <w:tcPr>
            <w:tcW w:w="3423" w:type="pct"/>
          </w:tcPr>
          <w:p w14:paraId="02FB6383" w14:textId="6977D522" w:rsidR="00324B33" w:rsidRPr="00BD5DBD" w:rsidRDefault="00F9763E" w:rsidP="007452E8">
            <w:pPr>
              <w:rPr>
                <w:szCs w:val="22"/>
              </w:rPr>
            </w:pPr>
            <w:r w:rsidRPr="00F9763E">
              <w:rPr>
                <w:szCs w:val="22"/>
              </w:rPr>
              <w:t>Birch bark dry extract (84%</w:t>
            </w:r>
            <w:r w:rsidR="00D6156E">
              <w:rPr>
                <w:szCs w:val="22"/>
              </w:rPr>
              <w:t xml:space="preserve"> </w:t>
            </w:r>
            <w:r w:rsidRPr="00F9763E">
              <w:rPr>
                <w:szCs w:val="22"/>
              </w:rPr>
              <w:t>-</w:t>
            </w:r>
            <w:r w:rsidR="00D6156E">
              <w:rPr>
                <w:szCs w:val="22"/>
              </w:rPr>
              <w:t xml:space="preserve"> </w:t>
            </w:r>
            <w:r w:rsidRPr="00F9763E">
              <w:rPr>
                <w:szCs w:val="22"/>
              </w:rPr>
              <w:t>95% triterpenes)</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30A39B7"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41B87D77" w:rsidR="00AE1947" w:rsidRPr="00BD5DBD" w:rsidRDefault="002669F4">
            <w:pPr>
              <w:rPr>
                <w:szCs w:val="22"/>
              </w:rPr>
            </w:pPr>
            <w:r>
              <w:rPr>
                <w:szCs w:val="22"/>
              </w:rPr>
              <w:t xml:space="preserve">28 April </w:t>
            </w:r>
            <w:r w:rsidR="002C7270">
              <w:rPr>
                <w:szCs w:val="22"/>
              </w:rPr>
              <w:t>2026</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52759341" w:rsidR="00324B33" w:rsidRPr="00BD5DBD" w:rsidRDefault="002C7270" w:rsidP="007452E8">
            <w:pPr>
              <w:rPr>
                <w:szCs w:val="22"/>
              </w:rPr>
            </w:pPr>
            <w:r>
              <w:rPr>
                <w:szCs w:val="22"/>
              </w:rPr>
              <w:t>5 May 2026</w:t>
            </w:r>
          </w:p>
        </w:tc>
      </w:tr>
      <w:tr w:rsidR="00324B33" w:rsidRPr="00BD5DBD" w14:paraId="547E08D7" w14:textId="77777777" w:rsidTr="00F865A7">
        <w:tc>
          <w:tcPr>
            <w:tcW w:w="1577" w:type="pct"/>
          </w:tcPr>
          <w:p w14:paraId="5030EF30" w14:textId="64EBAC14" w:rsidR="00324B33" w:rsidRPr="00BD5DBD" w:rsidRDefault="00324B33" w:rsidP="007452E8">
            <w:pPr>
              <w:rPr>
                <w:i/>
                <w:szCs w:val="22"/>
              </w:rPr>
            </w:pPr>
            <w:r w:rsidRPr="00BD5DBD">
              <w:rPr>
                <w:i/>
                <w:szCs w:val="22"/>
              </w:rPr>
              <w:t>ARTG number:</w:t>
            </w:r>
          </w:p>
        </w:tc>
        <w:tc>
          <w:tcPr>
            <w:tcW w:w="3423" w:type="pct"/>
          </w:tcPr>
          <w:p w14:paraId="0054E912" w14:textId="4978DA5D" w:rsidR="00324B33" w:rsidRPr="00BD5DBD" w:rsidRDefault="00B55E39" w:rsidP="007452E8">
            <w:pPr>
              <w:rPr>
                <w:szCs w:val="22"/>
              </w:rPr>
            </w:pPr>
            <w:r>
              <w:rPr>
                <w:szCs w:val="22"/>
              </w:rPr>
              <w:t>483785</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738A2DED" w:rsidR="00324B33" w:rsidRPr="00BD5DBD" w:rsidRDefault="00641DE6" w:rsidP="007452E8">
            <w:pPr>
              <w:rPr>
                <w:szCs w:val="22"/>
              </w:rPr>
            </w:pPr>
            <w:r>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F6D2D36" w14:textId="77777777" w:rsidR="00324B33" w:rsidRDefault="002E6E15" w:rsidP="007452E8">
            <w:pPr>
              <w:rPr>
                <w:szCs w:val="22"/>
              </w:rPr>
            </w:pPr>
            <w:r w:rsidRPr="002E6E15">
              <w:rPr>
                <w:szCs w:val="22"/>
              </w:rPr>
              <w:t>Chiesi Australia Pty Ltd</w:t>
            </w:r>
          </w:p>
          <w:p w14:paraId="429332D6" w14:textId="77777777" w:rsidR="002E6E15" w:rsidRPr="002E6E15" w:rsidRDefault="002E6E15" w:rsidP="002E6E15">
            <w:pPr>
              <w:rPr>
                <w:szCs w:val="22"/>
              </w:rPr>
            </w:pPr>
            <w:r w:rsidRPr="002E6E15">
              <w:rPr>
                <w:szCs w:val="22"/>
              </w:rPr>
              <w:t>Level 7, Suite 1, 500 Bourke Street,</w:t>
            </w:r>
          </w:p>
          <w:p w14:paraId="1C73F0DC" w14:textId="77777777" w:rsidR="002E6E15" w:rsidRDefault="002E6E15" w:rsidP="002E6E15">
            <w:pPr>
              <w:rPr>
                <w:szCs w:val="22"/>
              </w:rPr>
            </w:pPr>
            <w:r w:rsidRPr="002E6E15">
              <w:rPr>
                <w:szCs w:val="22"/>
              </w:rPr>
              <w:t xml:space="preserve">Melbourne, </w:t>
            </w:r>
          </w:p>
          <w:p w14:paraId="68DD94B0" w14:textId="7B09D3A1" w:rsidR="002E6E15" w:rsidRPr="00BD5DBD" w:rsidRDefault="002E6E15" w:rsidP="002E6E15">
            <w:pPr>
              <w:rPr>
                <w:szCs w:val="22"/>
              </w:rPr>
            </w:pPr>
            <w:r>
              <w:rPr>
                <w:szCs w:val="22"/>
              </w:rPr>
              <w:t>Victoria,</w:t>
            </w:r>
            <w:r w:rsidRPr="002E6E15">
              <w:rPr>
                <w:szCs w:val="22"/>
              </w:rPr>
              <w:t xml:space="preserve"> 3000.</w:t>
            </w:r>
          </w:p>
        </w:tc>
      </w:tr>
      <w:tr w:rsidR="00324B33" w:rsidRPr="00BD5DBD" w14:paraId="5322B989" w14:textId="77777777" w:rsidTr="00F865A7">
        <w:tc>
          <w:tcPr>
            <w:tcW w:w="1577" w:type="pct"/>
          </w:tcPr>
          <w:p w14:paraId="24F217E3" w14:textId="34D212CA" w:rsidR="00324B33" w:rsidRPr="00BD5DBD" w:rsidRDefault="00324B33" w:rsidP="007452E8">
            <w:pPr>
              <w:rPr>
                <w:i/>
                <w:szCs w:val="22"/>
              </w:rPr>
            </w:pPr>
            <w:r w:rsidRPr="00BD5DBD">
              <w:rPr>
                <w:i/>
                <w:szCs w:val="22"/>
              </w:rPr>
              <w:t>Dose form:</w:t>
            </w:r>
          </w:p>
        </w:tc>
        <w:tc>
          <w:tcPr>
            <w:tcW w:w="3423" w:type="pct"/>
          </w:tcPr>
          <w:p w14:paraId="768B254C" w14:textId="7F7D1EA2" w:rsidR="00324B33" w:rsidRPr="00BD5DBD" w:rsidRDefault="001E322B" w:rsidP="008C3309">
            <w:pPr>
              <w:rPr>
                <w:szCs w:val="22"/>
              </w:rPr>
            </w:pPr>
            <w:r w:rsidRPr="001E322B">
              <w:rPr>
                <w:szCs w:val="22"/>
              </w:rPr>
              <w:t>Gel</w:t>
            </w:r>
            <w:r w:rsidR="00EF2DF0">
              <w:rPr>
                <w:szCs w:val="22"/>
              </w:rPr>
              <w:t xml:space="preserve"> -</w:t>
            </w:r>
            <w:r w:rsidR="008C3309">
              <w:rPr>
                <w:szCs w:val="22"/>
              </w:rPr>
              <w:t xml:space="preserve"> c</w:t>
            </w:r>
            <w:r w:rsidRPr="001E322B">
              <w:rPr>
                <w:szCs w:val="22"/>
              </w:rPr>
              <w:t>olourless to slightly yellowish, opalescent, non-aqueous gel.</w:t>
            </w:r>
          </w:p>
        </w:tc>
      </w:tr>
      <w:tr w:rsidR="00324B33" w:rsidRPr="00BD5DBD" w14:paraId="115243E6" w14:textId="77777777" w:rsidTr="00F865A7">
        <w:tc>
          <w:tcPr>
            <w:tcW w:w="1577" w:type="pct"/>
          </w:tcPr>
          <w:p w14:paraId="7634B062" w14:textId="44C3FBC9" w:rsidR="00324B33" w:rsidRPr="00BD5DBD" w:rsidRDefault="00324B33" w:rsidP="007452E8">
            <w:pPr>
              <w:rPr>
                <w:i/>
                <w:szCs w:val="22"/>
              </w:rPr>
            </w:pPr>
            <w:r w:rsidRPr="00BD5DBD">
              <w:rPr>
                <w:i/>
                <w:szCs w:val="22"/>
              </w:rPr>
              <w:t>Strength:</w:t>
            </w:r>
          </w:p>
        </w:tc>
        <w:tc>
          <w:tcPr>
            <w:tcW w:w="3423" w:type="pct"/>
          </w:tcPr>
          <w:p w14:paraId="5E5F83DB" w14:textId="325142A5" w:rsidR="00324B33" w:rsidRPr="00BD5DBD" w:rsidRDefault="00241369" w:rsidP="007452E8">
            <w:pPr>
              <w:rPr>
                <w:szCs w:val="22"/>
              </w:rPr>
            </w:pPr>
            <w:r w:rsidRPr="00241369">
              <w:rPr>
                <w:szCs w:val="22"/>
              </w:rPr>
              <w:t>Each 1 g of gel contains 100 mg birch bark dry extract</w:t>
            </w:r>
            <w:r w:rsidR="003A1D9E" w:rsidRPr="003A1D9E">
              <w:rPr>
                <w:rFonts w:ascii="TimesNewRomanPSMT" w:hAnsi="TimesNewRomanPSMT" w:cs="TimesNewRomanPSMT"/>
                <w:sz w:val="24"/>
                <w:szCs w:val="24"/>
              </w:rPr>
              <w:t xml:space="preserve"> </w:t>
            </w:r>
            <w:r w:rsidR="003A1D9E" w:rsidRPr="003A1D9E">
              <w:rPr>
                <w:szCs w:val="22"/>
              </w:rPr>
              <w:t>(10% w/w)</w:t>
            </w:r>
            <w:r w:rsidR="003A1D9E">
              <w:rPr>
                <w:szCs w:val="22"/>
              </w:rPr>
              <w:t>.</w:t>
            </w:r>
          </w:p>
        </w:tc>
      </w:tr>
      <w:tr w:rsidR="00324B33" w:rsidRPr="00BD5DBD" w14:paraId="34B07BA6" w14:textId="77777777" w:rsidTr="00F865A7">
        <w:tc>
          <w:tcPr>
            <w:tcW w:w="1577" w:type="pct"/>
          </w:tcPr>
          <w:p w14:paraId="1C039224" w14:textId="430405E4" w:rsidR="00324B33" w:rsidRPr="00BD5DBD" w:rsidRDefault="00324B33" w:rsidP="007452E8">
            <w:pPr>
              <w:rPr>
                <w:i/>
                <w:szCs w:val="22"/>
              </w:rPr>
            </w:pPr>
            <w:r w:rsidRPr="00BD5DBD">
              <w:rPr>
                <w:i/>
                <w:szCs w:val="22"/>
              </w:rPr>
              <w:t>Container:</w:t>
            </w:r>
          </w:p>
        </w:tc>
        <w:tc>
          <w:tcPr>
            <w:tcW w:w="3423" w:type="pct"/>
          </w:tcPr>
          <w:p w14:paraId="500A42C6" w14:textId="0D9E6AB5" w:rsidR="00324B33" w:rsidRPr="00BD5DBD" w:rsidRDefault="00E879F3" w:rsidP="007452E8">
            <w:pPr>
              <w:rPr>
                <w:szCs w:val="22"/>
              </w:rPr>
            </w:pPr>
            <w:r>
              <w:rPr>
                <w:szCs w:val="22"/>
              </w:rPr>
              <w:t>Tube</w:t>
            </w:r>
          </w:p>
        </w:tc>
      </w:tr>
      <w:tr w:rsidR="00324B33" w:rsidRPr="00BD5DBD" w14:paraId="176B6773" w14:textId="77777777" w:rsidTr="00F865A7">
        <w:tc>
          <w:tcPr>
            <w:tcW w:w="1577" w:type="pct"/>
          </w:tcPr>
          <w:p w14:paraId="71846159" w14:textId="0FB441B0" w:rsidR="00324B33" w:rsidRPr="00BD5DBD" w:rsidRDefault="00324B33" w:rsidP="007452E8">
            <w:pPr>
              <w:rPr>
                <w:i/>
                <w:szCs w:val="22"/>
              </w:rPr>
            </w:pPr>
            <w:r w:rsidRPr="00BD5DBD">
              <w:rPr>
                <w:i/>
                <w:szCs w:val="22"/>
              </w:rPr>
              <w:t>Pack sizes:</w:t>
            </w:r>
          </w:p>
        </w:tc>
        <w:tc>
          <w:tcPr>
            <w:tcW w:w="3423" w:type="pct"/>
          </w:tcPr>
          <w:p w14:paraId="7E978F8F" w14:textId="1C0D0062" w:rsidR="00324B33" w:rsidRPr="005762CF" w:rsidRDefault="00901F28" w:rsidP="007452E8">
            <w:pPr>
              <w:rPr>
                <w:szCs w:val="22"/>
              </w:rPr>
            </w:pPr>
            <w:r w:rsidRPr="005762CF">
              <w:rPr>
                <w:szCs w:val="22"/>
              </w:rPr>
              <w:t xml:space="preserve">1 x 23.4 g tube, </w:t>
            </w:r>
            <w:r w:rsidR="001F35EF" w:rsidRPr="005762CF">
              <w:rPr>
                <w:szCs w:val="22"/>
              </w:rPr>
              <w:t>10 x 23.4 g tubes</w:t>
            </w:r>
            <w:r w:rsidR="00284840" w:rsidRPr="005762CF">
              <w:rPr>
                <w:szCs w:val="22"/>
              </w:rPr>
              <w:t>,</w:t>
            </w:r>
            <w:r w:rsidR="001F35EF" w:rsidRPr="005762CF">
              <w:rPr>
                <w:szCs w:val="22"/>
              </w:rPr>
              <w:t xml:space="preserve"> 30 x 23.4 g tubes.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5608CEAF" w:rsidR="00324B33" w:rsidRPr="00CF2588" w:rsidRDefault="00CF2588" w:rsidP="00CF2588">
            <w:pPr>
              <w:rPr>
                <w:i/>
                <w:iCs/>
                <w:szCs w:val="22"/>
              </w:rPr>
            </w:pPr>
            <w:r w:rsidRPr="00CF2588">
              <w:rPr>
                <w:i/>
                <w:iCs/>
                <w:szCs w:val="22"/>
              </w:rPr>
              <w:t>Treatment of partial thickness wounds associated with dystrophic and junctional epidermolysis bullosa (EB) in patients 6 months and older.</w:t>
            </w:r>
          </w:p>
        </w:tc>
      </w:tr>
      <w:tr w:rsidR="00324B33" w:rsidRPr="00BD5DBD" w14:paraId="5AFDEED3" w14:textId="77777777" w:rsidTr="00F865A7">
        <w:tc>
          <w:tcPr>
            <w:tcW w:w="1577" w:type="pct"/>
          </w:tcPr>
          <w:p w14:paraId="03884BD1" w14:textId="46CFF405" w:rsidR="00324B33" w:rsidRPr="00BD5DBD" w:rsidRDefault="00324B33" w:rsidP="007452E8">
            <w:pPr>
              <w:rPr>
                <w:i/>
                <w:szCs w:val="22"/>
              </w:rPr>
            </w:pPr>
            <w:r w:rsidRPr="00BD5DBD">
              <w:rPr>
                <w:i/>
                <w:szCs w:val="22"/>
              </w:rPr>
              <w:t>Route of administration:</w:t>
            </w:r>
          </w:p>
        </w:tc>
        <w:tc>
          <w:tcPr>
            <w:tcW w:w="3423" w:type="pct"/>
          </w:tcPr>
          <w:p w14:paraId="1ED1357E" w14:textId="71845B1F" w:rsidR="00324B33" w:rsidRPr="00BD5DBD" w:rsidRDefault="00DB3937" w:rsidP="007452E8">
            <w:pPr>
              <w:rPr>
                <w:szCs w:val="22"/>
              </w:rPr>
            </w:pPr>
            <w:r w:rsidRPr="00DB3937">
              <w:rPr>
                <w:szCs w:val="22"/>
              </w:rPr>
              <w:t>For topical application only.</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0E5FA692" w:rsidR="00666911" w:rsidRDefault="008F32DB" w:rsidP="008F32DB">
            <w:pPr>
              <w:rPr>
                <w:szCs w:val="22"/>
              </w:rPr>
            </w:pPr>
            <w:r w:rsidRPr="008F32DB">
              <w:rPr>
                <w:szCs w:val="22"/>
              </w:rPr>
              <w:t>The gel should be applied at a thickness of approximately 1 mm to a sterile non-adhesive wound</w:t>
            </w:r>
            <w:r w:rsidR="00E939C7">
              <w:rPr>
                <w:szCs w:val="22"/>
              </w:rPr>
              <w:t xml:space="preserve"> </w:t>
            </w:r>
            <w:r w:rsidRPr="008F32DB">
              <w:rPr>
                <w:szCs w:val="22"/>
              </w:rPr>
              <w:t>dressing that is placed directly over the wound or applied to the wound surface and covered by the</w:t>
            </w:r>
            <w:r w:rsidR="00E939C7">
              <w:rPr>
                <w:szCs w:val="22"/>
              </w:rPr>
              <w:t xml:space="preserve"> </w:t>
            </w:r>
            <w:r w:rsidRPr="008F32DB">
              <w:rPr>
                <w:szCs w:val="22"/>
              </w:rPr>
              <w:t>dressing. The gel should be applied liberally.</w:t>
            </w:r>
          </w:p>
          <w:p w14:paraId="3D0B2D5C" w14:textId="139C0AAA" w:rsidR="00324B33" w:rsidRPr="00BD5DBD" w:rsidRDefault="00324B33" w:rsidP="007452E8">
            <w:pPr>
              <w:rPr>
                <w:szCs w:val="22"/>
              </w:rPr>
            </w:pPr>
            <w:r w:rsidRPr="00BD5DBD">
              <w:rPr>
                <w:szCs w:val="22"/>
              </w:rPr>
              <w:t>For further information regarding dosage, 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1DFBAA5D" w14:textId="77777777" w:rsidR="00E40051" w:rsidRDefault="00004E7E" w:rsidP="00306E72">
            <w:pPr>
              <w:rPr>
                <w:b/>
                <w:bCs/>
              </w:rPr>
            </w:pPr>
            <w:r w:rsidRPr="00004E7E">
              <w:rPr>
                <w:b/>
                <w:bCs/>
              </w:rPr>
              <w:t>Category B1</w:t>
            </w:r>
          </w:p>
          <w:p w14:paraId="5D6E9706" w14:textId="5FD34AFE" w:rsidR="00000E6E" w:rsidRPr="00004E7E" w:rsidRDefault="00E40051" w:rsidP="00E40051">
            <w:pPr>
              <w:rPr>
                <w:szCs w:val="22"/>
              </w:rPr>
            </w:pPr>
            <w:r w:rsidRPr="00E40051">
              <w:rPr>
                <w:szCs w:val="22"/>
              </w:rPr>
              <w:t>There are no data from the use of F</w:t>
            </w:r>
            <w:r w:rsidR="0056240C">
              <w:rPr>
                <w:szCs w:val="22"/>
              </w:rPr>
              <w:t>ilsuvez</w:t>
            </w:r>
            <w:r w:rsidRPr="00E40051">
              <w:rPr>
                <w:szCs w:val="22"/>
              </w:rPr>
              <w:t xml:space="preserve"> in pregnant </w:t>
            </w:r>
            <w:r w:rsidR="0056240C">
              <w:rPr>
                <w:szCs w:val="22"/>
              </w:rPr>
              <w:t>w</w:t>
            </w:r>
            <w:r w:rsidRPr="00E40051">
              <w:rPr>
                <w:szCs w:val="22"/>
              </w:rPr>
              <w:t>omen. No effects during pregnancy are</w:t>
            </w:r>
            <w:r w:rsidR="0056240C">
              <w:rPr>
                <w:szCs w:val="22"/>
              </w:rPr>
              <w:t xml:space="preserve"> </w:t>
            </w:r>
            <w:r w:rsidRPr="00E40051">
              <w:rPr>
                <w:szCs w:val="22"/>
              </w:rPr>
              <w:t>anticipated, since systemic exposure to F</w:t>
            </w:r>
            <w:r w:rsidR="0056240C">
              <w:rPr>
                <w:szCs w:val="22"/>
              </w:rPr>
              <w:t>ilsuvez</w:t>
            </w:r>
            <w:r w:rsidRPr="00E40051">
              <w:rPr>
                <w:szCs w:val="22"/>
              </w:rPr>
              <w:t xml:space="preserve"> is negligible. F</w:t>
            </w:r>
            <w:r w:rsidR="003F453C">
              <w:rPr>
                <w:szCs w:val="22"/>
              </w:rPr>
              <w:t>ilsuvez</w:t>
            </w:r>
            <w:r w:rsidRPr="00E40051">
              <w:rPr>
                <w:szCs w:val="22"/>
              </w:rPr>
              <w:t xml:space="preserve"> can be used during</w:t>
            </w:r>
            <w:r w:rsidR="003F453C">
              <w:rPr>
                <w:szCs w:val="22"/>
              </w:rPr>
              <w:t xml:space="preserve"> </w:t>
            </w:r>
            <w:r w:rsidRPr="00E40051">
              <w:rPr>
                <w:szCs w:val="22"/>
              </w:rPr>
              <w:t>pregnancy.</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w:t>
            </w:r>
            <w:r w:rsidRPr="00BD5DBD">
              <w:rPr>
                <w:szCs w:val="22"/>
              </w:rPr>
              <w:lastRenderedPageBreak/>
              <w:t xml:space="preserve">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33030841"/>
      <w:r>
        <w:lastRenderedPageBreak/>
        <w:t>Product background</w:t>
      </w:r>
      <w:bookmarkEnd w:id="11"/>
      <w:bookmarkEnd w:id="12"/>
      <w:bookmarkEnd w:id="13"/>
      <w:bookmarkEnd w:id="14"/>
    </w:p>
    <w:p w14:paraId="59BF31D1" w14:textId="12064633" w:rsidR="001500A8" w:rsidRPr="00065839" w:rsidRDefault="00324B33" w:rsidP="00065839">
      <w:r w:rsidRPr="00065839">
        <w:t>This AusPAR describes the submission by</w:t>
      </w:r>
      <w:r w:rsidR="00D71D0A" w:rsidRPr="00D71D0A">
        <w:rPr>
          <w:szCs w:val="22"/>
        </w:rPr>
        <w:t xml:space="preserve"> </w:t>
      </w:r>
      <w:r w:rsidR="00D71D0A" w:rsidRPr="00D71D0A">
        <w:t>Chiesi Australia Pty Ltd</w:t>
      </w:r>
      <w:r w:rsidR="00D71D0A">
        <w:t xml:space="preserve"> </w:t>
      </w:r>
      <w:r w:rsidR="00466C96">
        <w:t xml:space="preserve">(the Sponsor) </w:t>
      </w:r>
      <w:r w:rsidRPr="00065839">
        <w:t xml:space="preserve">to register </w:t>
      </w:r>
      <w:r w:rsidR="000C414E" w:rsidRPr="000C414E">
        <w:t>F</w:t>
      </w:r>
      <w:r w:rsidR="000C414E">
        <w:t>ilsuvez (</w:t>
      </w:r>
      <w:r w:rsidR="000C414E" w:rsidRPr="000C414E">
        <w:t xml:space="preserve">birch bark dry extract </w:t>
      </w:r>
      <w:r w:rsidR="000C414E">
        <w:t xml:space="preserve">- </w:t>
      </w:r>
      <w:r w:rsidR="000C414E" w:rsidRPr="000C414E">
        <w:t xml:space="preserve">84-95% triterpenes) </w:t>
      </w:r>
      <w:r w:rsidR="00757687" w:rsidRPr="00757687">
        <w:t>100 mg/g gel tube</w:t>
      </w:r>
      <w:r w:rsidRPr="00065839">
        <w:t xml:space="preserve"> for the following proposed indication:</w:t>
      </w:r>
      <w:r w:rsidR="00D63760" w:rsidRPr="00065839">
        <w:rPr>
          <w:vertAlign w:val="superscript"/>
        </w:rPr>
        <w:footnoteReference w:id="2"/>
      </w:r>
    </w:p>
    <w:p w14:paraId="23D8ED73" w14:textId="23A19B3C" w:rsidR="00324B33" w:rsidRDefault="00A5089C" w:rsidP="00A5089C">
      <w:pPr>
        <w:ind w:left="720"/>
        <w:rPr>
          <w:i/>
          <w:color w:val="007099"/>
        </w:rPr>
      </w:pPr>
      <w:r w:rsidRPr="00A5089C">
        <w:rPr>
          <w:i/>
        </w:rPr>
        <w:t>Treatment of partial thickness wounds associated with dystrophic and junctional epidermolysis bullosa (EB) in patients 6 months and older</w:t>
      </w:r>
      <w:r w:rsidRPr="00A5089C">
        <w:rPr>
          <w:i/>
          <w:color w:val="007099"/>
        </w:rPr>
        <w:t>.</w:t>
      </w:r>
    </w:p>
    <w:p w14:paraId="0A0F66BA" w14:textId="5DE93E6E" w:rsidR="00F44BB9" w:rsidRPr="00F44BB9" w:rsidRDefault="00F44BB9" w:rsidP="00F44BB9">
      <w:pPr>
        <w:rPr>
          <w:iCs/>
        </w:rPr>
      </w:pPr>
      <w:r w:rsidRPr="00F44BB9">
        <w:rPr>
          <w:iCs/>
        </w:rPr>
        <w:t>This is a Type A (new chemical entity) COR-B application to register a new medicine</w:t>
      </w:r>
      <w:r w:rsidR="00B376E1">
        <w:rPr>
          <w:iCs/>
        </w:rPr>
        <w:t>.</w:t>
      </w:r>
      <w:r w:rsidR="00B376E1" w:rsidRPr="00B376E1">
        <w:rPr>
          <w:rFonts w:eastAsia="Cambria" w:cs="Times New Roman"/>
          <w:szCs w:val="22"/>
        </w:rPr>
        <w:t xml:space="preserve"> </w:t>
      </w:r>
      <w:r w:rsidR="00B376E1" w:rsidRPr="00B376E1">
        <w:rPr>
          <w:iCs/>
        </w:rPr>
        <w:t xml:space="preserve">The primary evaluation was </w:t>
      </w:r>
      <w:r w:rsidR="00A340ED">
        <w:rPr>
          <w:iCs/>
        </w:rPr>
        <w:t>provided</w:t>
      </w:r>
      <w:r w:rsidR="00A340ED" w:rsidRPr="00B376E1">
        <w:rPr>
          <w:iCs/>
        </w:rPr>
        <w:t xml:space="preserve"> </w:t>
      </w:r>
      <w:r w:rsidR="00B376E1" w:rsidRPr="00B376E1">
        <w:rPr>
          <w:iCs/>
        </w:rPr>
        <w:t>by the European Medicines Agency (EMA) Centralised procedure.</w:t>
      </w:r>
    </w:p>
    <w:p w14:paraId="1E63A2AE" w14:textId="35122FAA" w:rsidR="00CB6813" w:rsidRDefault="00263AFF" w:rsidP="00CB6813">
      <w:pPr>
        <w:pStyle w:val="Heading4"/>
      </w:pPr>
      <w:bookmarkStart w:id="15" w:name="_Toc233030842"/>
      <w:bookmarkStart w:id="16" w:name="_Toc314842485"/>
      <w:bookmarkStart w:id="17" w:name="_Toc247691504"/>
      <w:r>
        <w:t>C</w:t>
      </w:r>
      <w:r w:rsidR="006428C5">
        <w:t>ondition</w:t>
      </w:r>
      <w:bookmarkEnd w:id="15"/>
    </w:p>
    <w:p w14:paraId="4036B391" w14:textId="47405EA3" w:rsidR="00263AFF" w:rsidRPr="00263AFF" w:rsidRDefault="00263AFF" w:rsidP="00263AFF">
      <w:r w:rsidRPr="00263AFF">
        <w:t xml:space="preserve">According to </w:t>
      </w:r>
      <w:proofErr w:type="spellStart"/>
      <w:r w:rsidR="00E55CEE" w:rsidRPr="00F460C8">
        <w:t>Laimer</w:t>
      </w:r>
      <w:proofErr w:type="spellEnd"/>
      <w:r w:rsidR="00E55CEE" w:rsidRPr="00F460C8">
        <w:t xml:space="preserve"> </w:t>
      </w:r>
      <w:r w:rsidR="00A340ED">
        <w:t xml:space="preserve">and </w:t>
      </w:r>
      <w:r w:rsidR="00F460C8" w:rsidRPr="00F460C8">
        <w:t>Murrell (2025)</w:t>
      </w:r>
      <w:r w:rsidR="00FC7037">
        <w:t>,</w:t>
      </w:r>
    </w:p>
    <w:p w14:paraId="0D939C1E" w14:textId="008455B0" w:rsidR="00263AFF" w:rsidRPr="00263AFF" w:rsidRDefault="00263AFF" w:rsidP="00FC7037">
      <w:pPr>
        <w:ind w:left="720"/>
        <w:rPr>
          <w:i/>
          <w:iCs/>
        </w:rPr>
      </w:pPr>
      <w:r w:rsidRPr="00AD05AB">
        <w:t xml:space="preserve">Epidermolysis bullosa (EB) is a clinically and genetically heterogeneous inherited skin fragility disorder characterized by disruption of the skin's structure at the </w:t>
      </w:r>
      <w:proofErr w:type="spellStart"/>
      <w:r w:rsidRPr="00AD05AB">
        <w:t>dermoepidermal</w:t>
      </w:r>
      <w:proofErr w:type="spellEnd"/>
      <w:r w:rsidRPr="00AD05AB">
        <w:t xml:space="preserve"> junction or in the basal layer of the epidermis, resulting in increased cutaneous vulnerability to mechanical stress. Depending on the specific genetic defect and its molecular sequelae, clinical hallmarks include blisters, wounds, and scars following minor trauma. Wounds may present as acute, chronic, open (</w:t>
      </w:r>
      <w:r w:rsidR="00943C57" w:rsidRPr="00AD05AB">
        <w:t>i.e.</w:t>
      </w:r>
      <w:r w:rsidRPr="00AD05AB">
        <w:t xml:space="preserve"> not healing within six weeks), or recurrent (with repetitive blistering, healing, and subsequent reopening</w:t>
      </w:r>
      <w:r w:rsidR="52F86A24" w:rsidRPr="00AD05AB">
        <w:t>)</w:t>
      </w:r>
      <w:r w:rsidR="5211B642" w:rsidRPr="00AD05AB">
        <w:t>.</w:t>
      </w:r>
      <w:r w:rsidRPr="00AD05AB">
        <w:t xml:space="preserve"> EB, and particularly its more severe variants, carries a considerable societal burden that affects patients, caregivers, and health care providers</w:t>
      </w:r>
      <w:r w:rsidRPr="00263AFF">
        <w:rPr>
          <w:i/>
          <w:iCs/>
        </w:rPr>
        <w:t>.</w:t>
      </w:r>
      <w:bookmarkStart w:id="18" w:name="_Ref230098267"/>
      <w:r w:rsidR="005856AF" w:rsidRPr="005856AF">
        <w:rPr>
          <w:vertAlign w:val="superscript"/>
        </w:rPr>
        <w:t xml:space="preserve"> </w:t>
      </w:r>
      <w:bookmarkStart w:id="19" w:name="_Ref230787282"/>
      <w:r w:rsidR="005856AF" w:rsidRPr="00263AFF">
        <w:rPr>
          <w:vertAlign w:val="superscript"/>
        </w:rPr>
        <w:footnoteReference w:id="3"/>
      </w:r>
      <w:bookmarkEnd w:id="18"/>
      <w:bookmarkEnd w:id="19"/>
    </w:p>
    <w:p w14:paraId="72D8E796" w14:textId="42F96182" w:rsidR="00263AFF" w:rsidRPr="00263AFF" w:rsidRDefault="00263AFF" w:rsidP="00263AFF">
      <w:r w:rsidRPr="00263AFF">
        <w:t>Further</w:t>
      </w:r>
      <w:r w:rsidR="00FC7037">
        <w:t>more</w:t>
      </w:r>
      <w:r w:rsidRPr="00263AFF">
        <w:t>,</w:t>
      </w:r>
    </w:p>
    <w:p w14:paraId="06396AA5" w14:textId="4B1314D1" w:rsidR="00263AFF" w:rsidRPr="00022A41" w:rsidRDefault="00263AFF" w:rsidP="00022A41">
      <w:pPr>
        <w:ind w:left="720"/>
      </w:pPr>
      <w:r w:rsidRPr="008C63A9">
        <w:t xml:space="preserve">EB is caused by variants in several genes encoding structural proteins within keratin intermediate filaments, focal adhesions, desmosome cell junctions, and hemidesmosome attachment complexes. These structures form the intraepidermal adhesion and </w:t>
      </w:r>
      <w:proofErr w:type="spellStart"/>
      <w:r w:rsidRPr="008C63A9">
        <w:t>dermoepidermal</w:t>
      </w:r>
      <w:proofErr w:type="spellEnd"/>
      <w:r w:rsidRPr="008C63A9">
        <w:t xml:space="preserve"> anchoring complexes within the basement membrane zone of the skin and mucosae. The molecular aberrations interfere with the functional and structural integrity of the basement membrane that is crucial for cell adhesion, proliferation, and </w:t>
      </w:r>
      <w:r w:rsidR="004C7123" w:rsidRPr="008C63A9">
        <w:t>differentiation,</w:t>
      </w:r>
      <w:r w:rsidRPr="008C63A9">
        <w:t xml:space="preserve"> tissue repair and barrier function.</w:t>
      </w:r>
      <w:r w:rsidR="004C7123" w:rsidRPr="004C7123">
        <w:rPr>
          <w:vertAlign w:val="superscript"/>
        </w:rPr>
        <w:fldChar w:fldCharType="begin"/>
      </w:r>
      <w:r w:rsidR="004C7123" w:rsidRPr="004C7123">
        <w:rPr>
          <w:vertAlign w:val="superscript"/>
        </w:rPr>
        <w:instrText xml:space="preserve"> NOTEREF _Ref230787282 \h </w:instrText>
      </w:r>
      <w:r w:rsidR="004C7123">
        <w:rPr>
          <w:vertAlign w:val="superscript"/>
        </w:rPr>
        <w:instrText xml:space="preserve"> \* MERGEFORMAT </w:instrText>
      </w:r>
      <w:r w:rsidR="004C7123" w:rsidRPr="004C7123">
        <w:rPr>
          <w:vertAlign w:val="superscript"/>
        </w:rPr>
      </w:r>
      <w:r w:rsidR="004C7123" w:rsidRPr="004C7123">
        <w:rPr>
          <w:vertAlign w:val="superscript"/>
        </w:rPr>
        <w:fldChar w:fldCharType="separate"/>
      </w:r>
      <w:r w:rsidR="004C7123" w:rsidRPr="004C7123">
        <w:rPr>
          <w:vertAlign w:val="superscript"/>
        </w:rPr>
        <w:t>2</w:t>
      </w:r>
      <w:r w:rsidR="004C7123" w:rsidRPr="004C7123">
        <w:rPr>
          <w:vertAlign w:val="superscript"/>
        </w:rPr>
        <w:fldChar w:fldCharType="end"/>
      </w:r>
    </w:p>
    <w:p w14:paraId="63BCE6E0" w14:textId="5D9F20F7" w:rsidR="00263AFF" w:rsidRPr="00263AFF" w:rsidRDefault="00263AFF" w:rsidP="00263AFF">
      <w:r w:rsidRPr="00263AFF">
        <w:t xml:space="preserve">Disruption of the basement membrane results in cell and tissue dehiscence, skin fragility and the tendency of the skin to blister and break down with minor trauma. This epithelial fragility may not be restricted to the skin and adnexa. Depending on the nature of the underlying pathology, EB may also directly affect the gastrointestinal system, the genitourinary tract and the </w:t>
      </w:r>
      <w:r w:rsidRPr="00263AFF">
        <w:lastRenderedPageBreak/>
        <w:t>respiratory system, while the consequences of EB may affect the heart, endocrine and haematopoietic systems.</w:t>
      </w:r>
      <w:r w:rsidR="008B6F88" w:rsidRPr="00D02C08">
        <w:rPr>
          <w:vertAlign w:val="superscript"/>
        </w:rPr>
        <w:fldChar w:fldCharType="begin"/>
      </w:r>
      <w:r w:rsidR="008B6F88" w:rsidRPr="00D02C08">
        <w:rPr>
          <w:vertAlign w:val="superscript"/>
        </w:rPr>
        <w:instrText xml:space="preserve"> NOTEREF _Ref230098267 \h </w:instrText>
      </w:r>
      <w:r w:rsidR="00D02C08">
        <w:rPr>
          <w:vertAlign w:val="superscript"/>
        </w:rPr>
        <w:instrText xml:space="preserve"> \* MERGEFORMAT </w:instrText>
      </w:r>
      <w:r w:rsidR="008B6F88" w:rsidRPr="00D02C08">
        <w:rPr>
          <w:vertAlign w:val="superscript"/>
        </w:rPr>
      </w:r>
      <w:r w:rsidR="008B6F88" w:rsidRPr="00D02C08">
        <w:rPr>
          <w:vertAlign w:val="superscript"/>
        </w:rPr>
        <w:fldChar w:fldCharType="separate"/>
      </w:r>
      <w:r w:rsidR="008B6F88" w:rsidRPr="00D02C08">
        <w:rPr>
          <w:vertAlign w:val="superscript"/>
        </w:rPr>
        <w:t>2</w:t>
      </w:r>
      <w:r w:rsidR="008B6F88" w:rsidRPr="00D02C08">
        <w:rPr>
          <w:vertAlign w:val="superscript"/>
        </w:rPr>
        <w:fldChar w:fldCharType="end"/>
      </w:r>
      <w:r w:rsidR="00596242" w:rsidRPr="00D02C08">
        <w:rPr>
          <w:vertAlign w:val="superscript"/>
        </w:rPr>
        <w:t>,</w:t>
      </w:r>
      <w:bookmarkStart w:id="20" w:name="_Ref230099070"/>
      <w:r w:rsidR="00D02C08">
        <w:rPr>
          <w:rStyle w:val="FootnoteReference"/>
        </w:rPr>
        <w:footnoteReference w:id="4"/>
      </w:r>
      <w:bookmarkEnd w:id="20"/>
    </w:p>
    <w:p w14:paraId="60F1FC49" w14:textId="356239C4" w:rsidR="00263AFF" w:rsidRDefault="00263AFF" w:rsidP="00263AFF">
      <w:r w:rsidRPr="00263AFF">
        <w:t xml:space="preserve">Traditional classification systems differentiate between four major types of EB: EB simplex (EBS), dystrophic EB (DEB) (including forms with dominant (d) and recessive (r) inheritance), junctional EB (JEB) and Kindler syndrome (KS), which all differ in their severity and clinical presentation. Recently, molecular typing technologies have allowed for more detailed categorization between and within the major types. In the simplest categorisation of EB, the distinction relies on the layer of the </w:t>
      </w:r>
      <w:r w:rsidR="00FB5CF4">
        <w:t>skin</w:t>
      </w:r>
      <w:r w:rsidRPr="00263AFF">
        <w:t xml:space="preserve"> in which disruption occurs (</w:t>
      </w:r>
      <w:r w:rsidRPr="00263AFF">
        <w:fldChar w:fldCharType="begin"/>
      </w:r>
      <w:r w:rsidRPr="00263AFF">
        <w:instrText xml:space="preserve"> REF _Ref208234993 \h </w:instrText>
      </w:r>
      <w:r w:rsidRPr="00263AFF">
        <w:fldChar w:fldCharType="separate"/>
      </w:r>
      <w:r w:rsidRPr="00263AFF">
        <w:t>Figure 1</w:t>
      </w:r>
      <w:r w:rsidRPr="00263AFF">
        <w:fldChar w:fldCharType="end"/>
      </w:r>
      <w:r w:rsidRPr="00263AFF">
        <w:t>).</w:t>
      </w:r>
      <w:bookmarkStart w:id="21" w:name="_Ref233011372"/>
      <w:r w:rsidR="00205EC0">
        <w:rPr>
          <w:rStyle w:val="FootnoteReference"/>
        </w:rPr>
        <w:footnoteReference w:id="5"/>
      </w:r>
      <w:bookmarkEnd w:id="21"/>
    </w:p>
    <w:p w14:paraId="5F9D68E7" w14:textId="77777777" w:rsidR="00A54C8D" w:rsidRDefault="00EA6BFB" w:rsidP="00EA6BFB">
      <w:pPr>
        <w:pStyle w:val="FigureTitle"/>
        <w:rPr>
          <w:noProof/>
          <w:vertAlign w:val="superscript"/>
        </w:rPr>
      </w:pPr>
      <w:bookmarkStart w:id="22" w:name="_Ref208234993"/>
      <w:r w:rsidRPr="0049612E">
        <w:t xml:space="preserve">Figure </w:t>
      </w:r>
      <w:r>
        <w:fldChar w:fldCharType="begin"/>
      </w:r>
      <w:r>
        <w:instrText>SEQ Figure \* ARABIC</w:instrText>
      </w:r>
      <w:r>
        <w:fldChar w:fldCharType="separate"/>
      </w:r>
      <w:r w:rsidRPr="0049612E">
        <w:t>1</w:t>
      </w:r>
      <w:r>
        <w:fldChar w:fldCharType="end"/>
      </w:r>
      <w:bookmarkEnd w:id="22"/>
      <w:r w:rsidRPr="0049612E">
        <w:t>: Different</w:t>
      </w:r>
      <w:r w:rsidRPr="00EA6BFB">
        <w:t xml:space="preserve"> cleavage levels within the skin of EB patients.</w:t>
      </w:r>
      <w:r w:rsidR="00704F49" w:rsidRPr="00704F49">
        <w:rPr>
          <w:vertAlign w:val="superscript"/>
        </w:rPr>
        <w:fldChar w:fldCharType="begin"/>
      </w:r>
      <w:r w:rsidR="00704F49" w:rsidRPr="00704F49">
        <w:rPr>
          <w:vertAlign w:val="superscript"/>
        </w:rPr>
        <w:instrText xml:space="preserve"> NOTEREF _Ref233011372 \h </w:instrText>
      </w:r>
      <w:r w:rsidR="00704F49">
        <w:rPr>
          <w:vertAlign w:val="superscript"/>
        </w:rPr>
        <w:instrText xml:space="preserve"> \* MERGEFORMAT </w:instrText>
      </w:r>
      <w:r w:rsidR="00704F49" w:rsidRPr="00704F49">
        <w:rPr>
          <w:vertAlign w:val="superscript"/>
        </w:rPr>
      </w:r>
      <w:r w:rsidR="00704F49" w:rsidRPr="00704F49">
        <w:rPr>
          <w:vertAlign w:val="superscript"/>
        </w:rPr>
        <w:fldChar w:fldCharType="separate"/>
      </w:r>
      <w:r w:rsidR="00704F49" w:rsidRPr="00704F49">
        <w:rPr>
          <w:vertAlign w:val="superscript"/>
        </w:rPr>
        <w:t>4</w:t>
      </w:r>
      <w:r w:rsidR="00704F49" w:rsidRPr="00704F49">
        <w:rPr>
          <w:vertAlign w:val="superscript"/>
        </w:rPr>
        <w:fldChar w:fldCharType="end"/>
      </w:r>
      <w:r w:rsidR="00205EC0" w:rsidRPr="00704F49">
        <w:rPr>
          <w:noProof/>
          <w:vertAlign w:val="superscript"/>
        </w:rPr>
        <w:t xml:space="preserve"> </w:t>
      </w:r>
    </w:p>
    <w:p w14:paraId="5C4116FC" w14:textId="5AB4A7FD" w:rsidR="00FC4090" w:rsidRDefault="00FC4090" w:rsidP="00A54C8D">
      <w:r w:rsidRPr="00FC4090">
        <w:rPr>
          <w:noProof/>
        </w:rPr>
        <w:drawing>
          <wp:inline distT="0" distB="0" distL="0" distR="0" wp14:anchorId="32233581" wp14:editId="4B5CC828">
            <wp:extent cx="5286374" cy="2971800"/>
            <wp:effectExtent l="0" t="0" r="0" b="0"/>
            <wp:docPr id="1228810901" name="Picture 1" descr="Figure 1: Different cleavage levels within the skin of EB patients. from   C. Has, J.W. Bauer, C. Bodemer, M.C. Bolling, L. Bruckner‐Tuderman, et al. (2020) Consensus reclassification of inherited epidermolysis bullosa and other disorders with skin fragility, British Journal of Dermatology, 183(4): 61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10901" name="Picture 1" descr="Figure 1: Different cleavage levels within the skin of EB patients. from   C. Has, J.W. Bauer, C. Bodemer, M.C. Bolling, L. Bruckner‐Tuderman, et al. (2020) Consensus reclassification of inherited epidermolysis bullosa and other disorders with skin fragility, British Journal of Dermatology, 183(4): 614–6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8475" cy="2989846"/>
                    </a:xfrm>
                    <a:prstGeom prst="rect">
                      <a:avLst/>
                    </a:prstGeom>
                    <a:noFill/>
                    <a:ln>
                      <a:noFill/>
                    </a:ln>
                  </pic:spPr>
                </pic:pic>
              </a:graphicData>
            </a:graphic>
          </wp:inline>
        </w:drawing>
      </w:r>
    </w:p>
    <w:p w14:paraId="6860FCE6" w14:textId="0164547E" w:rsidR="00FC4090" w:rsidRDefault="0028739D" w:rsidP="0028739D">
      <w:pPr>
        <w:pStyle w:val="FigureDescription"/>
      </w:pPr>
      <w:r w:rsidRPr="0028739D">
        <w:t>Abbreviations: DEB=dystrophic epidermolysis bullosa; EB=epidermolysis bullosa; EBS=epidermolysis bullosa</w:t>
      </w:r>
      <w:r>
        <w:t xml:space="preserve"> </w:t>
      </w:r>
      <w:r w:rsidRPr="0028739D">
        <w:t>simplex; JEB=junctional epidermolysis bullosa</w:t>
      </w:r>
    </w:p>
    <w:p w14:paraId="58AAE5CC" w14:textId="27CDA9A8" w:rsidR="00E8509F" w:rsidRPr="00E8509F" w:rsidRDefault="00E8509F" w:rsidP="00E8509F">
      <w:r w:rsidRPr="00E8509F">
        <w:t xml:space="preserve">One of the most significant problems in EB is the lifelong presence of skin blistering and partial thickness wounds that result in pruritus, pain, scarring, deformity, loss of function, and immobility as well as a high risk of complications, such as infection. In addition, there is an increased incidence of aggressive cutaneous squamous cell carcinoma (SCC) at a younger age than in the general population. In patients with generalised severe </w:t>
      </w:r>
      <w:proofErr w:type="spellStart"/>
      <w:r w:rsidR="00F04903">
        <w:t>r</w:t>
      </w:r>
      <w:r w:rsidRPr="00E8509F">
        <w:t>DEB</w:t>
      </w:r>
      <w:proofErr w:type="spellEnd"/>
      <w:r w:rsidRPr="00E8509F">
        <w:t>, SCC occurs in approximately 80% of patients by their mid-40s and can occur as early as adolescence.</w:t>
      </w:r>
      <w:r w:rsidR="00503C33">
        <w:rPr>
          <w:rStyle w:val="FootnoteReference"/>
        </w:rPr>
        <w:footnoteReference w:id="6"/>
      </w:r>
    </w:p>
    <w:p w14:paraId="255E083A" w14:textId="1E836217" w:rsidR="00CB6813" w:rsidRDefault="00D44B44" w:rsidP="00CB6813">
      <w:pPr>
        <w:pStyle w:val="Heading4"/>
      </w:pPr>
      <w:bookmarkStart w:id="23" w:name="_Toc233030843"/>
      <w:r>
        <w:t>C</w:t>
      </w:r>
      <w:r w:rsidR="00CB6813">
        <w:t>urrent treatment options</w:t>
      </w:r>
      <w:bookmarkEnd w:id="23"/>
    </w:p>
    <w:p w14:paraId="1DE9C7E1" w14:textId="79F558BE" w:rsidR="00CD11AB" w:rsidRDefault="000714B3" w:rsidP="00CD11AB">
      <w:r w:rsidRPr="000714B3">
        <w:t>In the absence of a cure, management of EB is based on preventive measures, together with symptomatic treatment of cutaneous and extracutaneous manifestations and complications</w:t>
      </w:r>
      <w:r w:rsidR="0043306B">
        <w:t>.</w:t>
      </w:r>
      <w:r w:rsidRPr="000714B3">
        <w:rPr>
          <w:vertAlign w:val="superscript"/>
        </w:rPr>
        <w:footnoteReference w:id="7"/>
      </w:r>
      <w:r w:rsidRPr="000714B3">
        <w:t xml:space="preserve"> In Australia and elsewhere, treatment by multidisciplinary teams is considered best practice </w:t>
      </w:r>
      <w:r w:rsidRPr="000714B3">
        <w:lastRenderedPageBreak/>
        <w:t>management of EB.</w:t>
      </w:r>
      <w:r w:rsidR="00FB7F1D" w:rsidRPr="00FB7F1D">
        <w:rPr>
          <w:vertAlign w:val="superscript"/>
        </w:rPr>
        <w:fldChar w:fldCharType="begin"/>
      </w:r>
      <w:r w:rsidR="00FB7F1D" w:rsidRPr="00FB7F1D">
        <w:rPr>
          <w:vertAlign w:val="superscript"/>
        </w:rPr>
        <w:instrText xml:space="preserve"> NOTEREF _Ref230099070 \h  \* MERGEFORMAT </w:instrText>
      </w:r>
      <w:r w:rsidR="00FB7F1D" w:rsidRPr="00FB7F1D">
        <w:rPr>
          <w:vertAlign w:val="superscript"/>
        </w:rPr>
      </w:r>
      <w:r w:rsidR="00FB7F1D" w:rsidRPr="00FB7F1D">
        <w:rPr>
          <w:vertAlign w:val="superscript"/>
        </w:rPr>
        <w:fldChar w:fldCharType="separate"/>
      </w:r>
      <w:r w:rsidR="00FB7F1D" w:rsidRPr="00FB7F1D">
        <w:rPr>
          <w:vertAlign w:val="superscript"/>
        </w:rPr>
        <w:t>3</w:t>
      </w:r>
      <w:r w:rsidR="00FB7F1D" w:rsidRPr="00FB7F1D">
        <w:rPr>
          <w:vertAlign w:val="superscript"/>
        </w:rPr>
        <w:fldChar w:fldCharType="end"/>
      </w:r>
      <w:r w:rsidRPr="000714B3">
        <w:rPr>
          <w:vertAlign w:val="superscript"/>
        </w:rPr>
        <w:t>,</w:t>
      </w:r>
      <w:r w:rsidRPr="000714B3">
        <w:rPr>
          <w:vertAlign w:val="superscript"/>
        </w:rPr>
        <w:footnoteReference w:id="8"/>
      </w:r>
      <w:r w:rsidRPr="000714B3">
        <w:rPr>
          <w:vertAlign w:val="superscript"/>
        </w:rPr>
        <w:t xml:space="preserve"> </w:t>
      </w:r>
      <w:r w:rsidR="00842A45">
        <w:t>Overall</w:t>
      </w:r>
      <w:r w:rsidRPr="000714B3">
        <w:t xml:space="preserve">, the management of EB involves skin and wound care, itch management, acute and chronic pain management, nutritional management, psychological care and consideration of physical therapy and rehabilitation to delay and avoid contractures and deformities, and routine screening for macro- and </w:t>
      </w:r>
      <w:r w:rsidR="00A02713" w:rsidRPr="000714B3">
        <w:t>micro</w:t>
      </w:r>
      <w:r w:rsidR="00A02713">
        <w:t>-</w:t>
      </w:r>
      <w:r w:rsidR="00A02713" w:rsidRPr="000714B3">
        <w:t>nutritional</w:t>
      </w:r>
      <w:r w:rsidRPr="000714B3">
        <w:t xml:space="preserve"> deficiencies. Patients with some types of EB also require regular screening for skin malignancies.</w:t>
      </w:r>
    </w:p>
    <w:p w14:paraId="2F6F4F91" w14:textId="17448D44" w:rsidR="002379A1" w:rsidRPr="00CA331B" w:rsidRDefault="000714B3" w:rsidP="00CA331B">
      <w:r w:rsidRPr="000714B3">
        <w:t xml:space="preserve">At </w:t>
      </w:r>
      <w:r w:rsidR="009427BA">
        <w:t xml:space="preserve">the time of this </w:t>
      </w:r>
      <w:r w:rsidR="005D4E98">
        <w:t>assessment</w:t>
      </w:r>
      <w:r w:rsidRPr="00CA331B">
        <w:t xml:space="preserve">, there </w:t>
      </w:r>
      <w:r w:rsidR="005D4E98">
        <w:t>were</w:t>
      </w:r>
      <w:r w:rsidRPr="00CA331B">
        <w:t xml:space="preserve"> no registered therapeutic goods (medicines or devices) with specific </w:t>
      </w:r>
      <w:r w:rsidR="00CA331B" w:rsidRPr="00CA331B">
        <w:t>i</w:t>
      </w:r>
      <w:r w:rsidRPr="00CA331B">
        <w:t>ndications in EB</w:t>
      </w:r>
      <w:r w:rsidR="00D67CF3" w:rsidRPr="00CA331B">
        <w:t xml:space="preserve"> in Australia</w:t>
      </w:r>
      <w:r w:rsidRPr="00CA331B">
        <w:t xml:space="preserve">. </w:t>
      </w:r>
    </w:p>
    <w:p w14:paraId="1296EC9A" w14:textId="65367CB0" w:rsidR="002379A1" w:rsidRPr="002379A1" w:rsidRDefault="000714B3" w:rsidP="002379A1">
      <w:r w:rsidRPr="000714B3">
        <w:t xml:space="preserve">However, the Australian government subsides the costs of specialised dressings, bandages, and ancillary products for people with EB through </w:t>
      </w:r>
      <w:r w:rsidRPr="0094095A">
        <w:t>the National Epidermolysis Bullosa Dressing Scheme</w:t>
      </w:r>
      <w:r w:rsidR="00860B8C">
        <w:t xml:space="preserve"> (NEB</w:t>
      </w:r>
      <w:r w:rsidR="00804EFB">
        <w:t>DS)</w:t>
      </w:r>
      <w:r w:rsidRPr="000714B3">
        <w:t>,</w:t>
      </w:r>
      <w:r w:rsidR="0094095A">
        <w:rPr>
          <w:rStyle w:val="FootnoteReference"/>
        </w:rPr>
        <w:footnoteReference w:id="9"/>
      </w:r>
      <w:r w:rsidRPr="000714B3">
        <w:t xml:space="preserve"> currently administered by Independence Australia, a registered NDIS supplier. </w:t>
      </w:r>
      <w:r w:rsidRPr="00BF4976">
        <w:rPr>
          <w:bCs/>
        </w:rPr>
        <w:t>Products</w:t>
      </w:r>
      <w:r w:rsidRPr="000714B3">
        <w:t xml:space="preserve"> provided under the NEBDS include non-stick soft</w:t>
      </w:r>
      <w:r w:rsidR="002379A1" w:rsidRPr="000714B3">
        <w:t xml:space="preserve"> </w:t>
      </w:r>
      <w:r w:rsidR="002379A1" w:rsidRPr="002379A1">
        <w:t>silicone dressings, hydrocolloid impregnated polyester mesh dressings for wounds at risk of infection, foam dressings for exudative wounds and soft tubular bandages to hold dressings in place.</w:t>
      </w:r>
      <w:r w:rsidR="00BF4976">
        <w:rPr>
          <w:rStyle w:val="FootnoteReference"/>
        </w:rPr>
        <w:footnoteReference w:id="10"/>
      </w:r>
      <w:r w:rsidR="002379A1" w:rsidRPr="002379A1">
        <w:t xml:space="preserve"> In the absence of these specialised products, patients with EB would be reliant on the wide range of ARTG registered or listed wound dressings (</w:t>
      </w:r>
      <w:proofErr w:type="spellStart"/>
      <w:r w:rsidR="002379A1" w:rsidRPr="002379A1">
        <w:t>eg</w:t>
      </w:r>
      <w:proofErr w:type="spellEnd"/>
      <w:r w:rsidR="002379A1" w:rsidRPr="002379A1">
        <w:t xml:space="preserve"> paraffin-impregnated or medicated gauzes) and bandages as well as other skin care approaches including emollients, mild steroids, or antiseptics if indicated. There is a paucity of scientific data on the effectiveness of emollients. </w:t>
      </w:r>
    </w:p>
    <w:p w14:paraId="42FF9A93" w14:textId="77777777" w:rsidR="002379A1" w:rsidRPr="002379A1" w:rsidRDefault="002379A1" w:rsidP="002379A1">
      <w:r w:rsidRPr="002379A1">
        <w:t>The Australasian College of Dermatologists makes the following general recommendation regarding wound care:</w:t>
      </w:r>
    </w:p>
    <w:p w14:paraId="62D9CFF1" w14:textId="13B0112B" w:rsidR="002379A1" w:rsidRPr="00C5638A" w:rsidRDefault="002379A1" w:rsidP="00B95DA0">
      <w:pPr>
        <w:ind w:left="720"/>
        <w:rPr>
          <w:i/>
          <w:iCs/>
        </w:rPr>
      </w:pPr>
      <w:r w:rsidRPr="00C5638A">
        <w:rPr>
          <w:i/>
          <w:iCs/>
        </w:rPr>
        <w:t>Wound care - using non-stick dressings to open wounds with secondary absorbent dressings and bandages to aid healing, regular bathing to keep skin clean, soaking dressings to facilitate removal</w:t>
      </w:r>
      <w:r w:rsidR="00472318" w:rsidRPr="00C5638A">
        <w:rPr>
          <w:i/>
          <w:iCs/>
        </w:rPr>
        <w:t>.</w:t>
      </w:r>
    </w:p>
    <w:p w14:paraId="590B48E2" w14:textId="77777777" w:rsidR="002379A1" w:rsidRPr="002379A1" w:rsidRDefault="002379A1" w:rsidP="002379A1">
      <w:pPr>
        <w:rPr>
          <w:iCs/>
        </w:rPr>
      </w:pPr>
      <w:r w:rsidRPr="002379A1">
        <w:rPr>
          <w:iCs/>
        </w:rPr>
        <w:t xml:space="preserve">There are a range of topical antiseptic preparations for prevention and treatment of bacterial infections in minor cuts, wounds, abrasions and burns, but not specifically to aid in wound healing. </w:t>
      </w:r>
    </w:p>
    <w:p w14:paraId="69531A7E" w14:textId="02D8D43D" w:rsidR="00472318" w:rsidRDefault="002379A1" w:rsidP="002379A1">
      <w:pPr>
        <w:rPr>
          <w:iCs/>
        </w:rPr>
      </w:pPr>
      <w:r w:rsidRPr="002379A1">
        <w:rPr>
          <w:iCs/>
        </w:rPr>
        <w:t>Some of the specialised dressings provided under the NEBDS are not included in the ARTG (</w:t>
      </w:r>
      <w:r w:rsidR="00F027C8" w:rsidRPr="002379A1">
        <w:rPr>
          <w:iCs/>
        </w:rPr>
        <w:t>e.g.</w:t>
      </w:r>
      <w:r w:rsidRPr="002379A1">
        <w:rPr>
          <w:iCs/>
        </w:rPr>
        <w:t xml:space="preserve"> </w:t>
      </w:r>
      <w:proofErr w:type="spellStart"/>
      <w:r w:rsidRPr="002379A1">
        <w:rPr>
          <w:iCs/>
        </w:rPr>
        <w:t>Adaptic</w:t>
      </w:r>
      <w:proofErr w:type="spellEnd"/>
      <w:r w:rsidRPr="002379A1">
        <w:rPr>
          <w:iCs/>
        </w:rPr>
        <w:t xml:space="preserve"> non-adherent dressing, </w:t>
      </w:r>
      <w:proofErr w:type="spellStart"/>
      <w:r w:rsidRPr="002379A1">
        <w:rPr>
          <w:iCs/>
        </w:rPr>
        <w:t>Atrauman</w:t>
      </w:r>
      <w:proofErr w:type="spellEnd"/>
      <w:r w:rsidRPr="002379A1">
        <w:rPr>
          <w:iCs/>
        </w:rPr>
        <w:t xml:space="preserve"> silicone dressing, </w:t>
      </w:r>
      <w:proofErr w:type="spellStart"/>
      <w:r w:rsidRPr="002379A1">
        <w:rPr>
          <w:iCs/>
        </w:rPr>
        <w:t>Cuticell</w:t>
      </w:r>
      <w:proofErr w:type="spellEnd"/>
      <w:r w:rsidRPr="002379A1">
        <w:rPr>
          <w:iCs/>
        </w:rPr>
        <w:t xml:space="preserve"> Contact, </w:t>
      </w:r>
      <w:proofErr w:type="spellStart"/>
      <w:r w:rsidRPr="002379A1">
        <w:rPr>
          <w:iCs/>
        </w:rPr>
        <w:t>Mepitel</w:t>
      </w:r>
      <w:proofErr w:type="spellEnd"/>
      <w:r w:rsidRPr="002379A1">
        <w:rPr>
          <w:iCs/>
        </w:rPr>
        <w:t xml:space="preserve"> dressings, </w:t>
      </w:r>
      <w:proofErr w:type="spellStart"/>
      <w:r w:rsidRPr="002379A1">
        <w:rPr>
          <w:iCs/>
        </w:rPr>
        <w:t>Spycra</w:t>
      </w:r>
      <w:proofErr w:type="spellEnd"/>
      <w:r w:rsidRPr="002379A1">
        <w:rPr>
          <w:iCs/>
        </w:rPr>
        <w:t xml:space="preserve"> dressings, Mepilex Transfer dressings, </w:t>
      </w:r>
      <w:proofErr w:type="spellStart"/>
      <w:r w:rsidRPr="002379A1">
        <w:rPr>
          <w:iCs/>
        </w:rPr>
        <w:t>Biatain</w:t>
      </w:r>
      <w:proofErr w:type="spellEnd"/>
      <w:r w:rsidRPr="002379A1">
        <w:rPr>
          <w:iCs/>
        </w:rPr>
        <w:t xml:space="preserve"> Foam dressings, </w:t>
      </w:r>
      <w:proofErr w:type="spellStart"/>
      <w:r w:rsidRPr="002379A1">
        <w:rPr>
          <w:iCs/>
        </w:rPr>
        <w:t>Polymem</w:t>
      </w:r>
      <w:proofErr w:type="spellEnd"/>
      <w:r w:rsidRPr="002379A1">
        <w:rPr>
          <w:iCs/>
        </w:rPr>
        <w:t xml:space="preserve"> dressings). </w:t>
      </w:r>
    </w:p>
    <w:p w14:paraId="20F7FB5E" w14:textId="342C4B49" w:rsidR="002379A1" w:rsidRPr="002379A1" w:rsidRDefault="002379A1" w:rsidP="002379A1">
      <w:pPr>
        <w:rPr>
          <w:iCs/>
        </w:rPr>
      </w:pPr>
      <w:r w:rsidRPr="002379A1">
        <w:rPr>
          <w:iCs/>
        </w:rPr>
        <w:t>However, examples of silver-impregnated dressings regulated as Class III medical devices, which are included in the NEBDS as prescription items for patients with EB, include</w:t>
      </w:r>
      <w:r w:rsidR="00472318">
        <w:rPr>
          <w:iCs/>
        </w:rPr>
        <w:t>:</w:t>
      </w:r>
    </w:p>
    <w:p w14:paraId="647302E3" w14:textId="25114FE5" w:rsidR="002379A1" w:rsidRPr="002379A1" w:rsidRDefault="002379A1" w:rsidP="00F33F3A">
      <w:pPr>
        <w:pStyle w:val="ListBullet"/>
      </w:pPr>
      <w:proofErr w:type="spellStart"/>
      <w:r w:rsidRPr="002379A1">
        <w:t>Atrauman</w:t>
      </w:r>
      <w:proofErr w:type="spellEnd"/>
      <w:r w:rsidRPr="002379A1">
        <w:t xml:space="preserve"> Ag – wound-nonadherent dressing, absorbent, antimicrobial</w:t>
      </w:r>
      <w:r w:rsidR="00102D07">
        <w:t>.</w:t>
      </w:r>
      <w:r w:rsidR="002C0673">
        <w:rPr>
          <w:rStyle w:val="FootnoteReference"/>
        </w:rPr>
        <w:footnoteReference w:id="11"/>
      </w:r>
    </w:p>
    <w:p w14:paraId="2B42B215" w14:textId="1CEF7ECF" w:rsidR="002379A1" w:rsidRPr="002379A1" w:rsidRDefault="002379A1" w:rsidP="00CF4CA7">
      <w:pPr>
        <w:pStyle w:val="ListBullet"/>
      </w:pPr>
      <w:proofErr w:type="spellStart"/>
      <w:r w:rsidRPr="002379A1">
        <w:t>Urgotul</w:t>
      </w:r>
      <w:proofErr w:type="spellEnd"/>
      <w:r w:rsidRPr="002379A1">
        <w:t xml:space="preserve"> Ag/Silver – dressing, highly-absorbent, hydrophilic gel-forming, antimicrobial</w:t>
      </w:r>
      <w:r w:rsidR="00D9610A">
        <w:t>.</w:t>
      </w:r>
      <w:r w:rsidR="00D9610A">
        <w:rPr>
          <w:rStyle w:val="FootnoteReference"/>
        </w:rPr>
        <w:footnoteReference w:id="12"/>
      </w:r>
      <w:r w:rsidR="003B474F">
        <w:t xml:space="preserve"> </w:t>
      </w:r>
    </w:p>
    <w:p w14:paraId="38B68D85" w14:textId="16BE2643" w:rsidR="002379A1" w:rsidRPr="002379A1" w:rsidRDefault="002379A1" w:rsidP="00F91C74">
      <w:pPr>
        <w:pStyle w:val="ListBullet"/>
      </w:pPr>
      <w:r w:rsidRPr="002379A1">
        <w:t>Tegaderm CHG chlorhexidine gluconate dressing or gel pad</w:t>
      </w:r>
      <w:r w:rsidR="006B0548">
        <w:t>.</w:t>
      </w:r>
      <w:r w:rsidR="006B0548">
        <w:rPr>
          <w:rStyle w:val="FootnoteReference"/>
        </w:rPr>
        <w:footnoteReference w:id="13"/>
      </w:r>
      <w:r w:rsidR="00A311B1" w:rsidRPr="00A311B1">
        <w:rPr>
          <w:vertAlign w:val="superscript"/>
        </w:rPr>
        <w:t>,</w:t>
      </w:r>
      <w:r w:rsidR="00A311B1">
        <w:rPr>
          <w:rStyle w:val="FootnoteReference"/>
        </w:rPr>
        <w:footnoteReference w:id="14"/>
      </w:r>
      <w:r w:rsidR="007E239C" w:rsidRPr="002379A1">
        <w:t xml:space="preserve"> </w:t>
      </w:r>
    </w:p>
    <w:p w14:paraId="4E600281" w14:textId="6CBF5A78" w:rsidR="002379A1" w:rsidRPr="002379A1" w:rsidRDefault="002379A1" w:rsidP="00493FC5">
      <w:pPr>
        <w:pStyle w:val="ListBullet"/>
      </w:pPr>
      <w:r w:rsidRPr="002379A1">
        <w:t>Mepilex Transfer Ag – Dressing, wound-nonadherent, permeable, antimicrobial</w:t>
      </w:r>
      <w:r w:rsidR="002C01DA">
        <w:t>.</w:t>
      </w:r>
      <w:r w:rsidR="002C01DA">
        <w:rPr>
          <w:rStyle w:val="FootnoteReference"/>
        </w:rPr>
        <w:footnoteReference w:id="15"/>
      </w:r>
    </w:p>
    <w:p w14:paraId="544CEAE0" w14:textId="7355E01C" w:rsidR="002379A1" w:rsidRPr="002379A1" w:rsidRDefault="002379A1" w:rsidP="00493FC5">
      <w:pPr>
        <w:pStyle w:val="ListBullet"/>
      </w:pPr>
      <w:proofErr w:type="spellStart"/>
      <w:r w:rsidRPr="002379A1">
        <w:lastRenderedPageBreak/>
        <w:t>Biatain</w:t>
      </w:r>
      <w:proofErr w:type="spellEnd"/>
      <w:r w:rsidRPr="002379A1">
        <w:t xml:space="preserve"> Silicone Ag, - exudate-absorbent dressing, non-hydrophilic-gel-forming, antimicrobial</w:t>
      </w:r>
      <w:r w:rsidR="002D4E91">
        <w:t>.</w:t>
      </w:r>
      <w:r w:rsidR="002D4E91">
        <w:rPr>
          <w:rStyle w:val="FootnoteReference"/>
        </w:rPr>
        <w:footnoteReference w:id="16"/>
      </w:r>
      <w:r w:rsidR="00493FC5">
        <w:t xml:space="preserve"> </w:t>
      </w:r>
    </w:p>
    <w:p w14:paraId="40867A9F" w14:textId="77777777" w:rsidR="003E4B5C" w:rsidRDefault="002379A1" w:rsidP="003E4B5C">
      <w:pPr>
        <w:rPr>
          <w:iCs/>
        </w:rPr>
      </w:pPr>
      <w:r w:rsidRPr="002379A1">
        <w:rPr>
          <w:iCs/>
        </w:rPr>
        <w:t>An international consensus statement on the appropriate use of silver dressings in wounds,</w:t>
      </w:r>
      <w:r w:rsidR="00FA58EE" w:rsidRPr="00FA58EE">
        <w:rPr>
          <w:iCs/>
        </w:rPr>
        <w:t xml:space="preserve"> based on limited studies of silver dressings in children including those with EB, recommends: </w:t>
      </w:r>
    </w:p>
    <w:p w14:paraId="25DB6F50" w14:textId="4B09581F" w:rsidR="002379A1" w:rsidRPr="002379A1" w:rsidRDefault="003E4B5C" w:rsidP="003E4B5C">
      <w:pPr>
        <w:ind w:left="360"/>
        <w:rPr>
          <w:iCs/>
        </w:rPr>
      </w:pPr>
      <w:r>
        <w:rPr>
          <w:iCs/>
        </w:rPr>
        <w:t>S</w:t>
      </w:r>
      <w:r w:rsidR="00FA58EE" w:rsidRPr="00FA58EE">
        <w:rPr>
          <w:i/>
          <w:iCs/>
        </w:rPr>
        <w:t>ilver dressings should be used in the treatment of children with caution, and the dressings should not be used for more than two weeks without good clinical reasons.</w:t>
      </w:r>
      <w:bookmarkStart w:id="24" w:name="_Ref231305051"/>
      <w:r w:rsidR="002379A1" w:rsidRPr="002379A1">
        <w:rPr>
          <w:iCs/>
          <w:vertAlign w:val="superscript"/>
        </w:rPr>
        <w:footnoteReference w:id="17"/>
      </w:r>
      <w:bookmarkEnd w:id="24"/>
      <w:r w:rsidR="002379A1" w:rsidRPr="002379A1">
        <w:rPr>
          <w:iCs/>
        </w:rPr>
        <w:t xml:space="preserve"> </w:t>
      </w:r>
    </w:p>
    <w:p w14:paraId="5A934AF8" w14:textId="2E2A6505" w:rsidR="00246AFF" w:rsidRDefault="002379A1" w:rsidP="002379A1">
      <w:pPr>
        <w:rPr>
          <w:iCs/>
        </w:rPr>
      </w:pPr>
      <w:r w:rsidRPr="002379A1">
        <w:rPr>
          <w:iCs/>
        </w:rPr>
        <w:t>Three amniotic membrane products are included in the ARTG as Class II biologicals, for the intended uses</w:t>
      </w:r>
      <w:r w:rsidR="00AB2065">
        <w:rPr>
          <w:iCs/>
        </w:rPr>
        <w:t xml:space="preserve"> </w:t>
      </w:r>
      <w:r w:rsidR="00246AFF">
        <w:rPr>
          <w:iCs/>
        </w:rPr>
        <w:t>–</w:t>
      </w:r>
      <w:r w:rsidR="00AB2065">
        <w:rPr>
          <w:iCs/>
        </w:rPr>
        <w:t xml:space="preserve"> </w:t>
      </w:r>
    </w:p>
    <w:p w14:paraId="639578AD" w14:textId="77777777" w:rsidR="002E5140" w:rsidRDefault="002379A1" w:rsidP="002E5140">
      <w:pPr>
        <w:pStyle w:val="ListBullet"/>
      </w:pPr>
      <w:r w:rsidRPr="002379A1">
        <w:t>as a wound covering, or barrier membrane over chronic and acute wounds, including dermal ulcers or defects</w:t>
      </w:r>
      <w:r w:rsidR="00772FA9">
        <w:t xml:space="preserve">, </w:t>
      </w:r>
    </w:p>
    <w:p w14:paraId="0EA13EAE" w14:textId="77777777" w:rsidR="002E5140" w:rsidRDefault="002379A1" w:rsidP="002E5140">
      <w:pPr>
        <w:pStyle w:val="ListBullet"/>
      </w:pPr>
      <w:r w:rsidRPr="002379A1">
        <w:t>for treatment of acute and chronic wounds to enhance healing</w:t>
      </w:r>
      <w:r w:rsidR="002E5140">
        <w:t>,</w:t>
      </w:r>
    </w:p>
    <w:p w14:paraId="22ABFD74" w14:textId="71E0C3CB" w:rsidR="00246AFF" w:rsidRDefault="005219FE" w:rsidP="002E5140">
      <w:pPr>
        <w:pStyle w:val="ListBullet"/>
      </w:pPr>
      <w:r>
        <w:t xml:space="preserve">for </w:t>
      </w:r>
      <w:r w:rsidR="002379A1" w:rsidRPr="002379A1">
        <w:t>treatment of ophthalmic disorder/disease/trauma, or as a wound dressing</w:t>
      </w:r>
      <w:r w:rsidR="002E5140">
        <w:t>,</w:t>
      </w:r>
      <w:r w:rsidR="002379A1" w:rsidRPr="002379A1">
        <w:t xml:space="preserve"> </w:t>
      </w:r>
    </w:p>
    <w:p w14:paraId="3B968D00" w14:textId="5BE019B7" w:rsidR="000714B3" w:rsidRPr="000714B3" w:rsidRDefault="002379A1" w:rsidP="000714B3">
      <w:r w:rsidRPr="002379A1">
        <w:rPr>
          <w:iCs/>
        </w:rPr>
        <w:t>While not specifically referring to wounds associated with EB, each of the registered products may be effective in their treatment. Notably, none of the available products claim cicatrizant properties.</w:t>
      </w:r>
    </w:p>
    <w:p w14:paraId="37C47E09" w14:textId="14D3762D" w:rsidR="00CB6813" w:rsidRDefault="00CB6813" w:rsidP="00CB6813">
      <w:pPr>
        <w:pStyle w:val="Heading4"/>
      </w:pPr>
      <w:bookmarkStart w:id="25" w:name="_Toc233030844"/>
      <w:r>
        <w:t>C</w:t>
      </w:r>
      <w:r w:rsidRPr="00DE1344">
        <w:t>linical rational</w:t>
      </w:r>
      <w:r w:rsidR="0025785B">
        <w:t>e</w:t>
      </w:r>
      <w:bookmarkEnd w:id="25"/>
    </w:p>
    <w:p w14:paraId="11594AA2" w14:textId="1AFACF7E" w:rsidR="00D46714" w:rsidRPr="00D46714" w:rsidRDefault="00D46714" w:rsidP="00D46714">
      <w:r w:rsidRPr="00D46714">
        <w:t xml:space="preserve">The </w:t>
      </w:r>
      <w:r w:rsidR="00B664B0">
        <w:t>exact</w:t>
      </w:r>
      <w:r w:rsidRPr="00D46714">
        <w:t xml:space="preserve"> mechanism of action of F</w:t>
      </w:r>
      <w:r w:rsidR="003F536A">
        <w:t>ilsuvez</w:t>
      </w:r>
      <w:r w:rsidRPr="00D46714">
        <w:t xml:space="preserve"> in the treatment of wounds associated with EB is</w:t>
      </w:r>
      <w:r>
        <w:t xml:space="preserve"> </w:t>
      </w:r>
      <w:r w:rsidRPr="00D46714">
        <w:t>unknown.</w:t>
      </w:r>
    </w:p>
    <w:p w14:paraId="2412389C" w14:textId="616B9784" w:rsidR="00D46714" w:rsidRDefault="00D46714" w:rsidP="00D46714">
      <w:r w:rsidRPr="00D46714">
        <w:rPr>
          <w:iCs/>
        </w:rPr>
        <w:t xml:space="preserve">In vitro </w:t>
      </w:r>
      <w:r w:rsidRPr="00D46714">
        <w:t xml:space="preserve">cell culture assays with human primary keratinocytes and fibroblasts and </w:t>
      </w:r>
      <w:r w:rsidRPr="00D46714">
        <w:rPr>
          <w:iCs/>
        </w:rPr>
        <w:t xml:space="preserve">ex vivo </w:t>
      </w:r>
      <w:r w:rsidRPr="00D46714">
        <w:t>studies</w:t>
      </w:r>
      <w:r>
        <w:t xml:space="preserve"> </w:t>
      </w:r>
      <w:r w:rsidRPr="00D46714">
        <w:t xml:space="preserve">with porcine skin show that the birch bark dry extract, which includes the main component </w:t>
      </w:r>
      <w:proofErr w:type="spellStart"/>
      <w:r w:rsidRPr="00D46714">
        <w:t>betulin</w:t>
      </w:r>
      <w:proofErr w:type="spellEnd"/>
      <w:r w:rsidRPr="00D46714">
        <w:t>,</w:t>
      </w:r>
      <w:r w:rsidR="00FA67CF">
        <w:t xml:space="preserve"> </w:t>
      </w:r>
      <w:r w:rsidRPr="00D46714">
        <w:t>modulates inflammatory mediators and is associated with activation of intracellular pathways</w:t>
      </w:r>
      <w:r w:rsidR="00FA67CF">
        <w:t xml:space="preserve"> </w:t>
      </w:r>
      <w:r w:rsidRPr="00D46714">
        <w:t>known to be involved in keratinocyte differentiation and migration, wound healing and closure.</w:t>
      </w:r>
      <w:r w:rsidR="00A965F4">
        <w:rPr>
          <w:rStyle w:val="FootnoteReference"/>
        </w:rPr>
        <w:footnoteReference w:id="18"/>
      </w:r>
      <w:r w:rsidR="009736F8" w:rsidRPr="002E236E">
        <w:rPr>
          <w:vertAlign w:val="superscript"/>
        </w:rPr>
        <w:t>,</w:t>
      </w:r>
      <w:r w:rsidR="002E236E">
        <w:rPr>
          <w:rStyle w:val="FootnoteReference"/>
        </w:rPr>
        <w:footnoteReference w:id="19"/>
      </w:r>
    </w:p>
    <w:p w14:paraId="0D615854" w14:textId="77777777" w:rsidR="00324B33" w:rsidRPr="003F31A2" w:rsidRDefault="00324B33" w:rsidP="00324B33">
      <w:pPr>
        <w:pStyle w:val="Heading3"/>
      </w:pPr>
      <w:bookmarkStart w:id="26" w:name="_Toc103679291"/>
      <w:bookmarkStart w:id="27" w:name="_Toc233030845"/>
      <w:r>
        <w:t>Regulatory status</w:t>
      </w:r>
      <w:bookmarkEnd w:id="16"/>
      <w:bookmarkEnd w:id="17"/>
      <w:bookmarkEnd w:id="26"/>
      <w:bookmarkEnd w:id="27"/>
    </w:p>
    <w:p w14:paraId="72C889D6" w14:textId="7E200950" w:rsidR="0017005C" w:rsidRPr="00BD5DBD" w:rsidRDefault="0017005C" w:rsidP="00741AB9">
      <w:pPr>
        <w:pStyle w:val="Heading4"/>
      </w:pPr>
      <w:bookmarkStart w:id="28" w:name="_Toc233030846"/>
      <w:r w:rsidRPr="00BD5DBD">
        <w:t>Australian regulatory</w:t>
      </w:r>
      <w:r>
        <w:t xml:space="preserve"> sta</w:t>
      </w:r>
      <w:r w:rsidR="0025785B">
        <w:t>t</w:t>
      </w:r>
      <w:r>
        <w:t>us</w:t>
      </w:r>
      <w:bookmarkEnd w:id="28"/>
    </w:p>
    <w:p w14:paraId="6A8633FA" w14:textId="32E43E47"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4FAC9ADF" w14:textId="7EFF1CD4" w:rsidR="00C044C1" w:rsidRPr="00C044C1" w:rsidRDefault="00C044C1" w:rsidP="00C044C1">
      <w:pPr>
        <w:rPr>
          <w:szCs w:val="22"/>
        </w:rPr>
      </w:pPr>
      <w:r w:rsidRPr="00C044C1">
        <w:rPr>
          <w:szCs w:val="22"/>
        </w:rPr>
        <w:t xml:space="preserve">Birch bark dry extract was designated as an orphan drug for the </w:t>
      </w:r>
      <w:r w:rsidR="00350C36">
        <w:rPr>
          <w:i/>
          <w:iCs/>
          <w:szCs w:val="22"/>
        </w:rPr>
        <w:t>‘</w:t>
      </w:r>
      <w:r w:rsidRPr="00C044C1">
        <w:rPr>
          <w:i/>
          <w:iCs/>
          <w:szCs w:val="22"/>
        </w:rPr>
        <w:t>treatment of epidermolysis bullosa</w:t>
      </w:r>
      <w:r w:rsidR="00350C36">
        <w:rPr>
          <w:i/>
          <w:iCs/>
          <w:szCs w:val="22"/>
        </w:rPr>
        <w:t>’</w:t>
      </w:r>
      <w:r w:rsidRPr="00C044C1">
        <w:rPr>
          <w:szCs w:val="22"/>
        </w:rPr>
        <w:t xml:space="preserve"> on 18 February 2025. While there is no evidence that birch bark extract may be effective in treating aspects of EB other than skin wounds, the orphan indication had been accepted in major international jurisdictions other than Australia. </w:t>
      </w:r>
    </w:p>
    <w:p w14:paraId="546C1031" w14:textId="4EF98FA1" w:rsidR="0017005C" w:rsidRDefault="00131B1B" w:rsidP="0017005C">
      <w:pPr>
        <w:pStyle w:val="Heading4"/>
      </w:pPr>
      <w:bookmarkStart w:id="29" w:name="_Toc233030847"/>
      <w:r>
        <w:lastRenderedPageBreak/>
        <w:t xml:space="preserve">International </w:t>
      </w:r>
      <w:r w:rsidR="0017005C" w:rsidRPr="00BD5DBD">
        <w:t>regulatory</w:t>
      </w:r>
      <w:r w:rsidR="0017005C">
        <w:t xml:space="preserve"> status</w:t>
      </w:r>
      <w:bookmarkEnd w:id="29"/>
    </w:p>
    <w:p w14:paraId="7FDF4A0B" w14:textId="28C79196" w:rsidR="008F4A62" w:rsidRPr="0017005C" w:rsidRDefault="00C133AB" w:rsidP="008F4A62">
      <w:r w:rsidRPr="00BD5DBD">
        <w:rPr>
          <w:szCs w:val="22"/>
        </w:rPr>
        <w:t xml:space="preserve">This submission was submitted through the TGA’s </w:t>
      </w:r>
      <w:hyperlink r:id="rId22" w:history="1">
        <w:r w:rsidRPr="00BD5DBD">
          <w:rPr>
            <w:rStyle w:val="Hyperlink"/>
            <w:szCs w:val="22"/>
          </w:rPr>
          <w:t>Comparable Overseas Regulator</w:t>
        </w:r>
      </w:hyperlink>
      <w:r w:rsidRPr="00BD5DBD">
        <w:rPr>
          <w:szCs w:val="22"/>
        </w:rPr>
        <w:t xml:space="preserve"> </w:t>
      </w:r>
      <w:r w:rsidR="00645463">
        <w:rPr>
          <w:szCs w:val="22"/>
        </w:rPr>
        <w:t>(COR–B</w:t>
      </w:r>
      <w:r w:rsidR="005942E6">
        <w:rPr>
          <w:szCs w:val="22"/>
        </w:rPr>
        <w:t xml:space="preserve"> </w:t>
      </w:r>
      <w:r w:rsidR="00645463">
        <w:rPr>
          <w:szCs w:val="22"/>
        </w:rPr>
        <w:t>-</w:t>
      </w:r>
      <w:r w:rsidR="00E53BD1">
        <w:rPr>
          <w:szCs w:val="22"/>
        </w:rPr>
        <w:t>COR approach</w:t>
      </w:r>
      <w:r w:rsidR="00372142">
        <w:rPr>
          <w:szCs w:val="22"/>
        </w:rPr>
        <w:t xml:space="preserve"> </w:t>
      </w:r>
      <w:r w:rsidRPr="00BD5DBD">
        <w:rPr>
          <w:szCs w:val="22"/>
        </w:rPr>
        <w:t>B</w:t>
      </w:r>
      <w:r w:rsidR="00645463">
        <w:rPr>
          <w:szCs w:val="22"/>
        </w:rPr>
        <w:t>)</w:t>
      </w:r>
      <w:r w:rsidRPr="00BD5DBD">
        <w:rPr>
          <w:szCs w:val="22"/>
        </w:rPr>
        <w:t xml:space="preserve"> process, using evaluation reports from</w:t>
      </w:r>
      <w:r w:rsidR="00D13530">
        <w:rPr>
          <w:szCs w:val="22"/>
        </w:rPr>
        <w:t xml:space="preserve"> the Europeans Medicines Agency (EMA)</w:t>
      </w:r>
      <w:r w:rsidRPr="0017005C">
        <w:t>.</w:t>
      </w:r>
      <w:r w:rsidRPr="00BD5DBD">
        <w:rPr>
          <w:iCs/>
          <w:szCs w:val="22"/>
        </w:rPr>
        <w:t xml:space="preserve"> </w:t>
      </w:r>
      <w:r w:rsidRPr="00BD5DBD">
        <w:rPr>
          <w:szCs w:val="22"/>
        </w:rPr>
        <w:t>The full dossier was submitted to the TGA.</w:t>
      </w:r>
      <w:r w:rsidR="00434ECA">
        <w:rPr>
          <w:szCs w:val="22"/>
        </w:rPr>
        <w:t xml:space="preserve"> </w:t>
      </w:r>
      <w:r w:rsidR="008F4A62" w:rsidRPr="00A4705D">
        <w:rPr>
          <w:szCs w:val="22"/>
        </w:rPr>
        <w:t>At the time the TGA considered this submission, similar submission</w:t>
      </w:r>
      <w:r w:rsidR="00044400">
        <w:rPr>
          <w:szCs w:val="22"/>
        </w:rPr>
        <w:t>s</w:t>
      </w:r>
      <w:r w:rsidR="008F4A62" w:rsidRPr="00A4705D">
        <w:rPr>
          <w:szCs w:val="22"/>
        </w:rPr>
        <w:t xml:space="preserve"> had been </w:t>
      </w:r>
      <w:r w:rsidR="00851AB2">
        <w:rPr>
          <w:szCs w:val="22"/>
        </w:rPr>
        <w:t>approved</w:t>
      </w:r>
      <w:r w:rsidR="002D0311">
        <w:rPr>
          <w:szCs w:val="22"/>
        </w:rPr>
        <w:t xml:space="preserve"> </w:t>
      </w:r>
      <w:r w:rsidR="00814D24">
        <w:rPr>
          <w:szCs w:val="22"/>
        </w:rPr>
        <w:t>by comparable regulators (</w:t>
      </w:r>
      <w:r w:rsidR="00AA3E17">
        <w:rPr>
          <w:szCs w:val="22"/>
        </w:rPr>
        <w:t>Table 1</w:t>
      </w:r>
      <w:r w:rsidR="00814D24">
        <w:rPr>
          <w:szCs w:val="22"/>
        </w:rPr>
        <w:t>)</w:t>
      </w:r>
      <w:r w:rsidR="00FC3BB3">
        <w:rPr>
          <w:szCs w:val="22"/>
        </w:rPr>
        <w:t xml:space="preserve">. </w:t>
      </w:r>
      <w:r w:rsidR="008F4A62" w:rsidRPr="00A4705D">
        <w:rPr>
          <w:szCs w:val="22"/>
        </w:rPr>
        <w:t xml:space="preserve"> </w:t>
      </w:r>
    </w:p>
    <w:p w14:paraId="19B9E0AC" w14:textId="1C3E7B7E" w:rsidR="00324B33" w:rsidRDefault="00324B33" w:rsidP="00324B33">
      <w:pPr>
        <w:pStyle w:val="TableTitle"/>
      </w:pPr>
      <w:bookmarkStart w:id="30" w:name="_Ref99705479"/>
      <w:r>
        <w:t xml:space="preserve">Table </w:t>
      </w:r>
      <w:r w:rsidR="008B1CB5">
        <w:fldChar w:fldCharType="begin"/>
      </w:r>
      <w:r w:rsidR="008B1CB5">
        <w:instrText xml:space="preserve"> SEQ Table \* ARABIC </w:instrText>
      </w:r>
      <w:r w:rsidR="008B1CB5">
        <w:fldChar w:fldCharType="separate"/>
      </w:r>
      <w:r w:rsidR="008B1CB5" w:rsidRPr="019515A8">
        <w:rPr>
          <w:noProof/>
        </w:rPr>
        <w:t>1</w:t>
      </w:r>
      <w:r w:rsidR="008B1CB5">
        <w:rPr>
          <w:noProof/>
        </w:rPr>
        <w:fldChar w:fldCharType="end"/>
      </w:r>
      <w:bookmarkEnd w:id="30"/>
      <w:r w:rsidR="005253D3">
        <w:t>.</w:t>
      </w:r>
      <w:r>
        <w:t xml:space="preserve"> International regulatory status</w:t>
      </w:r>
      <w:r w:rsidR="00B21F0A">
        <w:t xml:space="preserve"> </w:t>
      </w:r>
      <w:r w:rsidR="00D37253">
        <w:t>at the time of approval</w:t>
      </w:r>
      <w:r w:rsidR="005253D3">
        <w:t>.</w:t>
      </w:r>
    </w:p>
    <w:tbl>
      <w:tblPr>
        <w:tblStyle w:val="TableTGAblue2023"/>
        <w:tblW w:w="5000" w:type="pct"/>
        <w:tblLook w:val="04A0" w:firstRow="1" w:lastRow="0" w:firstColumn="1" w:lastColumn="0" w:noHBand="0" w:noVBand="1"/>
      </w:tblPr>
      <w:tblGrid>
        <w:gridCol w:w="1837"/>
        <w:gridCol w:w="1845"/>
        <w:gridCol w:w="1558"/>
        <w:gridCol w:w="3820"/>
      </w:tblGrid>
      <w:tr w:rsidR="00324B33" w:rsidRPr="00D01DDB" w14:paraId="405E5D78" w14:textId="16839333" w:rsidTr="00FC3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3C519066"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860"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108"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257F11" w14:paraId="38D24E86" w14:textId="77777777" w:rsidTr="00FC3BB3">
        <w:tc>
          <w:tcPr>
            <w:cnfStyle w:val="001000000000" w:firstRow="0" w:lastRow="0" w:firstColumn="1" w:lastColumn="0" w:oddVBand="0" w:evenVBand="0" w:oddHBand="0" w:evenHBand="0" w:firstRowFirstColumn="0" w:firstRowLastColumn="0" w:lastRowFirstColumn="0" w:lastRowLastColumn="0"/>
            <w:tcW w:w="1014" w:type="pct"/>
          </w:tcPr>
          <w:p w14:paraId="4C540DE5" w14:textId="62D9E69D" w:rsidR="00324B33" w:rsidRPr="00D01DDB" w:rsidRDefault="005A767F" w:rsidP="00324B33">
            <w:pPr>
              <w:rPr>
                <w:szCs w:val="22"/>
              </w:rPr>
            </w:pPr>
            <w:r w:rsidRPr="005A767F">
              <w:rPr>
                <w:szCs w:val="22"/>
              </w:rPr>
              <w:t>European Union</w:t>
            </w:r>
          </w:p>
        </w:tc>
        <w:tc>
          <w:tcPr>
            <w:tcW w:w="1018" w:type="pct"/>
          </w:tcPr>
          <w:p w14:paraId="4FA5DDA9" w14:textId="501D80E7" w:rsidR="00324B33" w:rsidRPr="00D01DDB" w:rsidRDefault="007F58B4" w:rsidP="00324B33">
            <w:pPr>
              <w:cnfStyle w:val="000000000000" w:firstRow="0" w:lastRow="0" w:firstColumn="0" w:lastColumn="0" w:oddVBand="0" w:evenVBand="0" w:oddHBand="0" w:evenHBand="0" w:firstRowFirstColumn="0" w:firstRowLastColumn="0" w:lastRowFirstColumn="0" w:lastRowLastColumn="0"/>
              <w:rPr>
                <w:szCs w:val="22"/>
              </w:rPr>
            </w:pPr>
            <w:r w:rsidRPr="007F58B4">
              <w:rPr>
                <w:szCs w:val="22"/>
              </w:rPr>
              <w:t>08-Mar-2021</w:t>
            </w:r>
          </w:p>
        </w:tc>
        <w:tc>
          <w:tcPr>
            <w:tcW w:w="860" w:type="pct"/>
          </w:tcPr>
          <w:p w14:paraId="29358393" w14:textId="2A66E44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7F58B4" w:rsidRPr="007F58B4">
              <w:rPr>
                <w:szCs w:val="22"/>
              </w:rPr>
              <w:t>21</w:t>
            </w:r>
            <w:r w:rsidR="00DF57F9">
              <w:rPr>
                <w:szCs w:val="22"/>
              </w:rPr>
              <w:t xml:space="preserve"> June 20</w:t>
            </w:r>
            <w:r w:rsidR="00835828">
              <w:rPr>
                <w:szCs w:val="22"/>
              </w:rPr>
              <w:t>22</w:t>
            </w:r>
          </w:p>
        </w:tc>
        <w:tc>
          <w:tcPr>
            <w:tcW w:w="2108" w:type="pct"/>
          </w:tcPr>
          <w:p w14:paraId="05055674" w14:textId="0025BC97" w:rsidR="00324B33" w:rsidRPr="00257F11" w:rsidRDefault="00257F11" w:rsidP="00324B33">
            <w:pPr>
              <w:cnfStyle w:val="000000000000" w:firstRow="0" w:lastRow="0" w:firstColumn="0" w:lastColumn="0" w:oddVBand="0" w:evenVBand="0" w:oddHBand="0" w:evenHBand="0" w:firstRowFirstColumn="0" w:firstRowLastColumn="0" w:lastRowFirstColumn="0" w:lastRowLastColumn="0"/>
              <w:rPr>
                <w:i/>
                <w:iCs/>
                <w:szCs w:val="22"/>
              </w:rPr>
            </w:pPr>
            <w:r w:rsidRPr="00257F11">
              <w:rPr>
                <w:i/>
                <w:iCs/>
                <w:szCs w:val="22"/>
              </w:rPr>
              <w:t>Treatment of partial thickness wounds associated with dystrophic and junctional epidermolysis bullosa (EB) in patients 6 months and older.</w:t>
            </w:r>
          </w:p>
        </w:tc>
      </w:tr>
      <w:tr w:rsidR="00324B33" w:rsidRPr="00D01DDB" w14:paraId="18B6E2AA" w14:textId="7783D66F" w:rsidTr="00FC3BB3">
        <w:tc>
          <w:tcPr>
            <w:cnfStyle w:val="001000000000" w:firstRow="0" w:lastRow="0" w:firstColumn="1" w:lastColumn="0" w:oddVBand="0" w:evenVBand="0" w:oddHBand="0" w:evenHBand="0" w:firstRowFirstColumn="0" w:firstRowLastColumn="0" w:lastRowFirstColumn="0" w:lastRowLastColumn="0"/>
            <w:tcW w:w="1014" w:type="pct"/>
          </w:tcPr>
          <w:p w14:paraId="7F348960" w14:textId="1276839D" w:rsidR="00324B33" w:rsidRPr="00D01DDB" w:rsidRDefault="00901D8C" w:rsidP="00324B33">
            <w:pPr>
              <w:rPr>
                <w:szCs w:val="22"/>
              </w:rPr>
            </w:pPr>
            <w:r w:rsidRPr="00901D8C">
              <w:rPr>
                <w:szCs w:val="22"/>
              </w:rPr>
              <w:t>United Kingdom</w:t>
            </w:r>
          </w:p>
        </w:tc>
        <w:tc>
          <w:tcPr>
            <w:tcW w:w="1018" w:type="pct"/>
          </w:tcPr>
          <w:p w14:paraId="1D871E57" w14:textId="5CE07477" w:rsidR="00324B33" w:rsidRPr="00D01DDB" w:rsidRDefault="00D566CB" w:rsidP="00324B33">
            <w:pPr>
              <w:cnfStyle w:val="000000000000" w:firstRow="0" w:lastRow="0" w:firstColumn="0" w:lastColumn="0" w:oddVBand="0" w:evenVBand="0" w:oddHBand="0" w:evenHBand="0" w:firstRowFirstColumn="0" w:firstRowLastColumn="0" w:lastRowFirstColumn="0" w:lastRowLastColumn="0"/>
              <w:rPr>
                <w:szCs w:val="22"/>
              </w:rPr>
            </w:pPr>
            <w:r w:rsidRPr="00D566CB">
              <w:rPr>
                <w:szCs w:val="22"/>
              </w:rPr>
              <w:t>03-May 2022</w:t>
            </w:r>
          </w:p>
        </w:tc>
        <w:tc>
          <w:tcPr>
            <w:tcW w:w="860" w:type="pct"/>
          </w:tcPr>
          <w:p w14:paraId="63A3A9D3" w14:textId="484F5785" w:rsidR="00324B33" w:rsidRPr="00D01DDB" w:rsidRDefault="005613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Approved on </w:t>
            </w:r>
            <w:r w:rsidR="00D566CB" w:rsidRPr="00D566CB">
              <w:rPr>
                <w:szCs w:val="22"/>
              </w:rPr>
              <w:t>11</w:t>
            </w:r>
            <w:r w:rsidR="00835828">
              <w:rPr>
                <w:szCs w:val="22"/>
              </w:rPr>
              <w:t xml:space="preserve"> August </w:t>
            </w:r>
            <w:r w:rsidR="00D566CB" w:rsidRPr="00D566CB">
              <w:rPr>
                <w:szCs w:val="22"/>
              </w:rPr>
              <w:t>2022</w:t>
            </w:r>
          </w:p>
        </w:tc>
        <w:tc>
          <w:tcPr>
            <w:tcW w:w="2108" w:type="pct"/>
          </w:tcPr>
          <w:p w14:paraId="17C650B8" w14:textId="46A0C049" w:rsidR="00324B33" w:rsidRPr="0078611C" w:rsidRDefault="0078611C" w:rsidP="00324B33">
            <w:pPr>
              <w:cnfStyle w:val="000000000000" w:firstRow="0" w:lastRow="0" w:firstColumn="0" w:lastColumn="0" w:oddVBand="0" w:evenVBand="0" w:oddHBand="0" w:evenHBand="0" w:firstRowFirstColumn="0" w:firstRowLastColumn="0" w:lastRowFirstColumn="0" w:lastRowLastColumn="0"/>
              <w:rPr>
                <w:i/>
                <w:iCs/>
                <w:szCs w:val="22"/>
              </w:rPr>
            </w:pPr>
            <w:r w:rsidRPr="0078611C">
              <w:rPr>
                <w:i/>
                <w:iCs/>
                <w:szCs w:val="22"/>
              </w:rPr>
              <w:t>Treatment of partial thickness wounds associated with dystrophic and junctional epidermolysis bullosa (EB) in patients 6 months and older.</w:t>
            </w:r>
          </w:p>
        </w:tc>
      </w:tr>
      <w:tr w:rsidR="0078611C" w:rsidRPr="00D01DDB" w14:paraId="576BEEBF" w14:textId="77777777" w:rsidTr="00FC3BB3">
        <w:tc>
          <w:tcPr>
            <w:cnfStyle w:val="001000000000" w:firstRow="0" w:lastRow="0" w:firstColumn="1" w:lastColumn="0" w:oddVBand="0" w:evenVBand="0" w:oddHBand="0" w:evenHBand="0" w:firstRowFirstColumn="0" w:firstRowLastColumn="0" w:lastRowFirstColumn="0" w:lastRowLastColumn="0"/>
            <w:tcW w:w="1014" w:type="pct"/>
            <w:tcBorders>
              <w:bottom w:val="single" w:sz="4" w:space="0" w:color="auto"/>
            </w:tcBorders>
          </w:tcPr>
          <w:p w14:paraId="063748F1" w14:textId="72D55344" w:rsidR="0078611C" w:rsidRPr="00901D8C" w:rsidRDefault="003E3FC9" w:rsidP="00324B33">
            <w:pPr>
              <w:rPr>
                <w:szCs w:val="22"/>
              </w:rPr>
            </w:pPr>
            <w:r w:rsidRPr="003E3FC9">
              <w:rPr>
                <w:szCs w:val="22"/>
              </w:rPr>
              <w:t>USA</w:t>
            </w:r>
          </w:p>
        </w:tc>
        <w:tc>
          <w:tcPr>
            <w:tcW w:w="1018" w:type="pct"/>
            <w:tcBorders>
              <w:bottom w:val="single" w:sz="4" w:space="0" w:color="auto"/>
            </w:tcBorders>
          </w:tcPr>
          <w:p w14:paraId="11F6041E" w14:textId="3975F5D0" w:rsidR="0078611C" w:rsidRPr="00D566CB" w:rsidRDefault="003E3FC9" w:rsidP="00324B33">
            <w:pPr>
              <w:cnfStyle w:val="000000000000" w:firstRow="0" w:lastRow="0" w:firstColumn="0" w:lastColumn="0" w:oddVBand="0" w:evenVBand="0" w:oddHBand="0" w:evenHBand="0" w:firstRowFirstColumn="0" w:firstRowLastColumn="0" w:lastRowFirstColumn="0" w:lastRowLastColumn="0"/>
              <w:rPr>
                <w:szCs w:val="22"/>
              </w:rPr>
            </w:pPr>
            <w:r w:rsidRPr="003E3FC9">
              <w:rPr>
                <w:szCs w:val="22"/>
              </w:rPr>
              <w:t>29-Jun-2020</w:t>
            </w:r>
          </w:p>
        </w:tc>
        <w:tc>
          <w:tcPr>
            <w:tcW w:w="860" w:type="pct"/>
            <w:tcBorders>
              <w:bottom w:val="single" w:sz="4" w:space="0" w:color="auto"/>
            </w:tcBorders>
          </w:tcPr>
          <w:p w14:paraId="2608C014" w14:textId="26DD7537" w:rsidR="0078611C" w:rsidRPr="00D566CB" w:rsidRDefault="0056133C" w:rsidP="00324B33">
            <w:pPr>
              <w:cnfStyle w:val="000000000000" w:firstRow="0" w:lastRow="0" w:firstColumn="0" w:lastColumn="0" w:oddVBand="0" w:evenVBand="0" w:oddHBand="0" w:evenHBand="0" w:firstRowFirstColumn="0" w:firstRowLastColumn="0" w:lastRowFirstColumn="0" w:lastRowLastColumn="0"/>
              <w:rPr>
                <w:szCs w:val="22"/>
              </w:rPr>
            </w:pPr>
            <w:r w:rsidRPr="0056133C">
              <w:rPr>
                <w:szCs w:val="22"/>
              </w:rPr>
              <w:t xml:space="preserve">Approved on </w:t>
            </w:r>
            <w:r w:rsidR="003E3FC9" w:rsidRPr="003E3FC9">
              <w:rPr>
                <w:szCs w:val="22"/>
              </w:rPr>
              <w:t>18</w:t>
            </w:r>
            <w:r w:rsidR="00835828">
              <w:rPr>
                <w:szCs w:val="22"/>
              </w:rPr>
              <w:t xml:space="preserve"> December </w:t>
            </w:r>
            <w:r w:rsidR="003E3FC9" w:rsidRPr="003E3FC9">
              <w:rPr>
                <w:szCs w:val="22"/>
              </w:rPr>
              <w:t>2023</w:t>
            </w:r>
          </w:p>
        </w:tc>
        <w:tc>
          <w:tcPr>
            <w:tcW w:w="2108" w:type="pct"/>
            <w:tcBorders>
              <w:bottom w:val="single" w:sz="4" w:space="0" w:color="auto"/>
            </w:tcBorders>
          </w:tcPr>
          <w:p w14:paraId="38BD7630" w14:textId="0016CCD7" w:rsidR="0078611C" w:rsidRPr="0078611C" w:rsidRDefault="00C62265" w:rsidP="00324B33">
            <w:pPr>
              <w:cnfStyle w:val="000000000000" w:firstRow="0" w:lastRow="0" w:firstColumn="0" w:lastColumn="0" w:oddVBand="0" w:evenVBand="0" w:oddHBand="0" w:evenHBand="0" w:firstRowFirstColumn="0" w:firstRowLastColumn="0" w:lastRowFirstColumn="0" w:lastRowLastColumn="0"/>
              <w:rPr>
                <w:i/>
                <w:iCs/>
                <w:szCs w:val="22"/>
              </w:rPr>
            </w:pPr>
            <w:r w:rsidRPr="00C62265">
              <w:rPr>
                <w:i/>
                <w:iCs/>
                <w:szCs w:val="22"/>
              </w:rPr>
              <w:t>Treatment of wounds associated with dystrophic and junctional epidermolysis bullosa in adult and paediatric patients 6 months of age and older.</w:t>
            </w:r>
          </w:p>
        </w:tc>
      </w:tr>
      <w:tr w:rsidR="0078611C" w:rsidRPr="00D01DDB" w14:paraId="43B20BE3" w14:textId="77777777" w:rsidTr="00FC3BB3">
        <w:tc>
          <w:tcPr>
            <w:cnfStyle w:val="001000000000" w:firstRow="0" w:lastRow="0" w:firstColumn="1" w:lastColumn="0" w:oddVBand="0" w:evenVBand="0" w:oddHBand="0" w:evenHBand="0" w:firstRowFirstColumn="0" w:firstRowLastColumn="0" w:lastRowFirstColumn="0" w:lastRowLastColumn="0"/>
            <w:tcW w:w="1014" w:type="pct"/>
            <w:tcBorders>
              <w:top w:val="single" w:sz="4" w:space="0" w:color="auto"/>
              <w:left w:val="single" w:sz="4" w:space="0" w:color="auto"/>
              <w:bottom w:val="single" w:sz="4" w:space="0" w:color="auto"/>
              <w:right w:val="single" w:sz="4" w:space="0" w:color="auto"/>
            </w:tcBorders>
          </w:tcPr>
          <w:p w14:paraId="778174AC" w14:textId="5F7213C1" w:rsidR="0078611C" w:rsidRPr="00901D8C" w:rsidRDefault="00EC5B07" w:rsidP="00324B33">
            <w:pPr>
              <w:rPr>
                <w:szCs w:val="22"/>
              </w:rPr>
            </w:pPr>
            <w:r w:rsidRPr="00EC5B07">
              <w:rPr>
                <w:szCs w:val="22"/>
              </w:rPr>
              <w:t>Switzerland</w:t>
            </w:r>
          </w:p>
        </w:tc>
        <w:tc>
          <w:tcPr>
            <w:tcW w:w="1018" w:type="pct"/>
            <w:tcBorders>
              <w:top w:val="single" w:sz="4" w:space="0" w:color="auto"/>
              <w:left w:val="single" w:sz="4" w:space="0" w:color="auto"/>
              <w:bottom w:val="single" w:sz="4" w:space="0" w:color="auto"/>
              <w:right w:val="single" w:sz="4" w:space="0" w:color="auto"/>
            </w:tcBorders>
          </w:tcPr>
          <w:p w14:paraId="3C65D94E" w14:textId="404D16E3" w:rsidR="0078611C" w:rsidRPr="00D566CB" w:rsidRDefault="00EC5B07" w:rsidP="00324B33">
            <w:pPr>
              <w:cnfStyle w:val="000000000000" w:firstRow="0" w:lastRow="0" w:firstColumn="0" w:lastColumn="0" w:oddVBand="0" w:evenVBand="0" w:oddHBand="0" w:evenHBand="0" w:firstRowFirstColumn="0" w:firstRowLastColumn="0" w:lastRowFirstColumn="0" w:lastRowLastColumn="0"/>
              <w:rPr>
                <w:szCs w:val="22"/>
              </w:rPr>
            </w:pPr>
            <w:r w:rsidRPr="00EC5B07">
              <w:rPr>
                <w:szCs w:val="22"/>
              </w:rPr>
              <w:t>14-Dec-2024</w:t>
            </w:r>
          </w:p>
        </w:tc>
        <w:tc>
          <w:tcPr>
            <w:tcW w:w="860" w:type="pct"/>
            <w:tcBorders>
              <w:top w:val="single" w:sz="4" w:space="0" w:color="auto"/>
              <w:left w:val="single" w:sz="4" w:space="0" w:color="auto"/>
              <w:bottom w:val="single" w:sz="4" w:space="0" w:color="auto"/>
              <w:right w:val="single" w:sz="4" w:space="0" w:color="auto"/>
            </w:tcBorders>
          </w:tcPr>
          <w:p w14:paraId="2A4E51B1" w14:textId="77DD1EDE" w:rsidR="0078611C" w:rsidRPr="00D566CB" w:rsidRDefault="0056133C" w:rsidP="00324B33">
            <w:pPr>
              <w:cnfStyle w:val="000000000000" w:firstRow="0" w:lastRow="0" w:firstColumn="0" w:lastColumn="0" w:oddVBand="0" w:evenVBand="0" w:oddHBand="0" w:evenHBand="0" w:firstRowFirstColumn="0" w:firstRowLastColumn="0" w:lastRowFirstColumn="0" w:lastRowLastColumn="0"/>
              <w:rPr>
                <w:szCs w:val="22"/>
              </w:rPr>
            </w:pPr>
            <w:r w:rsidRPr="0056133C">
              <w:rPr>
                <w:szCs w:val="22"/>
              </w:rPr>
              <w:t xml:space="preserve">Approved on </w:t>
            </w:r>
            <w:r w:rsidR="00FF3715">
              <w:rPr>
                <w:szCs w:val="22"/>
              </w:rPr>
              <w:t xml:space="preserve">25 </w:t>
            </w:r>
            <w:r w:rsidR="00EC5B07">
              <w:rPr>
                <w:szCs w:val="22"/>
              </w:rPr>
              <w:t>July 2025</w:t>
            </w:r>
          </w:p>
        </w:tc>
        <w:tc>
          <w:tcPr>
            <w:tcW w:w="2108" w:type="pct"/>
            <w:tcBorders>
              <w:top w:val="single" w:sz="4" w:space="0" w:color="auto"/>
              <w:left w:val="single" w:sz="4" w:space="0" w:color="auto"/>
              <w:bottom w:val="single" w:sz="4" w:space="0" w:color="auto"/>
              <w:right w:val="single" w:sz="4" w:space="0" w:color="auto"/>
            </w:tcBorders>
          </w:tcPr>
          <w:p w14:paraId="19A0AA4D" w14:textId="1D5D00C5" w:rsidR="0078611C" w:rsidRPr="0078611C" w:rsidRDefault="00EC5B07" w:rsidP="00324B33">
            <w:pPr>
              <w:cnfStyle w:val="000000000000" w:firstRow="0" w:lastRow="0" w:firstColumn="0" w:lastColumn="0" w:oddVBand="0" w:evenVBand="0" w:oddHBand="0" w:evenHBand="0" w:firstRowFirstColumn="0" w:firstRowLastColumn="0" w:lastRowFirstColumn="0" w:lastRowLastColumn="0"/>
              <w:rPr>
                <w:i/>
                <w:iCs/>
                <w:szCs w:val="22"/>
              </w:rPr>
            </w:pPr>
            <w:r w:rsidRPr="00EC5B07">
              <w:rPr>
                <w:i/>
                <w:iCs/>
                <w:szCs w:val="22"/>
              </w:rPr>
              <w:t>Treatment of partial thickness wounds associated with dystrophic and junctional epidermolysis bullosa (EB) in patients 6 months and older</w:t>
            </w:r>
          </w:p>
        </w:tc>
      </w:tr>
    </w:tbl>
    <w:p w14:paraId="6D92589C" w14:textId="09786CEF" w:rsidR="00324B33" w:rsidRDefault="00324B33" w:rsidP="00324B33">
      <w:pPr>
        <w:pStyle w:val="Heading2"/>
      </w:pPr>
      <w:bookmarkStart w:id="31" w:name="_Toc504480011"/>
      <w:bookmarkStart w:id="32" w:name="_Toc103679293"/>
      <w:bookmarkStart w:id="33" w:name="_Toc233030848"/>
      <w:r>
        <w:t>Registration timeline</w:t>
      </w:r>
      <w:bookmarkEnd w:id="31"/>
      <w:bookmarkEnd w:id="32"/>
      <w:bookmarkEnd w:id="33"/>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EFA9AD0" w14:textId="43115AFC" w:rsidR="0017005C" w:rsidRPr="00987A02" w:rsidRDefault="0017005C" w:rsidP="00987A02">
      <w:r w:rsidRPr="00BD5DBD">
        <w:rPr>
          <w:szCs w:val="22"/>
        </w:rPr>
        <w:t>Th</w:t>
      </w:r>
      <w:r w:rsidR="00804897">
        <w:rPr>
          <w:szCs w:val="22"/>
        </w:rPr>
        <w:t>e active ingredient with its proposed indication was given</w:t>
      </w:r>
      <w:r w:rsidR="00804897" w:rsidRPr="00804897">
        <w:t xml:space="preserve"> </w:t>
      </w:r>
      <w:hyperlink r:id="rId23" w:history="1">
        <w:r w:rsidR="00804897">
          <w:rPr>
            <w:rStyle w:val="Hyperlink"/>
          </w:rPr>
          <w:t>orphan drug designation</w:t>
        </w:r>
      </w:hyperlink>
      <w:r w:rsidR="00804897">
        <w:t>.</w:t>
      </w:r>
    </w:p>
    <w:p w14:paraId="5263E729" w14:textId="18DBD0A8" w:rsidR="005B02A2" w:rsidRPr="003C1192" w:rsidRDefault="00324B33" w:rsidP="00987A02">
      <w:pPr>
        <w:pStyle w:val="TableTitle"/>
        <w:rPr>
          <w:iCs/>
        </w:rPr>
      </w:pPr>
      <w:r w:rsidRPr="002C1232">
        <w:t xml:space="preserve">Table </w:t>
      </w:r>
      <w:r>
        <w:fldChar w:fldCharType="begin"/>
      </w:r>
      <w:r>
        <w:instrText>SEQ Table \* ARABIC</w:instrText>
      </w:r>
      <w:r>
        <w:fldChar w:fldCharType="separate"/>
      </w:r>
      <w:r w:rsidR="008B1CB5" w:rsidRPr="002C1232">
        <w:t>2</w:t>
      </w:r>
      <w:r>
        <w:fldChar w:fldCharType="end"/>
      </w:r>
      <w:r w:rsidR="005253D3">
        <w:t>.</w:t>
      </w:r>
      <w:r w:rsidRPr="002C1232">
        <w:t xml:space="preserve"> Timeline for Submission PM-202</w:t>
      </w:r>
      <w:r w:rsidR="00A469F6">
        <w:t>5</w:t>
      </w:r>
      <w:r w:rsidRPr="002C1232">
        <w:t>-</w:t>
      </w:r>
      <w:r w:rsidR="00A15179">
        <w:t>01059</w:t>
      </w:r>
      <w:r w:rsidRPr="002C1232">
        <w:t>-1-</w:t>
      </w:r>
      <w:r w:rsidR="00A15179">
        <w:t>1</w:t>
      </w:r>
      <w:r w:rsidR="005253D3">
        <w:t>.</w:t>
      </w:r>
    </w:p>
    <w:tbl>
      <w:tblPr>
        <w:tblStyle w:val="TableTGAblue2023"/>
        <w:tblW w:w="9067" w:type="dxa"/>
        <w:tblLook w:val="04A0" w:firstRow="1" w:lastRow="0" w:firstColumn="1" w:lastColumn="0" w:noHBand="0" w:noVBand="1"/>
      </w:tblPr>
      <w:tblGrid>
        <w:gridCol w:w="6799"/>
        <w:gridCol w:w="2268"/>
      </w:tblGrid>
      <w:tr w:rsidR="00324B33" w:rsidRPr="00D01DDB" w14:paraId="6C59BE9C" w14:textId="77777777" w:rsidTr="00A54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A54C8D">
        <w:tc>
          <w:tcPr>
            <w:cnfStyle w:val="001000000000" w:firstRow="0" w:lastRow="0" w:firstColumn="1" w:lastColumn="0" w:oddVBand="0" w:evenVBand="0" w:oddHBand="0" w:evenHBand="0" w:firstRowFirstColumn="0" w:firstRowLastColumn="0" w:lastRowFirstColumn="0" w:lastRowLastColumn="0"/>
            <w:tcW w:w="6799" w:type="dxa"/>
          </w:tcPr>
          <w:p w14:paraId="1106CC1E" w14:textId="56269E33" w:rsidR="00324B33" w:rsidRPr="00E679D1" w:rsidRDefault="00324B33" w:rsidP="00E679D1">
            <w:r w:rsidRPr="00E679D1">
              <w:t>Designation (Orphan)</w:t>
            </w:r>
          </w:p>
        </w:tc>
        <w:tc>
          <w:tcPr>
            <w:tcW w:w="2268" w:type="dxa"/>
          </w:tcPr>
          <w:p w14:paraId="4CD143CF" w14:textId="319C45E8" w:rsidR="00324B33" w:rsidRPr="00D01DDB" w:rsidRDefault="008F2620" w:rsidP="00324B33">
            <w:pPr>
              <w:cnfStyle w:val="000000000000" w:firstRow="0" w:lastRow="0" w:firstColumn="0" w:lastColumn="0" w:oddVBand="0" w:evenVBand="0" w:oddHBand="0" w:evenHBand="0" w:firstRowFirstColumn="0" w:firstRowLastColumn="0" w:lastRowFirstColumn="0" w:lastRowLastColumn="0"/>
              <w:rPr>
                <w:szCs w:val="22"/>
              </w:rPr>
            </w:pPr>
            <w:r w:rsidRPr="008F2620">
              <w:rPr>
                <w:szCs w:val="22"/>
              </w:rPr>
              <w:t>18 February 2025</w:t>
            </w:r>
          </w:p>
        </w:tc>
      </w:tr>
      <w:tr w:rsidR="00324B33" w:rsidRPr="00D01DDB" w14:paraId="23610C53" w14:textId="77777777" w:rsidTr="00A54C8D">
        <w:tc>
          <w:tcPr>
            <w:cnfStyle w:val="001000000000" w:firstRow="0" w:lastRow="0" w:firstColumn="1" w:lastColumn="0" w:oddVBand="0" w:evenVBand="0" w:oddHBand="0" w:evenHBand="0" w:firstRowFirstColumn="0" w:firstRowLastColumn="0" w:lastRowFirstColumn="0" w:lastRowLastColumn="0"/>
            <w:tcW w:w="6799" w:type="dxa"/>
          </w:tcPr>
          <w:p w14:paraId="759D2A12" w14:textId="0D705F83" w:rsidR="00324B33" w:rsidRPr="00E679D1" w:rsidRDefault="00324B33" w:rsidP="00E679D1">
            <w:r w:rsidRPr="00E679D1">
              <w:t>Submission dossier accepted and first round evaluation commenced</w:t>
            </w:r>
          </w:p>
        </w:tc>
        <w:tc>
          <w:tcPr>
            <w:tcW w:w="2268" w:type="dxa"/>
          </w:tcPr>
          <w:p w14:paraId="2963D9D8" w14:textId="427E5692" w:rsidR="00324B33" w:rsidRPr="00D01DDB" w:rsidRDefault="00DB796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April 2025</w:t>
            </w:r>
          </w:p>
        </w:tc>
      </w:tr>
      <w:tr w:rsidR="00803926" w:rsidRPr="00D01DDB" w14:paraId="16D13F79" w14:textId="77777777" w:rsidTr="00A54C8D">
        <w:tc>
          <w:tcPr>
            <w:cnfStyle w:val="001000000000" w:firstRow="0" w:lastRow="0" w:firstColumn="1" w:lastColumn="0" w:oddVBand="0" w:evenVBand="0" w:oddHBand="0" w:evenHBand="0" w:firstRowFirstColumn="0" w:firstRowLastColumn="0" w:lastRowFirstColumn="0" w:lastRowLastColumn="0"/>
            <w:tcW w:w="6799" w:type="dxa"/>
          </w:tcPr>
          <w:p w14:paraId="6858B45A" w14:textId="615A218B" w:rsidR="00803926" w:rsidRPr="00E679D1" w:rsidDel="00C62B1C" w:rsidRDefault="00803926" w:rsidP="00E679D1">
            <w:r>
              <w:t>Evaluation completed</w:t>
            </w:r>
            <w:r w:rsidR="005775D0">
              <w:t xml:space="preserve"> (End of round </w:t>
            </w:r>
            <w:r w:rsidR="00C00844">
              <w:t>2)</w:t>
            </w:r>
          </w:p>
        </w:tc>
        <w:tc>
          <w:tcPr>
            <w:tcW w:w="2268" w:type="dxa"/>
          </w:tcPr>
          <w:p w14:paraId="2E0BD403" w14:textId="65FD8D48" w:rsidR="00803926" w:rsidRPr="00D01DDB" w:rsidRDefault="007D1CA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April 202</w:t>
            </w:r>
            <w:r w:rsidR="002C6BA5">
              <w:rPr>
                <w:szCs w:val="22"/>
              </w:rPr>
              <w:t>6</w:t>
            </w:r>
          </w:p>
        </w:tc>
      </w:tr>
      <w:tr w:rsidR="00324B33" w:rsidRPr="00D01DDB" w14:paraId="6E5D32FE" w14:textId="77777777" w:rsidTr="00A54C8D">
        <w:tc>
          <w:tcPr>
            <w:cnfStyle w:val="001000000000" w:firstRow="0" w:lastRow="0" w:firstColumn="1" w:lastColumn="0" w:oddVBand="0" w:evenVBand="0" w:oddHBand="0" w:evenHBand="0" w:firstRowFirstColumn="0" w:firstRowLastColumn="0" w:lastRowFirstColumn="0" w:lastRowLastColumn="0"/>
            <w:tcW w:w="6799" w:type="dxa"/>
          </w:tcPr>
          <w:p w14:paraId="4E95C44C" w14:textId="7A91C710" w:rsidR="00324B33" w:rsidRPr="00E679D1" w:rsidRDefault="00324B33" w:rsidP="00E679D1">
            <w:r w:rsidRPr="00E679D1">
              <w:t>Registration decision (Outcome)</w:t>
            </w:r>
          </w:p>
        </w:tc>
        <w:tc>
          <w:tcPr>
            <w:tcW w:w="2268" w:type="dxa"/>
          </w:tcPr>
          <w:p w14:paraId="62987ABD" w14:textId="01FA7CD6" w:rsidR="00324B33" w:rsidRPr="00D01DDB" w:rsidRDefault="00F3146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April 2026</w:t>
            </w:r>
          </w:p>
        </w:tc>
      </w:tr>
      <w:tr w:rsidR="00324B33" w:rsidRPr="00D01DDB" w14:paraId="6DDCDDA4" w14:textId="77777777" w:rsidTr="00A54C8D">
        <w:tc>
          <w:tcPr>
            <w:cnfStyle w:val="001000000000" w:firstRow="0" w:lastRow="0" w:firstColumn="1" w:lastColumn="0" w:oddVBand="0" w:evenVBand="0" w:oddHBand="0" w:evenHBand="0" w:firstRowFirstColumn="0" w:firstRowLastColumn="0" w:lastRowFirstColumn="0" w:lastRowLastColumn="0"/>
            <w:tcW w:w="6799" w:type="dxa"/>
          </w:tcPr>
          <w:p w14:paraId="192FD19D" w14:textId="3A0D1BCD" w:rsidR="00324B33" w:rsidRPr="00E679D1" w:rsidRDefault="0013132F" w:rsidP="007311B9">
            <w:pPr>
              <w:ind w:left="0"/>
            </w:pPr>
            <w:r w:rsidRPr="00E679D1">
              <w:t xml:space="preserve"> </w:t>
            </w:r>
            <w:r w:rsidR="00C00844">
              <w:t>R</w:t>
            </w:r>
            <w:r w:rsidRPr="00E679D1">
              <w:t xml:space="preserve">egistration </w:t>
            </w:r>
            <w:r w:rsidR="005C4B46" w:rsidRPr="00E679D1">
              <w:t xml:space="preserve">in </w:t>
            </w:r>
            <w:r w:rsidRPr="00E679D1">
              <w:t>the ARTG completed</w:t>
            </w:r>
          </w:p>
        </w:tc>
        <w:tc>
          <w:tcPr>
            <w:tcW w:w="2268" w:type="dxa"/>
          </w:tcPr>
          <w:p w14:paraId="5A8923FD" w14:textId="64AC1A26" w:rsidR="00324B33" w:rsidRPr="00D01DDB" w:rsidRDefault="00F3146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May 2026</w:t>
            </w:r>
          </w:p>
        </w:tc>
      </w:tr>
      <w:tr w:rsidR="00324B33" w:rsidRPr="00D01DDB" w14:paraId="56D922E2" w14:textId="77777777" w:rsidTr="00A54C8D">
        <w:tc>
          <w:tcPr>
            <w:cnfStyle w:val="001000000000" w:firstRow="0" w:lastRow="0" w:firstColumn="1" w:lastColumn="0" w:oddVBand="0" w:evenVBand="0" w:oddHBand="0" w:evenHBand="0" w:firstRowFirstColumn="0" w:firstRowLastColumn="0" w:lastRowFirstColumn="0" w:lastRowLastColumn="0"/>
            <w:tcW w:w="6799" w:type="dxa"/>
          </w:tcPr>
          <w:p w14:paraId="787FD8DD" w14:textId="0E0CF97F" w:rsidR="00324B33" w:rsidRPr="00E679D1" w:rsidRDefault="00324B33" w:rsidP="00E679D1">
            <w:r w:rsidRPr="00E679D1">
              <w:t>Number of working days from submission dossier acceptance to registration decision*</w:t>
            </w:r>
          </w:p>
        </w:tc>
        <w:tc>
          <w:tcPr>
            <w:tcW w:w="2268" w:type="dxa"/>
          </w:tcPr>
          <w:p w14:paraId="5BAF9FA1" w14:textId="731318A6" w:rsidR="00324B33" w:rsidRPr="00D01DDB" w:rsidRDefault="002C6BA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134</w:t>
            </w:r>
          </w:p>
        </w:tc>
      </w:tr>
    </w:tbl>
    <w:p w14:paraId="47E88CFC" w14:textId="52215AAF" w:rsidR="00433318" w:rsidRDefault="00433318" w:rsidP="00854D98">
      <w:pPr>
        <w:pStyle w:val="TableDescription"/>
      </w:pPr>
      <w:r w:rsidRPr="00006FAB">
        <w:t>* The COR-B process has a 175 working day evaluation and decision timeframe.</w:t>
      </w:r>
    </w:p>
    <w:p w14:paraId="220925F1" w14:textId="7CA6DCB9" w:rsidR="00C22214" w:rsidRPr="00792A32" w:rsidRDefault="00A15179" w:rsidP="00C22214">
      <w:pPr>
        <w:pStyle w:val="Heading2"/>
      </w:pPr>
      <w:bookmarkStart w:id="34" w:name="_Toc233030849"/>
      <w:bookmarkStart w:id="35" w:name="_Toc196046504"/>
      <w:bookmarkStart w:id="36" w:name="_Toc247691527"/>
      <w:bookmarkStart w:id="37" w:name="_Toc314842510"/>
      <w:bookmarkStart w:id="38" w:name="_Toc103679294"/>
      <w:r>
        <w:lastRenderedPageBreak/>
        <w:t>A</w:t>
      </w:r>
      <w:r w:rsidR="00083763">
        <w:t xml:space="preserve">ssessment </w:t>
      </w:r>
      <w:r w:rsidR="00C22214" w:rsidRPr="00006FAB">
        <w:t>overview</w:t>
      </w:r>
      <w:bookmarkEnd w:id="34"/>
      <w:r w:rsidR="00C22214" w:rsidRPr="00006FAB">
        <w:t xml:space="preserve"> </w:t>
      </w:r>
      <w:bookmarkEnd w:id="35"/>
      <w:bookmarkEnd w:id="36"/>
      <w:bookmarkEnd w:id="37"/>
      <w:bookmarkEnd w:id="38"/>
    </w:p>
    <w:p w14:paraId="540151FC" w14:textId="77777777" w:rsidR="00C22214" w:rsidRPr="00BD5DBD" w:rsidRDefault="00C22214" w:rsidP="00BD5DBD">
      <w:pPr>
        <w:rPr>
          <w:szCs w:val="22"/>
        </w:rPr>
      </w:pPr>
      <w:bookmarkStart w:id="39" w:name="_Toc247691528"/>
      <w:bookmarkStart w:id="40" w:name="_Toc314842511"/>
      <w:r w:rsidRPr="00BD5DBD">
        <w:rPr>
          <w:szCs w:val="22"/>
        </w:rPr>
        <w:t>A summary of the TGA’s assessment for this submission is provided below.</w:t>
      </w:r>
    </w:p>
    <w:p w14:paraId="37F5A1C0" w14:textId="7D38F668" w:rsidR="00C22214" w:rsidRDefault="00C06481" w:rsidP="00C22214">
      <w:pPr>
        <w:pStyle w:val="Heading3"/>
      </w:pPr>
      <w:bookmarkStart w:id="41" w:name="_Toc103679295"/>
      <w:bookmarkStart w:id="42" w:name="_Toc233030850"/>
      <w:r>
        <w:t>Q</w:t>
      </w:r>
      <w:r w:rsidR="00C22214">
        <w:t>uality</w:t>
      </w:r>
      <w:bookmarkEnd w:id="39"/>
      <w:bookmarkEnd w:id="40"/>
      <w:bookmarkEnd w:id="41"/>
      <w:r w:rsidR="007E6443">
        <w:t xml:space="preserve"> evaluation</w:t>
      </w:r>
      <w:r w:rsidR="00095C6A">
        <w:t xml:space="preserve"> summary</w:t>
      </w:r>
      <w:bookmarkEnd w:id="42"/>
    </w:p>
    <w:p w14:paraId="251824CB" w14:textId="536BCDFB" w:rsidR="00C32CF5" w:rsidRPr="00C32CF5" w:rsidRDefault="00C32CF5" w:rsidP="00C32CF5">
      <w:r w:rsidRPr="00C32CF5">
        <w:t xml:space="preserve">The application and the supporting data relating to the composition, development, manufacture, quality control, stability and bioavailability of the product were assessed and checked for compliance, as applicable, with Australian legislation and requirements for new medicines and in accordance with </w:t>
      </w:r>
      <w:r w:rsidR="00B318B1" w:rsidRPr="00C32CF5">
        <w:t>pharmacopeial</w:t>
      </w:r>
      <w:r w:rsidRPr="00C32CF5">
        <w:t xml:space="preserve"> standards and the technical guidelines adopted by the TGA. The evaluator reviewed the EMA assessment reports to identify where there are any Australian-specific considerations, or new issues, or where the TGA does not agree with the EMA assessment. There are no objections to registration of this product.</w:t>
      </w:r>
    </w:p>
    <w:p w14:paraId="60C6A823" w14:textId="0D1C762F" w:rsidR="0090362B" w:rsidRPr="0090362B" w:rsidRDefault="0090362B" w:rsidP="0090362B">
      <w:r w:rsidRPr="0090362B">
        <w:t>F</w:t>
      </w:r>
      <w:r w:rsidR="002B603A">
        <w:t>ilsuvez</w:t>
      </w:r>
      <w:r w:rsidRPr="0090362B">
        <w:t xml:space="preserve"> (birch bark dry extract 84-95% triterpenes) contains a plant-derived birch bark dry extract from the </w:t>
      </w:r>
      <w:r w:rsidRPr="0090362B">
        <w:rPr>
          <w:i/>
          <w:iCs/>
        </w:rPr>
        <w:t xml:space="preserve">Betula pendula </w:t>
      </w:r>
      <w:r w:rsidRPr="0090362B">
        <w:t xml:space="preserve">Roth, </w:t>
      </w:r>
      <w:r w:rsidRPr="0090362B">
        <w:rPr>
          <w:i/>
          <w:iCs/>
        </w:rPr>
        <w:t xml:space="preserve">Betula pubescens </w:t>
      </w:r>
      <w:proofErr w:type="spellStart"/>
      <w:r w:rsidRPr="0090362B">
        <w:t>Ehrh</w:t>
      </w:r>
      <w:proofErr w:type="spellEnd"/>
      <w:r w:rsidRPr="0090362B">
        <w:t xml:space="preserve"> species, as well as hybrids of both species. The active component of the birch bark extract consists of naturally occurring substances known as triterpenes, including </w:t>
      </w:r>
      <w:proofErr w:type="spellStart"/>
      <w:r w:rsidRPr="0090362B">
        <w:t>betulin</w:t>
      </w:r>
      <w:proofErr w:type="spellEnd"/>
      <w:r w:rsidRPr="0090362B">
        <w:t xml:space="preserve">, </w:t>
      </w:r>
      <w:proofErr w:type="spellStart"/>
      <w:r w:rsidRPr="0090362B">
        <w:t>betulinic</w:t>
      </w:r>
      <w:proofErr w:type="spellEnd"/>
      <w:r w:rsidRPr="0090362B">
        <w:t xml:space="preserve"> acid, </w:t>
      </w:r>
      <w:proofErr w:type="spellStart"/>
      <w:r w:rsidRPr="0090362B">
        <w:t>erythrodiol</w:t>
      </w:r>
      <w:proofErr w:type="spellEnd"/>
      <w:r w:rsidRPr="0090362B">
        <w:t>, lupeol and oleanolic acid</w:t>
      </w:r>
      <w:r w:rsidR="00C30AE1">
        <w:t>.</w:t>
      </w:r>
    </w:p>
    <w:p w14:paraId="4D9EB72D" w14:textId="3C995E02" w:rsidR="00B75B97" w:rsidRPr="00246E61" w:rsidRDefault="00C32CF5" w:rsidP="00B75B97">
      <w:r w:rsidRPr="00C32CF5">
        <w:t>F</w:t>
      </w:r>
      <w:r w:rsidR="00B318B1">
        <w:t>ilsuvez</w:t>
      </w:r>
      <w:r w:rsidRPr="00C32CF5">
        <w:t xml:space="preserve"> is formulated as a sterile, colourless to slightly yellowish, opalescent, non-aqueous gel. The only excipient in the product is sunflower oil. The proposed pack size is a 23.4 g tube that is provided in packs of 1, 10 and 30 tubes. Each tube is for single use only</w:t>
      </w:r>
      <w:r w:rsidR="00B75B97" w:rsidRPr="00B75B97">
        <w:t xml:space="preserve"> </w:t>
      </w:r>
      <w:r w:rsidR="00B75B97">
        <w:t xml:space="preserve">and </w:t>
      </w:r>
      <w:r w:rsidR="00B75B97" w:rsidRPr="00B75B97">
        <w:t>should be s</w:t>
      </w:r>
      <w:r w:rsidR="00B75B97" w:rsidRPr="00246E61">
        <w:t>tore</w:t>
      </w:r>
      <w:r w:rsidR="00B75B97" w:rsidRPr="00B75B97">
        <w:t>d</w:t>
      </w:r>
      <w:r w:rsidR="00B75B97" w:rsidRPr="00246E61">
        <w:t xml:space="preserve"> below 30°C.</w:t>
      </w:r>
      <w:r w:rsidR="00B75B97" w:rsidRPr="00B75B97">
        <w:t xml:space="preserve"> </w:t>
      </w:r>
      <w:r w:rsidR="00476387">
        <w:t xml:space="preserve">It is recommended </w:t>
      </w:r>
      <w:r w:rsidR="003B5379">
        <w:t xml:space="preserve">for immediate use after opening. </w:t>
      </w:r>
    </w:p>
    <w:p w14:paraId="3190E479" w14:textId="0DE1D7A9" w:rsidR="00C32CF5" w:rsidRPr="00C32CF5" w:rsidRDefault="00C32CF5" w:rsidP="00C32CF5">
      <w:r w:rsidRPr="00C32CF5">
        <w:t>F</w:t>
      </w:r>
      <w:r w:rsidR="00B318B1">
        <w:t>ilsuvez</w:t>
      </w:r>
      <w:r w:rsidRPr="00C32CF5">
        <w:t xml:space="preserve"> is a γ-irradiated sterile viscous, thixotropic, water-free preparation with a consistency resembling petrolatum jelly. In contrast to petrolatum jelly,</w:t>
      </w:r>
      <w:r w:rsidR="009674CC">
        <w:t xml:space="preserve"> Filsuvez</w:t>
      </w:r>
      <w:r w:rsidRPr="00C32CF5">
        <w:rPr>
          <w:vertAlign w:val="superscript"/>
        </w:rPr>
        <w:t xml:space="preserve"> </w:t>
      </w:r>
      <w:r w:rsidRPr="00C32CF5">
        <w:t>gel does not soften at body temperature. The fact that the topical gel remains firm at body temperature is considered an advantage for the treatment of wounds.</w:t>
      </w:r>
    </w:p>
    <w:p w14:paraId="09D4A42E" w14:textId="132CF0B4" w:rsidR="00C32CF5" w:rsidRPr="00C32CF5" w:rsidRDefault="00C32CF5" w:rsidP="00C32CF5">
      <w:r w:rsidRPr="00C32CF5">
        <w:t>The proposed maximum total wound area per application is 5,300 cm</w:t>
      </w:r>
      <w:r w:rsidRPr="00C32CF5">
        <w:rPr>
          <w:vertAlign w:val="superscript"/>
        </w:rPr>
        <w:t>2</w:t>
      </w:r>
      <w:r w:rsidRPr="00C32CF5">
        <w:t xml:space="preserve"> with a medium total wound area of 735 cm</w:t>
      </w:r>
      <w:r w:rsidRPr="00C32CF5">
        <w:rPr>
          <w:vertAlign w:val="superscript"/>
        </w:rPr>
        <w:t>2</w:t>
      </w:r>
      <w:r w:rsidRPr="00C32CF5">
        <w:t>. The approximate thickness to be applied to a wound dressing is 1 mm either to a wound dressing prior to application or directly to the wound surface itself. There is no suggested maximum treatment duration.</w:t>
      </w:r>
    </w:p>
    <w:p w14:paraId="2BE90AAE" w14:textId="35796FD3" w:rsidR="00C22214" w:rsidRDefault="00C22214" w:rsidP="00C22214">
      <w:pPr>
        <w:pStyle w:val="Heading3"/>
      </w:pPr>
      <w:bookmarkStart w:id="43" w:name="_Toc314842512"/>
      <w:bookmarkStart w:id="44" w:name="_Toc103679296"/>
      <w:bookmarkStart w:id="45" w:name="_Toc233030851"/>
      <w:r>
        <w:t>Nonclinical</w:t>
      </w:r>
      <w:bookmarkEnd w:id="43"/>
      <w:bookmarkEnd w:id="44"/>
      <w:r w:rsidR="007E6443">
        <w:t xml:space="preserve"> evaluation</w:t>
      </w:r>
      <w:r w:rsidR="00095C6A">
        <w:t xml:space="preserve"> summary</w:t>
      </w:r>
      <w:bookmarkEnd w:id="45"/>
    </w:p>
    <w:p w14:paraId="3B9BE863" w14:textId="1445BCEE" w:rsidR="0050720C" w:rsidRPr="0050720C" w:rsidRDefault="0050720C" w:rsidP="0050720C">
      <w:r w:rsidRPr="0050720C">
        <w:t>There were no nonclinical objections to the registration of F</w:t>
      </w:r>
      <w:r w:rsidR="0038527C">
        <w:t>ilsuvez</w:t>
      </w:r>
      <w:r w:rsidRPr="0050720C">
        <w:t>. The evaluator provided the following summary of findings:</w:t>
      </w:r>
    </w:p>
    <w:p w14:paraId="672EE884" w14:textId="77777777" w:rsidR="0050720C" w:rsidRPr="0050720C" w:rsidRDefault="0050720C" w:rsidP="0038527C">
      <w:pPr>
        <w:pStyle w:val="ListBullet"/>
      </w:pPr>
      <w:r w:rsidRPr="0050720C">
        <w:t>The overall quality of the Module 4 dossier is high, with no major deficiencies identified.</w:t>
      </w:r>
    </w:p>
    <w:p w14:paraId="0D9B05E5" w14:textId="77777777" w:rsidR="0050720C" w:rsidRPr="0050720C" w:rsidRDefault="0050720C" w:rsidP="0038527C">
      <w:pPr>
        <w:pStyle w:val="ListBullet"/>
      </w:pPr>
      <w:r w:rsidRPr="0050720C">
        <w:t>The primary pharmacology studies lend some support for the drug’s use in the proposed indication, but the exact mechanism of action could not be defined.</w:t>
      </w:r>
    </w:p>
    <w:p w14:paraId="0F3DD1ED" w14:textId="77777777" w:rsidR="0050720C" w:rsidRPr="0050720C" w:rsidRDefault="0050720C" w:rsidP="0038527C">
      <w:pPr>
        <w:pStyle w:val="ListBullet"/>
      </w:pPr>
      <w:r w:rsidRPr="0050720C">
        <w:t>No clinically relevant hazards were identified.</w:t>
      </w:r>
    </w:p>
    <w:p w14:paraId="51AB1942" w14:textId="77777777" w:rsidR="0050720C" w:rsidRPr="0050720C" w:rsidRDefault="0050720C" w:rsidP="0038527C">
      <w:pPr>
        <w:pStyle w:val="ListBullet"/>
      </w:pPr>
      <w:r w:rsidRPr="0050720C">
        <w:t>The Sponsor proposes a Pregnancy Category B1, which is acceptable.</w:t>
      </w:r>
    </w:p>
    <w:p w14:paraId="2BF4E09B" w14:textId="1A374C85" w:rsidR="0050720C" w:rsidRPr="0050720C" w:rsidRDefault="0050720C" w:rsidP="00420901">
      <w:pPr>
        <w:pStyle w:val="ListBullet"/>
      </w:pPr>
      <w:r w:rsidRPr="0050720C">
        <w:t>There remains an outstanding local carcinogenicity concern associated with the long-term use of the product in EB patients. To support the risk assessment, a long-term carcinogenicity study in rodents is required. The Sponsor has proposed to conduct a two-</w:t>
      </w:r>
      <w:r w:rsidRPr="0050720C">
        <w:lastRenderedPageBreak/>
        <w:t>year dermal local carcinogenicity study in mice as a post-authorisation commitment</w:t>
      </w:r>
      <w:r w:rsidR="0063680C">
        <w:t>,</w:t>
      </w:r>
      <w:r w:rsidRPr="0050720C">
        <w:rPr>
          <w:vertAlign w:val="superscript"/>
        </w:rPr>
        <w:footnoteReference w:id="20"/>
      </w:r>
      <w:r w:rsidRPr="0050720C">
        <w:t xml:space="preserve"> considering the orphan nature of the disease and the unmet medical need. This approach is considered acceptable. This study should be submitted to the TGA for evaluation once available. </w:t>
      </w:r>
    </w:p>
    <w:p w14:paraId="48F35F4D" w14:textId="4F5FCDD4" w:rsidR="0050720C" w:rsidRPr="0050720C" w:rsidRDefault="0050720C" w:rsidP="0050720C">
      <w:r w:rsidRPr="0050720C">
        <w:t>Recommendations for amendments to the product information were accepted by the sponsor.</w:t>
      </w:r>
    </w:p>
    <w:p w14:paraId="35B580A5" w14:textId="40B226DC" w:rsidR="00C22214" w:rsidRDefault="00C22214" w:rsidP="008804CF">
      <w:pPr>
        <w:pStyle w:val="Heading3"/>
      </w:pPr>
      <w:bookmarkStart w:id="46" w:name="_Toc247691530"/>
      <w:bookmarkStart w:id="47" w:name="_Toc314842513"/>
      <w:bookmarkStart w:id="48" w:name="_Toc103679297"/>
      <w:bookmarkStart w:id="49" w:name="_Toc233030852"/>
      <w:r>
        <w:t>Clinical</w:t>
      </w:r>
      <w:bookmarkEnd w:id="46"/>
      <w:bookmarkEnd w:id="47"/>
      <w:bookmarkEnd w:id="48"/>
      <w:r w:rsidR="00095C6A">
        <w:t xml:space="preserve"> evaluation summary</w:t>
      </w:r>
      <w:bookmarkEnd w:id="49"/>
    </w:p>
    <w:p w14:paraId="32B0DEDA" w14:textId="77777777" w:rsidR="00C22214" w:rsidRPr="00433318" w:rsidRDefault="00C22214" w:rsidP="00433318">
      <w:pPr>
        <w:pStyle w:val="Heading4"/>
      </w:pPr>
      <w:bookmarkStart w:id="50" w:name="_Toc98931928"/>
      <w:bookmarkStart w:id="51" w:name="_Toc233030853"/>
      <w:r>
        <w:t>Summary of clinical studies</w:t>
      </w:r>
      <w:bookmarkEnd w:id="50"/>
      <w:bookmarkEnd w:id="51"/>
    </w:p>
    <w:p w14:paraId="4365AC25" w14:textId="518463A2" w:rsidR="003C63D5" w:rsidRDefault="00753033" w:rsidP="00753033">
      <w:pPr>
        <w:rPr>
          <w:i/>
          <w:iCs/>
          <w:color w:val="007099"/>
        </w:rPr>
      </w:pPr>
      <w:r w:rsidRPr="00753033">
        <w:t>A Phase 3 clinical trial is the pivotal study for the proposed indication in EB</w:t>
      </w:r>
      <w:r>
        <w:t>,</w:t>
      </w:r>
      <w:r w:rsidRPr="00753033">
        <w:t xml:space="preserve"> and a Phase 2 study provides supportive data in the target patient population. This is acceptable for an orphan disease</w:t>
      </w:r>
      <w:r w:rsidRPr="00753033">
        <w:rPr>
          <w:i/>
          <w:iCs/>
          <w:color w:val="007099"/>
        </w:rPr>
        <w:t>.</w:t>
      </w:r>
    </w:p>
    <w:p w14:paraId="1C1001D9" w14:textId="23B428ED" w:rsidR="002E115B" w:rsidRDefault="00A90BF8" w:rsidP="00851612">
      <w:pPr>
        <w:pStyle w:val="Heading5"/>
      </w:pPr>
      <w:r w:rsidRPr="002E115B">
        <w:t xml:space="preserve">BEB-13 (EASE) </w:t>
      </w:r>
    </w:p>
    <w:p w14:paraId="76CA146F" w14:textId="1A7A1974" w:rsidR="00FD0741" w:rsidRPr="002E115B" w:rsidRDefault="00FD0741" w:rsidP="004C1A90">
      <w:pPr>
        <w:rPr>
          <w:b/>
          <w:bCs/>
        </w:rPr>
      </w:pPr>
      <w:r w:rsidRPr="00FD0741">
        <w:t xml:space="preserve">A Phase 3 double-blind, randomised, vehicle-controlled study to evaluate efficacy, safety and </w:t>
      </w:r>
      <w:proofErr w:type="spellStart"/>
      <w:r w:rsidRPr="00FD0741">
        <w:t>betulin</w:t>
      </w:r>
      <w:proofErr w:type="spellEnd"/>
      <w:r w:rsidRPr="00FD0741">
        <w:t xml:space="preserve"> pharmacokinetics in adults and children ≥21 days of age with inherited EB (n=223) treated with the active gel versus control gel plus non-adhesive wound dressing, applied at dressing changes over 90 days</w:t>
      </w:r>
      <w:r>
        <w:t>.</w:t>
      </w:r>
    </w:p>
    <w:p w14:paraId="4487AE6D" w14:textId="243B771F" w:rsidR="002E115B" w:rsidRPr="002E115B" w:rsidRDefault="00A90BF8" w:rsidP="00851612">
      <w:pPr>
        <w:pStyle w:val="Heading5"/>
      </w:pPr>
      <w:r w:rsidRPr="002E115B">
        <w:t xml:space="preserve">BEB-13 OLP </w:t>
      </w:r>
    </w:p>
    <w:p w14:paraId="7B4A3679" w14:textId="51274530" w:rsidR="00A90BF8" w:rsidRPr="007207B7" w:rsidRDefault="00A90BF8" w:rsidP="002E115B">
      <w:r w:rsidRPr="00510767">
        <w:t xml:space="preserve">An </w:t>
      </w:r>
      <w:r w:rsidR="002E115B" w:rsidRPr="00510767">
        <w:t>open label</w:t>
      </w:r>
      <w:r w:rsidRPr="00510767">
        <w:t xml:space="preserve"> follow</w:t>
      </w:r>
      <w:r w:rsidR="004C1A90">
        <w:t>-</w:t>
      </w:r>
      <w:r w:rsidRPr="00510767">
        <w:t>on study to evaluate long-term efficacy and safety over 24 months in children and adults who previously participated in the EASE study (n=205). Several versions of the Clinical Study Report (CSR) for BEB-13 were included in the dossier. The sponsor stated that these were provided at the request from EMA for updates to the OLP study during the evaluation</w:t>
      </w:r>
      <w:r w:rsidRPr="007207B7">
        <w:t>.</w:t>
      </w:r>
    </w:p>
    <w:p w14:paraId="03B002E7" w14:textId="126C1C7B" w:rsidR="002E115B" w:rsidRPr="001042E5" w:rsidRDefault="00A90BF8" w:rsidP="00851612">
      <w:pPr>
        <w:pStyle w:val="Heading5"/>
      </w:pPr>
      <w:r w:rsidRPr="001042E5">
        <w:t xml:space="preserve">BEB-10 </w:t>
      </w:r>
    </w:p>
    <w:p w14:paraId="6918B644" w14:textId="049203EE" w:rsidR="00A90BF8" w:rsidRPr="007207B7" w:rsidRDefault="00A90BF8" w:rsidP="00A90BF8">
      <w:r>
        <w:t xml:space="preserve">A </w:t>
      </w:r>
      <w:r w:rsidRPr="007207B7">
        <w:t xml:space="preserve">Phase 2 </w:t>
      </w:r>
      <w:r>
        <w:t xml:space="preserve">prospective, </w:t>
      </w:r>
      <w:r w:rsidRPr="007207B7">
        <w:t>open-label, intra-individually controlled</w:t>
      </w:r>
      <w:r>
        <w:t>,</w:t>
      </w:r>
      <w:r w:rsidRPr="007207B7">
        <w:t xml:space="preserve"> blindly evaluated</w:t>
      </w:r>
      <w:r>
        <w:t xml:space="preserve"> </w:t>
      </w:r>
      <w:r w:rsidRPr="007207B7">
        <w:t xml:space="preserve">study to evaluate efficacy and safety in </w:t>
      </w:r>
      <w:r>
        <w:t>children and adults</w:t>
      </w:r>
      <w:r w:rsidRPr="007207B7">
        <w:t xml:space="preserve"> aged 1-95 years (n=10) with inherited EB treated with active gel plus non-adhesive wound dressing versus non-adhesive wound dressing alone at dressing changes for 14</w:t>
      </w:r>
      <w:r w:rsidR="00B077DB">
        <w:t xml:space="preserve"> or </w:t>
      </w:r>
      <w:r w:rsidRPr="007207B7">
        <w:t>28 days.</w:t>
      </w:r>
    </w:p>
    <w:p w14:paraId="741547B6" w14:textId="47A2E16C" w:rsidR="00A90BF8" w:rsidRPr="007207B7" w:rsidRDefault="00A90BF8" w:rsidP="00A90BF8">
      <w:r w:rsidRPr="007207B7">
        <w:t xml:space="preserve">Three additional Phase 3 studies </w:t>
      </w:r>
      <w:r w:rsidR="00973AC6">
        <w:t xml:space="preserve">(BSH-12, BSG-12 and BBW-11) </w:t>
      </w:r>
      <w:r w:rsidRPr="007207B7">
        <w:t xml:space="preserve">in other non-EB partial-thickness wounds were </w:t>
      </w:r>
      <w:r>
        <w:t>presented</w:t>
      </w:r>
      <w:r w:rsidRPr="007207B7">
        <w:t xml:space="preserve"> as proof-of-concept studies</w:t>
      </w:r>
      <w:r>
        <w:t xml:space="preserve">. The applicant stated that these studies </w:t>
      </w:r>
      <w:r w:rsidRPr="007207B7">
        <w:t>inform</w:t>
      </w:r>
      <w:r>
        <w:t>ed</w:t>
      </w:r>
      <w:r w:rsidRPr="007207B7">
        <w:t xml:space="preserve"> the pivotal study design and provide secondary supportive data</w:t>
      </w:r>
      <w:r>
        <w:t xml:space="preserve"> for the studies in patients with EB. These three studies </w:t>
      </w:r>
      <w:r w:rsidR="00E16ADC">
        <w:t>had previously been reviewed by the EMA for marketing authori</w:t>
      </w:r>
      <w:r w:rsidR="00994892">
        <w:t>s</w:t>
      </w:r>
      <w:r w:rsidR="00E16ADC">
        <w:t>ation of the same product</w:t>
      </w:r>
      <w:r w:rsidR="00162800">
        <w:t xml:space="preserve">, known as </w:t>
      </w:r>
      <w:proofErr w:type="spellStart"/>
      <w:r w:rsidR="00162800">
        <w:t>Episalvan</w:t>
      </w:r>
      <w:proofErr w:type="spellEnd"/>
      <w:r w:rsidR="00162800">
        <w:t>, for treatment of pa</w:t>
      </w:r>
      <w:r w:rsidR="009013D6">
        <w:t>rtial thickness wounds</w:t>
      </w:r>
      <w:r>
        <w:t>.</w:t>
      </w:r>
    </w:p>
    <w:p w14:paraId="1C4E3A0B" w14:textId="1E7031C4" w:rsidR="002E115B" w:rsidRDefault="00A90BF8" w:rsidP="00851612">
      <w:pPr>
        <w:pStyle w:val="Heading5"/>
      </w:pPr>
      <w:r w:rsidRPr="001042E5">
        <w:lastRenderedPageBreak/>
        <w:t xml:space="preserve">BSH-12, BSG-12 </w:t>
      </w:r>
    </w:p>
    <w:p w14:paraId="4510DAF3" w14:textId="77777777" w:rsidR="00DE1E60" w:rsidRPr="00DE1E60" w:rsidRDefault="00DE1E60" w:rsidP="00DE1E60">
      <w:r w:rsidRPr="00DE1E60">
        <w:t>Two multicentre Phase 3 prospective, randomised, open-label, intra-individually controlled, blindly evaluated studies to evaluate the pharmacokinetics (PK), efficacy and safety of Oleogel-10 over 28 days in adults ≥18 years with split-thickness skin graft (STSG) donor site wounds (BSH-12, n=107 and BSG-12, n=112)</w:t>
      </w:r>
    </w:p>
    <w:p w14:paraId="00CC4E7C" w14:textId="3F1C8FA9" w:rsidR="001042E5" w:rsidRPr="001042E5" w:rsidRDefault="00A90BF8" w:rsidP="00851612">
      <w:pPr>
        <w:pStyle w:val="Heading5"/>
      </w:pPr>
      <w:r w:rsidRPr="001042E5">
        <w:t>BBW-11</w:t>
      </w:r>
    </w:p>
    <w:p w14:paraId="55E005F1" w14:textId="77777777" w:rsidR="007D3B62" w:rsidRPr="007D3B62" w:rsidRDefault="007D3B62" w:rsidP="007D3B62">
      <w:r w:rsidRPr="007D3B62">
        <w:t>A multicentre Phase 3 prospective, randomised, open-label, intra-individually controlled, blindly evaluated study to evaluate PK, efficacy and safety over 21 days in adults ≥18 years (n=66) with Grade 2a burn wounds.</w:t>
      </w:r>
    </w:p>
    <w:p w14:paraId="6CDCB27B" w14:textId="4F80D357" w:rsidR="00A90BF8" w:rsidRPr="007207B7" w:rsidRDefault="00A90BF8" w:rsidP="007D3B62">
      <w:r w:rsidRPr="007207B7">
        <w:t xml:space="preserve">A further two Phase 2 studies conducted in patients with STSG donor site wounds (BSH-10) and actinic keratoses lesions (BAK-08) </w:t>
      </w:r>
      <w:r>
        <w:t>were submitted to provide additional</w:t>
      </w:r>
      <w:r w:rsidRPr="007207B7">
        <w:t xml:space="preserve"> safety data.</w:t>
      </w:r>
    </w:p>
    <w:p w14:paraId="6F239D0C" w14:textId="6B6CCE05" w:rsidR="00BC2E5A" w:rsidRDefault="00A90BF8" w:rsidP="007D3B62">
      <w:r w:rsidRPr="007207B7">
        <w:t xml:space="preserve">Reports of post-marketing experience </w:t>
      </w:r>
      <w:r>
        <w:t>were</w:t>
      </w:r>
      <w:r w:rsidRPr="007207B7">
        <w:t xml:space="preserve"> included in module 5.3.6 as PSURs numbered 1 -</w:t>
      </w:r>
      <w:r>
        <w:t xml:space="preserve"> </w:t>
      </w:r>
      <w:r w:rsidRPr="007207B7">
        <w:t xml:space="preserve">6, spanning the period </w:t>
      </w:r>
      <w:r>
        <w:t>from June 2022</w:t>
      </w:r>
      <w:r w:rsidRPr="007207B7">
        <w:t xml:space="preserve"> to 14 </w:t>
      </w:r>
      <w:r>
        <w:t>J</w:t>
      </w:r>
      <w:r w:rsidRPr="007207B7">
        <w:t>an 2025.</w:t>
      </w:r>
    </w:p>
    <w:p w14:paraId="56C9544A" w14:textId="77777777" w:rsidR="00C33599" w:rsidRPr="00C33599" w:rsidRDefault="00C33599" w:rsidP="00FA60FC">
      <w:pPr>
        <w:pStyle w:val="Heading4"/>
      </w:pPr>
      <w:bookmarkStart w:id="52" w:name="_Toc233030854"/>
      <w:r w:rsidRPr="00C33599">
        <w:t>Pharmacology</w:t>
      </w:r>
      <w:bookmarkEnd w:id="52"/>
    </w:p>
    <w:p w14:paraId="04B37879" w14:textId="77777777" w:rsidR="00C33599" w:rsidRDefault="00C33599" w:rsidP="00C33599">
      <w:r w:rsidRPr="00C33599">
        <w:t xml:space="preserve">Clinical pharmacology studies as outlined above were supported by several </w:t>
      </w:r>
      <w:r w:rsidRPr="00C33599">
        <w:rPr>
          <w:i/>
          <w:iCs/>
        </w:rPr>
        <w:t>in vitro</w:t>
      </w:r>
      <w:r w:rsidRPr="00C33599">
        <w:t xml:space="preserve"> pharmacology studies with </w:t>
      </w:r>
      <w:proofErr w:type="spellStart"/>
      <w:r w:rsidRPr="00C33599">
        <w:t>betulin</w:t>
      </w:r>
      <w:proofErr w:type="spellEnd"/>
      <w:r w:rsidRPr="00C33599">
        <w:t xml:space="preserve">, the main component of the birch bark extract. These studies included a protein binding study, Caco-2 transporter study, an examination of the metabolic profile of </w:t>
      </w:r>
      <w:proofErr w:type="spellStart"/>
      <w:r w:rsidRPr="00C33599">
        <w:t>betulin</w:t>
      </w:r>
      <w:proofErr w:type="spellEnd"/>
      <w:r w:rsidRPr="00C33599">
        <w:t xml:space="preserve"> in hepatocytes, cytochrome P450 phenotyping of </w:t>
      </w:r>
      <w:proofErr w:type="spellStart"/>
      <w:r w:rsidRPr="00C33599">
        <w:t>betulin</w:t>
      </w:r>
      <w:proofErr w:type="spellEnd"/>
      <w:r w:rsidRPr="00C33599">
        <w:t xml:space="preserve"> using recombinant human CYP enzymes and by chemical enzyme inhibition in human hepatocytes, and as an inhibitor or as an inducer of a range of enzymes in human hepatocytes.</w:t>
      </w:r>
    </w:p>
    <w:p w14:paraId="7521CB0D" w14:textId="080903FF" w:rsidR="00E54661" w:rsidRPr="00C33599" w:rsidRDefault="00E54661" w:rsidP="00C33599">
      <w:r w:rsidRPr="0036261D">
        <w:t>The Committee for Medicinal Products for Human Use (CHM</w:t>
      </w:r>
      <w:r w:rsidR="00F03F52" w:rsidRPr="0036261D">
        <w:t xml:space="preserve">P- </w:t>
      </w:r>
      <w:r w:rsidRPr="0036261D">
        <w:t>EMA)</w:t>
      </w:r>
      <w:r w:rsidR="00F03F52" w:rsidRPr="0036261D">
        <w:t xml:space="preserve"> assessment report</w:t>
      </w:r>
      <w:bookmarkStart w:id="53" w:name="_Ref230878876"/>
      <w:r w:rsidR="0036261D">
        <w:rPr>
          <w:rStyle w:val="FootnoteReference"/>
        </w:rPr>
        <w:footnoteReference w:id="21"/>
      </w:r>
      <w:bookmarkEnd w:id="53"/>
      <w:r w:rsidR="00F03F52" w:rsidRPr="0036261D">
        <w:t xml:space="preserve"> </w:t>
      </w:r>
      <w:r w:rsidR="006B3B8D" w:rsidRPr="0036261D">
        <w:t>outlines</w:t>
      </w:r>
      <w:r w:rsidR="006B3B8D">
        <w:t xml:space="preserve"> the following</w:t>
      </w:r>
      <w:r w:rsidR="00F03F52">
        <w:t>:</w:t>
      </w:r>
    </w:p>
    <w:p w14:paraId="40AF75A9" w14:textId="77777777" w:rsidR="00C33599" w:rsidRPr="00A66DE7" w:rsidRDefault="00C33599" w:rsidP="00C33599">
      <w:pPr>
        <w:rPr>
          <w:b/>
          <w:bCs/>
          <w:i/>
          <w:iCs/>
        </w:rPr>
      </w:pPr>
      <w:r w:rsidRPr="00A66DE7">
        <w:rPr>
          <w:b/>
          <w:bCs/>
          <w:i/>
          <w:iCs/>
        </w:rPr>
        <w:t>Absorption</w:t>
      </w:r>
    </w:p>
    <w:p w14:paraId="2641B56E" w14:textId="77777777" w:rsidR="00C33599" w:rsidRPr="00C33599" w:rsidRDefault="00C33599" w:rsidP="00E24452">
      <w:pPr>
        <w:ind w:left="720"/>
        <w:rPr>
          <w:i/>
          <w:iCs/>
        </w:rPr>
      </w:pPr>
      <w:r w:rsidRPr="00C33599">
        <w:rPr>
          <w:i/>
          <w:iCs/>
        </w:rPr>
        <w:t xml:space="preserve">High permeability of </w:t>
      </w:r>
      <w:proofErr w:type="spellStart"/>
      <w:r w:rsidRPr="00C33599">
        <w:rPr>
          <w:i/>
          <w:iCs/>
        </w:rPr>
        <w:t>betulin</w:t>
      </w:r>
      <w:proofErr w:type="spellEnd"/>
      <w:r w:rsidRPr="00C33599">
        <w:rPr>
          <w:i/>
          <w:iCs/>
        </w:rPr>
        <w:t xml:space="preserve"> was demonstrated in a pilot Caco-2 study.</w:t>
      </w:r>
    </w:p>
    <w:p w14:paraId="41D9F90E" w14:textId="767EED7E" w:rsidR="00C33599" w:rsidRPr="00C33599" w:rsidRDefault="00C33599" w:rsidP="00E24452">
      <w:pPr>
        <w:ind w:left="720"/>
        <w:rPr>
          <w:i/>
          <w:iCs/>
        </w:rPr>
      </w:pPr>
      <w:r w:rsidRPr="00C33599">
        <w:rPr>
          <w:i/>
          <w:iCs/>
        </w:rPr>
        <w:t xml:space="preserve">In three clinical studies in subjects with Split-Thickness Skin Graft Donor Sites and Burn Wounds </w:t>
      </w:r>
      <w:r w:rsidRPr="00C33599">
        <w:t>[BSH-12, BSG-12 BBW-11]</w:t>
      </w:r>
      <w:r w:rsidRPr="00C33599">
        <w:rPr>
          <w:i/>
          <w:iCs/>
        </w:rPr>
        <w:t xml:space="preserve">, plasma sampling was performed before treatment and at certain timepoints during treatment, to measure the systemic concentration of </w:t>
      </w:r>
      <w:proofErr w:type="spellStart"/>
      <w:r w:rsidRPr="00C33599">
        <w:rPr>
          <w:i/>
          <w:iCs/>
        </w:rPr>
        <w:t>betulin</w:t>
      </w:r>
      <w:proofErr w:type="spellEnd"/>
      <w:r w:rsidRPr="00C33599">
        <w:rPr>
          <w:i/>
          <w:iCs/>
        </w:rPr>
        <w:t xml:space="preserve">. In studies BSH-12 and BSG-12, sampling was performed on days 0, 7, 14, 21, 28 and at end of treatment, in study BBW-11, on days 0, 7, 14 and at end of treatment. Of the 929 plasma samples, 37 (4%) had quantifiable </w:t>
      </w:r>
      <w:proofErr w:type="spellStart"/>
      <w:r w:rsidRPr="00C33599">
        <w:rPr>
          <w:i/>
          <w:iCs/>
        </w:rPr>
        <w:t>betulin</w:t>
      </w:r>
      <w:proofErr w:type="spellEnd"/>
      <w:r w:rsidRPr="00C33599">
        <w:rPr>
          <w:i/>
          <w:iCs/>
        </w:rPr>
        <w:t xml:space="preserve"> concentrations, 14 of these were pre-dose samples and 23 during the treatment period. The </w:t>
      </w:r>
      <w:proofErr w:type="spellStart"/>
      <w:r w:rsidRPr="00C33599">
        <w:rPr>
          <w:i/>
          <w:iCs/>
        </w:rPr>
        <w:t>betulin</w:t>
      </w:r>
      <w:proofErr w:type="spellEnd"/>
      <w:r w:rsidRPr="00C33599">
        <w:rPr>
          <w:i/>
          <w:iCs/>
        </w:rPr>
        <w:t xml:space="preserve"> concentrations ranged from 1.1 to 43.9 ng/ml (pre</w:t>
      </w:r>
      <w:r w:rsidR="00DC36EE">
        <w:rPr>
          <w:i/>
          <w:iCs/>
        </w:rPr>
        <w:t>-</w:t>
      </w:r>
      <w:r w:rsidRPr="00C33599">
        <w:rPr>
          <w:i/>
          <w:iCs/>
        </w:rPr>
        <w:t>dose) and from 1.1 to 68.6 ng/ml (treatment).</w:t>
      </w:r>
    </w:p>
    <w:p w14:paraId="62345B7C" w14:textId="77777777" w:rsidR="00C33599" w:rsidRPr="00C33599" w:rsidRDefault="00C33599" w:rsidP="00E24452">
      <w:pPr>
        <w:ind w:left="720"/>
        <w:rPr>
          <w:i/>
          <w:iCs/>
        </w:rPr>
      </w:pPr>
      <w:proofErr w:type="spellStart"/>
      <w:r w:rsidRPr="00C33599">
        <w:rPr>
          <w:i/>
          <w:iCs/>
        </w:rPr>
        <w:t>Betulin</w:t>
      </w:r>
      <w:proofErr w:type="spellEnd"/>
      <w:r w:rsidRPr="00C33599">
        <w:rPr>
          <w:i/>
          <w:iCs/>
        </w:rPr>
        <w:t xml:space="preserve"> occurs naturally and is present in olives and some fruits. Therefore, dietary uptake of </w:t>
      </w:r>
      <w:proofErr w:type="spellStart"/>
      <w:r w:rsidRPr="00C33599">
        <w:rPr>
          <w:i/>
          <w:iCs/>
        </w:rPr>
        <w:t>betulin</w:t>
      </w:r>
      <w:proofErr w:type="spellEnd"/>
      <w:r w:rsidRPr="00C33599">
        <w:rPr>
          <w:i/>
          <w:iCs/>
        </w:rPr>
        <w:t xml:space="preserve"> cannot be excluded and it is likely that the low concentrations observed in the pre-dose samples (and possibly in later samples) stemmed from food containing </w:t>
      </w:r>
      <w:proofErr w:type="spellStart"/>
      <w:r w:rsidRPr="00C33599">
        <w:rPr>
          <w:i/>
          <w:iCs/>
        </w:rPr>
        <w:t>betulin</w:t>
      </w:r>
      <w:proofErr w:type="spellEnd"/>
      <w:r w:rsidRPr="00C33599">
        <w:rPr>
          <w:i/>
          <w:iCs/>
        </w:rPr>
        <w:t xml:space="preserve"> consumed by the subjects.</w:t>
      </w:r>
    </w:p>
    <w:p w14:paraId="0DA6963E" w14:textId="77777777" w:rsidR="00C33599" w:rsidRPr="00E24452" w:rsidRDefault="00C33599" w:rsidP="00C33599">
      <w:pPr>
        <w:rPr>
          <w:b/>
          <w:bCs/>
          <w:i/>
          <w:iCs/>
        </w:rPr>
      </w:pPr>
      <w:r w:rsidRPr="00E24452">
        <w:rPr>
          <w:b/>
          <w:bCs/>
          <w:i/>
          <w:iCs/>
        </w:rPr>
        <w:t>Distribution</w:t>
      </w:r>
    </w:p>
    <w:p w14:paraId="4ADE751B" w14:textId="389A34E7" w:rsidR="00C33599" w:rsidRPr="00C33599" w:rsidRDefault="00C33599" w:rsidP="00E24452">
      <w:pPr>
        <w:ind w:left="720"/>
        <w:rPr>
          <w:i/>
          <w:iCs/>
        </w:rPr>
      </w:pPr>
      <w:r w:rsidRPr="00C33599">
        <w:rPr>
          <w:i/>
          <w:iCs/>
        </w:rPr>
        <w:t xml:space="preserve">The unbound fractions of </w:t>
      </w:r>
      <w:proofErr w:type="spellStart"/>
      <w:r w:rsidRPr="00C33599">
        <w:rPr>
          <w:i/>
          <w:iCs/>
        </w:rPr>
        <w:t>betulin</w:t>
      </w:r>
      <w:proofErr w:type="spellEnd"/>
      <w:r w:rsidRPr="00C33599">
        <w:rPr>
          <w:i/>
          <w:iCs/>
        </w:rPr>
        <w:t xml:space="preserve"> in plasma (</w:t>
      </w:r>
      <w:proofErr w:type="spellStart"/>
      <w:proofErr w:type="gramStart"/>
      <w:r w:rsidRPr="00C33599">
        <w:rPr>
          <w:i/>
          <w:iCs/>
        </w:rPr>
        <w:t>fu,p</w:t>
      </w:r>
      <w:proofErr w:type="spellEnd"/>
      <w:proofErr w:type="gramEnd"/>
      <w:r w:rsidRPr="00C33599">
        <w:rPr>
          <w:i/>
          <w:iCs/>
        </w:rPr>
        <w:t xml:space="preserve">) could not be determined as </w:t>
      </w:r>
      <w:proofErr w:type="spellStart"/>
      <w:r w:rsidRPr="00C33599">
        <w:rPr>
          <w:i/>
          <w:iCs/>
        </w:rPr>
        <w:t>betulin</w:t>
      </w:r>
      <w:proofErr w:type="spellEnd"/>
      <w:r w:rsidRPr="00C33599">
        <w:rPr>
          <w:i/>
          <w:iCs/>
        </w:rPr>
        <w:t xml:space="preserve"> concentrations in buffer compartments were below LLOQ </w:t>
      </w:r>
      <w:r w:rsidRPr="00C33599">
        <w:t>[lower limit of quantification]</w:t>
      </w:r>
      <w:r w:rsidRPr="00C33599">
        <w:rPr>
          <w:i/>
          <w:iCs/>
        </w:rPr>
        <w:t xml:space="preserve">. </w:t>
      </w:r>
      <w:r w:rsidRPr="00C33599">
        <w:rPr>
          <w:i/>
          <w:iCs/>
        </w:rPr>
        <w:lastRenderedPageBreak/>
        <w:t xml:space="preserve">This indicates that the </w:t>
      </w:r>
      <w:proofErr w:type="spellStart"/>
      <w:proofErr w:type="gramStart"/>
      <w:r w:rsidRPr="00C33599">
        <w:rPr>
          <w:i/>
          <w:iCs/>
        </w:rPr>
        <w:t>fu,p</w:t>
      </w:r>
      <w:proofErr w:type="spellEnd"/>
      <w:proofErr w:type="gramEnd"/>
      <w:r w:rsidRPr="00C33599">
        <w:rPr>
          <w:i/>
          <w:iCs/>
        </w:rPr>
        <w:t xml:space="preserve"> of </w:t>
      </w:r>
      <w:proofErr w:type="spellStart"/>
      <w:r w:rsidRPr="00C33599">
        <w:rPr>
          <w:i/>
          <w:iCs/>
        </w:rPr>
        <w:t>betulin</w:t>
      </w:r>
      <w:proofErr w:type="spellEnd"/>
      <w:r w:rsidRPr="00C33599">
        <w:rPr>
          <w:i/>
          <w:iCs/>
        </w:rPr>
        <w:t xml:space="preserve"> is below 0.1% and fraction bound (</w:t>
      </w:r>
      <w:proofErr w:type="spellStart"/>
      <w:proofErr w:type="gramStart"/>
      <w:r w:rsidRPr="00C33599">
        <w:rPr>
          <w:i/>
          <w:iCs/>
        </w:rPr>
        <w:t>fb,p</w:t>
      </w:r>
      <w:proofErr w:type="spellEnd"/>
      <w:proofErr w:type="gramEnd"/>
      <w:r w:rsidRPr="00C33599">
        <w:rPr>
          <w:i/>
          <w:iCs/>
        </w:rPr>
        <w:t>) is &gt;99.9% in human, rat and minipig plasma.</w:t>
      </w:r>
    </w:p>
    <w:p w14:paraId="533F6992" w14:textId="77777777" w:rsidR="00C33599" w:rsidRPr="00C33599" w:rsidRDefault="00C33599" w:rsidP="00E24452">
      <w:pPr>
        <w:ind w:left="720"/>
        <w:rPr>
          <w:i/>
          <w:iCs/>
        </w:rPr>
      </w:pPr>
      <w:r w:rsidRPr="00C33599">
        <w:rPr>
          <w:i/>
          <w:iCs/>
        </w:rPr>
        <w:t>No in vivo distribution studies have been conducted.</w:t>
      </w:r>
    </w:p>
    <w:p w14:paraId="42C1DAEF" w14:textId="77777777" w:rsidR="00C33599" w:rsidRPr="0089136F" w:rsidRDefault="00C33599" w:rsidP="00C33599">
      <w:pPr>
        <w:rPr>
          <w:b/>
          <w:bCs/>
          <w:i/>
          <w:iCs/>
        </w:rPr>
      </w:pPr>
      <w:r w:rsidRPr="0089136F">
        <w:rPr>
          <w:b/>
          <w:bCs/>
          <w:i/>
          <w:iCs/>
        </w:rPr>
        <w:t>Elimination</w:t>
      </w:r>
    </w:p>
    <w:p w14:paraId="21F8D4F3" w14:textId="77777777" w:rsidR="00C33599" w:rsidRPr="00C33599" w:rsidRDefault="00C33599" w:rsidP="007E00C2">
      <w:pPr>
        <w:ind w:left="720"/>
        <w:rPr>
          <w:i/>
          <w:iCs/>
        </w:rPr>
      </w:pPr>
      <w:r w:rsidRPr="00C33599">
        <w:rPr>
          <w:i/>
          <w:iCs/>
        </w:rPr>
        <w:t>No in vivo elimination studies have been conducted.</w:t>
      </w:r>
    </w:p>
    <w:p w14:paraId="620E24C0" w14:textId="77777777" w:rsidR="00C33599" w:rsidRPr="00C33599" w:rsidRDefault="00C33599" w:rsidP="007E00C2">
      <w:pPr>
        <w:ind w:left="720"/>
        <w:rPr>
          <w:i/>
          <w:iCs/>
        </w:rPr>
      </w:pPr>
      <w:r w:rsidRPr="00C33599">
        <w:rPr>
          <w:i/>
          <w:iCs/>
        </w:rPr>
        <w:t xml:space="preserve">In total, structures of six metabolites (M1-M6) were identified from incubation </w:t>
      </w:r>
      <w:r w:rsidRPr="00C33599">
        <w:t xml:space="preserve">[of the product] </w:t>
      </w:r>
      <w:r w:rsidRPr="00C33599">
        <w:rPr>
          <w:i/>
          <w:iCs/>
        </w:rPr>
        <w:t>with hepatocytes... In humans, only four were observed: M2-M5. M2, formed by oxygenation, methylation, and sulfation, was the most abundant (26.9%), followed by M4 (sulfation, 19.0% abundance), M5 (glucuronidation, 12.0% abundance), and M3 (sulfation, 10.2% abundance). Metabolism was virtually complete after 5h.</w:t>
      </w:r>
    </w:p>
    <w:p w14:paraId="53A4B59C" w14:textId="77777777" w:rsidR="00C33599" w:rsidRPr="00C33599" w:rsidRDefault="00C33599" w:rsidP="007E00C2">
      <w:pPr>
        <w:ind w:left="720"/>
        <w:rPr>
          <w:i/>
          <w:iCs/>
        </w:rPr>
      </w:pPr>
      <w:r w:rsidRPr="00C33599">
        <w:rPr>
          <w:i/>
          <w:iCs/>
        </w:rPr>
        <w:t xml:space="preserve">Based on the </w:t>
      </w:r>
      <w:proofErr w:type="spellStart"/>
      <w:r w:rsidRPr="00C33599">
        <w:rPr>
          <w:i/>
          <w:iCs/>
        </w:rPr>
        <w:t>CL</w:t>
      </w:r>
      <w:r w:rsidRPr="00C33599">
        <w:rPr>
          <w:i/>
          <w:iCs/>
          <w:vertAlign w:val="subscript"/>
        </w:rPr>
        <w:t>int</w:t>
      </w:r>
      <w:proofErr w:type="spellEnd"/>
      <w:r w:rsidRPr="00C33599">
        <w:rPr>
          <w:i/>
          <w:iCs/>
        </w:rPr>
        <w:t xml:space="preserve"> values determined for the individual CYP </w:t>
      </w:r>
      <w:r w:rsidRPr="00C33599">
        <w:t xml:space="preserve">[cytochrome P450] </w:t>
      </w:r>
      <w:r w:rsidRPr="00C33599">
        <w:rPr>
          <w:i/>
          <w:iCs/>
        </w:rPr>
        <w:t xml:space="preserve">isoforms using </w:t>
      </w:r>
      <w:r w:rsidRPr="002E71FE">
        <w:rPr>
          <w:i/>
          <w:iCs/>
        </w:rPr>
        <w:t>recombinant [rh] enzymes</w:t>
      </w:r>
      <w:r w:rsidRPr="00C33599">
        <w:rPr>
          <w:i/>
          <w:iCs/>
        </w:rPr>
        <w:t xml:space="preserve"> and considering their abundance in the human (Caucasian) liver, the relative contribution of rhCYP3A5, 3A4, 2C8, and 2C19 to the overall CYP-mediated metabolism of </w:t>
      </w:r>
      <w:proofErr w:type="spellStart"/>
      <w:r w:rsidRPr="00C33599">
        <w:rPr>
          <w:i/>
          <w:iCs/>
        </w:rPr>
        <w:t>betulin</w:t>
      </w:r>
      <w:proofErr w:type="spellEnd"/>
      <w:r w:rsidRPr="00C33599">
        <w:rPr>
          <w:i/>
          <w:iCs/>
        </w:rPr>
        <w:t xml:space="preserve"> was calculated to be roughly 60%, 40%, 0.3%, and 0.07%, respectively.</w:t>
      </w:r>
    </w:p>
    <w:p w14:paraId="70D81608" w14:textId="77777777" w:rsidR="00C33599" w:rsidRPr="00C33599" w:rsidRDefault="00C33599" w:rsidP="007E00C2">
      <w:pPr>
        <w:ind w:left="720"/>
        <w:rPr>
          <w:i/>
          <w:iCs/>
        </w:rPr>
      </w:pPr>
      <w:r w:rsidRPr="00C33599">
        <w:rPr>
          <w:i/>
          <w:iCs/>
        </w:rPr>
        <w:t xml:space="preserve">The CYP contribution was confirmed in vitro using specific inhibitors. CYP3A contributed most of the CYP-mediated pathway, while contributions of CYP2C8 and CYP2C19 to the metabolism of </w:t>
      </w:r>
      <w:proofErr w:type="spellStart"/>
      <w:r w:rsidRPr="00C33599">
        <w:rPr>
          <w:i/>
          <w:iCs/>
        </w:rPr>
        <w:t>Betulin</w:t>
      </w:r>
      <w:proofErr w:type="spellEnd"/>
      <w:r w:rsidRPr="00C33599">
        <w:rPr>
          <w:i/>
          <w:iCs/>
        </w:rPr>
        <w:t xml:space="preserve"> were negligible. However, non-CYP enzymes were found to play the predominant role in the hepatic metabolism of </w:t>
      </w:r>
      <w:proofErr w:type="spellStart"/>
      <w:r w:rsidRPr="00C33599">
        <w:rPr>
          <w:i/>
          <w:iCs/>
        </w:rPr>
        <w:t>Betulin</w:t>
      </w:r>
      <w:proofErr w:type="spellEnd"/>
      <w:r w:rsidRPr="00C33599">
        <w:rPr>
          <w:i/>
          <w:iCs/>
        </w:rPr>
        <w:t>, most likely phase II conjugation enzymes.</w:t>
      </w:r>
    </w:p>
    <w:p w14:paraId="2CD2347B" w14:textId="69EDCF1F" w:rsidR="00C33599" w:rsidRPr="00C33599" w:rsidRDefault="00C33599" w:rsidP="00C33599">
      <w:r w:rsidRPr="00C33599">
        <w:t xml:space="preserve">Additional information was provided in the discussion on clinical pharmacology, where the evaluator noted that evaluators of a marketing application for </w:t>
      </w:r>
      <w:proofErr w:type="spellStart"/>
      <w:r w:rsidRPr="00C33599">
        <w:t>Episalvan</w:t>
      </w:r>
      <w:proofErr w:type="spellEnd"/>
      <w:r w:rsidRPr="00C33599">
        <w:t xml:space="preserve"> had concluded that systemic absorption of </w:t>
      </w:r>
      <w:proofErr w:type="spellStart"/>
      <w:r w:rsidRPr="00C33599">
        <w:t>betulin</w:t>
      </w:r>
      <w:proofErr w:type="spellEnd"/>
      <w:r w:rsidRPr="00C33599">
        <w:t xml:space="preserve"> was minimal and no further studies on elimination, special populations or drug-drug interactions were required. This was acceptable to the primary evaluators of F</w:t>
      </w:r>
      <w:r w:rsidR="00B059EF">
        <w:t>ilsuvez</w:t>
      </w:r>
      <w:r w:rsidRPr="00C33599">
        <w:t>.</w:t>
      </w:r>
    </w:p>
    <w:p w14:paraId="17342B07" w14:textId="311FA0FB" w:rsidR="00C33599" w:rsidRPr="00C33599" w:rsidRDefault="00C33599" w:rsidP="0022565E">
      <w:pPr>
        <w:pStyle w:val="Heading5"/>
      </w:pPr>
      <w:r w:rsidRPr="00C33599">
        <w:t xml:space="preserve">Pharmacokinetics </w:t>
      </w:r>
    </w:p>
    <w:p w14:paraId="476364F0" w14:textId="71E0417E" w:rsidR="00C33599" w:rsidRPr="00C33599" w:rsidRDefault="00C33599" w:rsidP="00C33599">
      <w:r w:rsidRPr="00C33599">
        <w:t>P</w:t>
      </w:r>
      <w:r w:rsidR="00990F80">
        <w:t xml:space="preserve">harmacokinetic (PK) </w:t>
      </w:r>
      <w:r w:rsidRPr="00C33599">
        <w:t xml:space="preserve">samples were taken to measure </w:t>
      </w:r>
      <w:proofErr w:type="spellStart"/>
      <w:r w:rsidRPr="00C33599">
        <w:t>betulin</w:t>
      </w:r>
      <w:proofErr w:type="spellEnd"/>
      <w:r w:rsidRPr="00C33599">
        <w:t xml:space="preserve"> concentrations in the BEB-13 study in patients with EB. Owing to the fragile skin of the EB population, as well as the difficulty in taking venous blood draws from children and infants, a dried blood spot (DBS) analytical technique using capillary blood samples (finger or heel prick) was developed to measure whole blood concentrations of </w:t>
      </w:r>
      <w:proofErr w:type="spellStart"/>
      <w:r w:rsidRPr="00C33599">
        <w:t>betulin</w:t>
      </w:r>
      <w:proofErr w:type="spellEnd"/>
      <w:r w:rsidRPr="00C33599">
        <w:t>. The bioanalysis method with dried blood spots was used both for capillary and venous blood samples.</w:t>
      </w:r>
    </w:p>
    <w:p w14:paraId="4B242A45" w14:textId="75C32979" w:rsidR="00C33599" w:rsidRPr="00C33599" w:rsidRDefault="00C33599" w:rsidP="00C33599">
      <w:r w:rsidRPr="00C33599">
        <w:t xml:space="preserve">Capillary samples were obtained by finger or heel stick, if consent was obtained, on Day 0, 7, 14, 30, 45, 60, 90 and at confirmation of complete closure of the target wound. The protocol was amended in Version 4.0 to also allow venous bloods collected on days 0 and 90 and at month 24 for analysis of safety haematology and biochemistry to be used for </w:t>
      </w:r>
      <w:proofErr w:type="spellStart"/>
      <w:r w:rsidRPr="00C33599">
        <w:t>betulin</w:t>
      </w:r>
      <w:proofErr w:type="spellEnd"/>
      <w:r w:rsidRPr="00C33599">
        <w:t xml:space="preserve"> assays on DBS. These microsamples were directly </w:t>
      </w:r>
      <w:r w:rsidRPr="00D7058C">
        <w:t>obtained from EDTA-whole blood samples</w:t>
      </w:r>
      <w:r w:rsidRPr="00C33599">
        <w:t>, avoiding the need for additional finger pricks. Aliquots from these samples were subsequently applied to the collection cards and submitted for analysis.</w:t>
      </w:r>
    </w:p>
    <w:p w14:paraId="45768629" w14:textId="77777777" w:rsidR="00C33599" w:rsidRPr="00C33599" w:rsidRDefault="00C33599" w:rsidP="00C33599">
      <w:proofErr w:type="spellStart"/>
      <w:r w:rsidRPr="00C33599">
        <w:t>Betulin</w:t>
      </w:r>
      <w:proofErr w:type="spellEnd"/>
      <w:r w:rsidRPr="00C33599">
        <w:t xml:space="preserve"> concentrations in baseline samples were in the range 0-122 ng/ml. The applicant stated that measurable levels could be the result of intake of food or natural substances containing </w:t>
      </w:r>
      <w:proofErr w:type="spellStart"/>
      <w:r w:rsidRPr="00C33599">
        <w:t>betulin</w:t>
      </w:r>
      <w:proofErr w:type="spellEnd"/>
      <w:r w:rsidRPr="00C33599">
        <w:t>. A similar range of concentrations was reported in capillary and venous samples from control gel treated patients.</w:t>
      </w:r>
    </w:p>
    <w:p w14:paraId="6F05BEB7" w14:textId="17CFF376" w:rsidR="00C33599" w:rsidRPr="00C33599" w:rsidRDefault="00C33599" w:rsidP="00C33599">
      <w:r w:rsidRPr="00C33599">
        <w:t xml:space="preserve">Of the post-dose capillary blood samples, 2/43 (5%) were &lt;LLOQ in the Oleogel-S10 arm and 61/63 (97%) in the control gel arm. For post-dose venous blood samples 57/69 (82%) were </w:t>
      </w:r>
      <w:r w:rsidRPr="00C33599">
        <w:lastRenderedPageBreak/>
        <w:t xml:space="preserve">&lt;LLOQ in the Oleogel-S10 arm, and 106/111 (95%) in the control gel arm. Data comparing venous and capillary blood </w:t>
      </w:r>
      <w:proofErr w:type="spellStart"/>
      <w:r w:rsidRPr="00C33599">
        <w:t>betulin</w:t>
      </w:r>
      <w:proofErr w:type="spellEnd"/>
      <w:r w:rsidRPr="00C33599">
        <w:t xml:space="preserve"> concentrations collected from the same patient/s suggest that capillary </w:t>
      </w:r>
      <w:proofErr w:type="spellStart"/>
      <w:r w:rsidRPr="00C33599">
        <w:t>betulin</w:t>
      </w:r>
      <w:proofErr w:type="spellEnd"/>
      <w:r w:rsidRPr="00C33599">
        <w:t xml:space="preserve"> concentrations may have been falsely elevated by contamination by topical </w:t>
      </w:r>
      <w:proofErr w:type="spellStart"/>
      <w:r w:rsidRPr="00C33599">
        <w:t>betulin</w:t>
      </w:r>
      <w:proofErr w:type="spellEnd"/>
      <w:r w:rsidRPr="00C33599">
        <w:t xml:space="preserve"> during collection, and that venous concentrations may be a more accurate representation of systemic exposure to </w:t>
      </w:r>
      <w:proofErr w:type="spellStart"/>
      <w:r w:rsidRPr="00C33599">
        <w:t>betulin</w:t>
      </w:r>
      <w:proofErr w:type="spellEnd"/>
      <w:r w:rsidRPr="00C33599">
        <w:t xml:space="preserve">. The highest measured post-dose venous blood concentration of </w:t>
      </w:r>
      <w:proofErr w:type="spellStart"/>
      <w:r w:rsidRPr="00C33599">
        <w:t>betulin</w:t>
      </w:r>
      <w:proofErr w:type="spellEnd"/>
      <w:r w:rsidRPr="00C33599">
        <w:t xml:space="preserve"> was 207 ng/</w:t>
      </w:r>
      <w:proofErr w:type="spellStart"/>
      <w:r w:rsidRPr="00C33599">
        <w:t>mL.</w:t>
      </w:r>
      <w:proofErr w:type="spellEnd"/>
      <w:r w:rsidRPr="00C33599">
        <w:t xml:space="preserve"> The primary evaluation accepted this explanation.</w:t>
      </w:r>
    </w:p>
    <w:p w14:paraId="4A725AEE" w14:textId="77777777" w:rsidR="00C33599" w:rsidRPr="00C33599" w:rsidRDefault="00C33599" w:rsidP="00C33599">
      <w:r w:rsidRPr="00C33599">
        <w:t xml:space="preserve">No studies have been conducted with Oleogel-S10 in patients with renal or hepatic impairment. </w:t>
      </w:r>
      <w:proofErr w:type="spellStart"/>
      <w:r w:rsidRPr="00C33599">
        <w:t>Betulin</w:t>
      </w:r>
      <w:proofErr w:type="spellEnd"/>
      <w:r w:rsidRPr="00C33599">
        <w:t xml:space="preserve"> concentration did not correlate with BMI or age. </w:t>
      </w:r>
      <w:proofErr w:type="spellStart"/>
      <w:r w:rsidRPr="00C33599">
        <w:t>Betulin</w:t>
      </w:r>
      <w:proofErr w:type="spellEnd"/>
      <w:r w:rsidRPr="00C33599">
        <w:t xml:space="preserve"> did not induce the mRNA expression of CYP3A4, CYP2B6 and CYP1A2 at physiologically relevant levels. The effect of </w:t>
      </w:r>
      <w:proofErr w:type="spellStart"/>
      <w:r w:rsidRPr="00C33599">
        <w:t>betulin</w:t>
      </w:r>
      <w:proofErr w:type="spellEnd"/>
      <w:r w:rsidRPr="00C33599">
        <w:t xml:space="preserve"> on drug transporters was not studied.</w:t>
      </w:r>
    </w:p>
    <w:p w14:paraId="20173E65" w14:textId="4D76238F" w:rsidR="00C33599" w:rsidRPr="00C33599" w:rsidRDefault="00C33599" w:rsidP="0022565E">
      <w:pPr>
        <w:pStyle w:val="Heading5"/>
      </w:pPr>
      <w:r w:rsidRPr="00C33599">
        <w:t xml:space="preserve">Pharmacodynamics </w:t>
      </w:r>
    </w:p>
    <w:p w14:paraId="36C16BAE" w14:textId="4E57AE24" w:rsidR="00C33599" w:rsidRPr="00C33599" w:rsidRDefault="00C33599" w:rsidP="00C33599">
      <w:r w:rsidRPr="00C33599">
        <w:t>The application for F</w:t>
      </w:r>
      <w:r w:rsidR="00E7552A">
        <w:t>ilsuvez</w:t>
      </w:r>
      <w:r w:rsidRPr="00C33599">
        <w:t xml:space="preserve"> contained no dedicated studies to support the proposed mechanism of action to achieve accelerated wound healing in patients with EB. Published references that supported beneficial effects of triterpenes on wound healing in general were included in the dossier. Based predominantly on three of these</w:t>
      </w:r>
      <w:r w:rsidR="00D130FE">
        <w:t xml:space="preserve">, </w:t>
      </w:r>
      <w:r w:rsidR="00D130FE" w:rsidRPr="00D130FE">
        <w:t xml:space="preserve">the applicant argued that birch bark extract supports the differentiation of keratinocytes by upregulating the expression of differentiation markers keratin, type I cytoskeletal 10 (KRT 10) and </w:t>
      </w:r>
      <w:proofErr w:type="spellStart"/>
      <w:r w:rsidR="00D130FE" w:rsidRPr="00D130FE">
        <w:t>involucrin</w:t>
      </w:r>
      <w:proofErr w:type="spellEnd"/>
      <w:r w:rsidR="00D130FE" w:rsidRPr="00D130FE">
        <w:t xml:space="preserve"> (INV), and the adhesion protein transglutaminase in human keratinocytes</w:t>
      </w:r>
      <w:r w:rsidR="0025443F">
        <w:t>.</w:t>
      </w:r>
      <w:r w:rsidRPr="00C33599">
        <w:rPr>
          <w:vertAlign w:val="superscript"/>
        </w:rPr>
        <w:footnoteReference w:id="22"/>
      </w:r>
      <w:r w:rsidRPr="00C33599">
        <w:rPr>
          <w:vertAlign w:val="superscript"/>
        </w:rPr>
        <w:t>,</w:t>
      </w:r>
      <w:r w:rsidRPr="00C33599">
        <w:rPr>
          <w:vertAlign w:val="superscript"/>
        </w:rPr>
        <w:footnoteReference w:id="23"/>
      </w:r>
      <w:r w:rsidRPr="00C33599">
        <w:rPr>
          <w:vertAlign w:val="superscript"/>
        </w:rPr>
        <w:t>,</w:t>
      </w:r>
      <w:r w:rsidRPr="00C33599">
        <w:rPr>
          <w:vertAlign w:val="superscript"/>
        </w:rPr>
        <w:footnoteReference w:id="24"/>
      </w:r>
      <w:r w:rsidR="0025443F">
        <w:t xml:space="preserve"> </w:t>
      </w:r>
      <w:r w:rsidRPr="00C33599">
        <w:t>KRT 10 expression induced by birch bark extract depends on up-regulation and indirect activation of TRPC6 by high extracellular Ca</w:t>
      </w:r>
      <w:r w:rsidRPr="00C33599">
        <w:rPr>
          <w:vertAlign w:val="superscript"/>
        </w:rPr>
        <w:t>2+</w:t>
      </w:r>
      <w:r w:rsidRPr="00C33599">
        <w:t xml:space="preserve"> concentrations. Birch bark extract is also proposed to influence the cytoskeleton possibly by induction of filopodia and lamellipodia, mediated by activation of the Rho GTPase RhoA (Ras homolog gene family, member A).</w:t>
      </w:r>
    </w:p>
    <w:p w14:paraId="354CB486" w14:textId="77777777" w:rsidR="00C33599" w:rsidRPr="00C33599" w:rsidRDefault="00C33599" w:rsidP="00C33599">
      <w:r w:rsidRPr="00C33599">
        <w:t>With respect to pharmacodynamic interactions, the product is locally applied and locally acting. Systemic drug-drug interactions are not expected.</w:t>
      </w:r>
    </w:p>
    <w:p w14:paraId="6649AA5B" w14:textId="77777777" w:rsidR="007F1651" w:rsidRDefault="009F36FD" w:rsidP="007F1651">
      <w:pPr>
        <w:rPr>
          <w:i/>
          <w:iCs/>
        </w:rPr>
      </w:pPr>
      <w:r w:rsidRPr="00326A12">
        <w:t xml:space="preserve">The </w:t>
      </w:r>
      <w:r w:rsidR="00F03F52" w:rsidRPr="00326A12">
        <w:t>Committee for Medicinal Products for Human Use (CHMP- EMA) states</w:t>
      </w:r>
      <w:r w:rsidR="00AA079A" w:rsidRPr="00326A12">
        <w:t>:</w:t>
      </w:r>
      <w:r w:rsidR="007F1651" w:rsidRPr="007F1651">
        <w:rPr>
          <w:i/>
          <w:iCs/>
        </w:rPr>
        <w:t xml:space="preserve"> </w:t>
      </w:r>
    </w:p>
    <w:p w14:paraId="5AB64900" w14:textId="283101FF" w:rsidR="00C33599" w:rsidRPr="00C33599" w:rsidRDefault="007F1651" w:rsidP="007F1651">
      <w:pPr>
        <w:ind w:left="720"/>
      </w:pPr>
      <w:r w:rsidRPr="007F1651">
        <w:rPr>
          <w:i/>
          <w:iCs/>
        </w:rPr>
        <w:t xml:space="preserve">The systemic absorption of </w:t>
      </w:r>
      <w:proofErr w:type="spellStart"/>
      <w:r w:rsidRPr="007F1651">
        <w:rPr>
          <w:i/>
          <w:iCs/>
        </w:rPr>
        <w:t>Betulin</w:t>
      </w:r>
      <w:proofErr w:type="spellEnd"/>
      <w:r w:rsidRPr="007F1651">
        <w:rPr>
          <w:i/>
          <w:iCs/>
        </w:rPr>
        <w:t xml:space="preserve"> appeared to be slightly higher in patients with EB compared to patients with non-EB wounds. The applicant considered that these differences may be due to difference in skin permeability in the patient populations, more widespread areas for drug treatment, and therefore a larger surface area as compared to the body size of the EB patients, who are generally younger. Any differences in systemic absorption in the various patient populations were modest and were not suggestive of systemic adverse events.</w:t>
      </w:r>
      <w:r>
        <w:t xml:space="preserve"> </w:t>
      </w:r>
      <w:r w:rsidR="00AA079A" w:rsidRPr="00326A12">
        <w:rPr>
          <w:vertAlign w:val="superscript"/>
        </w:rPr>
        <w:fldChar w:fldCharType="begin"/>
      </w:r>
      <w:r w:rsidR="00AA079A" w:rsidRPr="00326A12">
        <w:rPr>
          <w:vertAlign w:val="superscript"/>
        </w:rPr>
        <w:instrText xml:space="preserve"> NOTEREF _Ref230878876 \h  \* MERGEFORMAT </w:instrText>
      </w:r>
      <w:r w:rsidR="00AA079A" w:rsidRPr="00326A12">
        <w:rPr>
          <w:vertAlign w:val="superscript"/>
        </w:rPr>
      </w:r>
      <w:r w:rsidR="00AA079A" w:rsidRPr="00326A12">
        <w:rPr>
          <w:vertAlign w:val="superscript"/>
        </w:rPr>
        <w:fldChar w:fldCharType="separate"/>
      </w:r>
      <w:r w:rsidR="00AA079A" w:rsidRPr="00326A12">
        <w:rPr>
          <w:vertAlign w:val="superscript"/>
        </w:rPr>
        <w:t>16</w:t>
      </w:r>
      <w:r w:rsidR="00AA079A" w:rsidRPr="00326A12">
        <w:rPr>
          <w:vertAlign w:val="superscript"/>
        </w:rPr>
        <w:fldChar w:fldCharType="end"/>
      </w:r>
    </w:p>
    <w:p w14:paraId="1F340030" w14:textId="77777777" w:rsidR="00C33599" w:rsidRPr="00C33599" w:rsidRDefault="00C33599" w:rsidP="00851612">
      <w:pPr>
        <w:pStyle w:val="Heading4"/>
      </w:pPr>
      <w:bookmarkStart w:id="54" w:name="_Toc233030855"/>
      <w:r w:rsidRPr="00C33599">
        <w:t>Efficacy</w:t>
      </w:r>
      <w:bookmarkEnd w:id="54"/>
    </w:p>
    <w:p w14:paraId="5DEBA3CA" w14:textId="33F770D3" w:rsidR="00BF75ED" w:rsidRPr="00BF75ED" w:rsidRDefault="00BF75ED" w:rsidP="00851612">
      <w:pPr>
        <w:pStyle w:val="Heading5"/>
      </w:pPr>
      <w:r w:rsidRPr="00BF75ED">
        <w:t>Study BEB-13 (EASE)</w:t>
      </w:r>
    </w:p>
    <w:p w14:paraId="28F7F673" w14:textId="67511F0F" w:rsidR="00C33599" w:rsidRPr="0083132E" w:rsidRDefault="00C33599" w:rsidP="00C33599">
      <w:r w:rsidRPr="00C33599">
        <w:t xml:space="preserve">The single pivotal study for efficacy was </w:t>
      </w:r>
      <w:r w:rsidRPr="0083132E">
        <w:t>Study BEB-13 (EASE)</w:t>
      </w:r>
      <w:r w:rsidR="0083132E">
        <w:t>, a</w:t>
      </w:r>
      <w:r w:rsidRPr="0083132E">
        <w:t xml:space="preserve"> </w:t>
      </w:r>
      <w:r w:rsidR="0083132E">
        <w:t>d</w:t>
      </w:r>
      <w:r w:rsidRPr="0083132E">
        <w:t>ouble-</w:t>
      </w:r>
      <w:r w:rsidR="0083132E">
        <w:t>b</w:t>
      </w:r>
      <w:r w:rsidRPr="0083132E">
        <w:t xml:space="preserve">lind, </w:t>
      </w:r>
      <w:r w:rsidR="0083132E">
        <w:t>r</w:t>
      </w:r>
      <w:r w:rsidRPr="0083132E">
        <w:t xml:space="preserve">andomised, </w:t>
      </w:r>
      <w:r w:rsidR="0083132E">
        <w:t>v</w:t>
      </w:r>
      <w:r w:rsidRPr="0083132E">
        <w:t>ehicle-</w:t>
      </w:r>
      <w:r w:rsidR="0083132E">
        <w:t>c</w:t>
      </w:r>
      <w:r w:rsidRPr="0083132E">
        <w:t xml:space="preserve">ontrolled, </w:t>
      </w:r>
      <w:r w:rsidR="0083132E">
        <w:t>p</w:t>
      </w:r>
      <w:r w:rsidRPr="0083132E">
        <w:t xml:space="preserve">hase III, </w:t>
      </w:r>
      <w:r w:rsidR="0083132E">
        <w:t>e</w:t>
      </w:r>
      <w:r w:rsidRPr="0083132E">
        <w:t xml:space="preserve">fficacy and </w:t>
      </w:r>
      <w:r w:rsidR="0083132E">
        <w:t>s</w:t>
      </w:r>
      <w:r w:rsidRPr="0083132E">
        <w:t xml:space="preserve">afety </w:t>
      </w:r>
      <w:r w:rsidR="0083132E">
        <w:t>s</w:t>
      </w:r>
      <w:r w:rsidRPr="0083132E">
        <w:t>tudy with 24-</w:t>
      </w:r>
      <w:r w:rsidR="00E93EDE">
        <w:t>m</w:t>
      </w:r>
      <w:r w:rsidRPr="0083132E">
        <w:t xml:space="preserve">onth </w:t>
      </w:r>
      <w:r w:rsidR="00E93EDE">
        <w:t>o</w:t>
      </w:r>
      <w:r w:rsidRPr="0083132E">
        <w:t>pen-</w:t>
      </w:r>
      <w:r w:rsidR="00E93EDE">
        <w:t>l</w:t>
      </w:r>
      <w:r w:rsidRPr="0083132E">
        <w:t xml:space="preserve">abel </w:t>
      </w:r>
      <w:r w:rsidR="00E93EDE">
        <w:t>f</w:t>
      </w:r>
      <w:r w:rsidRPr="0083132E">
        <w:t>ollow-</w:t>
      </w:r>
      <w:r w:rsidR="00E93EDE">
        <w:t>u</w:t>
      </w:r>
      <w:r w:rsidRPr="0083132E">
        <w:t xml:space="preserve">p of </w:t>
      </w:r>
      <w:r w:rsidRPr="0083132E">
        <w:lastRenderedPageBreak/>
        <w:t xml:space="preserve">Oleogel-S10 </w:t>
      </w:r>
      <w:r w:rsidR="000875AA">
        <w:t>(birch tri</w:t>
      </w:r>
      <w:r w:rsidR="00571114">
        <w:t>t</w:t>
      </w:r>
      <w:r w:rsidR="000875AA">
        <w:t>erpene</w:t>
      </w:r>
      <w:r w:rsidR="00AE6FBB">
        <w:t>s, also known as birch bark extract)</w:t>
      </w:r>
      <w:bookmarkStart w:id="55" w:name="_Ref230948325"/>
      <w:r w:rsidR="00C621CF">
        <w:rPr>
          <w:rStyle w:val="FootnoteReference"/>
        </w:rPr>
        <w:footnoteReference w:id="25"/>
      </w:r>
      <w:bookmarkEnd w:id="55"/>
      <w:r w:rsidR="00AE6FBB">
        <w:t xml:space="preserve"> </w:t>
      </w:r>
      <w:r w:rsidRPr="0083132E">
        <w:t xml:space="preserve">in </w:t>
      </w:r>
      <w:r w:rsidR="00E93EDE">
        <w:t>s</w:t>
      </w:r>
      <w:r w:rsidRPr="0083132E">
        <w:t xml:space="preserve">ubjects with </w:t>
      </w:r>
      <w:r w:rsidR="00E93EDE">
        <w:t>i</w:t>
      </w:r>
      <w:r w:rsidRPr="0083132E">
        <w:t>nherited Epidermolysis Bullosa</w:t>
      </w:r>
      <w:r w:rsidR="00E93EDE">
        <w:t xml:space="preserve"> (EB)</w:t>
      </w:r>
      <w:r w:rsidRPr="0083132E">
        <w:t>.</w:t>
      </w:r>
    </w:p>
    <w:p w14:paraId="07F8D367" w14:textId="488BEBA4" w:rsidR="007A7CC9" w:rsidRPr="007A7CC9" w:rsidRDefault="00C33599" w:rsidP="007A7CC9">
      <w:r w:rsidRPr="00C33599">
        <w:t>This was a multicentre study in two parts with 49 study sites in Australia and internationally</w:t>
      </w:r>
      <w:r w:rsidR="00A438AF">
        <w:t>.</w:t>
      </w:r>
      <w:r w:rsidR="00B6646D" w:rsidRPr="00B6646D">
        <w:rPr>
          <w:vertAlign w:val="superscript"/>
        </w:rPr>
        <w:fldChar w:fldCharType="begin"/>
      </w:r>
      <w:r w:rsidR="00B6646D" w:rsidRPr="00B6646D">
        <w:rPr>
          <w:vertAlign w:val="superscript"/>
        </w:rPr>
        <w:instrText xml:space="preserve"> NOTEREF _Ref230948325 \h </w:instrText>
      </w:r>
      <w:r w:rsidR="00B6646D">
        <w:rPr>
          <w:vertAlign w:val="superscript"/>
        </w:rPr>
        <w:instrText xml:space="preserve"> \* MERGEFORMAT </w:instrText>
      </w:r>
      <w:r w:rsidR="00B6646D" w:rsidRPr="00B6646D">
        <w:rPr>
          <w:vertAlign w:val="superscript"/>
        </w:rPr>
      </w:r>
      <w:r w:rsidR="00B6646D" w:rsidRPr="00B6646D">
        <w:rPr>
          <w:vertAlign w:val="superscript"/>
        </w:rPr>
        <w:fldChar w:fldCharType="separate"/>
      </w:r>
      <w:r w:rsidR="00B6646D" w:rsidRPr="00B6646D">
        <w:rPr>
          <w:vertAlign w:val="superscript"/>
        </w:rPr>
        <w:t>20</w:t>
      </w:r>
      <w:r w:rsidR="00B6646D" w:rsidRPr="00B6646D">
        <w:rPr>
          <w:vertAlign w:val="superscript"/>
        </w:rPr>
        <w:fldChar w:fldCharType="end"/>
      </w:r>
      <w:r w:rsidR="00B6646D" w:rsidRPr="00B6646D">
        <w:rPr>
          <w:vertAlign w:val="superscript"/>
        </w:rPr>
        <w:t>,</w:t>
      </w:r>
      <w:r w:rsidRPr="00C33599">
        <w:rPr>
          <w:vertAlign w:val="superscript"/>
        </w:rPr>
        <w:footnoteReference w:id="26"/>
      </w:r>
      <w:r w:rsidRPr="00C33599">
        <w:t xml:space="preserve"> The first part was a randomised, controlled, 90-day double-blind phase</w:t>
      </w:r>
      <w:r w:rsidR="00E95B8F">
        <w:t xml:space="preserve"> (DBP)</w:t>
      </w:r>
      <w:r w:rsidRPr="00C33599">
        <w:t xml:space="preserve"> 3 study, and the second</w:t>
      </w:r>
      <w:r w:rsidR="007A7CC9">
        <w:t xml:space="preserve"> </w:t>
      </w:r>
      <w:r w:rsidR="007A7CC9" w:rsidRPr="007A7CC9">
        <w:t>part a 24-month open-label follow-up of Oleogel-S10 in children and adults with inherited EB. Each participant was randomly allocated to 90 days treatment with Oleogel-S10 or comparator in the DBP. First patient, first visit was 19 April 2017, last patient last visit in the DBP was 3 June 2020.</w:t>
      </w:r>
    </w:p>
    <w:p w14:paraId="6FD2C6BE" w14:textId="77777777" w:rsidR="007A7CC9" w:rsidRPr="007A7CC9" w:rsidRDefault="007A7CC9" w:rsidP="007A7CC9">
      <w:r w:rsidRPr="007A7CC9">
        <w:t>At the end of the DBP (Day 90), participants in both treatment arms were invited to enter the single-arm open-label phase (OLP) with Oleogel-S10 treatment of all wounds for 24 months. The total duration of study participation (DBP and OLP) was planned to be approximately 27 months.</w:t>
      </w:r>
    </w:p>
    <w:p w14:paraId="041F6D4D" w14:textId="77777777" w:rsidR="007A7CC9" w:rsidRPr="007A7CC9" w:rsidRDefault="007A7CC9" w:rsidP="007A7CC9">
      <w:r w:rsidRPr="007A7CC9">
        <w:t>The protocol was subject to five changes before completion of the study. Version 6.0 was released 18 April 2019.</w:t>
      </w:r>
    </w:p>
    <w:p w14:paraId="44B0C344" w14:textId="77777777" w:rsidR="007A7CC9" w:rsidRPr="0044326B" w:rsidRDefault="007A7CC9" w:rsidP="00A54C8D">
      <w:pPr>
        <w:pStyle w:val="Heading6"/>
      </w:pPr>
      <w:r w:rsidRPr="0044326B">
        <w:t>Inclusion criteria</w:t>
      </w:r>
    </w:p>
    <w:p w14:paraId="4C3FEC8E" w14:textId="77777777" w:rsidR="007A7CC9" w:rsidRPr="007A7CC9" w:rsidRDefault="007A7CC9" w:rsidP="002B4CEF">
      <w:pPr>
        <w:pStyle w:val="ListBullet"/>
      </w:pPr>
      <w:r w:rsidRPr="007A7CC9">
        <w:t xml:space="preserve">Males and females aged ≥4 years with DEB, JEB, and Kindler syndrome subtypes of EB. </w:t>
      </w:r>
    </w:p>
    <w:p w14:paraId="4B62F028" w14:textId="5B50DF9C" w:rsidR="007A7CC9" w:rsidRPr="007A7CC9" w:rsidRDefault="007A7CC9" w:rsidP="002B4CEF">
      <w:pPr>
        <w:pStyle w:val="ListBullet"/>
      </w:pPr>
      <w:r w:rsidRPr="007A7CC9">
        <w:t>The presence outside of the anogenital region of an EB partial-thickness wound of 10</w:t>
      </w:r>
      <w:r w:rsidR="00184B7E">
        <w:t xml:space="preserve"> </w:t>
      </w:r>
      <w:r w:rsidRPr="007A7CC9">
        <w:t>cm</w:t>
      </w:r>
      <w:r w:rsidRPr="007A7CC9">
        <w:rPr>
          <w:vertAlign w:val="superscript"/>
        </w:rPr>
        <w:t>2</w:t>
      </w:r>
      <w:r w:rsidRPr="007A7CC9">
        <w:t xml:space="preserve"> to 50</w:t>
      </w:r>
      <w:r w:rsidR="00184B7E">
        <w:t xml:space="preserve"> </w:t>
      </w:r>
      <w:r w:rsidRPr="007A7CC9">
        <w:t>cm</w:t>
      </w:r>
      <w:r w:rsidRPr="007A7CC9">
        <w:rPr>
          <w:vertAlign w:val="superscript"/>
        </w:rPr>
        <w:t>2</w:t>
      </w:r>
      <w:r w:rsidRPr="007A7CC9">
        <w:t xml:space="preserve"> in size, having persisted for ≥21 days and &lt;9 months (the EB target wound). The specification for the target wound to have persisted &lt;9 months was introduced in Protocol Version 4.0. The specification for the target wound to be outside the anogenital region was clarified in Protocol Version 6.0. </w:t>
      </w:r>
    </w:p>
    <w:p w14:paraId="2DA40FF1" w14:textId="77777777" w:rsidR="007A7CC9" w:rsidRPr="007A7CC9" w:rsidRDefault="007A7CC9" w:rsidP="002B4CEF">
      <w:pPr>
        <w:pStyle w:val="ListBullet"/>
      </w:pPr>
      <w:r w:rsidRPr="007A7CC9">
        <w:t>Children ≥21 days old and &lt;4 years could be included, but only after confirmation by an independent drug monitoring committee (IDMC) after review of the safety and bioanalytical (</w:t>
      </w:r>
      <w:proofErr w:type="spellStart"/>
      <w:r w:rsidRPr="007A7CC9">
        <w:t>betulin</w:t>
      </w:r>
      <w:proofErr w:type="spellEnd"/>
      <w:r w:rsidRPr="007A7CC9">
        <w:t>) data at an interim safety review.</w:t>
      </w:r>
    </w:p>
    <w:p w14:paraId="0A044920" w14:textId="77777777" w:rsidR="007A7CC9" w:rsidRPr="009F478B" w:rsidRDefault="007A7CC9" w:rsidP="00A54C8D">
      <w:pPr>
        <w:pStyle w:val="Heading6"/>
      </w:pPr>
      <w:r w:rsidRPr="009F478B">
        <w:t>Exclusion criteria</w:t>
      </w:r>
    </w:p>
    <w:p w14:paraId="6176096B" w14:textId="1C5BCD08" w:rsidR="007A7CC9" w:rsidRPr="007A7CC9" w:rsidRDefault="007A7CC9" w:rsidP="002B4CEF">
      <w:pPr>
        <w:pStyle w:val="ListBullet"/>
      </w:pPr>
      <w:r w:rsidRPr="007A7CC9">
        <w:t>EB subtype EBS</w:t>
      </w:r>
      <w:r w:rsidR="0082756A">
        <w:t>:</w:t>
      </w:r>
      <w:r w:rsidRPr="007A7CC9">
        <w:t xml:space="preserve"> Two patients with the EBS subtype were removed from the analysis following a change in the eligibility criteria in Protocol Version 4.0.</w:t>
      </w:r>
    </w:p>
    <w:p w14:paraId="085441F0" w14:textId="77777777" w:rsidR="007A7CC9" w:rsidRPr="007A7CC9" w:rsidRDefault="007A7CC9" w:rsidP="0082756A">
      <w:pPr>
        <w:pStyle w:val="ListBullet"/>
      </w:pPr>
      <w:r w:rsidRPr="007A7CC9">
        <w:t>EB target wound that was ≥9 months old (added in Protocol Version 4.0) or had clinical signs of local infection.</w:t>
      </w:r>
    </w:p>
    <w:p w14:paraId="23725587" w14:textId="77777777" w:rsidR="007A7CC9" w:rsidRPr="007A7CC9" w:rsidRDefault="007A7CC9" w:rsidP="0082756A">
      <w:pPr>
        <w:pStyle w:val="ListBullet"/>
      </w:pPr>
      <w:r w:rsidRPr="007A7CC9">
        <w:t>Use of systemic antibiotics for wound-related infections within seven days prior to enrolment.</w:t>
      </w:r>
    </w:p>
    <w:p w14:paraId="7447DE80" w14:textId="77777777" w:rsidR="007A7CC9" w:rsidRPr="007A7CC9" w:rsidRDefault="007A7CC9" w:rsidP="0082756A">
      <w:pPr>
        <w:pStyle w:val="ListBullet"/>
      </w:pPr>
      <w:r w:rsidRPr="007A7CC9">
        <w:t>Administration of systemic or topical steroids for skin wounds within 30 days before enrolment (topical applications for oesophageal strictures, such as budesonide suspension, and inhaled or ophthalmic preparations were permitted).</w:t>
      </w:r>
    </w:p>
    <w:p w14:paraId="042FD921" w14:textId="77777777" w:rsidR="007A7CC9" w:rsidRPr="007A7CC9" w:rsidRDefault="007A7CC9" w:rsidP="00F74DA9">
      <w:pPr>
        <w:pStyle w:val="ListBullet"/>
      </w:pPr>
      <w:r w:rsidRPr="007A7CC9">
        <w:t>Immunosuppressive therapy or cytotoxic chemotherapy within 60 days prior to enrolment.</w:t>
      </w:r>
    </w:p>
    <w:p w14:paraId="3AA96795" w14:textId="77777777" w:rsidR="007A7CC9" w:rsidRPr="007A7CC9" w:rsidRDefault="007A7CC9" w:rsidP="00F74DA9">
      <w:pPr>
        <w:pStyle w:val="ListBullet"/>
      </w:pPr>
      <w:r w:rsidRPr="007A7CC9">
        <w:t>Stem cell transplant or gene therapy for the treatment of inherited EB.</w:t>
      </w:r>
    </w:p>
    <w:p w14:paraId="0FF7997F" w14:textId="77777777" w:rsidR="007A7CC9" w:rsidRPr="007A7CC9" w:rsidRDefault="007A7CC9" w:rsidP="00F74DA9">
      <w:pPr>
        <w:pStyle w:val="ListBullet"/>
      </w:pPr>
      <w:r w:rsidRPr="007A7CC9">
        <w:lastRenderedPageBreak/>
        <w:t>Current and/or former malignancy including basal cell carcinomas (BCCs) and squamous cell carcinomas (SCCs).</w:t>
      </w:r>
    </w:p>
    <w:p w14:paraId="28C852DD" w14:textId="77777777" w:rsidR="007A7CC9" w:rsidRPr="007A7CC9" w:rsidRDefault="007A7CC9" w:rsidP="00F74DA9">
      <w:pPr>
        <w:pStyle w:val="ListBullet"/>
      </w:pPr>
      <w:r w:rsidRPr="007A7CC9">
        <w:t>Enrolment in another investigational clinical study or treatment with any investigational drug for any disease within four weeks prior to study entry.</w:t>
      </w:r>
    </w:p>
    <w:p w14:paraId="281FA4D4" w14:textId="77777777" w:rsidR="007A7CC9" w:rsidRPr="007A7CC9" w:rsidRDefault="007A7CC9" w:rsidP="00CA3151">
      <w:pPr>
        <w:pStyle w:val="ListBullet"/>
      </w:pPr>
      <w:r w:rsidRPr="007A7CC9">
        <w:t>Factors present in the patient and/or his/her legal representative that could interfere with study compliance such as inability to attend scheduled study visits or to comply with home dressing changes.</w:t>
      </w:r>
    </w:p>
    <w:p w14:paraId="610329DD" w14:textId="77777777" w:rsidR="007A7CC9" w:rsidRPr="007A7CC9" w:rsidRDefault="007A7CC9" w:rsidP="00CA3151">
      <w:pPr>
        <w:pStyle w:val="ListBullet"/>
      </w:pPr>
      <w:r w:rsidRPr="007A7CC9">
        <w:t>Pregnant or nursing women.</w:t>
      </w:r>
    </w:p>
    <w:p w14:paraId="5169DCC0" w14:textId="77777777" w:rsidR="007A7CC9" w:rsidRPr="007A7CC9" w:rsidRDefault="007A7CC9" w:rsidP="00CA3151">
      <w:pPr>
        <w:pStyle w:val="ListBullet"/>
      </w:pPr>
      <w:r w:rsidRPr="007A7CC9">
        <w:t>Women of childbearing potential including post-</w:t>
      </w:r>
      <w:proofErr w:type="spellStart"/>
      <w:r w:rsidRPr="007A7CC9">
        <w:t>menarchal</w:t>
      </w:r>
      <w:proofErr w:type="spellEnd"/>
      <w:r w:rsidRPr="007A7CC9">
        <w:t xml:space="preserve"> female adolescents, and men not willing to use an effective form of birth control with failure rates &lt;1% per year (e.g., implant, injectable, combined oral contraceptive, intra-uterine contraceptive device, sexual abstinence, vasectomy or vasectomized partner) during participation in the study and at least 3 months thereafter (reference to men added in Protocol Version 4.0).</w:t>
      </w:r>
    </w:p>
    <w:p w14:paraId="654686F1" w14:textId="77777777" w:rsidR="007A7CC9" w:rsidRPr="007A7CC9" w:rsidRDefault="007A7CC9" w:rsidP="0001471A">
      <w:pPr>
        <w:pStyle w:val="ListBullet"/>
      </w:pPr>
      <w:r w:rsidRPr="007A7CC9">
        <w:t>Member of the investigational team or his/her immediate family.</w:t>
      </w:r>
    </w:p>
    <w:p w14:paraId="24C1DBC0" w14:textId="77FAE827" w:rsidR="00D97892" w:rsidRPr="00D97892" w:rsidRDefault="00E2564D" w:rsidP="00A54C8D">
      <w:pPr>
        <w:pStyle w:val="Heading6"/>
      </w:pPr>
      <w:r w:rsidRPr="00D97892">
        <w:t xml:space="preserve">Procedure and </w:t>
      </w:r>
      <w:r w:rsidR="00D97892" w:rsidRPr="00D97892">
        <w:t>o</w:t>
      </w:r>
      <w:r w:rsidRPr="00D97892">
        <w:t>utcomes</w:t>
      </w:r>
    </w:p>
    <w:p w14:paraId="5DB3B98B" w14:textId="5AFFDCAE" w:rsidR="007A7CC9" w:rsidRPr="007A7CC9" w:rsidRDefault="007A7CC9" w:rsidP="007A7CC9">
      <w:r w:rsidRPr="00F066CA">
        <w:t>On Day 0, the investigator selected the EB target wound and up to four additional wounds that met target wound criteria. The EB partial-thickness target wound and all areas on a person’s body that were affected by EB partial-thickness wounds were treated with Oleogel-S10 and standard of care non-adhesive wound dressing or with control gel (matching Oleogel-S10 in texture and visual appearance, the control gel consisted of 85 g sunflower oil, 5 g Cera flava/yellow wax, and 10 g Carnauba wax per 100 g of product) and standard of care non-adhesive wound dressing. The randomised treatment was to be applied during all dressing changes (at least every 4 days) until the end of the DBP. The participants were asked to maintain a regular schedule of wound dressing changes (i.e., not to change intervals) and to report this schedule to the investigator at each clinic visit. If a wound was closed, it was not necessary to continue to apply study medication. The participant could use a wound dressing on the closed wound to protect the area, if desired. Areas on the body that were not</w:t>
      </w:r>
      <w:r w:rsidRPr="007A7CC9">
        <w:t xml:space="preserve"> affected by EB partial-thickness wounds were not to be treated with study medication. The study medication was not intended for use on full-thickness wounds.</w:t>
      </w:r>
    </w:p>
    <w:p w14:paraId="52E1FC36" w14:textId="05FD21B1" w:rsidR="007A7CC9" w:rsidRPr="007A7CC9" w:rsidRDefault="007A7CC9" w:rsidP="007A7CC9">
      <w:r w:rsidRPr="007A7CC9">
        <w:t>The primary endpoint of the DBP was the proportion of study participants with first complete closure of the EB target wound within 45±7 days of treatment.</w:t>
      </w:r>
      <w:r w:rsidR="00546314" w:rsidRPr="00546314">
        <w:rPr>
          <w:vertAlign w:val="superscript"/>
        </w:rPr>
        <w:fldChar w:fldCharType="begin"/>
      </w:r>
      <w:r w:rsidR="00546314" w:rsidRPr="00546314">
        <w:rPr>
          <w:vertAlign w:val="superscript"/>
        </w:rPr>
        <w:instrText xml:space="preserve"> NOTEREF _Ref230878876 \h </w:instrText>
      </w:r>
      <w:r w:rsidR="00546314">
        <w:rPr>
          <w:vertAlign w:val="superscript"/>
        </w:rPr>
        <w:instrText xml:space="preserve"> \* MERGEFORMAT </w:instrText>
      </w:r>
      <w:r w:rsidR="00546314" w:rsidRPr="00546314">
        <w:rPr>
          <w:vertAlign w:val="superscript"/>
        </w:rPr>
      </w:r>
      <w:r w:rsidR="00546314" w:rsidRPr="00546314">
        <w:rPr>
          <w:vertAlign w:val="superscript"/>
        </w:rPr>
        <w:fldChar w:fldCharType="separate"/>
      </w:r>
      <w:r w:rsidR="00546314" w:rsidRPr="00546314">
        <w:rPr>
          <w:vertAlign w:val="superscript"/>
        </w:rPr>
        <w:t>16</w:t>
      </w:r>
      <w:r w:rsidR="00546314" w:rsidRPr="00546314">
        <w:rPr>
          <w:vertAlign w:val="superscript"/>
        </w:rPr>
        <w:fldChar w:fldCharType="end"/>
      </w:r>
      <w:r w:rsidRPr="007A7CC9">
        <w:t xml:space="preserve"> First complete closure of the EB target wound was based on clinical assessment by the investigator, and the wound was rated as </w:t>
      </w:r>
      <w:r w:rsidR="00667EFF">
        <w:t>‘</w:t>
      </w:r>
      <w:r w:rsidRPr="007A7CC9">
        <w:t>closed</w:t>
      </w:r>
      <w:r w:rsidR="00667EFF">
        <w:t>’</w:t>
      </w:r>
      <w:r w:rsidRPr="007A7CC9">
        <w:t xml:space="preserve"> at first appearance of complete re-epithelialisation without drainage. </w:t>
      </w:r>
    </w:p>
    <w:p w14:paraId="429580FA" w14:textId="77777777" w:rsidR="007A7CC9" w:rsidRPr="007A7CC9" w:rsidRDefault="007A7CC9" w:rsidP="007A7CC9">
      <w:r w:rsidRPr="007A7CC9">
        <w:t>The key secondary endpoints included time to first complete closure of the EB target wound (within 90±7 days of treatment); proportion of participants with first complete closure of the EB target wound at Day 90±7; the incidence of wound infection between baseline (DBP Day 0) and Day 90±7; the maximum severity of wound infection between baseline and Day 90±7; the change from baseline in total body wound burden as evidenced by clinical assessment (using Section I of the ‘EB Disease Activity and Scarring Index’, EBDASI</w:t>
      </w:r>
      <w:r w:rsidRPr="007A7CC9">
        <w:rPr>
          <w:vertAlign w:val="superscript"/>
        </w:rPr>
        <w:footnoteReference w:id="27"/>
      </w:r>
      <w:r w:rsidRPr="007A7CC9">
        <w:t xml:space="preserve">) at Day 90±7; the change from baseline in itching before wound dressing changes at Day 90±7 using the ‘Itch Man Scale’ in participants ≥4 years and up to 13 years of age and the ‘Leuven Itch Scale’ in participants ≥14 years of age. Safety endpoints included adverse event (AE) and serious adverse event (SAE) </w:t>
      </w:r>
      <w:r w:rsidRPr="007A7CC9">
        <w:lastRenderedPageBreak/>
        <w:t xml:space="preserve">reporting; assessment of tolerance and </w:t>
      </w:r>
      <w:proofErr w:type="spellStart"/>
      <w:r w:rsidRPr="007A7CC9">
        <w:t>betulin</w:t>
      </w:r>
      <w:proofErr w:type="spellEnd"/>
      <w:r w:rsidRPr="007A7CC9">
        <w:t xml:space="preserve"> exposure levels. Several additional endpoints are not discussed in this overview.</w:t>
      </w:r>
    </w:p>
    <w:p w14:paraId="7C81DD18" w14:textId="70B389C8" w:rsidR="007A7CC9" w:rsidRPr="007A7CC9" w:rsidRDefault="007A7CC9" w:rsidP="007A7CC9">
      <w:r w:rsidRPr="007A7CC9">
        <w:t>A total of 192 participants were planned to be enrolled into the study and treated to account for an estimated dropout rate of 5%. Following the unblinded interim analysis of efficacy for sample size re-estimation, the IDMC recommended that the sample size be increased by 48 subjects (24 per arm) for a total of 230 evaluable enrolees. Enrolment ceased 06 March 2020, at which time 223 participants were enrolled.</w:t>
      </w:r>
    </w:p>
    <w:p w14:paraId="1D0BDF9A" w14:textId="77777777" w:rsidR="007A7CC9" w:rsidRPr="007A7CC9" w:rsidRDefault="007A7CC9" w:rsidP="007A7CC9">
      <w:r w:rsidRPr="007A7CC9">
        <w:t>The primary efficacy endpoint, defined as the proportion of participants with first complete closure of the EB target wound within 45 days based on clinical assessment by the investigator, was first compared between treatment groups using the Cochran-Mantel-Haenszel (CMH) test, stratified by EB subtype and target wound size. The final statistical analysis of the primary efficacy endpoint was performed based on the Cui, Hung, Wang (CHW) approach to adjust the estimates provided by the CMH test. The overall level of significance for the primary endpoint analysis was 0.05 (2-sided). If the primary analysis of the primary efficacy endpoint demonstrated superiority at the 5% significance level, hierarchical confirmatory testing of the six key secondary endpoints was to be performed.</w:t>
      </w:r>
    </w:p>
    <w:p w14:paraId="6B8DD06A" w14:textId="77777777" w:rsidR="007A7CC9" w:rsidRPr="00381BA3" w:rsidRDefault="007A7CC9" w:rsidP="00A54C8D">
      <w:pPr>
        <w:pStyle w:val="Heading6"/>
      </w:pPr>
      <w:r w:rsidRPr="00381BA3">
        <w:t>Results</w:t>
      </w:r>
    </w:p>
    <w:p w14:paraId="3A815890" w14:textId="77777777" w:rsidR="007A7CC9" w:rsidRPr="007A7CC9" w:rsidRDefault="007A7CC9" w:rsidP="007A7CC9">
      <w:r w:rsidRPr="007A7CC9">
        <w:t xml:space="preserve">A total of 223 study participants (109, Oleogel-S10; 114, control gel) were randomized and received at least one dose of study medication (Safety Analysis Set, SAS); 223 were also included in the Full Analysis Set (FAS), 185 were in the Per-protocol Set (PPS) (92, Oleogel-S10; 93, control gel), and 199 who completed the DBP were included in a Completer Analysis Set (CAS) (100, Oleogel-S10; 99, control gel). A total of 205 (91.9%) study participants continued into the OLP. </w:t>
      </w:r>
    </w:p>
    <w:p w14:paraId="0F2F4F14" w14:textId="77777777" w:rsidR="007A7CC9" w:rsidRPr="007A7CC9" w:rsidRDefault="007A7CC9" w:rsidP="007A7CC9">
      <w:r w:rsidRPr="007A7CC9">
        <w:t xml:space="preserve">The most common protocol violations were non-compliance with the recommended treatment regime, including use of prohibited concomitant treatments or dressings, dressing changes &gt;4 days apart, not applying the medication to all wounds or incorrect administration. While common, these violations are likely to reflect real world use and occurred at comparable frequency in both treatment groups. </w:t>
      </w:r>
    </w:p>
    <w:p w14:paraId="24F95FAD" w14:textId="52F4DBC5" w:rsidR="007A7CC9" w:rsidRPr="007A7CC9" w:rsidRDefault="007A7CC9" w:rsidP="007A7CC9">
      <w:r w:rsidRPr="007A7CC9">
        <w:t xml:space="preserve">The overall median age of study participants was 12 years (range: 6 months to 81 years); 134 (60.1%) were male and 89 (39.9%) were female. Most (83.4%) were </w:t>
      </w:r>
      <w:r w:rsidR="00B06F5D">
        <w:t>w</w:t>
      </w:r>
      <w:r w:rsidRPr="007A7CC9">
        <w:t xml:space="preserve">hite. A total of 195 (87.4%) participants had the EB subtype DEB: of these, 175 (78.5%) had RDEB and 20 (9.0%) had DDEB. Twenty-six (11.7%) had JEB, and two (0.9%) subjects had EBS. Following implementation of Version 4.0 of the protocol, the two patients with EBS were excluded from the analysis. No participant had Kindler syndrome. The demographics and baseline characteristics of study participants were generally well balanced between the two treatment groups. However, within the DEB subtype, the Oleogel-S10 group had a higher proportion of participants with RDEB (83.5%) compared to the control gel group (73.7%) and a lower proportion of subjects with DDEB (5.5%, Oleogel-S10 vs. 12.3%, control gel). Further, the median wound age was slightly greater in the Oleogel-S10 group (39 days) vs. 32 days in the control gel group. </w:t>
      </w:r>
    </w:p>
    <w:p w14:paraId="0DD8262D" w14:textId="6D675994" w:rsidR="007A7CC9" w:rsidRPr="007A7CC9" w:rsidRDefault="005E4014" w:rsidP="007A7CC9">
      <w:r>
        <w:t>Table 3 summarises</w:t>
      </w:r>
      <w:r w:rsidR="00366A91">
        <w:t xml:space="preserve"> the</w:t>
      </w:r>
      <w:r w:rsidR="007A7CC9" w:rsidRPr="007A7CC9">
        <w:t xml:space="preserve"> EB target wounds in the safety analysis set</w:t>
      </w:r>
      <w:r w:rsidR="00366A91">
        <w:t xml:space="preserve">. </w:t>
      </w:r>
    </w:p>
    <w:p w14:paraId="4F00B138" w14:textId="70E6B355" w:rsidR="00BC2E5A" w:rsidRPr="007207B7" w:rsidRDefault="00C33F79" w:rsidP="00465790">
      <w:pPr>
        <w:pStyle w:val="TableTitle"/>
      </w:pPr>
      <w:bookmarkStart w:id="56" w:name="_Ref214267186"/>
      <w:r w:rsidRPr="00C33F79">
        <w:lastRenderedPageBreak/>
        <w:t xml:space="preserve">Table </w:t>
      </w:r>
      <w:bookmarkEnd w:id="56"/>
      <w:r w:rsidR="00734E2A">
        <w:t>3.</w:t>
      </w:r>
      <w:r w:rsidRPr="00C33F79">
        <w:t xml:space="preserve"> BEB-13 Summary of target wounds (Safety Analysis Set)</w:t>
      </w:r>
      <w:r w:rsidR="00734E2A">
        <w:t>.</w:t>
      </w:r>
    </w:p>
    <w:p w14:paraId="644C668D" w14:textId="75A816D0" w:rsidR="00734E2A" w:rsidRDefault="001F1671" w:rsidP="00753033">
      <w:r>
        <w:rPr>
          <w:noProof/>
        </w:rPr>
        <w:drawing>
          <wp:inline distT="0" distB="0" distL="0" distR="0" wp14:anchorId="600638C3" wp14:editId="021BBF75">
            <wp:extent cx="5581650" cy="2294701"/>
            <wp:effectExtent l="0" t="0" r="0" b="0"/>
            <wp:docPr id="1360139367" name="Picture 1" descr="Table 3. BEB-13 Summary of target wound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39367" name="Picture 1" descr="Table 3. BEB-13 Summary of target wounds (Safety Analysis S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557" cy="2299596"/>
                    </a:xfrm>
                    <a:prstGeom prst="rect">
                      <a:avLst/>
                    </a:prstGeom>
                    <a:noFill/>
                  </pic:spPr>
                </pic:pic>
              </a:graphicData>
            </a:graphic>
          </wp:inline>
        </w:drawing>
      </w:r>
      <w:r w:rsidR="00734E2A">
        <w:rPr>
          <w:noProof/>
        </w:rPr>
        <w:drawing>
          <wp:inline distT="0" distB="0" distL="0" distR="0" wp14:anchorId="0EED01E2" wp14:editId="1038F697">
            <wp:extent cx="5581650" cy="2093549"/>
            <wp:effectExtent l="0" t="0" r="0" b="2540"/>
            <wp:docPr id="1457944020" name="Picture 2" descr="Table 3. BEB-13 Summary of target wound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44020" name="Picture 2" descr="Table 3. BEB-13 Summary of target wounds (Safety Analysis S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9731" cy="2096580"/>
                    </a:xfrm>
                    <a:prstGeom prst="rect">
                      <a:avLst/>
                    </a:prstGeom>
                    <a:noFill/>
                  </pic:spPr>
                </pic:pic>
              </a:graphicData>
            </a:graphic>
          </wp:inline>
        </w:drawing>
      </w:r>
    </w:p>
    <w:p w14:paraId="14FFAA7C" w14:textId="11176C73" w:rsidR="00E72BD0" w:rsidRPr="00683FD5" w:rsidRDefault="00E72BD0" w:rsidP="00E72BD0">
      <w:r w:rsidRPr="00401D5A">
        <w:t>Overall, the mean (SD) size of the target wound in the Safety Analysis Set was 19.20 (9.4) cm</w:t>
      </w:r>
      <w:r w:rsidRPr="00401D5A">
        <w:rPr>
          <w:vertAlign w:val="superscript"/>
        </w:rPr>
        <w:t>2</w:t>
      </w:r>
      <w:r w:rsidRPr="00401D5A">
        <w:t xml:space="preserve"> (range</w:t>
      </w:r>
      <w:r>
        <w:t xml:space="preserve"> </w:t>
      </w:r>
      <w:r w:rsidRPr="00401D5A">
        <w:t>10 cm</w:t>
      </w:r>
      <w:r w:rsidRPr="00401D5A">
        <w:rPr>
          <w:vertAlign w:val="superscript"/>
        </w:rPr>
        <w:t>2</w:t>
      </w:r>
      <w:r w:rsidRPr="00401D5A">
        <w:t xml:space="preserve"> to 49.5 cm</w:t>
      </w:r>
      <w:r w:rsidRPr="00401D5A">
        <w:rPr>
          <w:vertAlign w:val="superscript"/>
        </w:rPr>
        <w:t>2</w:t>
      </w:r>
      <w:r w:rsidRPr="00401D5A">
        <w:t xml:space="preserve">). </w:t>
      </w:r>
      <w:r>
        <w:t>The m</w:t>
      </w:r>
      <w:r w:rsidRPr="00401D5A">
        <w:t>ean (SD) age of the target wound was 125.4 (399.5) days (range 21 days to 4745 days); median</w:t>
      </w:r>
      <w:r>
        <w:t xml:space="preserve"> </w:t>
      </w:r>
      <w:r w:rsidRPr="00401D5A">
        <w:t xml:space="preserve">wound age was 35.5 days. Fourteen </w:t>
      </w:r>
      <w:r>
        <w:t>participants</w:t>
      </w:r>
      <w:r w:rsidRPr="00401D5A">
        <w:t xml:space="preserve"> (n=8, Oleogel-S10 vs. n=6, control gel) with wounds</w:t>
      </w:r>
      <w:r>
        <w:t xml:space="preserve"> persisting longer than</w:t>
      </w:r>
      <w:r w:rsidRPr="00683FD5">
        <w:t xml:space="preserve"> 9 months (range: 11.5 to 156 months) were enrolled prior to the implementation of</w:t>
      </w:r>
      <w:r>
        <w:t xml:space="preserve"> </w:t>
      </w:r>
      <w:r w:rsidRPr="00683FD5">
        <w:t xml:space="preserve">Version 4.0. In the subset of </w:t>
      </w:r>
      <w:r>
        <w:t>participants</w:t>
      </w:r>
      <w:r w:rsidRPr="00683FD5">
        <w:t xml:space="preserve"> with a target wound age of no more than 9 months (N=</w:t>
      </w:r>
      <w:r w:rsidR="00FB3983">
        <w:t xml:space="preserve"> </w:t>
      </w:r>
      <w:r w:rsidRPr="00683FD5">
        <w:t>208), median wound</w:t>
      </w:r>
      <w:r>
        <w:t xml:space="preserve"> </w:t>
      </w:r>
      <w:r w:rsidRPr="00683FD5">
        <w:t>age was 32.0 days.</w:t>
      </w:r>
      <w:r w:rsidRPr="00E87933">
        <w:t xml:space="preserve"> </w:t>
      </w:r>
    </w:p>
    <w:p w14:paraId="2F3C0C40" w14:textId="77777777" w:rsidR="00E72BD0" w:rsidRDefault="00E72BD0" w:rsidP="00E72BD0">
      <w:r w:rsidRPr="00683FD5">
        <w:t>The most common locations of target wounds were the lower leg (20.2%), knee (13.5%), and thigh</w:t>
      </w:r>
      <w:r>
        <w:t xml:space="preserve"> </w:t>
      </w:r>
      <w:r w:rsidRPr="00683FD5">
        <w:t xml:space="preserve">(13.5%). </w:t>
      </w:r>
      <w:r w:rsidRPr="00521CAB">
        <w:t xml:space="preserve">A total of 63 </w:t>
      </w:r>
      <w:r>
        <w:t>participants</w:t>
      </w:r>
      <w:r w:rsidRPr="00521CAB">
        <w:t xml:space="preserve"> had at least </w:t>
      </w:r>
      <w:r>
        <w:t xml:space="preserve">one </w:t>
      </w:r>
      <w:r w:rsidRPr="00521CAB">
        <w:t>additional wound</w:t>
      </w:r>
      <w:r>
        <w:t xml:space="preserve"> </w:t>
      </w:r>
      <w:r w:rsidRPr="00521CAB">
        <w:t xml:space="preserve">that met target wound criteria. Most of these had no more than </w:t>
      </w:r>
      <w:r>
        <w:t>two</w:t>
      </w:r>
      <w:r w:rsidRPr="00521CAB">
        <w:t xml:space="preserve"> additional wounds that met</w:t>
      </w:r>
      <w:r>
        <w:t xml:space="preserve"> </w:t>
      </w:r>
      <w:r w:rsidRPr="00521CAB">
        <w:t xml:space="preserve">the criteria. A higher proportion of </w:t>
      </w:r>
      <w:r>
        <w:t>participants</w:t>
      </w:r>
      <w:r w:rsidRPr="00521CAB">
        <w:t xml:space="preserve"> in the control gel group</w:t>
      </w:r>
      <w:r>
        <w:t xml:space="preserve"> </w:t>
      </w:r>
      <w:r w:rsidRPr="00521CAB">
        <w:t xml:space="preserve">had </w:t>
      </w:r>
      <w:r>
        <w:t>two</w:t>
      </w:r>
      <w:r w:rsidRPr="00521CAB">
        <w:t xml:space="preserve"> or more additional wounds (13/30, 43.3%) compared to the Oleogel-S10 group (8/33, 24.2%)</w:t>
      </w:r>
      <w:r>
        <w:t>. Most</w:t>
      </w:r>
      <w:r w:rsidRPr="009B0AF2">
        <w:t xml:space="preserve"> </w:t>
      </w:r>
      <w:r>
        <w:t>participants</w:t>
      </w:r>
      <w:r w:rsidRPr="009B0AF2">
        <w:t xml:space="preserve"> changed their dressings daily (44.4%) or every 2 days (37.7%). Most</w:t>
      </w:r>
      <w:r>
        <w:t xml:space="preserve"> participants</w:t>
      </w:r>
      <w:r w:rsidRPr="009B0AF2">
        <w:t xml:space="preserve"> (91%) used the same type of dressing for all wounds (</w:t>
      </w:r>
      <w:r w:rsidRPr="009B0AF2">
        <w:rPr>
          <w:i/>
          <w:iCs/>
        </w:rPr>
        <w:t>i.e.</w:t>
      </w:r>
      <w:r w:rsidRPr="009B0AF2">
        <w:t>, target, additional, and</w:t>
      </w:r>
      <w:r>
        <w:t xml:space="preserve"> </w:t>
      </w:r>
      <w:r w:rsidRPr="009B0AF2">
        <w:t xml:space="preserve">other). </w:t>
      </w:r>
    </w:p>
    <w:p w14:paraId="2DAEB0E1" w14:textId="77777777" w:rsidR="00E72BD0" w:rsidRDefault="00E72BD0" w:rsidP="00E72BD0">
      <w:r>
        <w:t>Over 90% of participants in both treatment groups were considered to have a mild total wound burden based on EBDASI skin activity scores, with no reported severe burden, owing to the use of the partial EBDASI scale rather than the complete scale.</w:t>
      </w:r>
    </w:p>
    <w:p w14:paraId="21C47DB8" w14:textId="366BB13B" w:rsidR="00E72BD0" w:rsidRPr="003257FD" w:rsidRDefault="00E72BD0" w:rsidP="00E72BD0">
      <w:r>
        <w:t>T</w:t>
      </w:r>
      <w:r w:rsidRPr="00FB5F3E">
        <w:t xml:space="preserve">he primary efficacy endpoint </w:t>
      </w:r>
      <w:r>
        <w:t xml:space="preserve">in the DBP </w:t>
      </w:r>
      <w:r w:rsidRPr="00FB5F3E">
        <w:t>was met</w:t>
      </w:r>
      <w:r>
        <w:t>.</w:t>
      </w:r>
      <w:r w:rsidRPr="00FB5F3E">
        <w:t xml:space="preserve"> </w:t>
      </w:r>
      <w:r>
        <w:t>The</w:t>
      </w:r>
      <w:r w:rsidRPr="00FB5F3E">
        <w:t xml:space="preserve"> proportion of </w:t>
      </w:r>
      <w:r>
        <w:t xml:space="preserve">study participants reporting </w:t>
      </w:r>
      <w:r w:rsidRPr="00FB5F3E">
        <w:t>first complete closure of the EB target wound within 45 days of initiating treatment was higher in the</w:t>
      </w:r>
      <w:r>
        <w:t xml:space="preserve"> </w:t>
      </w:r>
      <w:r w:rsidRPr="00FB5F3E">
        <w:t>Oleogel-S10 group (41.3%) compared to the control gel group (28.9%). This finding was statistically</w:t>
      </w:r>
      <w:r>
        <w:t xml:space="preserve"> </w:t>
      </w:r>
      <w:r w:rsidRPr="00FB5F3E">
        <w:t>significant in favour of Oleogel-S10 based on the CHW method using the CMH test statistics (p=</w:t>
      </w:r>
      <w:r w:rsidR="00F93486">
        <w:t xml:space="preserve"> </w:t>
      </w:r>
      <w:r w:rsidRPr="00FB5F3E">
        <w:t>0.013)</w:t>
      </w:r>
      <w:r>
        <w:t xml:space="preserve"> </w:t>
      </w:r>
      <w:r w:rsidRPr="00FB5F3E">
        <w:t>and based on the unadjusted CMH test (p=</w:t>
      </w:r>
      <w:r w:rsidR="00F93486">
        <w:t xml:space="preserve"> </w:t>
      </w:r>
      <w:r w:rsidRPr="00FB5F3E">
        <w:t>0.041).</w:t>
      </w:r>
      <w:r>
        <w:t xml:space="preserve"> Participants</w:t>
      </w:r>
      <w:r>
        <w:lastRenderedPageBreak/>
        <w:tab/>
      </w:r>
      <w:r w:rsidRPr="003257FD">
        <w:t xml:space="preserve"> in the Oleogel-S10 group were 44% more likely to achieve the first</w:t>
      </w:r>
      <w:r>
        <w:t xml:space="preserve"> </w:t>
      </w:r>
      <w:r w:rsidRPr="003257FD">
        <w:t xml:space="preserve">complete closure of the EB target wound within 45 days of treatment compared to </w:t>
      </w:r>
      <w:r>
        <w:t>those in</w:t>
      </w:r>
      <w:r w:rsidRPr="003257FD">
        <w:t xml:space="preserve"> the control gel group.</w:t>
      </w:r>
    </w:p>
    <w:p w14:paraId="0A17D31A" w14:textId="07D9486C" w:rsidR="00E72BD0" w:rsidRPr="003257FD" w:rsidRDefault="00E72BD0" w:rsidP="00E72BD0">
      <w:r w:rsidRPr="003257FD">
        <w:t>Similar results for the primary efficacy analysis were seen when the CAS or PPS were evaluated, with statistically</w:t>
      </w:r>
      <w:r>
        <w:t xml:space="preserve"> </w:t>
      </w:r>
      <w:r w:rsidRPr="003257FD">
        <w:t>significant results for the CAS (p=</w:t>
      </w:r>
      <w:r w:rsidR="0077365F">
        <w:t xml:space="preserve"> </w:t>
      </w:r>
      <w:r w:rsidRPr="003257FD">
        <w:t>0.034)</w:t>
      </w:r>
      <w:r>
        <w:t xml:space="preserve"> but not the PPS</w:t>
      </w:r>
      <w:r w:rsidRPr="003257FD">
        <w:t>.</w:t>
      </w:r>
    </w:p>
    <w:p w14:paraId="5E454C67" w14:textId="77777777" w:rsidR="00A62BAB" w:rsidRDefault="00E72BD0" w:rsidP="00E72BD0">
      <w:r>
        <w:t>Most s</w:t>
      </w:r>
      <w:r w:rsidRPr="003257FD">
        <w:t>ensitivity analyses</w:t>
      </w:r>
      <w:r>
        <w:t xml:space="preserve"> </w:t>
      </w:r>
      <w:r w:rsidRPr="003257FD">
        <w:t>did not achieve</w:t>
      </w:r>
      <w:r>
        <w:t xml:space="preserve"> </w:t>
      </w:r>
      <w:r w:rsidRPr="003257FD">
        <w:t>statistical significance</w:t>
      </w:r>
      <w:r>
        <w:t xml:space="preserve"> although the results directionally supported the</w:t>
      </w:r>
      <w:r w:rsidRPr="003257FD">
        <w:t xml:space="preserve"> results of the primary efficacy analysis.</w:t>
      </w:r>
      <w:r>
        <w:t xml:space="preserve"> </w:t>
      </w:r>
    </w:p>
    <w:p w14:paraId="102371F3" w14:textId="3CDFC0E9" w:rsidR="00012B23" w:rsidRDefault="00E72BD0" w:rsidP="00012B23">
      <w:r>
        <w:t>The</w:t>
      </w:r>
      <w:r w:rsidR="00A62BAB" w:rsidRPr="00A62BAB">
        <w:t xml:space="preserve"> Committee for Medicinal Products for Human Use (CHMP- EMA)</w:t>
      </w:r>
      <w:r>
        <w:t xml:space="preserve"> evaluators made the following comments</w:t>
      </w:r>
      <w:r w:rsidR="00F11336">
        <w:t>:</w:t>
      </w:r>
    </w:p>
    <w:p w14:paraId="4F0A40B5" w14:textId="65FEA02F" w:rsidR="00E72BD0" w:rsidRDefault="00012B23" w:rsidP="00012B23">
      <w:pPr>
        <w:ind w:left="720"/>
      </w:pPr>
      <w:r w:rsidRPr="00012B23">
        <w:rPr>
          <w:i/>
          <w:iCs/>
        </w:rPr>
        <w:t xml:space="preserve"> Although the primary endpoint was statistically significant at the nominal (2 sided) 5% level, this was not statistically compelling in the context of a single pivotal trial. This compounded with several amendments to the SAP and protocol as well as concerns about type I error control with the CHW method, raised questions around the integrity of the data. Both p-values of 0.041 and 0.013 … are questionable. In the D120 response, justification for adequate type I error control with the CHW method was provided. Hence, even if concerns related to the </w:t>
      </w:r>
      <w:proofErr w:type="gramStart"/>
      <w:r w:rsidRPr="00012B23">
        <w:rPr>
          <w:i/>
          <w:iCs/>
        </w:rPr>
        <w:t>type</w:t>
      </w:r>
      <w:proofErr w:type="gramEnd"/>
      <w:r w:rsidRPr="00012B23">
        <w:rPr>
          <w:i/>
          <w:iCs/>
        </w:rPr>
        <w:t xml:space="preserve"> I error control have been alleviated, it was still questioned whether the results are sufficiently robust and compelling, thus a major objection was raised.</w:t>
      </w:r>
      <w:r w:rsidR="00810359" w:rsidRPr="00810359">
        <w:rPr>
          <w:vertAlign w:val="superscript"/>
        </w:rPr>
        <w:fldChar w:fldCharType="begin"/>
      </w:r>
      <w:r w:rsidR="00810359" w:rsidRPr="00810359">
        <w:rPr>
          <w:vertAlign w:val="superscript"/>
        </w:rPr>
        <w:instrText xml:space="preserve"> NOTEREF _Ref230878876 \h </w:instrText>
      </w:r>
      <w:r w:rsidR="00810359">
        <w:rPr>
          <w:vertAlign w:val="superscript"/>
        </w:rPr>
        <w:instrText xml:space="preserve"> \* MERGEFORMAT </w:instrText>
      </w:r>
      <w:r w:rsidR="00810359" w:rsidRPr="00810359">
        <w:rPr>
          <w:vertAlign w:val="superscript"/>
        </w:rPr>
      </w:r>
      <w:r w:rsidR="00810359" w:rsidRPr="00810359">
        <w:rPr>
          <w:vertAlign w:val="superscript"/>
        </w:rPr>
        <w:fldChar w:fldCharType="separate"/>
      </w:r>
      <w:r w:rsidR="00810359" w:rsidRPr="00810359">
        <w:rPr>
          <w:vertAlign w:val="superscript"/>
        </w:rPr>
        <w:t>16</w:t>
      </w:r>
      <w:r w:rsidR="00810359" w:rsidRPr="00810359">
        <w:rPr>
          <w:vertAlign w:val="superscript"/>
        </w:rPr>
        <w:fldChar w:fldCharType="end"/>
      </w:r>
    </w:p>
    <w:p w14:paraId="4909510F" w14:textId="07FB7DB8" w:rsidR="00E72BD0" w:rsidRPr="008E739A" w:rsidRDefault="00E72BD0" w:rsidP="00E72BD0">
      <w:r>
        <w:t xml:space="preserve">This major objection was resolved with a </w:t>
      </w:r>
      <w:r w:rsidR="00E65889">
        <w:rPr>
          <w:i/>
          <w:iCs/>
        </w:rPr>
        <w:t>verbal</w:t>
      </w:r>
      <w:r>
        <w:rPr>
          <w:i/>
          <w:iCs/>
        </w:rPr>
        <w:t xml:space="preserve"> explanation </w:t>
      </w:r>
      <w:r>
        <w:t>and CHMP review of several alternative sensitivity analyses to support the primary conclusion</w:t>
      </w:r>
      <w:r w:rsidR="00707AE8">
        <w:t>.</w:t>
      </w:r>
      <w:bookmarkStart w:id="57" w:name="_Ref230962465"/>
      <w:r>
        <w:rPr>
          <w:rStyle w:val="FootnoteReference"/>
        </w:rPr>
        <w:footnoteReference w:id="28"/>
      </w:r>
      <w:bookmarkEnd w:id="57"/>
    </w:p>
    <w:p w14:paraId="05779547" w14:textId="35BBFD99" w:rsidR="00E72BD0" w:rsidRDefault="00E72BD0" w:rsidP="00E72BD0">
      <w:r>
        <w:t>T</w:t>
      </w:r>
      <w:r w:rsidRPr="00FB5F3E">
        <w:t>he results for the first key secondary endpoint were not</w:t>
      </w:r>
      <w:r>
        <w:t xml:space="preserve"> </w:t>
      </w:r>
      <w:r w:rsidRPr="00FB5F3E">
        <w:t>statistically significant</w:t>
      </w:r>
      <w:r>
        <w:t xml:space="preserve">. </w:t>
      </w:r>
      <w:r w:rsidRPr="006602A3">
        <w:t xml:space="preserve">50.5% of </w:t>
      </w:r>
      <w:r>
        <w:t>participants</w:t>
      </w:r>
      <w:r w:rsidRPr="006602A3">
        <w:t xml:space="preserve"> in the Oleogel-S10 group achieved first EB target wound closure </w:t>
      </w:r>
      <w:r>
        <w:t>by 90±7 days compared to</w:t>
      </w:r>
      <w:r w:rsidRPr="006602A3">
        <w:t xml:space="preserve"> 43.9%</w:t>
      </w:r>
      <w:r>
        <w:t xml:space="preserve"> </w:t>
      </w:r>
      <w:r w:rsidRPr="006602A3">
        <w:t xml:space="preserve">of </w:t>
      </w:r>
      <w:r>
        <w:t>participants</w:t>
      </w:r>
      <w:r w:rsidRPr="006602A3">
        <w:t xml:space="preserve"> in the control gel group</w:t>
      </w:r>
      <w:r>
        <w:t xml:space="preserve"> </w:t>
      </w:r>
      <w:r w:rsidRPr="00C212F3">
        <w:t>(p=</w:t>
      </w:r>
      <w:r w:rsidR="0077365F">
        <w:t xml:space="preserve"> </w:t>
      </w:r>
      <w:r w:rsidRPr="00C212F3">
        <w:t>0.</w:t>
      </w:r>
      <w:r w:rsidR="00FF5F0B">
        <w:t>296</w:t>
      </w:r>
      <w:r w:rsidRPr="00C212F3">
        <w:t>).</w:t>
      </w:r>
      <w:r>
        <w:t xml:space="preserve"> Under hierarchical testing strategies, results for the other secondary endpoints were subsequently not tested for statistical significance and are only presented here using descriptive statistics.</w:t>
      </w:r>
    </w:p>
    <w:p w14:paraId="57A67CB0" w14:textId="77777777" w:rsidR="00E72BD0" w:rsidRDefault="00E72BD0" w:rsidP="00E72BD0">
      <w:r w:rsidRPr="001819A0">
        <w:t xml:space="preserve">The median time to closure within 90 days was similar between the </w:t>
      </w:r>
      <w:r>
        <w:t>two</w:t>
      </w:r>
      <w:r w:rsidRPr="001819A0">
        <w:t xml:space="preserve"> treatment groups (92 days Oleogel-S10 and</w:t>
      </w:r>
      <w:r>
        <w:t xml:space="preserve"> </w:t>
      </w:r>
      <w:r w:rsidRPr="001819A0">
        <w:t xml:space="preserve">94 days control gel). </w:t>
      </w:r>
      <w:r>
        <w:t>Participants</w:t>
      </w:r>
      <w:r w:rsidRPr="006E0376">
        <w:t xml:space="preserve"> with the RDEB subtype who were treated with Oleogel-S10 had a</w:t>
      </w:r>
      <w:r>
        <w:t xml:space="preserve"> </w:t>
      </w:r>
      <w:r w:rsidRPr="006E0376">
        <w:t>faster median time to closure of the EB target wound than subjects with RDEB who were treated with control gel</w:t>
      </w:r>
      <w:r>
        <w:t xml:space="preserve"> </w:t>
      </w:r>
      <w:r w:rsidRPr="006E0376">
        <w:t>(64 days vs 94 days, respectively).</w:t>
      </w:r>
      <w:r>
        <w:t xml:space="preserve"> </w:t>
      </w:r>
    </w:p>
    <w:p w14:paraId="290A591C" w14:textId="77777777" w:rsidR="00E72BD0" w:rsidRDefault="00E72BD0" w:rsidP="00E72BD0">
      <w:r>
        <w:t>Regarding</w:t>
      </w:r>
      <w:r w:rsidRPr="00D26DAC">
        <w:t xml:space="preserve"> wound infection </w:t>
      </w:r>
      <w:r>
        <w:t>adverse events (</w:t>
      </w:r>
      <w:r w:rsidRPr="00D26DAC">
        <w:t>AEs</w:t>
      </w:r>
      <w:r>
        <w:t xml:space="preserve">) </w:t>
      </w:r>
      <w:r w:rsidRPr="00D26DAC">
        <w:t xml:space="preserve">and/or use of topical and/or systemic antibiotics </w:t>
      </w:r>
      <w:r>
        <w:t>two participants (1.8%)</w:t>
      </w:r>
      <w:r w:rsidRPr="00D26DAC">
        <w:t xml:space="preserve"> treated with Oleogel-S10</w:t>
      </w:r>
      <w:r>
        <w:t xml:space="preserve"> and five participants (4.4%) in the control group were reported to have</w:t>
      </w:r>
      <w:r w:rsidRPr="00D26DAC">
        <w:t xml:space="preserve"> experienced a target wound infection between baseline and</w:t>
      </w:r>
      <w:r>
        <w:t xml:space="preserve"> </w:t>
      </w:r>
      <w:r w:rsidRPr="00D26DAC">
        <w:t>Day 90</w:t>
      </w:r>
      <w:r>
        <w:t>. It was later identified that in one participant</w:t>
      </w:r>
      <w:r w:rsidRPr="00D26DAC">
        <w:t xml:space="preserve"> in the Oleogel-S10 group</w:t>
      </w:r>
      <w:r>
        <w:t xml:space="preserve"> </w:t>
      </w:r>
      <w:r w:rsidRPr="00D26DAC">
        <w:t>the infection occurred in a non</w:t>
      </w:r>
      <w:r>
        <w:t>-</w:t>
      </w:r>
      <w:r w:rsidRPr="00D26DAC">
        <w:t>target woun</w:t>
      </w:r>
      <w:r>
        <w:t xml:space="preserve">d. </w:t>
      </w:r>
      <w:r w:rsidRPr="00D26DAC">
        <w:t>Wound infection</w:t>
      </w:r>
      <w:r>
        <w:t>s in the treatment group were reported to be less severe than in the control group.</w:t>
      </w:r>
      <w:r w:rsidRPr="00D26DAC">
        <w:t xml:space="preserve"> </w:t>
      </w:r>
    </w:p>
    <w:p w14:paraId="0D09539A" w14:textId="77777777" w:rsidR="00E72BD0" w:rsidRDefault="00E72BD0" w:rsidP="00E72BD0">
      <w:r>
        <w:t>The</w:t>
      </w:r>
      <w:r w:rsidRPr="002F5D7E">
        <w:t xml:space="preserve"> mean EBDASI skin activity score </w:t>
      </w:r>
      <w:r>
        <w:t xml:space="preserve">at baseline </w:t>
      </w:r>
      <w:r w:rsidRPr="002F5D7E">
        <w:t>was 19.6 (SD: 11.91)</w:t>
      </w:r>
      <w:r>
        <w:t xml:space="preserve">. Small mean decreases (reflecting </w:t>
      </w:r>
      <w:r w:rsidRPr="00ED258D">
        <w:t xml:space="preserve">improvement) </w:t>
      </w:r>
      <w:r>
        <w:t>were reported in the Oleogel-S10 treatment group</w:t>
      </w:r>
      <w:r w:rsidRPr="00ED258D">
        <w:t xml:space="preserve"> at Day 30, 60, or 90</w:t>
      </w:r>
      <w:r>
        <w:t xml:space="preserve"> </w:t>
      </w:r>
      <w:r w:rsidRPr="00ED258D">
        <w:t>(Day 30: -0.64, Day 60: -1.08, Day 90: -0.44)</w:t>
      </w:r>
      <w:r>
        <w:t>; there were arguably comparable improvements in the control group at Day 30 and Day 90, but not at Day 60</w:t>
      </w:r>
      <w:r w:rsidRPr="00ED258D">
        <w:t xml:space="preserve"> (Day 30: -0.59, Day 60: </w:t>
      </w:r>
      <w:r>
        <w:t>+</w:t>
      </w:r>
      <w:r w:rsidRPr="00ED258D">
        <w:t>0.09, Day 90: -0.56)</w:t>
      </w:r>
      <w:r>
        <w:t>.</w:t>
      </w:r>
    </w:p>
    <w:p w14:paraId="39D8F8E9" w14:textId="77777777" w:rsidR="00E72BD0" w:rsidRDefault="00E72BD0" w:rsidP="00E72BD0">
      <w:pPr>
        <w:spacing w:after="0"/>
      </w:pPr>
      <w:r>
        <w:t>Using the</w:t>
      </w:r>
      <w:r w:rsidRPr="00977100">
        <w:t xml:space="preserve"> Itch Man</w:t>
      </w:r>
      <w:r>
        <w:t xml:space="preserve"> </w:t>
      </w:r>
      <w:r w:rsidRPr="00977100">
        <w:t>Scale</w:t>
      </w:r>
      <w:r>
        <w:t>,</w:t>
      </w:r>
      <w:r w:rsidRPr="00977100">
        <w:t xml:space="preserve"> </w:t>
      </w:r>
      <w:r>
        <w:t>children</w:t>
      </w:r>
      <w:r w:rsidRPr="00977100">
        <w:t xml:space="preserve"> </w:t>
      </w:r>
      <w:r>
        <w:t xml:space="preserve">aged </w:t>
      </w:r>
      <w:r w:rsidRPr="00977100">
        <w:t xml:space="preserve">4 to 13 years in both </w:t>
      </w:r>
      <w:r>
        <w:t xml:space="preserve">treatment </w:t>
      </w:r>
      <w:r w:rsidRPr="00977100">
        <w:t xml:space="preserve">groups </w:t>
      </w:r>
      <w:r>
        <w:t>recorded</w:t>
      </w:r>
      <w:r w:rsidRPr="00977100">
        <w:t xml:space="preserve"> </w:t>
      </w:r>
      <w:r>
        <w:t xml:space="preserve">small mean </w:t>
      </w:r>
      <w:r w:rsidRPr="00977100">
        <w:t xml:space="preserve">improvements </w:t>
      </w:r>
      <w:r>
        <w:t xml:space="preserve">in itching </w:t>
      </w:r>
      <w:r w:rsidRPr="00977100">
        <w:t>from baseline</w:t>
      </w:r>
      <w:r>
        <w:t xml:space="preserve"> at 90 days</w:t>
      </w:r>
      <w:r w:rsidRPr="00977100">
        <w:t xml:space="preserve"> (-0.44 Oleogel-S10 group vs -1.0 control gel group).</w:t>
      </w:r>
      <w:r w:rsidRPr="00EA765D">
        <w:rPr>
          <w:rFonts w:ascii="Verdana" w:hAnsi="Verdana" w:cs="Verdana"/>
          <w:sz w:val="18"/>
          <w:szCs w:val="18"/>
        </w:rPr>
        <w:t xml:space="preserve"> </w:t>
      </w:r>
      <w:r>
        <w:t xml:space="preserve">Using multiple domains of the Leuven Itch Scale, older participants in the Oleogel-S10 group reported </w:t>
      </w:r>
      <w:r w:rsidRPr="00EA765D">
        <w:t>greater</w:t>
      </w:r>
      <w:r>
        <w:t xml:space="preserve"> </w:t>
      </w:r>
      <w:r w:rsidRPr="00EA765D">
        <w:t xml:space="preserve">mean reductions in the duration (-0.93 Oleogel-S10 vs </w:t>
      </w:r>
      <w:r>
        <w:t>+</w:t>
      </w:r>
      <w:r w:rsidRPr="00EA765D">
        <w:t xml:space="preserve">0.98 control gel), consequence (-4.39 </w:t>
      </w:r>
      <w:proofErr w:type="spellStart"/>
      <w:r w:rsidRPr="00EA765D">
        <w:t>Oleogel</w:t>
      </w:r>
      <w:proofErr w:type="spellEnd"/>
      <w:r w:rsidRPr="00EA765D">
        <w:t>-</w:t>
      </w:r>
      <w:r>
        <w:t xml:space="preserve"> </w:t>
      </w:r>
      <w:r w:rsidRPr="00EA765D">
        <w:t xml:space="preserve">S10 vs -3.54 control gel), distress (-0.44 Oleogel-S10 vs -0.26 </w:t>
      </w:r>
      <w:r w:rsidRPr="00EA765D">
        <w:lastRenderedPageBreak/>
        <w:t xml:space="preserve">control gel), and surface areas </w:t>
      </w:r>
      <w:r>
        <w:t xml:space="preserve">affected by itch </w:t>
      </w:r>
      <w:r w:rsidRPr="00EA765D">
        <w:t>(-1.54</w:t>
      </w:r>
      <w:r>
        <w:t xml:space="preserve"> </w:t>
      </w:r>
      <w:r w:rsidRPr="00EA765D">
        <w:t xml:space="preserve">Oleogel-S10 vs </w:t>
      </w:r>
      <w:r>
        <w:t>+</w:t>
      </w:r>
      <w:r w:rsidRPr="00EA765D">
        <w:t xml:space="preserve">0.68 control gel) </w:t>
      </w:r>
      <w:r>
        <w:t>at Day 90</w:t>
      </w:r>
      <w:r w:rsidRPr="00EA765D">
        <w:t xml:space="preserve">, while </w:t>
      </w:r>
      <w:r>
        <w:t xml:space="preserve">participants in the control gel group recorded </w:t>
      </w:r>
      <w:r w:rsidRPr="00EA765D">
        <w:t>greater mean reductions from baseline in the frequency (-8.13 Oleogel-S10 vs. -10.14</w:t>
      </w:r>
      <w:r>
        <w:t xml:space="preserve"> </w:t>
      </w:r>
      <w:r w:rsidRPr="00EA765D">
        <w:t xml:space="preserve">control gel) and severity </w:t>
      </w:r>
      <w:r>
        <w:t xml:space="preserve">of itch </w:t>
      </w:r>
      <w:r w:rsidRPr="00EA765D">
        <w:t xml:space="preserve">(-4.95 Oleogel-S10 vs. -10.76 control gel) </w:t>
      </w:r>
      <w:r>
        <w:t>at Day 90</w:t>
      </w:r>
      <w:r w:rsidRPr="00EA765D">
        <w:t>.</w:t>
      </w:r>
    </w:p>
    <w:p w14:paraId="53D1E4CD" w14:textId="606FEB93" w:rsidR="00E72BD0" w:rsidRDefault="00E72BD0" w:rsidP="00E72BD0">
      <w:r>
        <w:rPr>
          <w:i/>
          <w:iCs/>
        </w:rPr>
        <w:t>Post hoc</w:t>
      </w:r>
      <w:r>
        <w:t xml:space="preserve"> analysis demonstrating</w:t>
      </w:r>
      <w:r w:rsidRPr="00BF3709">
        <w:t xml:space="preserve"> a </w:t>
      </w:r>
      <w:r>
        <w:t xml:space="preserve">significant </w:t>
      </w:r>
      <w:r w:rsidRPr="00BF3709">
        <w:t xml:space="preserve">reduction in size </w:t>
      </w:r>
      <w:r>
        <w:t xml:space="preserve">of the target EB wound </w:t>
      </w:r>
      <w:r w:rsidRPr="00BF3709">
        <w:t xml:space="preserve">from a mean of </w:t>
      </w:r>
      <w:r w:rsidR="00291508">
        <w:t>16.68</w:t>
      </w:r>
      <w:r w:rsidRPr="00BF3709">
        <w:t xml:space="preserve"> cm</w:t>
      </w:r>
      <w:r w:rsidRPr="00BF3709">
        <w:rPr>
          <w:vertAlign w:val="superscript"/>
        </w:rPr>
        <w:t>2</w:t>
      </w:r>
      <w:r w:rsidRPr="00BF3709">
        <w:t xml:space="preserve"> at</w:t>
      </w:r>
      <w:r>
        <w:t xml:space="preserve"> </w:t>
      </w:r>
      <w:r w:rsidRPr="00BF3709">
        <w:t>baseline to 7.</w:t>
      </w:r>
      <w:r w:rsidR="00BE4BA9">
        <w:t>72</w:t>
      </w:r>
      <w:r w:rsidRPr="00BF3709">
        <w:t xml:space="preserve"> cm</w:t>
      </w:r>
      <w:r w:rsidRPr="00BF3709">
        <w:rPr>
          <w:vertAlign w:val="superscript"/>
        </w:rPr>
        <w:t>2</w:t>
      </w:r>
      <w:r w:rsidRPr="00BF3709">
        <w:t xml:space="preserve"> by Day 45 </w:t>
      </w:r>
      <w:r>
        <w:t>(</w:t>
      </w:r>
      <w:r w:rsidRPr="00BF3709">
        <w:t>-</w:t>
      </w:r>
      <w:r w:rsidR="00475367">
        <w:t>8.96</w:t>
      </w:r>
      <w:r w:rsidRPr="00BF3709">
        <w:t xml:space="preserve"> cm</w:t>
      </w:r>
      <w:r w:rsidRPr="00BF3709">
        <w:rPr>
          <w:vertAlign w:val="superscript"/>
        </w:rPr>
        <w:t>2</w:t>
      </w:r>
      <w:r>
        <w:t xml:space="preserve">) </w:t>
      </w:r>
      <w:r w:rsidRPr="00BF3709">
        <w:t>for Oleogel-S10, compared to a reduction from 1</w:t>
      </w:r>
      <w:r w:rsidR="003E5D13">
        <w:t>7.44</w:t>
      </w:r>
      <w:r w:rsidRPr="00BF3709">
        <w:t xml:space="preserve"> cm</w:t>
      </w:r>
      <w:r w:rsidRPr="00BF3709">
        <w:rPr>
          <w:vertAlign w:val="superscript"/>
        </w:rPr>
        <w:t>2</w:t>
      </w:r>
      <w:r w:rsidRPr="00BF3709">
        <w:t xml:space="preserve"> at</w:t>
      </w:r>
      <w:r>
        <w:t xml:space="preserve"> </w:t>
      </w:r>
      <w:r w:rsidRPr="00BF3709">
        <w:t xml:space="preserve">baseline to </w:t>
      </w:r>
      <w:r w:rsidR="00BE4BA9">
        <w:t>10.51</w:t>
      </w:r>
      <w:r w:rsidRPr="00BF3709">
        <w:t xml:space="preserve"> cm</w:t>
      </w:r>
      <w:r w:rsidRPr="00BF3709">
        <w:rPr>
          <w:vertAlign w:val="superscript"/>
        </w:rPr>
        <w:t>2</w:t>
      </w:r>
      <w:r w:rsidRPr="00BF3709">
        <w:t xml:space="preserve"> by Day 45 </w:t>
      </w:r>
      <w:r>
        <w:t>(</w:t>
      </w:r>
      <w:r w:rsidRPr="00BF3709">
        <w:t>-</w:t>
      </w:r>
      <w:r w:rsidR="009D4FF3">
        <w:t>6.93</w:t>
      </w:r>
      <w:r w:rsidRPr="00BF3709">
        <w:t xml:space="preserve"> cm</w:t>
      </w:r>
      <w:r w:rsidRPr="00BF3709">
        <w:rPr>
          <w:vertAlign w:val="superscript"/>
        </w:rPr>
        <w:t>2</w:t>
      </w:r>
      <w:r>
        <w:t>)</w:t>
      </w:r>
      <w:r w:rsidRPr="00BF3709">
        <w:t xml:space="preserve"> for the control gel arm</w:t>
      </w:r>
      <w:r>
        <w:t xml:space="preserve"> was not considered meaningful by the evaluators.</w:t>
      </w:r>
    </w:p>
    <w:p w14:paraId="3643645D" w14:textId="77777777" w:rsidR="00E72BD0" w:rsidRDefault="00E72BD0" w:rsidP="00D828AC">
      <w:pPr>
        <w:pStyle w:val="Heading5"/>
      </w:pPr>
      <w:r>
        <w:t>Supportive studies</w:t>
      </w:r>
    </w:p>
    <w:p w14:paraId="526E2019" w14:textId="77777777" w:rsidR="00E72BD0" w:rsidRDefault="00E72BD0" w:rsidP="00420EDD">
      <w:pPr>
        <w:pStyle w:val="Heading6"/>
      </w:pPr>
      <w:r>
        <w:t>Study BEB-10</w:t>
      </w:r>
    </w:p>
    <w:p w14:paraId="65D23087" w14:textId="4F0D70A3" w:rsidR="00E72BD0" w:rsidRPr="0030034F" w:rsidRDefault="00E72BD0" w:rsidP="00E72BD0">
      <w:r>
        <w:t xml:space="preserve">Study BEB-10 </w:t>
      </w:r>
      <w:r w:rsidRPr="0030034F">
        <w:t xml:space="preserve">was a Phase 2 open-label, prospective, blindly evaluated controlled case series </w:t>
      </w:r>
      <w:r>
        <w:t xml:space="preserve">in 10 children and adults that </w:t>
      </w:r>
      <w:r w:rsidRPr="0030034F">
        <w:t>compare</w:t>
      </w:r>
      <w:r>
        <w:t>d</w:t>
      </w:r>
      <w:r w:rsidRPr="0030034F">
        <w:t xml:space="preserve"> the efficacy and tolerance of Oleogel-S10</w:t>
      </w:r>
      <w:r>
        <w:t xml:space="preserve"> (named </w:t>
      </w:r>
      <w:proofErr w:type="spellStart"/>
      <w:r>
        <w:t>Sericare</w:t>
      </w:r>
      <w:proofErr w:type="spellEnd"/>
      <w:r>
        <w:t xml:space="preserve"> in this study)</w:t>
      </w:r>
      <w:r w:rsidRPr="0030034F">
        <w:t xml:space="preserve"> versus non-adhesive</w:t>
      </w:r>
      <w:r>
        <w:t xml:space="preserve"> </w:t>
      </w:r>
      <w:r w:rsidRPr="0030034F">
        <w:t>wound dressing alone in accelerating the epithelialisation of skin lesions in patients with inherited EB.</w:t>
      </w:r>
      <w:r>
        <w:t xml:space="preserve"> Male or female with at least one skin lesion between </w:t>
      </w:r>
      <w:r w:rsidRPr="00FA2B4D">
        <w:t>10 cm</w:t>
      </w:r>
      <w:r w:rsidRPr="00FA2B4D">
        <w:rPr>
          <w:vertAlign w:val="superscript"/>
        </w:rPr>
        <w:t>2</w:t>
      </w:r>
      <w:r w:rsidRPr="00FA2B4D">
        <w:t xml:space="preserve"> and 200 cm</w:t>
      </w:r>
      <w:r w:rsidRPr="00FA2B4D">
        <w:rPr>
          <w:vertAlign w:val="superscript"/>
        </w:rPr>
        <w:t>2</w:t>
      </w:r>
      <w:r>
        <w:t xml:space="preserve"> or two comparable skin lesions of at least 5 cm</w:t>
      </w:r>
      <w:r>
        <w:rPr>
          <w:vertAlign w:val="superscript"/>
        </w:rPr>
        <w:t>2</w:t>
      </w:r>
      <w:r>
        <w:t xml:space="preserve"> each were enrolled in the study.</w:t>
      </w:r>
    </w:p>
    <w:p w14:paraId="4B9C95E4" w14:textId="77777777" w:rsidR="00E72BD0" w:rsidRDefault="00E72BD0" w:rsidP="00E72BD0">
      <w:r w:rsidRPr="0030034F">
        <w:t>The study was conducted a</w:t>
      </w:r>
      <w:r>
        <w:t>t</w:t>
      </w:r>
      <w:r w:rsidRPr="0030034F">
        <w:t xml:space="preserve"> a single centre in Germany, between 3 November 2010 and 14 June</w:t>
      </w:r>
      <w:r>
        <w:t xml:space="preserve"> </w:t>
      </w:r>
      <w:r w:rsidRPr="0030034F">
        <w:t>2011.</w:t>
      </w:r>
      <w:r>
        <w:t xml:space="preserve"> Nine</w:t>
      </w:r>
      <w:r w:rsidRPr="008E247C">
        <w:t xml:space="preserve"> patients diagnosed with RDEB</w:t>
      </w:r>
      <w:r>
        <w:t xml:space="preserve"> </w:t>
      </w:r>
      <w:r w:rsidRPr="008E247C">
        <w:t xml:space="preserve">and </w:t>
      </w:r>
      <w:r>
        <w:t>one</w:t>
      </w:r>
      <w:r w:rsidRPr="008E247C">
        <w:t xml:space="preserve"> patient with DDEB were included.</w:t>
      </w:r>
      <w:r>
        <w:t xml:space="preserve"> Study participants ranged from six years to 48 years of age, seven were male, three were female, and five participants were younger than 18 years old.</w:t>
      </w:r>
    </w:p>
    <w:p w14:paraId="512F266A" w14:textId="77777777" w:rsidR="00E72BD0" w:rsidRPr="0066162F" w:rsidRDefault="00E72BD0" w:rsidP="00E72BD0">
      <w:r w:rsidRPr="0066162F">
        <w:t>The primary objective of the study was to compare wound re-epithelialisation of half of the skin</w:t>
      </w:r>
      <w:r>
        <w:t xml:space="preserve"> </w:t>
      </w:r>
      <w:r w:rsidRPr="0066162F">
        <w:t>lesion which was treated with Oleogel-S10 + non-adhesive wound dressing</w:t>
      </w:r>
      <w:r>
        <w:t>,</w:t>
      </w:r>
      <w:r w:rsidRPr="0066162F">
        <w:t xml:space="preserve"> to that </w:t>
      </w:r>
      <w:r>
        <w:t xml:space="preserve">half </w:t>
      </w:r>
      <w:r w:rsidRPr="0066162F">
        <w:t xml:space="preserve">of the </w:t>
      </w:r>
      <w:r>
        <w:t xml:space="preserve">lesion </w:t>
      </w:r>
      <w:r w:rsidRPr="0066162F">
        <w:t>which was covered by non-adhesive wound dressing only (intra-individual comparison).</w:t>
      </w:r>
      <w:r>
        <w:t xml:space="preserve"> In one participant the comparison was made between two comparable lesions.</w:t>
      </w:r>
    </w:p>
    <w:p w14:paraId="18E1A181" w14:textId="77777777" w:rsidR="00E72BD0" w:rsidRDefault="00E72BD0" w:rsidP="00E72BD0">
      <w:r w:rsidRPr="0066162F">
        <w:t>The primary efficacy variable was the progress of re-epithelialisation from baseline to either D14 or</w:t>
      </w:r>
      <w:r>
        <w:t xml:space="preserve"> </w:t>
      </w:r>
      <w:r w:rsidRPr="0066162F">
        <w:t>D28 of that half of the wound treated with Oleogel-S10 + non-adhesive wound dressing (Mepilex)</w:t>
      </w:r>
      <w:r>
        <w:t xml:space="preserve"> </w:t>
      </w:r>
      <w:r w:rsidRPr="0066162F">
        <w:t>compared to the other part of the wound covered with non-adhesive wound dressing only</w:t>
      </w:r>
      <w:r>
        <w:t>, or progress</w:t>
      </w:r>
      <w:r w:rsidRPr="0066162F">
        <w:t xml:space="preserve"> of re-epithelialisation from baseline to D14 or</w:t>
      </w:r>
      <w:r>
        <w:t xml:space="preserve"> </w:t>
      </w:r>
      <w:r w:rsidRPr="0066162F">
        <w:t xml:space="preserve">D28 of </w:t>
      </w:r>
      <w:r>
        <w:t>two</w:t>
      </w:r>
      <w:r w:rsidRPr="0066162F">
        <w:t xml:space="preserve"> comparable lesions of at least 5 cm</w:t>
      </w:r>
      <w:r w:rsidRPr="00E8761C">
        <w:rPr>
          <w:vertAlign w:val="superscript"/>
        </w:rPr>
        <w:t>2</w:t>
      </w:r>
      <w:r w:rsidRPr="0066162F">
        <w:t xml:space="preserve"> </w:t>
      </w:r>
      <w:r>
        <w:t>(one treated with Oleogel-S10 and dressing, the other just dressing)</w:t>
      </w:r>
      <w:r w:rsidRPr="0066162F">
        <w:t>.</w:t>
      </w:r>
      <w:r>
        <w:t xml:space="preserve"> </w:t>
      </w:r>
      <w:r w:rsidRPr="00167F4A">
        <w:t>Secondary objectives were to evaluate percentage of wound epithelialisation, touch sensitivity, itching,</w:t>
      </w:r>
      <w:r>
        <w:t xml:space="preserve"> </w:t>
      </w:r>
      <w:r w:rsidRPr="00167F4A">
        <w:t>exudation, and assessment of efficacy (evaluated by both the investigators and patients and/or his/her</w:t>
      </w:r>
      <w:r>
        <w:t xml:space="preserve"> </w:t>
      </w:r>
      <w:r w:rsidRPr="00167F4A">
        <w:t>legal representative) and assessment of tolerance (evaluated by both the investigators and patients</w:t>
      </w:r>
      <w:r>
        <w:t xml:space="preserve"> </w:t>
      </w:r>
      <w:r w:rsidRPr="00167F4A">
        <w:t xml:space="preserve">and/or his/her legal representative). Incidence, severity and causality of AEs were also </w:t>
      </w:r>
      <w:r>
        <w:t>recorded</w:t>
      </w:r>
      <w:r w:rsidRPr="00167F4A">
        <w:t>.</w:t>
      </w:r>
    </w:p>
    <w:p w14:paraId="22FD820B" w14:textId="3343B326" w:rsidR="00E72BD0" w:rsidRDefault="00E72BD0" w:rsidP="00E72BD0">
      <w:r w:rsidRPr="003253ED">
        <w:t>Wound dressings were to be changed</w:t>
      </w:r>
      <w:r>
        <w:t xml:space="preserve"> </w:t>
      </w:r>
      <w:r w:rsidRPr="003253ED">
        <w:t>about every 24 to 48 hours until discharge from hospital or until the</w:t>
      </w:r>
      <w:r>
        <w:t xml:space="preserve"> </w:t>
      </w:r>
      <w:r w:rsidRPr="003253ED">
        <w:t>end of treatment at D14 in ‘recent wounds’ or at D28 in ‘chronic wounds’</w:t>
      </w:r>
      <w:r>
        <w:rPr>
          <w:rStyle w:val="FootnoteReference"/>
        </w:rPr>
        <w:footnoteReference w:id="29"/>
      </w:r>
      <w:r w:rsidRPr="003253ED">
        <w:t xml:space="preserve">. </w:t>
      </w:r>
      <w:r>
        <w:t>The participant or carer for the participant took photographs of the respective wounds b</w:t>
      </w:r>
      <w:r w:rsidRPr="003253ED">
        <w:t xml:space="preserve">efore </w:t>
      </w:r>
      <w:r>
        <w:t xml:space="preserve">the </w:t>
      </w:r>
      <w:r w:rsidRPr="003253ED">
        <w:t xml:space="preserve">start of </w:t>
      </w:r>
      <w:r>
        <w:t xml:space="preserve">the </w:t>
      </w:r>
      <w:r w:rsidRPr="003253ED">
        <w:t>treatment</w:t>
      </w:r>
      <w:r>
        <w:t xml:space="preserve"> </w:t>
      </w:r>
      <w:r w:rsidRPr="003253ED">
        <w:t xml:space="preserve">and at </w:t>
      </w:r>
      <w:r>
        <w:t xml:space="preserve">each </w:t>
      </w:r>
      <w:r w:rsidRPr="003253ED">
        <w:t xml:space="preserve">wound dressing </w:t>
      </w:r>
      <w:r>
        <w:t>change</w:t>
      </w:r>
      <w:r w:rsidRPr="003253ED">
        <w:t>.</w:t>
      </w:r>
      <w:r w:rsidRPr="00562C8D">
        <w:rPr>
          <w:rFonts w:ascii="Verdana" w:hAnsi="Verdana" w:cs="Verdana"/>
          <w:sz w:val="18"/>
          <w:szCs w:val="18"/>
        </w:rPr>
        <w:t xml:space="preserve"> </w:t>
      </w:r>
      <w:r>
        <w:t xml:space="preserve">Two independent experts conducted </w:t>
      </w:r>
      <w:r w:rsidRPr="00562C8D">
        <w:t xml:space="preserve">blinded assessment of efficacy based on </w:t>
      </w:r>
      <w:r>
        <w:t xml:space="preserve">the </w:t>
      </w:r>
      <w:r w:rsidRPr="00562C8D">
        <w:t>chronological series of photographs</w:t>
      </w:r>
      <w:r>
        <w:t xml:space="preserve">. Where expert assessments agreed, these were noted as </w:t>
      </w:r>
      <w:r w:rsidR="009220B6">
        <w:t>‘</w:t>
      </w:r>
      <w:r>
        <w:t>decided cases</w:t>
      </w:r>
      <w:r w:rsidR="009220B6">
        <w:t>’</w:t>
      </w:r>
      <w:r>
        <w:t xml:space="preserve"> in favour of Oleogel-S10 or no treatment or equal effect, where the assessments disagreed these were noted as </w:t>
      </w:r>
      <w:r w:rsidR="009220B6">
        <w:t>‘</w:t>
      </w:r>
      <w:r>
        <w:t xml:space="preserve">undecided </w:t>
      </w:r>
      <w:proofErr w:type="gramStart"/>
      <w:r>
        <w:t>cases</w:t>
      </w:r>
      <w:r w:rsidR="009220B6">
        <w:t>’</w:t>
      </w:r>
      <w:proofErr w:type="gramEnd"/>
      <w:r>
        <w:t>.</w:t>
      </w:r>
    </w:p>
    <w:p w14:paraId="7272B1F7" w14:textId="77777777" w:rsidR="00E72BD0" w:rsidRDefault="00E72BD0" w:rsidP="00E72BD0">
      <w:r>
        <w:t xml:space="preserve">The assessments agreed that </w:t>
      </w:r>
      <w:r w:rsidRPr="00E44967">
        <w:t>Oleogel-S10 + non-adhesive wound dressing significantly</w:t>
      </w:r>
      <w:r>
        <w:t xml:space="preserve"> </w:t>
      </w:r>
      <w:r w:rsidRPr="00E44967">
        <w:t>accelerated the re-epithelialisation (8 of 8 decided cases; p=0.0078, binomial test) of wounds in</w:t>
      </w:r>
      <w:r>
        <w:t xml:space="preserve"> </w:t>
      </w:r>
      <w:r w:rsidRPr="00E44967">
        <w:lastRenderedPageBreak/>
        <w:t>inherited EB compared to non-adhesive wound dressing only (0 of 8 decided cases).</w:t>
      </w:r>
      <w:r w:rsidRPr="002C2083">
        <w:rPr>
          <w:rFonts w:ascii="Verdana" w:hAnsi="Verdana" w:cs="Verdana"/>
          <w:sz w:val="18"/>
          <w:szCs w:val="18"/>
        </w:rPr>
        <w:t xml:space="preserve"> </w:t>
      </w:r>
      <w:r w:rsidRPr="002C2083">
        <w:t xml:space="preserve">Both efficacy assessment experts were in full agreement in </w:t>
      </w:r>
      <w:r>
        <w:t>seven</w:t>
      </w:r>
      <w:r w:rsidRPr="002C2083">
        <w:t xml:space="preserve"> cases, of which </w:t>
      </w:r>
      <w:r>
        <w:t>five</w:t>
      </w:r>
      <w:r w:rsidRPr="002C2083">
        <w:t xml:space="preserve"> cases were scored</w:t>
      </w:r>
      <w:r>
        <w:t xml:space="preserve"> </w:t>
      </w:r>
      <w:r w:rsidRPr="002C2083">
        <w:t xml:space="preserve">in favour of Oleogel-S10 + non-adhesive wound dressing, </w:t>
      </w:r>
      <w:r>
        <w:t>two</w:t>
      </w:r>
      <w:r w:rsidRPr="002C2083">
        <w:t xml:space="preserve"> cases were scored as equal, and none was</w:t>
      </w:r>
      <w:r>
        <w:t xml:space="preserve"> </w:t>
      </w:r>
      <w:r w:rsidRPr="002C2083">
        <w:t>scored in favour of non-adhesive wound dressing only.</w:t>
      </w:r>
    </w:p>
    <w:p w14:paraId="352245FF" w14:textId="77777777" w:rsidR="00E72BD0" w:rsidRDefault="00E72BD0" w:rsidP="00E72BD0">
      <w:pPr>
        <w:rPr>
          <w:b/>
          <w:bCs/>
        </w:rPr>
      </w:pPr>
      <w:r>
        <w:rPr>
          <w:b/>
          <w:bCs/>
        </w:rPr>
        <w:t>Studies in partial thickness wounds other than those associated with EB</w:t>
      </w:r>
    </w:p>
    <w:p w14:paraId="7EE40573" w14:textId="3CA4A794" w:rsidR="00E72BD0" w:rsidRPr="00064BA4" w:rsidRDefault="00E72BD0" w:rsidP="00E72BD0">
      <w:r>
        <w:t>T</w:t>
      </w:r>
      <w:r w:rsidRPr="00064BA4">
        <w:t xml:space="preserve">hree studies </w:t>
      </w:r>
      <w:r>
        <w:t xml:space="preserve">in adult patients with partial thickness wounds at split-thickness skin graft (STSG) donor sites (BSH-12 and BSG-12) or with Grade 2A burns (BBW-11) which had previously been reviewed by the EMA for marketing authorisation of the same product, known as </w:t>
      </w:r>
      <w:proofErr w:type="spellStart"/>
      <w:r>
        <w:t>Episalvan</w:t>
      </w:r>
      <w:proofErr w:type="spellEnd"/>
      <w:r>
        <w:t xml:space="preserve">, were provided as supportive evidence of efficacy in partial thickness wounds. In these studies, investigators and study participants completed a questionnaire at the end of the treatment phase to provide a global assessment of efficacy. </w:t>
      </w:r>
    </w:p>
    <w:p w14:paraId="0CB2075D" w14:textId="47563209" w:rsidR="00E72BD0" w:rsidRDefault="00E72BD0" w:rsidP="00E72BD0">
      <w:r w:rsidRPr="00064BA4">
        <w:t xml:space="preserve">Oleogel-S10 was assessed as more effective or much more effective than control for </w:t>
      </w:r>
      <w:r>
        <w:t>most participants</w:t>
      </w:r>
      <w:r w:rsidRPr="00064BA4">
        <w:t xml:space="preserve"> </w:t>
      </w:r>
      <w:r>
        <w:t xml:space="preserve">by </w:t>
      </w:r>
      <w:r w:rsidRPr="00064BA4">
        <w:t xml:space="preserve">both investigator and </w:t>
      </w:r>
      <w:r>
        <w:t xml:space="preserve">patient </w:t>
      </w:r>
      <w:r w:rsidRPr="00064BA4">
        <w:t>assessments.</w:t>
      </w:r>
      <w:r>
        <w:t xml:space="preserve"> An overview of efficacy results in the </w:t>
      </w:r>
      <w:r w:rsidR="00A0496D">
        <w:t>‘</w:t>
      </w:r>
      <w:r>
        <w:t>intention to treat</w:t>
      </w:r>
      <w:r w:rsidR="00A0496D">
        <w:t>’</w:t>
      </w:r>
      <w:r>
        <w:t xml:space="preserve"> populations of each study is provided in </w:t>
      </w:r>
      <w:r>
        <w:fldChar w:fldCharType="begin"/>
      </w:r>
      <w:r>
        <w:instrText xml:space="preserve"> REF _Ref214271793 \h </w:instrText>
      </w:r>
      <w:r>
        <w:fldChar w:fldCharType="separate"/>
      </w:r>
      <w:r>
        <w:t xml:space="preserve">Table </w:t>
      </w:r>
      <w:r>
        <w:fldChar w:fldCharType="end"/>
      </w:r>
      <w:r w:rsidR="00A0496D">
        <w:t>4</w:t>
      </w:r>
      <w:r>
        <w:t>.</w:t>
      </w:r>
    </w:p>
    <w:p w14:paraId="6E6D9BFB" w14:textId="77777777" w:rsidR="00851612" w:rsidRDefault="004F04F3" w:rsidP="00851612">
      <w:pPr>
        <w:pStyle w:val="TableTitle"/>
      </w:pPr>
      <w:bookmarkStart w:id="58" w:name="_Ref214271793"/>
      <w:r w:rsidRPr="004F04F3">
        <w:t xml:space="preserve">Table </w:t>
      </w:r>
      <w:bookmarkEnd w:id="58"/>
      <w:r w:rsidRPr="004F04F3">
        <w:t>4. BSH-12, BSG-12, BBW-11 Overview of efficacy results (ITT populations).</w:t>
      </w:r>
    </w:p>
    <w:p w14:paraId="7978E8BA" w14:textId="3DD9FA8C" w:rsidR="004F04F3" w:rsidRPr="00064BA4" w:rsidRDefault="004F04F3" w:rsidP="00851612">
      <w:r w:rsidRPr="00EA1567">
        <w:rPr>
          <w:noProof/>
        </w:rPr>
        <w:drawing>
          <wp:inline distT="0" distB="0" distL="0" distR="0" wp14:anchorId="13B7F11E" wp14:editId="3148CEA6">
            <wp:extent cx="5915025" cy="4003959"/>
            <wp:effectExtent l="0" t="0" r="0" b="0"/>
            <wp:docPr id="603224830" name="Picture 5" descr="Table 4. BSH-12, BSG-12, BBW-11 Overview of efficacy results (IT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24830" name="Picture 5" descr="Table 4. BSH-12, BSG-12, BBW-11 Overview of efficacy results (ITT populat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617" cy="4021282"/>
                    </a:xfrm>
                    <a:prstGeom prst="rect">
                      <a:avLst/>
                    </a:prstGeom>
                    <a:noFill/>
                    <a:ln>
                      <a:noFill/>
                    </a:ln>
                  </pic:spPr>
                </pic:pic>
              </a:graphicData>
            </a:graphic>
          </wp:inline>
        </w:drawing>
      </w:r>
    </w:p>
    <w:p w14:paraId="22BC85C6" w14:textId="368CFFF9" w:rsidR="00767FCF" w:rsidRDefault="00E744E9" w:rsidP="00753033">
      <w:r w:rsidRPr="007924E2">
        <w:rPr>
          <w:noProof/>
        </w:rPr>
        <w:lastRenderedPageBreak/>
        <w:drawing>
          <wp:inline distT="0" distB="0" distL="0" distR="0" wp14:anchorId="5A44CCFF" wp14:editId="29263849">
            <wp:extent cx="5829300" cy="3517225"/>
            <wp:effectExtent l="0" t="0" r="0" b="7620"/>
            <wp:docPr id="1805130788" name="Picture 7" descr="Table 4. BSH-12, BSG-12, BBW-11 Overview of efficacy results (IT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30788" name="Picture 7" descr="Table 4. BSH-12, BSG-12, BBW-11 Overview of efficacy results (ITT popula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9409" cy="3553493"/>
                    </a:xfrm>
                    <a:prstGeom prst="rect">
                      <a:avLst/>
                    </a:prstGeom>
                    <a:noFill/>
                    <a:ln>
                      <a:noFill/>
                    </a:ln>
                  </pic:spPr>
                </pic:pic>
              </a:graphicData>
            </a:graphic>
          </wp:inline>
        </w:drawing>
      </w:r>
    </w:p>
    <w:p w14:paraId="0C0BC8FF" w14:textId="2F4C419F" w:rsidR="000B1E05" w:rsidRPr="000B1E05" w:rsidRDefault="000B1E05" w:rsidP="000B1E05">
      <w:r w:rsidRPr="000B1E05">
        <w:t>The applicant also provided reports of two additional small studies that were intended to confirm that the control gel in study BEB-13 was not likely to have a detrimental effect on healing.  This was required as a control gel consisting only of the vehicle for the tri</w:t>
      </w:r>
      <w:r w:rsidR="006324DA">
        <w:t>t</w:t>
      </w:r>
      <w:r w:rsidRPr="000B1E05">
        <w:t>er</w:t>
      </w:r>
      <w:r w:rsidR="006324DA">
        <w:t>p</w:t>
      </w:r>
      <w:r w:rsidRPr="000B1E05">
        <w:t xml:space="preserve">enes (sunflower oil) would appear and feel different from the active containing product. The EMA evaluators acknowledged that these two studies and a literature review did not suggest an obvious harmful effect of the control gel but concluded that some degree of uncertainly exists. </w:t>
      </w:r>
    </w:p>
    <w:p w14:paraId="3B2AA8E4" w14:textId="62DAC0C2" w:rsidR="000B1E05" w:rsidRPr="000B1E05" w:rsidRDefault="000B1E05" w:rsidP="000B1E05">
      <w:r w:rsidRPr="000B1E05">
        <w:t xml:space="preserve">After evaluating the submitted data, and accepting additional arguments from the applicant and additional testimonies from the EB patient community and experts in the field (an </w:t>
      </w:r>
      <w:r w:rsidRPr="000B1E05">
        <w:rPr>
          <w:i/>
          <w:iCs/>
        </w:rPr>
        <w:t xml:space="preserve">ad hoc </w:t>
      </w:r>
      <w:r w:rsidRPr="000B1E05">
        <w:t>expert group, AHEG), the CHMP concluded that</w:t>
      </w:r>
      <w:r w:rsidR="008E3B7D">
        <w:t>,</w:t>
      </w:r>
    </w:p>
    <w:p w14:paraId="6E9E0CE4" w14:textId="3910F139" w:rsidR="000B1E05" w:rsidRPr="000B1E05" w:rsidRDefault="000B1E05" w:rsidP="008E3B7D">
      <w:pPr>
        <w:ind w:left="720"/>
        <w:rPr>
          <w:i/>
          <w:iCs/>
        </w:rPr>
      </w:pPr>
      <w:r w:rsidRPr="000B1E05">
        <w:rPr>
          <w:i/>
          <w:iCs/>
        </w:rPr>
        <w:t>Overall, even if the statistical robustness of the analysis of the primary endpoint has been questioned during the procedure, the CHMP is of the view, in line with the recommendation of the AHEG that an effect of Filsuvez has been established in the overall study population considering that some of the sensitivity analyses supported the primary analysis of the primary endpoint. This effect was also considered to be clinically relevant for the EB patients and carers</w:t>
      </w:r>
      <w:r w:rsidR="00161888">
        <w:rPr>
          <w:i/>
          <w:iCs/>
        </w:rPr>
        <w:t>.</w:t>
      </w:r>
      <w:r w:rsidR="00161888" w:rsidRPr="00161888">
        <w:rPr>
          <w:i/>
          <w:iCs/>
          <w:vertAlign w:val="superscript"/>
        </w:rPr>
        <w:fldChar w:fldCharType="begin"/>
      </w:r>
      <w:r w:rsidR="00161888" w:rsidRPr="00161888">
        <w:rPr>
          <w:i/>
          <w:iCs/>
          <w:vertAlign w:val="superscript"/>
        </w:rPr>
        <w:instrText xml:space="preserve"> NOTEREF _Ref230962465 \h </w:instrText>
      </w:r>
      <w:r w:rsidR="00161888">
        <w:rPr>
          <w:i/>
          <w:iCs/>
          <w:vertAlign w:val="superscript"/>
        </w:rPr>
        <w:instrText xml:space="preserve"> \* MERGEFORMAT </w:instrText>
      </w:r>
      <w:r w:rsidR="00161888" w:rsidRPr="00161888">
        <w:rPr>
          <w:i/>
          <w:iCs/>
          <w:vertAlign w:val="superscript"/>
        </w:rPr>
      </w:r>
      <w:r w:rsidR="00161888" w:rsidRPr="00161888">
        <w:rPr>
          <w:i/>
          <w:iCs/>
          <w:vertAlign w:val="superscript"/>
        </w:rPr>
        <w:fldChar w:fldCharType="separate"/>
      </w:r>
      <w:r w:rsidR="00161888" w:rsidRPr="00161888">
        <w:rPr>
          <w:i/>
          <w:iCs/>
          <w:vertAlign w:val="superscript"/>
        </w:rPr>
        <w:t>23</w:t>
      </w:r>
      <w:r w:rsidR="00161888" w:rsidRPr="00161888">
        <w:rPr>
          <w:i/>
          <w:iCs/>
          <w:vertAlign w:val="superscript"/>
        </w:rPr>
        <w:fldChar w:fldCharType="end"/>
      </w:r>
    </w:p>
    <w:p w14:paraId="40616D68" w14:textId="3641B827" w:rsidR="000B1E05" w:rsidRPr="000B1E05" w:rsidRDefault="000B1E05" w:rsidP="000B1E05">
      <w:r w:rsidRPr="000B1E05">
        <w:t xml:space="preserve">Furthermore, with reference to the </w:t>
      </w:r>
      <w:r w:rsidR="00DF51EA">
        <w:t>Ad-hoc Expert Advice Group (</w:t>
      </w:r>
      <w:r w:rsidRPr="000B1E05">
        <w:t>AHEG</w:t>
      </w:r>
      <w:r w:rsidR="00DF51EA">
        <w:t>)</w:t>
      </w:r>
      <w:r w:rsidRPr="000B1E05">
        <w:t xml:space="preserve"> and patient representatives, CHMP also stated</w:t>
      </w:r>
    </w:p>
    <w:p w14:paraId="74AEFBE1" w14:textId="5CF449B4" w:rsidR="000B1E05" w:rsidRPr="000B1E05" w:rsidRDefault="000B1E05" w:rsidP="005713FD">
      <w:pPr>
        <w:ind w:left="720"/>
        <w:rPr>
          <w:i/>
          <w:iCs/>
        </w:rPr>
      </w:pPr>
      <w:r w:rsidRPr="000B1E05">
        <w:rPr>
          <w:i/>
          <w:iCs/>
        </w:rPr>
        <w:t>It was finally considered acceptable by the CHMP to include also the JEB subtype in the indication given the demonstrated effect of Filsuvez in the overall study population (i.e., DEB and JEB) and the unspecific mechanism of action which does not target specific EB sub-types. However, a cautionary statement was included in SmPC section 4.4 clarifying the limited data available in the JEB and DDEB subtypes.</w:t>
      </w:r>
      <w:r w:rsidR="00575289" w:rsidRPr="00575289">
        <w:rPr>
          <w:i/>
          <w:iCs/>
          <w:vertAlign w:val="superscript"/>
        </w:rPr>
        <w:fldChar w:fldCharType="begin"/>
      </w:r>
      <w:r w:rsidR="00575289" w:rsidRPr="00575289">
        <w:rPr>
          <w:i/>
          <w:iCs/>
          <w:vertAlign w:val="superscript"/>
        </w:rPr>
        <w:instrText xml:space="preserve"> NOTEREF _Ref230962465 \h </w:instrText>
      </w:r>
      <w:r w:rsidR="00575289">
        <w:rPr>
          <w:i/>
          <w:iCs/>
          <w:vertAlign w:val="superscript"/>
        </w:rPr>
        <w:instrText xml:space="preserve"> \* MERGEFORMAT </w:instrText>
      </w:r>
      <w:r w:rsidR="00575289" w:rsidRPr="00575289">
        <w:rPr>
          <w:i/>
          <w:iCs/>
          <w:vertAlign w:val="superscript"/>
        </w:rPr>
      </w:r>
      <w:r w:rsidR="00575289" w:rsidRPr="00575289">
        <w:rPr>
          <w:i/>
          <w:iCs/>
          <w:vertAlign w:val="superscript"/>
        </w:rPr>
        <w:fldChar w:fldCharType="separate"/>
      </w:r>
      <w:r w:rsidR="00575289" w:rsidRPr="00575289">
        <w:rPr>
          <w:i/>
          <w:iCs/>
          <w:vertAlign w:val="superscript"/>
        </w:rPr>
        <w:t>23</w:t>
      </w:r>
      <w:r w:rsidR="00575289" w:rsidRPr="00575289">
        <w:rPr>
          <w:i/>
          <w:iCs/>
          <w:vertAlign w:val="superscript"/>
        </w:rPr>
        <w:fldChar w:fldCharType="end"/>
      </w:r>
    </w:p>
    <w:p w14:paraId="7801E36A" w14:textId="77777777" w:rsidR="000B1E05" w:rsidRPr="000B1E05" w:rsidRDefault="000B1E05" w:rsidP="0022565E">
      <w:pPr>
        <w:pStyle w:val="Heading4"/>
      </w:pPr>
      <w:bookmarkStart w:id="59" w:name="_Toc233030856"/>
      <w:r w:rsidRPr="000B1E05">
        <w:t>Safety</w:t>
      </w:r>
      <w:bookmarkEnd w:id="59"/>
    </w:p>
    <w:p w14:paraId="7B7E634C" w14:textId="77777777" w:rsidR="000B1E05" w:rsidRPr="000B1E05" w:rsidRDefault="000B1E05" w:rsidP="00652643">
      <w:pPr>
        <w:pStyle w:val="Heading5"/>
      </w:pPr>
      <w:r w:rsidRPr="000B1E05">
        <w:t>Overall exposure</w:t>
      </w:r>
    </w:p>
    <w:p w14:paraId="3AB45C50" w14:textId="59D125AF" w:rsidR="000B1E05" w:rsidRPr="000B1E05" w:rsidRDefault="000B1E05" w:rsidP="000B1E05">
      <w:r w:rsidRPr="000B1E05">
        <w:t xml:space="preserve">At the time of submission of the application to the primary evaluator, a total of 754 children or adults had been treated with Oleogel-10 birch bark triterpenes in clinical trials for skin damage </w:t>
      </w:r>
      <w:r w:rsidRPr="000B1E05">
        <w:lastRenderedPageBreak/>
        <w:t>including EB, STSG donor sites, Grade 2a burns, atopic dermatitis, actinic keratosis and psoriasis (</w:t>
      </w:r>
      <w:r w:rsidRPr="000B1E05">
        <w:fldChar w:fldCharType="begin"/>
      </w:r>
      <w:r w:rsidRPr="000B1E05">
        <w:instrText xml:space="preserve"> REF _Ref214272004 \h </w:instrText>
      </w:r>
      <w:r w:rsidRPr="000B1E05">
        <w:fldChar w:fldCharType="separate"/>
      </w:r>
      <w:r w:rsidRPr="000B1E05">
        <w:t xml:space="preserve">Table </w:t>
      </w:r>
      <w:r w:rsidRPr="000B1E05">
        <w:fldChar w:fldCharType="end"/>
      </w:r>
      <w:r w:rsidR="003B4C87">
        <w:t>5</w:t>
      </w:r>
      <w:r w:rsidRPr="000B1E05">
        <w:t xml:space="preserve">). </w:t>
      </w:r>
    </w:p>
    <w:p w14:paraId="0B29F9E8" w14:textId="77777777" w:rsidR="00851612" w:rsidRDefault="00482D2C" w:rsidP="008305DE">
      <w:pPr>
        <w:pStyle w:val="TableTitle"/>
      </w:pPr>
      <w:bookmarkStart w:id="60" w:name="_Ref214272004"/>
      <w:r w:rsidRPr="00482D2C">
        <w:t xml:space="preserve">Table </w:t>
      </w:r>
      <w:bookmarkEnd w:id="60"/>
      <w:r w:rsidR="003B4C87">
        <w:t>5.</w:t>
      </w:r>
      <w:r w:rsidRPr="00482D2C">
        <w:t xml:space="preserve"> Cumulative exposure to birch bark dry extract during clinical development</w:t>
      </w:r>
      <w:r w:rsidR="002B31A8">
        <w:t>.</w:t>
      </w:r>
    </w:p>
    <w:p w14:paraId="337C5D88" w14:textId="7877133D" w:rsidR="00EF34CE" w:rsidRDefault="00EF34CE" w:rsidP="00851612">
      <w:r w:rsidRPr="00EF34CE">
        <w:rPr>
          <w:noProof/>
        </w:rPr>
        <w:drawing>
          <wp:inline distT="0" distB="0" distL="0" distR="0" wp14:anchorId="7220A14F" wp14:editId="456F7AF3">
            <wp:extent cx="5715000" cy="2692515"/>
            <wp:effectExtent l="0" t="0" r="0" b="0"/>
            <wp:docPr id="1390105037" name="Picture 1" descr="Table 5. Cumulative exposure to birch bark dry extract during clinic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05037" name="Picture 1" descr="Table 5. Cumulative exposure to birch bark dry extract during clinical development."/>
                    <pic:cNvPicPr/>
                  </pic:nvPicPr>
                  <pic:blipFill>
                    <a:blip r:embed="rId28">
                      <a:extLst>
                        <a:ext uri="{BEBA8EAE-BF5A-486C-A8C5-ECC9F3942E4B}">
                          <a14:imgProps xmlns:a14="http://schemas.microsoft.com/office/drawing/2010/main">
                            <a14:imgLayer r:embed="rId29">
                              <a14:imgEffect>
                                <a14:saturation sat="33000"/>
                              </a14:imgEffect>
                            </a14:imgLayer>
                          </a14:imgProps>
                        </a:ext>
                      </a:extLst>
                    </a:blip>
                    <a:stretch>
                      <a:fillRect/>
                    </a:stretch>
                  </pic:blipFill>
                  <pic:spPr>
                    <a:xfrm>
                      <a:off x="0" y="0"/>
                      <a:ext cx="5740117" cy="2704349"/>
                    </a:xfrm>
                    <a:prstGeom prst="rect">
                      <a:avLst/>
                    </a:prstGeom>
                  </pic:spPr>
                </pic:pic>
              </a:graphicData>
            </a:graphic>
          </wp:inline>
        </w:drawing>
      </w:r>
    </w:p>
    <w:p w14:paraId="0FA1A825" w14:textId="59C48477" w:rsidR="00767FCF" w:rsidRDefault="00AC64CA" w:rsidP="00753033">
      <w:r>
        <w:t xml:space="preserve">A summary of overall exposure in the pivotal study BEB-13 DBP is provided in </w:t>
      </w:r>
      <w:r>
        <w:fldChar w:fldCharType="begin"/>
      </w:r>
      <w:r>
        <w:instrText xml:space="preserve"> REF _Ref214272509 \h </w:instrText>
      </w:r>
      <w:r>
        <w:fldChar w:fldCharType="separate"/>
      </w:r>
      <w:r>
        <w:t xml:space="preserve">Table </w:t>
      </w:r>
      <w:r>
        <w:fldChar w:fldCharType="end"/>
      </w:r>
      <w:r w:rsidR="00167CEB">
        <w:t>6</w:t>
      </w:r>
      <w:r>
        <w:t xml:space="preserve"> and in the OLP in </w:t>
      </w:r>
      <w:r w:rsidR="004C35A9">
        <w:t xml:space="preserve">Table </w:t>
      </w:r>
      <w:r w:rsidR="00167CEB">
        <w:t>7</w:t>
      </w:r>
      <w:r>
        <w:t>.</w:t>
      </w:r>
    </w:p>
    <w:p w14:paraId="26AA75CE" w14:textId="77777777" w:rsidR="00851612" w:rsidRDefault="00250E8B" w:rsidP="00250E8B">
      <w:pPr>
        <w:pStyle w:val="TableTitle"/>
      </w:pPr>
      <w:bookmarkStart w:id="61" w:name="_Ref214272509"/>
      <w:r>
        <w:t>Table</w:t>
      </w:r>
      <w:bookmarkEnd w:id="61"/>
      <w:r w:rsidR="004C35A9">
        <w:t xml:space="preserve"> 6.</w:t>
      </w:r>
      <w:r>
        <w:t xml:space="preserve"> BEB-13 Extent of exposure (DBP, SAS)</w:t>
      </w:r>
      <w:r w:rsidR="004C35A9">
        <w:t>.</w:t>
      </w:r>
    </w:p>
    <w:p w14:paraId="40288064" w14:textId="3EFA62BB" w:rsidR="00250E8B" w:rsidRDefault="00E95F09" w:rsidP="00851612">
      <w:r w:rsidRPr="00C6572E">
        <w:rPr>
          <w:noProof/>
        </w:rPr>
        <w:drawing>
          <wp:inline distT="0" distB="0" distL="0" distR="0" wp14:anchorId="47F64A15" wp14:editId="553E2887">
            <wp:extent cx="5924550" cy="3577837"/>
            <wp:effectExtent l="0" t="0" r="0" b="3810"/>
            <wp:docPr id="620707068" name="Picture 25" descr="Table 6. BEB-13 Extent of exposure (DBP,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07068" name="Picture 25" descr="Table 6. BEB-13 Extent of exposure (DBP, S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023" cy="3589597"/>
                    </a:xfrm>
                    <a:prstGeom prst="rect">
                      <a:avLst/>
                    </a:prstGeom>
                    <a:noFill/>
                    <a:ln>
                      <a:noFill/>
                    </a:ln>
                  </pic:spPr>
                </pic:pic>
              </a:graphicData>
            </a:graphic>
          </wp:inline>
        </w:drawing>
      </w:r>
    </w:p>
    <w:p w14:paraId="78A1486B" w14:textId="77777777" w:rsidR="00481955" w:rsidRPr="00481955" w:rsidRDefault="00481955" w:rsidP="00481955">
      <w:pPr>
        <w:pStyle w:val="TableDescription"/>
      </w:pPr>
      <w:r w:rsidRPr="00481955">
        <w:rPr>
          <w:vertAlign w:val="superscript"/>
        </w:rPr>
        <w:t>a</w:t>
      </w:r>
      <w:r w:rsidRPr="00481955">
        <w:t xml:space="preserve"> Treatment duration [days] = Treatment end date - Treatment start date +1. Treatment duration &gt;90 days was caused by prolonged treatment due to late visits or other external factors.</w:t>
      </w:r>
    </w:p>
    <w:p w14:paraId="5E6427DB" w14:textId="77777777" w:rsidR="00481955" w:rsidRPr="00481955" w:rsidRDefault="00481955" w:rsidP="00481955">
      <w:pPr>
        <w:pStyle w:val="TableDescription"/>
      </w:pPr>
      <w:r w:rsidRPr="00481955">
        <w:rPr>
          <w:vertAlign w:val="superscript"/>
        </w:rPr>
        <w:t>b</w:t>
      </w:r>
      <w:r w:rsidRPr="00481955">
        <w:t xml:space="preserve"> Only the interruptions on the target wound were considered in the calculations. If the reason for dose interruption is recorded as “wound closure” in the eCRF, this was not considered for the calculation of interruption duration.</w:t>
      </w:r>
    </w:p>
    <w:p w14:paraId="4359E77B" w14:textId="77777777" w:rsidR="00481955" w:rsidRPr="00481955" w:rsidRDefault="00481955" w:rsidP="00481955">
      <w:pPr>
        <w:pStyle w:val="TableDescription"/>
      </w:pPr>
      <w:r w:rsidRPr="00481955">
        <w:rPr>
          <w:vertAlign w:val="superscript"/>
        </w:rPr>
        <w:t>c</w:t>
      </w:r>
      <w:r w:rsidRPr="00481955">
        <w:t xml:space="preserve"> Duration of interruptions due to AEs, treatment duration in relation to AEs, and treatment compliance in relation to AEs were derived considering only “reasons for dose interruption” due to AEs as recorded in the eCRF.</w:t>
      </w:r>
    </w:p>
    <w:p w14:paraId="6B123B3D" w14:textId="77777777" w:rsidR="00481955" w:rsidRPr="00481955" w:rsidRDefault="00481955" w:rsidP="00481955">
      <w:pPr>
        <w:pStyle w:val="TableDescription"/>
      </w:pPr>
      <w:r w:rsidRPr="00481955">
        <w:rPr>
          <w:vertAlign w:val="superscript"/>
        </w:rPr>
        <w:t>d</w:t>
      </w:r>
      <w:r w:rsidRPr="00481955">
        <w:t xml:space="preserve"> Actual treatment duration overall [days] = Treatment duration [days] - Total duration of interruptions overall [days].</w:t>
      </w:r>
    </w:p>
    <w:p w14:paraId="20D36F2A" w14:textId="77777777" w:rsidR="00851612" w:rsidRDefault="00373433" w:rsidP="00250E8B">
      <w:pPr>
        <w:pStyle w:val="TableTitle"/>
      </w:pPr>
      <w:r w:rsidRPr="00373433">
        <w:lastRenderedPageBreak/>
        <w:t xml:space="preserve">Table </w:t>
      </w:r>
      <w:r w:rsidR="005D0877">
        <w:t xml:space="preserve">7. </w:t>
      </w:r>
      <w:r w:rsidRPr="00373433">
        <w:t>BEB-13 Extent of exposure (OLP, SAS)</w:t>
      </w:r>
      <w:r w:rsidR="005D0877">
        <w:t>.</w:t>
      </w:r>
    </w:p>
    <w:p w14:paraId="5B774A58" w14:textId="60CC833C" w:rsidR="00250E8B" w:rsidRDefault="006540CA" w:rsidP="00851612">
      <w:r w:rsidRPr="00961B2B">
        <w:rPr>
          <w:noProof/>
        </w:rPr>
        <w:drawing>
          <wp:inline distT="0" distB="0" distL="0" distR="0" wp14:anchorId="65C8DF78" wp14:editId="03B6C21E">
            <wp:extent cx="5731510" cy="5814060"/>
            <wp:effectExtent l="0" t="0" r="2540" b="0"/>
            <wp:docPr id="1691850142" name="Picture 26" descr="Table 7. BEB-13 Extent of exposure (OLP,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50142" name="Picture 26" descr="Table 7. BEB-13 Extent of exposure (OLP, S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814060"/>
                    </a:xfrm>
                    <a:prstGeom prst="rect">
                      <a:avLst/>
                    </a:prstGeom>
                    <a:noFill/>
                    <a:ln>
                      <a:noFill/>
                    </a:ln>
                  </pic:spPr>
                </pic:pic>
              </a:graphicData>
            </a:graphic>
          </wp:inline>
        </w:drawing>
      </w:r>
    </w:p>
    <w:p w14:paraId="62A358D9" w14:textId="77777777" w:rsidR="00E210A9" w:rsidRPr="00167CEB" w:rsidRDefault="00E210A9" w:rsidP="00167CEB">
      <w:pPr>
        <w:pStyle w:val="TableDescription"/>
      </w:pPr>
      <w:r w:rsidRPr="00167CEB">
        <w:t>a Treatment duration [days] = Treatment end date - Treatment start date +1. Treatment duration &gt;90 days was caused by prolonged treatment due to late visits or other external factors.</w:t>
      </w:r>
    </w:p>
    <w:p w14:paraId="2F945972" w14:textId="77777777" w:rsidR="00E210A9" w:rsidRPr="00167CEB" w:rsidRDefault="00E210A9" w:rsidP="00167CEB">
      <w:pPr>
        <w:pStyle w:val="TableDescription"/>
      </w:pPr>
      <w:r w:rsidRPr="00167CEB">
        <w:t>b Only the interruptions on the target wound were considered in the calculations. If the reason for dose interruption is recorded as “wound closure” in the eCRF, this was not considered for the calculation of interruption duration.</w:t>
      </w:r>
    </w:p>
    <w:p w14:paraId="6938315E" w14:textId="77777777" w:rsidR="00E210A9" w:rsidRPr="00167CEB" w:rsidRDefault="00E210A9" w:rsidP="00167CEB">
      <w:pPr>
        <w:pStyle w:val="TableDescription"/>
      </w:pPr>
      <w:r w:rsidRPr="00167CEB">
        <w:t>c Duration of interruptions due to AEs, treatment duration in relation to AEs, and treatment compliance in relation to AEs were derived considering only “reasons for dose interruption” due to AEs as recorded in the eCRF.</w:t>
      </w:r>
    </w:p>
    <w:p w14:paraId="2BCAE3E0" w14:textId="77777777" w:rsidR="00E210A9" w:rsidRPr="00167CEB" w:rsidRDefault="00E210A9" w:rsidP="00167CEB">
      <w:pPr>
        <w:pStyle w:val="TableDescription"/>
      </w:pPr>
      <w:r w:rsidRPr="00167CEB">
        <w:t>d Actual treatment duration overall [days] = Treatment duration [days] - Total duration of interruptions overall [days].</w:t>
      </w:r>
    </w:p>
    <w:p w14:paraId="6B4D3317" w14:textId="631AC144" w:rsidR="00F662A6" w:rsidRPr="00F662A6" w:rsidRDefault="00F662A6" w:rsidP="00F662A6">
      <w:r w:rsidRPr="00F662A6">
        <w:t xml:space="preserve">Detailed descriptions and analyses of adverse events associated with birch bark triterpenes included in this overview are restricted to the EB studies, particularly BEB-13. Pooled analyses were not considered appropriate owing to the distinctly different study designs of BEB-13 and BEB-10. The primary evaluator considered the safety reports from BEB-10 in EB patients and additional studies with </w:t>
      </w:r>
      <w:proofErr w:type="spellStart"/>
      <w:r w:rsidRPr="00F662A6">
        <w:t>Episalvan</w:t>
      </w:r>
      <w:proofErr w:type="spellEnd"/>
      <w:r w:rsidRPr="00F662A6">
        <w:t xml:space="preserve"> gel in BSG-12, BSH-12 and BBW-11 supportive only, noting that the approval of </w:t>
      </w:r>
      <w:proofErr w:type="spellStart"/>
      <w:r w:rsidRPr="00F662A6">
        <w:t>Episalvan</w:t>
      </w:r>
      <w:proofErr w:type="spellEnd"/>
      <w:r w:rsidRPr="00F662A6">
        <w:t xml:space="preserve"> gel was based on short-term treatment. </w:t>
      </w:r>
    </w:p>
    <w:p w14:paraId="2743EEA3" w14:textId="312547AC" w:rsidR="00F662A6" w:rsidRPr="00F662A6" w:rsidRDefault="00F662A6" w:rsidP="006C2CF4">
      <w:pPr>
        <w:pStyle w:val="Heading6"/>
      </w:pPr>
      <w:r w:rsidRPr="00F662A6">
        <w:lastRenderedPageBreak/>
        <w:t>BEB-13 Double-</w:t>
      </w:r>
      <w:r w:rsidR="00851612" w:rsidRPr="00F662A6">
        <w:t>Blind Phas</w:t>
      </w:r>
      <w:r w:rsidRPr="00F662A6">
        <w:t>e</w:t>
      </w:r>
    </w:p>
    <w:p w14:paraId="7426A200" w14:textId="159B510D" w:rsidR="00F662A6" w:rsidRPr="00F662A6" w:rsidRDefault="00F662A6" w:rsidP="00F662A6">
      <w:r w:rsidRPr="00F662A6">
        <w:t xml:space="preserve">In the BEB-13 DBP the overall frequency of adverse events (AE) was similar in the Oleogel-S10 group (89/109 participants, 81.7%, 282 reports) and in the control gel group (92/114 participants, 80.7%, 277 reports, </w:t>
      </w:r>
      <w:r w:rsidRPr="00F662A6">
        <w:fldChar w:fldCharType="begin"/>
      </w:r>
      <w:r w:rsidRPr="00F662A6">
        <w:instrText xml:space="preserve"> REF _Ref214273618 \h </w:instrText>
      </w:r>
      <w:r>
        <w:instrText xml:space="preserve"> \* MERGEFORMAT </w:instrText>
      </w:r>
      <w:r w:rsidRPr="00F662A6">
        <w:fldChar w:fldCharType="separate"/>
      </w:r>
      <w:r w:rsidRPr="00F662A6">
        <w:t>Table</w:t>
      </w:r>
      <w:r w:rsidR="004F7712">
        <w:t xml:space="preserve"> 8</w:t>
      </w:r>
      <w:r w:rsidRPr="00F662A6">
        <w:fldChar w:fldCharType="end"/>
      </w:r>
      <w:r w:rsidRPr="00F662A6">
        <w:t>). There were no deaths during the DBP.</w:t>
      </w:r>
    </w:p>
    <w:p w14:paraId="18546183" w14:textId="77777777" w:rsidR="00851612" w:rsidRDefault="00F662A6" w:rsidP="00F662A6">
      <w:pPr>
        <w:pStyle w:val="TableTitle"/>
      </w:pPr>
      <w:bookmarkStart w:id="62" w:name="_Ref214273618"/>
      <w:r w:rsidRPr="00F662A6">
        <w:t>Table</w:t>
      </w:r>
      <w:bookmarkEnd w:id="62"/>
      <w:r w:rsidR="004F7712">
        <w:t xml:space="preserve"> 8.</w:t>
      </w:r>
      <w:r w:rsidRPr="00F662A6">
        <w:t xml:space="preserve"> BEB-13 Overall summary of adverse events (DBP, SAS)</w:t>
      </w:r>
      <w:r w:rsidR="004F7712">
        <w:t>.</w:t>
      </w:r>
    </w:p>
    <w:p w14:paraId="17578B84" w14:textId="7AEAAF4F" w:rsidR="0022137B" w:rsidRDefault="0022137B" w:rsidP="00851612">
      <w:r w:rsidRPr="0022137B">
        <w:rPr>
          <w:noProof/>
        </w:rPr>
        <w:drawing>
          <wp:inline distT="0" distB="0" distL="0" distR="0" wp14:anchorId="72F414CB" wp14:editId="60CE6C32">
            <wp:extent cx="5695950" cy="4138165"/>
            <wp:effectExtent l="0" t="0" r="0" b="0"/>
            <wp:docPr id="396756760" name="Picture 1" descr="Table 8. BEB-13 Overall summary of adverse events (DBP,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56760" name="Picture 1" descr="Table 8. BEB-13 Overall summary of adverse events (DBP, SAS)."/>
                    <pic:cNvPicPr/>
                  </pic:nvPicPr>
                  <pic:blipFill>
                    <a:blip r:embed="rId32"/>
                    <a:stretch>
                      <a:fillRect/>
                    </a:stretch>
                  </pic:blipFill>
                  <pic:spPr>
                    <a:xfrm>
                      <a:off x="0" y="0"/>
                      <a:ext cx="5701232" cy="4142002"/>
                    </a:xfrm>
                    <a:prstGeom prst="rect">
                      <a:avLst/>
                    </a:prstGeom>
                  </pic:spPr>
                </pic:pic>
              </a:graphicData>
            </a:graphic>
          </wp:inline>
        </w:drawing>
      </w:r>
    </w:p>
    <w:p w14:paraId="7F7C48DD" w14:textId="0DD570F3" w:rsidR="00FF7719" w:rsidRPr="00F662A6" w:rsidRDefault="004F7712" w:rsidP="004F7712">
      <w:pPr>
        <w:pStyle w:val="TableDescription"/>
      </w:pPr>
      <w:r>
        <w:t xml:space="preserve">    Note: Calculation of percentages is based on N. </w:t>
      </w:r>
    </w:p>
    <w:p w14:paraId="4401A002" w14:textId="0FF085C3" w:rsidR="00636912" w:rsidRDefault="00636912" w:rsidP="00636912">
      <w:r>
        <w:t>While there was some variability in reports of AEs between age groups, these were not substantially different between treatment arms in each age group (</w:t>
      </w:r>
      <w:r>
        <w:fldChar w:fldCharType="begin"/>
      </w:r>
      <w:r>
        <w:instrText xml:space="preserve"> REF _Ref214273639 \h </w:instrText>
      </w:r>
      <w:r>
        <w:fldChar w:fldCharType="separate"/>
      </w:r>
      <w:r>
        <w:t xml:space="preserve">Table </w:t>
      </w:r>
      <w:r>
        <w:fldChar w:fldCharType="end"/>
      </w:r>
      <w:r w:rsidR="00C70EB7">
        <w:t>9</w:t>
      </w:r>
      <w:r>
        <w:t xml:space="preserve">). </w:t>
      </w:r>
    </w:p>
    <w:p w14:paraId="59171374" w14:textId="77777777" w:rsidR="00EF1742" w:rsidRDefault="00EF1742" w:rsidP="004F2CDF">
      <w:pPr>
        <w:pStyle w:val="TableTitle"/>
      </w:pPr>
      <w:bookmarkStart w:id="63" w:name="_Ref214273639"/>
      <w:r w:rsidRPr="00EF1742">
        <w:t xml:space="preserve">Table </w:t>
      </w:r>
      <w:bookmarkEnd w:id="63"/>
      <w:r w:rsidRPr="00EF1742">
        <w:t>9. BEB-13 Treatment-emergent adverse events by age group (DBP, SAS).</w:t>
      </w:r>
    </w:p>
    <w:p w14:paraId="035A8A68" w14:textId="24F8D4D8" w:rsidR="00EF1742" w:rsidRDefault="009904EE" w:rsidP="004F2CDF">
      <w:r w:rsidRPr="009904EE">
        <w:rPr>
          <w:noProof/>
        </w:rPr>
        <w:drawing>
          <wp:inline distT="0" distB="0" distL="0" distR="0" wp14:anchorId="7D3F07A9" wp14:editId="2EE390A1">
            <wp:extent cx="5638800" cy="1390778"/>
            <wp:effectExtent l="0" t="0" r="0" b="0"/>
            <wp:docPr id="3228151" name="Picture 1" descr="Table 9. BEB-13 Treatment-emergent adverse events by age group (DBP,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151" name="Picture 1" descr="Table 9. BEB-13 Treatment-emergent adverse events by age group (DBP, SAS)."/>
                    <pic:cNvPicPr/>
                  </pic:nvPicPr>
                  <pic:blipFill>
                    <a:blip r:embed="rId33"/>
                    <a:stretch>
                      <a:fillRect/>
                    </a:stretch>
                  </pic:blipFill>
                  <pic:spPr>
                    <a:xfrm>
                      <a:off x="0" y="0"/>
                      <a:ext cx="5659893" cy="1395980"/>
                    </a:xfrm>
                    <a:prstGeom prst="rect">
                      <a:avLst/>
                    </a:prstGeom>
                  </pic:spPr>
                </pic:pic>
              </a:graphicData>
            </a:graphic>
          </wp:inline>
        </w:drawing>
      </w:r>
      <w:r w:rsidR="00EF1742" w:rsidRPr="00EF1742">
        <w:rPr>
          <w:noProof/>
        </w:rPr>
        <w:drawing>
          <wp:inline distT="0" distB="0" distL="0" distR="0" wp14:anchorId="2DC648F8" wp14:editId="34421674">
            <wp:extent cx="5730737" cy="1348857"/>
            <wp:effectExtent l="0" t="0" r="3810" b="3810"/>
            <wp:docPr id="551900406" name="Picture 1" descr="Table 9. BEB-13 Treatment-emergent adverse events by age group (DBP,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00406" name="Picture 1" descr="Table 9. BEB-13 Treatment-emergent adverse events by age group (DBP, SAS)."/>
                    <pic:cNvPicPr/>
                  </pic:nvPicPr>
                  <pic:blipFill>
                    <a:blip r:embed="rId34"/>
                    <a:stretch>
                      <a:fillRect/>
                    </a:stretch>
                  </pic:blipFill>
                  <pic:spPr>
                    <a:xfrm>
                      <a:off x="0" y="0"/>
                      <a:ext cx="5730737" cy="1348857"/>
                    </a:xfrm>
                    <a:prstGeom prst="rect">
                      <a:avLst/>
                    </a:prstGeom>
                  </pic:spPr>
                </pic:pic>
              </a:graphicData>
            </a:graphic>
          </wp:inline>
        </w:drawing>
      </w:r>
    </w:p>
    <w:p w14:paraId="4CBA07F0" w14:textId="3503F0A9" w:rsidR="00D23F93" w:rsidRPr="002035CD" w:rsidRDefault="00D23F93" w:rsidP="00D23F93">
      <w:r w:rsidRPr="00E14CE7">
        <w:lastRenderedPageBreak/>
        <w:t xml:space="preserve">Seven </w:t>
      </w:r>
      <w:r>
        <w:t>participants</w:t>
      </w:r>
      <w:r w:rsidRPr="00E14CE7">
        <w:t xml:space="preserve"> (6.4%</w:t>
      </w:r>
      <w:r>
        <w:t>, 10 reports</w:t>
      </w:r>
      <w:r w:rsidRPr="00E14CE7">
        <w:t>) in the Oleogel-S10 group</w:t>
      </w:r>
      <w:r>
        <w:t>, including five children or adolescents (aged 4 to &lt;18),</w:t>
      </w:r>
      <w:r w:rsidRPr="00E14CE7">
        <w:t xml:space="preserve"> and </w:t>
      </w:r>
      <w:r>
        <w:t>five participants</w:t>
      </w:r>
      <w:r w:rsidRPr="00E14CE7">
        <w:t xml:space="preserve"> (4.4%</w:t>
      </w:r>
      <w:r>
        <w:t xml:space="preserve">, seven reports) </w:t>
      </w:r>
      <w:r w:rsidRPr="00E14CE7">
        <w:t>in the control</w:t>
      </w:r>
      <w:r w:rsidRPr="002035CD">
        <w:rPr>
          <w:rFonts w:ascii="TimesNewRomanPSMT" w:hAnsi="TimesNewRomanPSMT" w:cs="TimesNewRomanPSMT"/>
          <w:sz w:val="20"/>
        </w:rPr>
        <w:t xml:space="preserve"> </w:t>
      </w:r>
      <w:r w:rsidRPr="002035CD">
        <w:t>gel group</w:t>
      </w:r>
      <w:r>
        <w:t>,</w:t>
      </w:r>
      <w:r w:rsidRPr="00063159">
        <w:t xml:space="preserve"> </w:t>
      </w:r>
      <w:r>
        <w:t>including three children or adolescents,</w:t>
      </w:r>
      <w:r w:rsidRPr="002035CD">
        <w:t xml:space="preserve"> had serious AEs (SAEs)</w:t>
      </w:r>
      <w:r>
        <w:t>.</w:t>
      </w:r>
      <w:r w:rsidRPr="002035CD">
        <w:t xml:space="preserve"> </w:t>
      </w:r>
      <w:r>
        <w:t>The serious treatment emergent (TE)AEs in the Oleogel-10 group included three reports of anaemia in children/adolescents, not considered treatment-related. In addition, one report each of wound haemorrhage (adolescent participant), squamous cell carcinoma (SCC) of the skin (adult participant), sepsis and bacterial wound infection (in adolescents), device-related infection (adult), pneumonia and haematuria (in children 4 to &lt;12 years) were recorded in this group. The SAE of</w:t>
      </w:r>
      <w:r w:rsidRPr="002035CD">
        <w:t xml:space="preserve"> wound h</w:t>
      </w:r>
      <w:r>
        <w:t>a</w:t>
      </w:r>
      <w:r w:rsidRPr="002035CD">
        <w:t xml:space="preserve">emorrhage in </w:t>
      </w:r>
      <w:r>
        <w:t>the adolescent treated with Oleogel-10</w:t>
      </w:r>
      <w:r w:rsidRPr="002035CD">
        <w:t xml:space="preserve"> was</w:t>
      </w:r>
      <w:r>
        <w:t xml:space="preserve"> </w:t>
      </w:r>
      <w:r w:rsidRPr="002035CD">
        <w:t xml:space="preserve">considered related to the study medication and </w:t>
      </w:r>
      <w:r>
        <w:t>resulted in withdrawal from the study</w:t>
      </w:r>
      <w:r w:rsidRPr="002035CD">
        <w:t xml:space="preserve">. </w:t>
      </w:r>
      <w:r>
        <w:t xml:space="preserve">The serious TEAE reported in the control gel group included two reports of sepsis (one adult, one adolescent) and one report each of bacterial wound infection (one adult), erysipelas (adult), upper respiratory tract infection (adolescent), wound infection and increased GGT (in children 4 - &lt;12 years). </w:t>
      </w:r>
      <w:r w:rsidRPr="002035CD">
        <w:t xml:space="preserve">Adverse events leading to study withdrawal </w:t>
      </w:r>
      <w:r>
        <w:t xml:space="preserve">included procedural pain, wound haemorrhage and SCC </w:t>
      </w:r>
      <w:r w:rsidRPr="002035CD">
        <w:t xml:space="preserve">in </w:t>
      </w:r>
      <w:r>
        <w:t>the</w:t>
      </w:r>
      <w:r w:rsidRPr="002035CD">
        <w:t xml:space="preserve"> Oleogel-S10 </w:t>
      </w:r>
      <w:r>
        <w:t>group</w:t>
      </w:r>
      <w:r w:rsidRPr="002035CD">
        <w:t xml:space="preserve"> </w:t>
      </w:r>
      <w:r>
        <w:t xml:space="preserve">(one each) </w:t>
      </w:r>
      <w:r w:rsidRPr="002035CD">
        <w:t xml:space="preserve">and </w:t>
      </w:r>
      <w:r>
        <w:t>pregnancy and allergic dermatitis</w:t>
      </w:r>
      <w:r w:rsidRPr="002035CD">
        <w:t xml:space="preserve"> </w:t>
      </w:r>
      <w:r>
        <w:t xml:space="preserve">in the </w:t>
      </w:r>
      <w:r w:rsidRPr="002035CD">
        <w:t xml:space="preserve">control gel </w:t>
      </w:r>
      <w:r>
        <w:t>group (one each)</w:t>
      </w:r>
      <w:r w:rsidRPr="002035CD">
        <w:t>.</w:t>
      </w:r>
    </w:p>
    <w:p w14:paraId="17CF6732" w14:textId="77777777" w:rsidR="00D23F93" w:rsidRPr="002035CD" w:rsidRDefault="00D23F93" w:rsidP="00D23F93">
      <w:r w:rsidRPr="002035CD">
        <w:t xml:space="preserve">The most frequently reported AEs in the Oleogel-S10 group and </w:t>
      </w:r>
      <w:r>
        <w:t xml:space="preserve">in </w:t>
      </w:r>
      <w:r w:rsidRPr="002035CD">
        <w:t>the control gel group, respectively, were wound</w:t>
      </w:r>
      <w:r>
        <w:t xml:space="preserve"> </w:t>
      </w:r>
      <w:r w:rsidRPr="002035CD">
        <w:t>complication (61.5% and 53.5%), pyrexia (8.3% and 13.2%), wound infection (7.3% and 8.8%), pruritus (7.3%</w:t>
      </w:r>
      <w:r>
        <w:t xml:space="preserve"> </w:t>
      </w:r>
      <w:r w:rsidRPr="002035CD">
        <w:t>and 5.3%), an</w:t>
      </w:r>
      <w:r>
        <w:t>a</w:t>
      </w:r>
      <w:r w:rsidRPr="002035CD">
        <w:t>emia (7.3% and 3.5%), and cough (2.8% and 7.0%). The most frequently reported treatment-related</w:t>
      </w:r>
      <w:r>
        <w:t xml:space="preserve"> </w:t>
      </w:r>
      <w:r w:rsidRPr="002035CD">
        <w:t xml:space="preserve">AE was wound complication, which was similar in incidence between the </w:t>
      </w:r>
      <w:r>
        <w:t>two</w:t>
      </w:r>
      <w:r w:rsidRPr="002035CD">
        <w:t xml:space="preserve"> treatment groups (13.8% in the</w:t>
      </w:r>
      <w:r>
        <w:t xml:space="preserve"> </w:t>
      </w:r>
      <w:r w:rsidRPr="002035CD">
        <w:t>Oleogel-S10 group and 14.9% in the control gel group).</w:t>
      </w:r>
    </w:p>
    <w:p w14:paraId="0AB696F3" w14:textId="77777777" w:rsidR="00D23F93" w:rsidRDefault="00D23F93" w:rsidP="00D23F93">
      <w:r>
        <w:t>Most</w:t>
      </w:r>
      <w:r w:rsidRPr="002035CD">
        <w:t xml:space="preserve"> AEs </w:t>
      </w:r>
      <w:r>
        <w:t xml:space="preserve">(around 70%) </w:t>
      </w:r>
      <w:r w:rsidRPr="002035CD">
        <w:t xml:space="preserve">in both treatment groups were </w:t>
      </w:r>
      <w:r>
        <w:t xml:space="preserve">of </w:t>
      </w:r>
      <w:r w:rsidRPr="002035CD">
        <w:t xml:space="preserve">mild </w:t>
      </w:r>
      <w:proofErr w:type="gramStart"/>
      <w:r w:rsidRPr="002035CD">
        <w:t>or</w:t>
      </w:r>
      <w:proofErr w:type="gramEnd"/>
      <w:r w:rsidRPr="002035CD">
        <w:t xml:space="preserve"> moderate </w:t>
      </w:r>
      <w:r>
        <w:t>severity</w:t>
      </w:r>
      <w:r w:rsidRPr="002035CD">
        <w:t>. Severe AEs were reported for</w:t>
      </w:r>
      <w:r>
        <w:t xml:space="preserve"> </w:t>
      </w:r>
      <w:r w:rsidRPr="002035CD">
        <w:t xml:space="preserve">13 </w:t>
      </w:r>
      <w:r>
        <w:t>participants</w:t>
      </w:r>
      <w:r w:rsidRPr="002035CD">
        <w:t xml:space="preserve"> (11.9%</w:t>
      </w:r>
      <w:r>
        <w:t>, 19 reports including one life-threatening</w:t>
      </w:r>
      <w:r w:rsidRPr="002035CD">
        <w:t>) in the Oleogel-S10 group</w:t>
      </w:r>
      <w:r>
        <w:t>. These included seven reports of anaemia in five participants, two reports of pruritus in two participants and single reports of bacterial wound infection, sepsis, eye infection, pneumonia, procedural pain, wound haemorrhage, dysphagia, ulcerative keratitis, administration site dysaesthesia and SCC. In the control gel group seven reports of severe TEAE in six</w:t>
      </w:r>
      <w:r w:rsidRPr="002035CD">
        <w:t xml:space="preserve"> </w:t>
      </w:r>
      <w:r>
        <w:t>participants</w:t>
      </w:r>
      <w:r w:rsidRPr="002035CD">
        <w:t xml:space="preserve"> (5.3%) </w:t>
      </w:r>
      <w:r>
        <w:t>included two reports of bacterial wound infection in two participants, and single reports of sepsis, erysipelas, upper respiratory tract infection, wound infection and oesophageal spasm</w:t>
      </w:r>
      <w:r w:rsidRPr="002035CD">
        <w:t>.</w:t>
      </w:r>
      <w:r>
        <w:t xml:space="preserve"> Six reports in five study participants overall were considered certainly treatment related, whereas 93 reports in 48 participants had treatment-emergent AE that were considered probably or possibly treatment-related.</w:t>
      </w:r>
    </w:p>
    <w:p w14:paraId="4044843C" w14:textId="77777777" w:rsidR="00250EC2" w:rsidRDefault="00D23F93" w:rsidP="00D8292E">
      <w:pPr>
        <w:pStyle w:val="Heading6"/>
      </w:pPr>
      <w:r w:rsidRPr="00112505">
        <w:t>BEB-13 O</w:t>
      </w:r>
      <w:r>
        <w:t>pen-Label Phase</w:t>
      </w:r>
      <w:r w:rsidR="00250EC2">
        <w:t xml:space="preserve"> </w:t>
      </w:r>
    </w:p>
    <w:p w14:paraId="14A2E525" w14:textId="4619B5DE" w:rsidR="00F10A5D" w:rsidRDefault="00D23F93" w:rsidP="00F10A5D">
      <w:pPr>
        <w:spacing w:before="120" w:after="0"/>
      </w:pPr>
      <w:r>
        <w:t>In the OLP of BEB-13, Oleogel-S10 was administered to all study participants</w:t>
      </w:r>
      <w:r>
        <w:rPr>
          <w:rFonts w:ascii="Verdana" w:hAnsi="Verdana" w:cs="Verdana"/>
          <w:sz w:val="18"/>
          <w:szCs w:val="18"/>
        </w:rPr>
        <w:t xml:space="preserve">. </w:t>
      </w:r>
      <w:r>
        <w:t>A</w:t>
      </w:r>
      <w:r w:rsidRPr="00A35861">
        <w:t xml:space="preserve">ll areas on the </w:t>
      </w:r>
      <w:r>
        <w:t xml:space="preserve">body </w:t>
      </w:r>
      <w:r w:rsidRPr="00A35861">
        <w:t>affected by EB</w:t>
      </w:r>
      <w:r>
        <w:t xml:space="preserve"> </w:t>
      </w:r>
      <w:r w:rsidRPr="00A35861">
        <w:t xml:space="preserve">partial-thickness wounds </w:t>
      </w:r>
      <w:r>
        <w:t>were treated</w:t>
      </w:r>
      <w:r w:rsidRPr="00A35861">
        <w:t>. Wound areas were to be covered with standard of care</w:t>
      </w:r>
      <w:r>
        <w:t xml:space="preserve"> </w:t>
      </w:r>
      <w:r w:rsidRPr="00A35861">
        <w:t>non-adhesive wound dressings. This procedure was to be repeated during all dressing changes (at</w:t>
      </w:r>
      <w:r>
        <w:t xml:space="preserve"> </w:t>
      </w:r>
      <w:r w:rsidRPr="00A35861">
        <w:t>least every 4 days) until the end of treatment at Month 24.</w:t>
      </w:r>
      <w:r>
        <w:t xml:space="preserve"> </w:t>
      </w:r>
      <w:r w:rsidRPr="000E366E">
        <w:t xml:space="preserve">The safety objectives were to evaluate the safety of </w:t>
      </w:r>
      <w:r>
        <w:t>F</w:t>
      </w:r>
      <w:r w:rsidR="00F13585">
        <w:t>ilsuvez</w:t>
      </w:r>
      <w:r>
        <w:t xml:space="preserve"> </w:t>
      </w:r>
      <w:r w:rsidRPr="000E366E">
        <w:t>based on the incidence,</w:t>
      </w:r>
      <w:r>
        <w:t xml:space="preserve"> </w:t>
      </w:r>
      <w:r w:rsidRPr="000E366E">
        <w:t xml:space="preserve">severity and relatedness of adverse events (AEs) and laboratory assessments. </w:t>
      </w:r>
      <w:r>
        <w:t xml:space="preserve">An evaluation of the clinical safety aspects of the BEB-13 OLP up to 1 July 2022 (database lock) was provided in </w:t>
      </w:r>
      <w:r w:rsidRPr="005F614D">
        <w:t>an EMA Type II variation assessment report</w:t>
      </w:r>
      <w:r w:rsidR="00222EE4" w:rsidRPr="005F614D">
        <w:t>.</w:t>
      </w:r>
      <w:r w:rsidRPr="005F614D">
        <w:rPr>
          <w:rStyle w:val="FootnoteReference"/>
        </w:rPr>
        <w:footnoteReference w:id="30"/>
      </w:r>
      <w:r w:rsidRPr="005F614D">
        <w:t xml:space="preserve"> </w:t>
      </w:r>
      <w:r w:rsidR="00F10A5D">
        <w:t xml:space="preserve"> </w:t>
      </w:r>
    </w:p>
    <w:p w14:paraId="091282C4" w14:textId="61209E2A" w:rsidR="007F6010" w:rsidRDefault="00D23F93" w:rsidP="00F10A5D">
      <w:pPr>
        <w:spacing w:before="120" w:after="0"/>
      </w:pPr>
      <w:r>
        <w:t>At</w:t>
      </w:r>
      <w:r w:rsidRPr="008C0274">
        <w:t xml:space="preserve"> database lock, </w:t>
      </w:r>
      <w:r>
        <w:t>t</w:t>
      </w:r>
      <w:r w:rsidRPr="00E64170">
        <w:t xml:space="preserve">he median duration of </w:t>
      </w:r>
      <w:r>
        <w:t>F</w:t>
      </w:r>
      <w:r w:rsidR="00BE48D5">
        <w:t>ilsuvez</w:t>
      </w:r>
      <w:r w:rsidRPr="00E64170">
        <w:t xml:space="preserve"> treatment for all patients in the DBP and OLP </w:t>
      </w:r>
      <w:r>
        <w:t xml:space="preserve">was </w:t>
      </w:r>
      <w:r w:rsidRPr="00E64170">
        <w:t xml:space="preserve">733 days and the maximum duration of treatment </w:t>
      </w:r>
      <w:r>
        <w:t>was</w:t>
      </w:r>
      <w:r w:rsidRPr="00E64170">
        <w:t xml:space="preserve"> 931</w:t>
      </w:r>
      <w:r>
        <w:t xml:space="preserve"> </w:t>
      </w:r>
      <w:r w:rsidRPr="00E64170">
        <w:t>days.</w:t>
      </w:r>
      <w:r>
        <w:t xml:space="preserve"> In total, </w:t>
      </w:r>
      <w:r w:rsidRPr="008C0274">
        <w:t xml:space="preserve">141 </w:t>
      </w:r>
      <w:r>
        <w:t>study participants</w:t>
      </w:r>
      <w:r w:rsidRPr="008C0274">
        <w:t xml:space="preserve"> (68.8%) </w:t>
      </w:r>
      <w:r>
        <w:t xml:space="preserve">had </w:t>
      </w:r>
      <w:r w:rsidRPr="008C0274">
        <w:t>completed the</w:t>
      </w:r>
      <w:r>
        <w:t xml:space="preserve"> </w:t>
      </w:r>
      <w:r w:rsidR="00094CFB" w:rsidRPr="008C0274">
        <w:t>OLP,</w:t>
      </w:r>
      <w:r w:rsidRPr="008C0274">
        <w:t xml:space="preserve"> and 64 </w:t>
      </w:r>
      <w:r>
        <w:t>participants</w:t>
      </w:r>
      <w:r w:rsidRPr="008C0274">
        <w:t xml:space="preserve"> (31.2%) </w:t>
      </w:r>
      <w:r>
        <w:t xml:space="preserve">had </w:t>
      </w:r>
      <w:r w:rsidRPr="008C0274">
        <w:t xml:space="preserve">discontinued the OLP prior to Month 24. </w:t>
      </w:r>
      <w:r>
        <w:t xml:space="preserve">Among the discontinuations, 33 were reported as </w:t>
      </w:r>
      <w:r w:rsidR="000E5EAA">
        <w:t>‘</w:t>
      </w:r>
      <w:r>
        <w:t>withdrawal of consent</w:t>
      </w:r>
      <w:r w:rsidR="000E5EAA">
        <w:t>’</w:t>
      </w:r>
      <w:r>
        <w:t xml:space="preserve">, 16 were reported for adverse events (including nine deaths), and 11 were for </w:t>
      </w:r>
      <w:r w:rsidR="000E5EAA">
        <w:t>‘</w:t>
      </w:r>
      <w:r>
        <w:t xml:space="preserve">other </w:t>
      </w:r>
      <w:r>
        <w:lastRenderedPageBreak/>
        <w:t>reasons</w:t>
      </w:r>
      <w:r w:rsidR="000E5EAA">
        <w:t>’</w:t>
      </w:r>
      <w:r>
        <w:t xml:space="preserve"> including lack of efficacy, desire to participate in another study, </w:t>
      </w:r>
      <w:r w:rsidR="008D7769">
        <w:t xml:space="preserve">or </w:t>
      </w:r>
      <w:r>
        <w:t xml:space="preserve">loss to follow-up. </w:t>
      </w:r>
      <w:r w:rsidRPr="00BE6031">
        <w:t xml:space="preserve">The </w:t>
      </w:r>
      <w:r>
        <w:t xml:space="preserve">nine </w:t>
      </w:r>
      <w:r w:rsidRPr="00BE6031">
        <w:t>deaths were considered consistent with the course</w:t>
      </w:r>
      <w:r>
        <w:t xml:space="preserve"> </w:t>
      </w:r>
      <w:r w:rsidRPr="00BE6031">
        <w:t>of the disease and none of the deaths were considered related to study treatment.</w:t>
      </w:r>
      <w:r>
        <w:t xml:space="preserve"> </w:t>
      </w:r>
    </w:p>
    <w:p w14:paraId="27303C8C" w14:textId="22574583" w:rsidR="00D23F93" w:rsidRDefault="00D23F93" w:rsidP="00F10A5D">
      <w:pPr>
        <w:spacing w:before="120" w:after="0"/>
      </w:pPr>
      <w:r>
        <w:t>During the OLP</w:t>
      </w:r>
      <w:r w:rsidRPr="00574127">
        <w:t xml:space="preserve"> 158</w:t>
      </w:r>
      <w:r>
        <w:t xml:space="preserve"> </w:t>
      </w:r>
      <w:r w:rsidRPr="00574127">
        <w:t xml:space="preserve">(77.1%) </w:t>
      </w:r>
      <w:r>
        <w:t>participants</w:t>
      </w:r>
      <w:r w:rsidRPr="00574127">
        <w:t xml:space="preserve"> reported at least </w:t>
      </w:r>
      <w:r>
        <w:t>one</w:t>
      </w:r>
      <w:r w:rsidRPr="00574127">
        <w:t xml:space="preserve"> AE</w:t>
      </w:r>
      <w:r>
        <w:t>.</w:t>
      </w:r>
      <w:r w:rsidRPr="00574127">
        <w:t xml:space="preserve"> The most</w:t>
      </w:r>
      <w:r>
        <w:t xml:space="preserve"> </w:t>
      </w:r>
      <w:r w:rsidRPr="00574127">
        <w:t xml:space="preserve">frequently reported AEs (≥5% of all </w:t>
      </w:r>
      <w:r>
        <w:t>participants</w:t>
      </w:r>
      <w:r w:rsidRPr="00574127">
        <w:t>) were wound complication</w:t>
      </w:r>
      <w:r>
        <w:t xml:space="preserve"> (41.0%, wound complications considered treatment-related 6.8%)</w:t>
      </w:r>
      <w:r w:rsidRPr="00574127">
        <w:t>, an</w:t>
      </w:r>
      <w:r>
        <w:t>a</w:t>
      </w:r>
      <w:r w:rsidRPr="00574127">
        <w:t>emia</w:t>
      </w:r>
      <w:r>
        <w:t xml:space="preserve"> (18.0%)</w:t>
      </w:r>
      <w:r w:rsidRPr="00574127">
        <w:t>, wound infection</w:t>
      </w:r>
      <w:r>
        <w:t xml:space="preserve"> (10.2%)</w:t>
      </w:r>
      <w:r w:rsidRPr="00574127">
        <w:t>, wound</w:t>
      </w:r>
      <w:r>
        <w:t xml:space="preserve"> </w:t>
      </w:r>
      <w:r w:rsidRPr="00574127">
        <w:t>infection staphylococcal</w:t>
      </w:r>
      <w:r>
        <w:t xml:space="preserve"> (10.2%)</w:t>
      </w:r>
      <w:r w:rsidRPr="00574127">
        <w:t>, pyrexia</w:t>
      </w:r>
      <w:r>
        <w:t xml:space="preserve"> (9.8%)</w:t>
      </w:r>
      <w:r w:rsidRPr="00574127">
        <w:t xml:space="preserve">, </w:t>
      </w:r>
      <w:r>
        <w:t>o</w:t>
      </w:r>
      <w:r w:rsidRPr="00574127">
        <w:t>esophageal stenosis</w:t>
      </w:r>
      <w:r>
        <w:t xml:space="preserve"> (9.3%)</w:t>
      </w:r>
      <w:r w:rsidRPr="00574127">
        <w:t>, wound infection bacterial</w:t>
      </w:r>
      <w:r>
        <w:t xml:space="preserve"> (7.8%)</w:t>
      </w:r>
      <w:r w:rsidRPr="00574127">
        <w:t>, pruritus</w:t>
      </w:r>
      <w:r>
        <w:t xml:space="preserve"> (6.8%)</w:t>
      </w:r>
      <w:r w:rsidRPr="00574127">
        <w:t>, and dysphagia</w:t>
      </w:r>
      <w:r>
        <w:t xml:space="preserve"> (6.3%)</w:t>
      </w:r>
      <w:r w:rsidRPr="00574127">
        <w:t>.</w:t>
      </w:r>
      <w:r>
        <w:t xml:space="preserve"> </w:t>
      </w:r>
      <w:r w:rsidRPr="00574127">
        <w:t xml:space="preserve">These conditions </w:t>
      </w:r>
      <w:r>
        <w:t>were all considered</w:t>
      </w:r>
      <w:r w:rsidRPr="00574127">
        <w:t xml:space="preserve"> consistent with the course of the disease.</w:t>
      </w:r>
      <w:r w:rsidRPr="00FB4293">
        <w:rPr>
          <w:rFonts w:ascii="Verdana" w:hAnsi="Verdana" w:cs="Verdana"/>
          <w:sz w:val="18"/>
          <w:szCs w:val="18"/>
        </w:rPr>
        <w:t xml:space="preserve"> </w:t>
      </w:r>
      <w:r w:rsidRPr="00FB4293">
        <w:t xml:space="preserve">Adverse events leading to study withdrawal reported for more than </w:t>
      </w:r>
      <w:r>
        <w:t>one participant</w:t>
      </w:r>
      <w:r w:rsidRPr="00FB4293">
        <w:t xml:space="preserve"> each were </w:t>
      </w:r>
      <w:r>
        <w:t>SCC</w:t>
      </w:r>
      <w:r w:rsidRPr="00FB4293">
        <w:t xml:space="preserve"> (2), pneumonia (</w:t>
      </w:r>
      <w:r>
        <w:t>2 deaths</w:t>
      </w:r>
      <w:r w:rsidRPr="00FB4293">
        <w:t>), and staphylococcal wound infection</w:t>
      </w:r>
      <w:r>
        <w:t xml:space="preserve"> </w:t>
      </w:r>
      <w:r w:rsidRPr="00FB4293">
        <w:t>(2</w:t>
      </w:r>
      <w:r>
        <w:t xml:space="preserve"> deaths</w:t>
      </w:r>
      <w:r w:rsidRPr="00FB4293">
        <w:t>)</w:t>
      </w:r>
      <w:r>
        <w:t xml:space="preserve">. The other patient deaths were separately associated with disease progression, heart failure, intestinal </w:t>
      </w:r>
      <w:proofErr w:type="spellStart"/>
      <w:r>
        <w:t>ischaemia</w:t>
      </w:r>
      <w:proofErr w:type="spellEnd"/>
      <w:r>
        <w:t>, sepsis (not related to wound treatment) and acute kidney injury. Administration site pain, staphylococcal infection and rash SAE were considered associated with treatment.</w:t>
      </w:r>
    </w:p>
    <w:p w14:paraId="008F8BF3" w14:textId="4882C178" w:rsidR="00D23F93" w:rsidRPr="007C2FFD" w:rsidRDefault="00D23F93" w:rsidP="00851612">
      <w:pPr>
        <w:pStyle w:val="Heading7"/>
      </w:pPr>
      <w:r w:rsidRPr="007C2FFD">
        <w:t xml:space="preserve">Adverse </w:t>
      </w:r>
      <w:r w:rsidR="00851612" w:rsidRPr="007C2FFD">
        <w:t>events of special interest</w:t>
      </w:r>
    </w:p>
    <w:p w14:paraId="1DF88886" w14:textId="77777777" w:rsidR="00D23F93" w:rsidRPr="00E955FE" w:rsidRDefault="00D23F93" w:rsidP="00851612">
      <w:r w:rsidRPr="00E955FE">
        <w:t>Adverse events of interest were identified based on a review of the DBP and OLP safety data in addition to a</w:t>
      </w:r>
      <w:r>
        <w:t xml:space="preserve"> </w:t>
      </w:r>
      <w:r w:rsidRPr="00E955FE">
        <w:t>Standardized MedDRA Query (SMQ) analysis. AEs selected for further evaluation were hypersensitivity</w:t>
      </w:r>
      <w:r>
        <w:t xml:space="preserve"> </w:t>
      </w:r>
      <w:r w:rsidRPr="00E955FE">
        <w:t>(primarily rash), squamous cell carcinoma of the skin (SCC), h</w:t>
      </w:r>
      <w:r>
        <w:t>a</w:t>
      </w:r>
      <w:r w:rsidRPr="00E955FE">
        <w:t>emorrhage and an</w:t>
      </w:r>
      <w:r>
        <w:t>a</w:t>
      </w:r>
      <w:r w:rsidRPr="00E955FE">
        <w:t>emia.</w:t>
      </w:r>
    </w:p>
    <w:p w14:paraId="629A4CB4" w14:textId="77777777" w:rsidR="00D23F93" w:rsidRPr="00E955FE" w:rsidRDefault="00D23F93" w:rsidP="00D23F93">
      <w:r>
        <w:t>Twelve</w:t>
      </w:r>
      <w:r w:rsidRPr="00E955FE">
        <w:t xml:space="preserve"> subjects exposed to Oleogel-S10 in the DBP or OLP reported </w:t>
      </w:r>
      <w:r>
        <w:t>16</w:t>
      </w:r>
      <w:r w:rsidRPr="00E955FE">
        <w:t xml:space="preserve"> AEs that coded to the Hypersensitivity SMQ.</w:t>
      </w:r>
      <w:r>
        <w:t xml:space="preserve"> Two separate events of rash and anaphylactic reaction were considered grade 3 severity, the remaining were considered grade 1 or grade 2. One event of rash was considered serious and resulted in discontinuation.</w:t>
      </w:r>
    </w:p>
    <w:p w14:paraId="547D7A6E" w14:textId="77777777" w:rsidR="00D23F93" w:rsidRDefault="00D23F93" w:rsidP="00D23F93">
      <w:r w:rsidRPr="00E955FE">
        <w:t>Four subjects with RDEB were diagnosed with SCC while on study</w:t>
      </w:r>
      <w:r>
        <w:t xml:space="preserve">; </w:t>
      </w:r>
      <w:r w:rsidRPr="00E5629A">
        <w:t>all were adult subjects (20-49 years) with</w:t>
      </w:r>
      <w:r>
        <w:t xml:space="preserve"> </w:t>
      </w:r>
      <w:r w:rsidRPr="00E5629A">
        <w:t>generalized severe (3) or generalized intermediate (1) RDEB.</w:t>
      </w:r>
      <w:r w:rsidRPr="00E955FE">
        <w:t xml:space="preserve"> Two SCC lesions had not been treated with</w:t>
      </w:r>
      <w:r>
        <w:t xml:space="preserve"> </w:t>
      </w:r>
      <w:r w:rsidRPr="00E955FE">
        <w:t>Oleogel-S10 and were not considered related to study medication. The other 2 cases of SCC, which occurred</w:t>
      </w:r>
      <w:r>
        <w:t xml:space="preserve"> </w:t>
      </w:r>
      <w:r w:rsidRPr="00E955FE">
        <w:t xml:space="preserve">in </w:t>
      </w:r>
      <w:r>
        <w:t>adults</w:t>
      </w:r>
      <w:r w:rsidRPr="00E955FE">
        <w:t xml:space="preserve"> 46 and 49 years of age, had Oleogel-S10 applied to the area prior to the SCC diagnosis.</w:t>
      </w:r>
      <w:r>
        <w:t xml:space="preserve"> Three of the four participants who developed SCC discontinued the study.</w:t>
      </w:r>
    </w:p>
    <w:p w14:paraId="6CCEB8CE" w14:textId="77777777" w:rsidR="00D23F93" w:rsidRDefault="00D23F93" w:rsidP="00D23F93">
      <w:r>
        <w:t>Twenty-three</w:t>
      </w:r>
      <w:r w:rsidRPr="001961A9">
        <w:t xml:space="preserve"> AEs in 15 </w:t>
      </w:r>
      <w:r>
        <w:t>participants</w:t>
      </w:r>
      <w:r w:rsidRPr="001961A9">
        <w:t xml:space="preserve"> exposed to Oleogel-S10 were coded to terms included in the haemorrhage terms SMQ. These events included</w:t>
      </w:r>
      <w:r>
        <w:t xml:space="preserve"> five</w:t>
      </w:r>
      <w:r w:rsidRPr="001961A9">
        <w:t xml:space="preserve"> events of epistaxis</w:t>
      </w:r>
      <w:r>
        <w:t xml:space="preserve"> </w:t>
      </w:r>
      <w:r w:rsidRPr="001961A9">
        <w:t>(</w:t>
      </w:r>
      <w:r>
        <w:t>in 3 participants</w:t>
      </w:r>
      <w:r w:rsidRPr="001961A9">
        <w:t xml:space="preserve">); </w:t>
      </w:r>
      <w:r>
        <w:t>three</w:t>
      </w:r>
      <w:r w:rsidRPr="001961A9">
        <w:t xml:space="preserve"> events of rectal haemorrhage (3); </w:t>
      </w:r>
      <w:r>
        <w:t>three</w:t>
      </w:r>
      <w:r w:rsidRPr="001961A9">
        <w:t xml:space="preserve"> events of haematuria (2); </w:t>
      </w:r>
      <w:r>
        <w:t>three</w:t>
      </w:r>
      <w:r w:rsidRPr="001961A9">
        <w:t xml:space="preserve"> events</w:t>
      </w:r>
      <w:r>
        <w:t xml:space="preserve"> </w:t>
      </w:r>
      <w:r w:rsidRPr="001961A9">
        <w:t xml:space="preserve">of wound haemorrhage (2); </w:t>
      </w:r>
      <w:r>
        <w:t>two</w:t>
      </w:r>
      <w:r w:rsidRPr="001961A9">
        <w:t xml:space="preserve"> events of hematemesis (2); </w:t>
      </w:r>
      <w:r>
        <w:t>two</w:t>
      </w:r>
      <w:r w:rsidRPr="001961A9">
        <w:t xml:space="preserve"> events of haematochezia</w:t>
      </w:r>
      <w:r>
        <w:t xml:space="preserve"> </w:t>
      </w:r>
      <w:r w:rsidRPr="001961A9">
        <w:t xml:space="preserve">(2); </w:t>
      </w:r>
      <w:r>
        <w:t>and one</w:t>
      </w:r>
      <w:r w:rsidRPr="001961A9">
        <w:t xml:space="preserve"> event </w:t>
      </w:r>
      <w:r>
        <w:t xml:space="preserve">respectively </w:t>
      </w:r>
      <w:r w:rsidRPr="001961A9">
        <w:t>of blood urine present</w:t>
      </w:r>
      <w:r>
        <w:t xml:space="preserve">, </w:t>
      </w:r>
      <w:r w:rsidRPr="001961A9">
        <w:t>gastrointestinal haemorrhage</w:t>
      </w:r>
      <w:r>
        <w:t xml:space="preserve">, </w:t>
      </w:r>
      <w:r w:rsidRPr="001961A9">
        <w:t>blood loss anaemia</w:t>
      </w:r>
      <w:r>
        <w:t>,</w:t>
      </w:r>
      <w:r w:rsidRPr="001961A9">
        <w:t xml:space="preserve"> hemoperitoneum and</w:t>
      </w:r>
      <w:r>
        <w:t xml:space="preserve"> </w:t>
      </w:r>
      <w:r w:rsidRPr="001961A9">
        <w:t xml:space="preserve">heavy menstrual bleeding. All but </w:t>
      </w:r>
      <w:r>
        <w:t>four</w:t>
      </w:r>
      <w:r w:rsidRPr="001961A9">
        <w:t xml:space="preserve"> of the</w:t>
      </w:r>
      <w:r>
        <w:t>se</w:t>
      </w:r>
      <w:r w:rsidRPr="001961A9">
        <w:t xml:space="preserve"> events were grade 1 or grade 2 in</w:t>
      </w:r>
      <w:r>
        <w:t xml:space="preserve"> </w:t>
      </w:r>
      <w:r w:rsidRPr="001961A9">
        <w:t xml:space="preserve">severity; </w:t>
      </w:r>
      <w:r>
        <w:t xml:space="preserve">one event of </w:t>
      </w:r>
      <w:r w:rsidRPr="001961A9">
        <w:t>wound haemorrhage</w:t>
      </w:r>
      <w:r>
        <w:t xml:space="preserve"> and the </w:t>
      </w:r>
      <w:r w:rsidRPr="001961A9">
        <w:t>hemoperitoneum</w:t>
      </w:r>
      <w:r>
        <w:t xml:space="preserve"> were classified grade 3</w:t>
      </w:r>
      <w:r w:rsidRPr="001961A9">
        <w:t xml:space="preserve">, and </w:t>
      </w:r>
      <w:r>
        <w:t xml:space="preserve">the events of </w:t>
      </w:r>
      <w:r w:rsidRPr="001961A9">
        <w:t>blood loss anaemia</w:t>
      </w:r>
      <w:r>
        <w:t xml:space="preserve"> and </w:t>
      </w:r>
      <w:r w:rsidRPr="001961A9">
        <w:t>gastrointestinal haemorrhage</w:t>
      </w:r>
      <w:r>
        <w:t xml:space="preserve"> were classified grade 4</w:t>
      </w:r>
      <w:r w:rsidRPr="001961A9">
        <w:t>.</w:t>
      </w:r>
    </w:p>
    <w:p w14:paraId="5194B7C9" w14:textId="77777777" w:rsidR="00D23F93" w:rsidRDefault="00D23F93" w:rsidP="00D23F93">
      <w:r>
        <w:t>Analysis</w:t>
      </w:r>
      <w:r w:rsidRPr="009E767C">
        <w:t xml:space="preserve"> of an</w:t>
      </w:r>
      <w:r>
        <w:t>a</w:t>
      </w:r>
      <w:r w:rsidRPr="009E767C">
        <w:t xml:space="preserve">emia-related AEs </w:t>
      </w:r>
      <w:r>
        <w:t>recorded</w:t>
      </w:r>
      <w:r w:rsidRPr="009E767C">
        <w:t xml:space="preserve"> 70 </w:t>
      </w:r>
      <w:r>
        <w:t xml:space="preserve">reports with </w:t>
      </w:r>
      <w:r w:rsidRPr="009E767C">
        <w:t>an</w:t>
      </w:r>
      <w:r>
        <w:t>a</w:t>
      </w:r>
      <w:r w:rsidRPr="009E767C">
        <w:t xml:space="preserve">emia-related </w:t>
      </w:r>
      <w:r>
        <w:t>preferred terms (</w:t>
      </w:r>
      <w:r w:rsidRPr="009E767C">
        <w:t>PTs</w:t>
      </w:r>
      <w:r>
        <w:t>:</w:t>
      </w:r>
      <w:r w:rsidRPr="009E767C">
        <w:t xml:space="preserve"> </w:t>
      </w:r>
      <w:r>
        <w:t xml:space="preserve">including </w:t>
      </w:r>
      <w:r w:rsidRPr="009E767C">
        <w:t>an</w:t>
      </w:r>
      <w:r>
        <w:t>a</w:t>
      </w:r>
      <w:r w:rsidRPr="009E767C">
        <w:t>emia, iron</w:t>
      </w:r>
      <w:r>
        <w:t xml:space="preserve"> </w:t>
      </w:r>
      <w:r w:rsidRPr="009E767C">
        <w:t>deficiency an</w:t>
      </w:r>
      <w:r>
        <w:t>a</w:t>
      </w:r>
      <w:r w:rsidRPr="009E767C">
        <w:t>emia, Coombs positive h</w:t>
      </w:r>
      <w:r>
        <w:t>a</w:t>
      </w:r>
      <w:r w:rsidRPr="009E767C">
        <w:t>emolytic an</w:t>
      </w:r>
      <w:r>
        <w:t>a</w:t>
      </w:r>
      <w:r w:rsidRPr="009E767C">
        <w:t xml:space="preserve">emia) in 45 </w:t>
      </w:r>
      <w:r>
        <w:t>participants</w:t>
      </w:r>
      <w:r w:rsidRPr="009E767C">
        <w:t xml:space="preserve"> exposed to </w:t>
      </w:r>
      <w:proofErr w:type="spellStart"/>
      <w:r w:rsidRPr="009E767C">
        <w:t>Oleogel</w:t>
      </w:r>
      <w:proofErr w:type="spellEnd"/>
      <w:r w:rsidRPr="009E767C">
        <w:t>-</w:t>
      </w:r>
      <w:r>
        <w:t xml:space="preserve"> </w:t>
      </w:r>
      <w:r w:rsidRPr="009E767C">
        <w:t xml:space="preserve">S10 during the DBP or </w:t>
      </w:r>
      <w:r>
        <w:t xml:space="preserve">the </w:t>
      </w:r>
      <w:r w:rsidRPr="009E767C">
        <w:t>OLP. These included 64 events of an</w:t>
      </w:r>
      <w:r>
        <w:t>a</w:t>
      </w:r>
      <w:r w:rsidRPr="009E767C">
        <w:t xml:space="preserve">emia in 42 </w:t>
      </w:r>
      <w:r>
        <w:t>participants</w:t>
      </w:r>
      <w:r w:rsidRPr="009E767C">
        <w:t xml:space="preserve">, </w:t>
      </w:r>
      <w:r>
        <w:t>four</w:t>
      </w:r>
      <w:r w:rsidRPr="009E767C">
        <w:t xml:space="preserve"> events of iron</w:t>
      </w:r>
      <w:r>
        <w:t xml:space="preserve"> </w:t>
      </w:r>
      <w:r w:rsidRPr="009E767C">
        <w:t>deficiency an</w:t>
      </w:r>
      <w:r>
        <w:t>a</w:t>
      </w:r>
      <w:r w:rsidRPr="009E767C">
        <w:t xml:space="preserve">emia in </w:t>
      </w:r>
      <w:r>
        <w:t>three participants</w:t>
      </w:r>
      <w:r w:rsidRPr="009E767C">
        <w:t xml:space="preserve">, and </w:t>
      </w:r>
      <w:r>
        <w:t>one report each</w:t>
      </w:r>
      <w:r w:rsidRPr="009E767C">
        <w:t xml:space="preserve"> of blood loss an</w:t>
      </w:r>
      <w:r>
        <w:t>a</w:t>
      </w:r>
      <w:r w:rsidRPr="009E767C">
        <w:t>emia and of Coombs positive</w:t>
      </w:r>
      <w:r>
        <w:t xml:space="preserve"> </w:t>
      </w:r>
      <w:r w:rsidRPr="009E767C">
        <w:t>h</w:t>
      </w:r>
      <w:r>
        <w:t>a</w:t>
      </w:r>
      <w:r w:rsidRPr="009E767C">
        <w:t>emolytic an</w:t>
      </w:r>
      <w:r>
        <w:t>a</w:t>
      </w:r>
      <w:r w:rsidRPr="009E767C">
        <w:t>emia (</w:t>
      </w:r>
      <w:r>
        <w:t>this participant</w:t>
      </w:r>
      <w:r w:rsidRPr="009E767C">
        <w:t xml:space="preserve"> also experienced several </w:t>
      </w:r>
      <w:r>
        <w:t xml:space="preserve">separate recorded </w:t>
      </w:r>
      <w:r w:rsidRPr="009E767C">
        <w:t>events of an</w:t>
      </w:r>
      <w:r>
        <w:t>a</w:t>
      </w:r>
      <w:r w:rsidRPr="009E767C">
        <w:t>emia). All an</w:t>
      </w:r>
      <w:r>
        <w:t>a</w:t>
      </w:r>
      <w:r w:rsidRPr="009E767C">
        <w:t>emia</w:t>
      </w:r>
      <w:r>
        <w:t xml:space="preserve"> </w:t>
      </w:r>
      <w:r w:rsidRPr="009E767C">
        <w:t>related</w:t>
      </w:r>
      <w:r>
        <w:t xml:space="preserve"> </w:t>
      </w:r>
      <w:r w:rsidRPr="009E767C">
        <w:t>AEs were considered unlikely related to the study medication</w:t>
      </w:r>
      <w:r>
        <w:t>. This is accepted in view of the known association of EB with anaemia.</w:t>
      </w:r>
    </w:p>
    <w:p w14:paraId="515B8B16" w14:textId="7510B892" w:rsidR="00D23F93" w:rsidRDefault="00D23F93" w:rsidP="00D23F93">
      <w:r w:rsidRPr="00FD5969">
        <w:t xml:space="preserve">In the OLP, target wound infections occurred in very few </w:t>
      </w:r>
      <w:r>
        <w:t>study participants</w:t>
      </w:r>
      <w:r w:rsidRPr="00FD5969">
        <w:t xml:space="preserve">, with only </w:t>
      </w:r>
      <w:r>
        <w:t>seven reports of</w:t>
      </w:r>
      <w:r w:rsidRPr="00FD5969">
        <w:t xml:space="preserve"> infection of the target wound. The maximum severity of target wound infections</w:t>
      </w:r>
      <w:r>
        <w:t xml:space="preserve"> </w:t>
      </w:r>
      <w:r w:rsidRPr="00FD5969">
        <w:lastRenderedPageBreak/>
        <w:t>occurring in the OLP (between OLP Day 0 and Month 24) was mild (n=</w:t>
      </w:r>
      <w:r w:rsidR="004D1FA0">
        <w:t xml:space="preserve"> </w:t>
      </w:r>
      <w:r w:rsidRPr="00FD5969">
        <w:t>2) and severe (n=</w:t>
      </w:r>
      <w:r w:rsidR="004D1FA0">
        <w:t xml:space="preserve"> </w:t>
      </w:r>
      <w:r w:rsidRPr="00FD5969">
        <w:t>2) in the former</w:t>
      </w:r>
      <w:r>
        <w:t xml:space="preserve"> </w:t>
      </w:r>
      <w:r w:rsidRPr="00FD5969">
        <w:t xml:space="preserve">Oleogel-S10 subjects, and </w:t>
      </w:r>
      <w:r>
        <w:t xml:space="preserve">moderate </w:t>
      </w:r>
      <w:r w:rsidRPr="00FD5969">
        <w:t>in former control gel subjects (n=3). The incidence and severity of additional and other wound infections were very similar between the</w:t>
      </w:r>
      <w:r>
        <w:t xml:space="preserve"> </w:t>
      </w:r>
      <w:r w:rsidRPr="00FD5969">
        <w:t>DBP and OLP through Month 24.</w:t>
      </w:r>
    </w:p>
    <w:p w14:paraId="3FF3A881" w14:textId="77777777" w:rsidR="00D23F93" w:rsidRDefault="00D23F93" w:rsidP="00D23F93">
      <w:r>
        <w:t>The primary evaluators concluded:</w:t>
      </w:r>
    </w:p>
    <w:p w14:paraId="01942AB8" w14:textId="753B4C90" w:rsidR="00D23F93" w:rsidRDefault="00D23F93" w:rsidP="00D23F93">
      <w:pPr>
        <w:ind w:left="720"/>
        <w:rPr>
          <w:i/>
          <w:iCs/>
        </w:rPr>
      </w:pPr>
      <w:r w:rsidRPr="00EB5B78">
        <w:rPr>
          <w:i/>
          <w:iCs/>
        </w:rPr>
        <w:t>The additional</w:t>
      </w:r>
      <w:r>
        <w:rPr>
          <w:i/>
          <w:iCs/>
        </w:rPr>
        <w:t xml:space="preserve"> </w:t>
      </w:r>
      <w:r w:rsidRPr="00EB5B78">
        <w:rPr>
          <w:i/>
          <w:iCs/>
        </w:rPr>
        <w:t xml:space="preserve">data provided from the finalised OLP does not change </w:t>
      </w:r>
      <w:r>
        <w:t>[the conclusion that Filsuvez is a locally applied and locally acting with limited systemic absorption]</w:t>
      </w:r>
      <w:r w:rsidRPr="00EB5B78">
        <w:rPr>
          <w:i/>
          <w:iCs/>
        </w:rPr>
        <w:t xml:space="preserve">. </w:t>
      </w:r>
      <w:proofErr w:type="spellStart"/>
      <w:r w:rsidRPr="00EB5B78">
        <w:rPr>
          <w:i/>
          <w:iCs/>
        </w:rPr>
        <w:t>Betulin</w:t>
      </w:r>
      <w:proofErr w:type="spellEnd"/>
      <w:r w:rsidRPr="00EB5B78">
        <w:rPr>
          <w:i/>
          <w:iCs/>
        </w:rPr>
        <w:t xml:space="preserve"> systemic exposure was low,</w:t>
      </w:r>
      <w:r>
        <w:rPr>
          <w:i/>
          <w:iCs/>
        </w:rPr>
        <w:t xml:space="preserve"> </w:t>
      </w:r>
      <w:proofErr w:type="gramStart"/>
      <w:r w:rsidRPr="00EB5B78">
        <w:rPr>
          <w:i/>
          <w:iCs/>
        </w:rPr>
        <w:t>similar to</w:t>
      </w:r>
      <w:proofErr w:type="gramEnd"/>
      <w:r w:rsidRPr="00EB5B78">
        <w:rPr>
          <w:i/>
          <w:iCs/>
        </w:rPr>
        <w:t xml:space="preserve"> concentrations observed following ingestion of </w:t>
      </w:r>
      <w:proofErr w:type="spellStart"/>
      <w:r w:rsidRPr="00EB5B78">
        <w:rPr>
          <w:i/>
          <w:iCs/>
        </w:rPr>
        <w:t>betulin</w:t>
      </w:r>
      <w:proofErr w:type="spellEnd"/>
      <w:r w:rsidRPr="00EB5B78">
        <w:rPr>
          <w:i/>
          <w:iCs/>
        </w:rPr>
        <w:t xml:space="preserve">-containing foods, </w:t>
      </w:r>
      <w:proofErr w:type="gramStart"/>
      <w:r w:rsidRPr="00EB5B78">
        <w:rPr>
          <w:i/>
          <w:iCs/>
        </w:rPr>
        <w:t>the majority of</w:t>
      </w:r>
      <w:proofErr w:type="gramEnd"/>
      <w:r w:rsidRPr="00EB5B78">
        <w:rPr>
          <w:i/>
          <w:iCs/>
        </w:rPr>
        <w:t xml:space="preserve"> samples</w:t>
      </w:r>
      <w:r>
        <w:rPr>
          <w:i/>
          <w:iCs/>
        </w:rPr>
        <w:t xml:space="preserve"> </w:t>
      </w:r>
      <w:r w:rsidRPr="00EB5B78">
        <w:rPr>
          <w:i/>
          <w:iCs/>
        </w:rPr>
        <w:t>were below the lower limit of quantification, and thus</w:t>
      </w:r>
      <w:r w:rsidR="00414788">
        <w:rPr>
          <w:i/>
          <w:iCs/>
        </w:rPr>
        <w:t>,</w:t>
      </w:r>
      <w:r w:rsidRPr="00EB5B78">
        <w:rPr>
          <w:i/>
          <w:iCs/>
        </w:rPr>
        <w:t xml:space="preserve"> are unlikely to result in systemic AEs.</w:t>
      </w:r>
    </w:p>
    <w:p w14:paraId="2C377DC2" w14:textId="77777777" w:rsidR="00D23F93" w:rsidRPr="00AE6C02" w:rsidRDefault="00D23F93" w:rsidP="00D23F93">
      <w:r>
        <w:t>Further,</w:t>
      </w:r>
    </w:p>
    <w:p w14:paraId="67E035B2" w14:textId="136D930F" w:rsidR="00D23F93" w:rsidRPr="00AE6C02" w:rsidRDefault="00D23F93" w:rsidP="00D23F93">
      <w:pPr>
        <w:ind w:left="720"/>
        <w:rPr>
          <w:i/>
          <w:iCs/>
        </w:rPr>
      </w:pPr>
      <w:r w:rsidRPr="00AE6C02">
        <w:rPr>
          <w:i/>
          <w:iCs/>
        </w:rPr>
        <w:t>The number of patients that discontinued from the OLP and the reasons for discontinuations were similar</w:t>
      </w:r>
      <w:r>
        <w:rPr>
          <w:i/>
          <w:iCs/>
        </w:rPr>
        <w:t xml:space="preserve"> </w:t>
      </w:r>
      <w:r w:rsidRPr="00AE6C02">
        <w:rPr>
          <w:i/>
          <w:iCs/>
        </w:rPr>
        <w:t>at the end of the OLP compared to interim data up to 21 April 2021. In total 64 patients discontinued the</w:t>
      </w:r>
      <w:r>
        <w:rPr>
          <w:i/>
          <w:iCs/>
        </w:rPr>
        <w:t xml:space="preserve"> </w:t>
      </w:r>
      <w:r w:rsidRPr="00AE6C02">
        <w:rPr>
          <w:i/>
          <w:iCs/>
        </w:rPr>
        <w:t>OLP (31%), which is considered reasonable in a 24</w:t>
      </w:r>
      <w:r w:rsidR="009A74E5">
        <w:rPr>
          <w:i/>
          <w:iCs/>
        </w:rPr>
        <w:t>-</w:t>
      </w:r>
      <w:r w:rsidRPr="00AE6C02">
        <w:rPr>
          <w:i/>
          <w:iCs/>
        </w:rPr>
        <w:t>months follow-up study in a severe disease.</w:t>
      </w:r>
    </w:p>
    <w:p w14:paraId="1F78D82D" w14:textId="6DAF599F" w:rsidR="00D23F93" w:rsidRDefault="00D23F93" w:rsidP="00D23F93">
      <w:pPr>
        <w:ind w:left="720"/>
        <w:rPr>
          <w:i/>
          <w:iCs/>
        </w:rPr>
      </w:pPr>
      <w:r w:rsidRPr="00AE6C02">
        <w:rPr>
          <w:i/>
          <w:iCs/>
        </w:rPr>
        <w:t>In comparison to the safety data from the OLP at the time of approval of Filsuvez (up to 21 April 2021), it</w:t>
      </w:r>
      <w:r>
        <w:rPr>
          <w:i/>
          <w:iCs/>
        </w:rPr>
        <w:t xml:space="preserve"> </w:t>
      </w:r>
      <w:r w:rsidRPr="00AE6C02">
        <w:rPr>
          <w:i/>
          <w:iCs/>
        </w:rPr>
        <w:t>is agreed that there was no apparent change in the patterns of reported AEs as of the final database lock</w:t>
      </w:r>
      <w:r>
        <w:rPr>
          <w:i/>
          <w:iCs/>
        </w:rPr>
        <w:t xml:space="preserve"> </w:t>
      </w:r>
      <w:r w:rsidRPr="00AE6C02">
        <w:rPr>
          <w:i/>
          <w:iCs/>
        </w:rPr>
        <w:t>of 01 July 2022.</w:t>
      </w:r>
    </w:p>
    <w:p w14:paraId="7A0A04B8" w14:textId="77777777" w:rsidR="00D23F93" w:rsidRDefault="00D23F93" w:rsidP="00706346">
      <w:pPr>
        <w:pStyle w:val="Heading6"/>
      </w:pPr>
      <w:r>
        <w:t>Post-market experience</w:t>
      </w:r>
    </w:p>
    <w:p w14:paraId="6D6406E5" w14:textId="77777777" w:rsidR="00D23F93" w:rsidRDefault="00D23F93" w:rsidP="00D23F93">
      <w:r>
        <w:t>The applicant provided the following cumulative information in its 6</w:t>
      </w:r>
      <w:r w:rsidRPr="00272E82">
        <w:rPr>
          <w:vertAlign w:val="superscript"/>
        </w:rPr>
        <w:t>th</w:t>
      </w:r>
      <w:r>
        <w:t xml:space="preserve"> periodic safety update report (PSUR) for birch bark extract, dated 18 March 2025.</w:t>
      </w:r>
    </w:p>
    <w:p w14:paraId="3169695E" w14:textId="1C56725E" w:rsidR="00D23F93" w:rsidRPr="00272E82" w:rsidRDefault="00D23F93" w:rsidP="00D23F93">
      <w:pPr>
        <w:ind w:left="720"/>
        <w:rPr>
          <w:i/>
          <w:iCs/>
        </w:rPr>
      </w:pPr>
      <w:r w:rsidRPr="00272E82">
        <w:rPr>
          <w:i/>
          <w:iCs/>
        </w:rPr>
        <w:t>From the development international birth date (DIBD) of 22 March 2001 up to the end of</w:t>
      </w:r>
      <w:r>
        <w:rPr>
          <w:i/>
          <w:iCs/>
        </w:rPr>
        <w:t xml:space="preserve"> </w:t>
      </w:r>
      <w:r w:rsidRPr="00272E82">
        <w:rPr>
          <w:i/>
          <w:iCs/>
        </w:rPr>
        <w:t>the reporting period there was an estimated cumulative exposure of 754 clinical trial</w:t>
      </w:r>
      <w:r>
        <w:rPr>
          <w:i/>
          <w:iCs/>
        </w:rPr>
        <w:t xml:space="preserve"> </w:t>
      </w:r>
      <w:r w:rsidRPr="00272E82">
        <w:rPr>
          <w:i/>
          <w:iCs/>
        </w:rPr>
        <w:t>subjects to the treatment with Oleogel-S10. In addition, 78 patients were exposed to control</w:t>
      </w:r>
      <w:r>
        <w:rPr>
          <w:i/>
          <w:iCs/>
        </w:rPr>
        <w:t xml:space="preserve"> </w:t>
      </w:r>
      <w:r w:rsidRPr="00272E82">
        <w:rPr>
          <w:i/>
          <w:iCs/>
        </w:rPr>
        <w:t>gel, placebo, or a comparator only.</w:t>
      </w:r>
    </w:p>
    <w:p w14:paraId="33FBFD76" w14:textId="12715D3C" w:rsidR="00D23F93" w:rsidRDefault="00D23F93" w:rsidP="00D23F93">
      <w:pPr>
        <w:ind w:left="720"/>
        <w:rPr>
          <w:i/>
          <w:iCs/>
        </w:rPr>
      </w:pPr>
      <w:r w:rsidRPr="00272E82">
        <w:rPr>
          <w:i/>
          <w:iCs/>
        </w:rPr>
        <w:t xml:space="preserve">As of the </w:t>
      </w:r>
      <w:r>
        <w:t xml:space="preserve">[data lock point] </w:t>
      </w:r>
      <w:r w:rsidRPr="00272E82">
        <w:rPr>
          <w:i/>
          <w:iCs/>
        </w:rPr>
        <w:t>DLP for this PSUR, cumulative commercial patient exposure is estimated to be</w:t>
      </w:r>
      <w:r>
        <w:rPr>
          <w:i/>
          <w:iCs/>
        </w:rPr>
        <w:t xml:space="preserve"> </w:t>
      </w:r>
      <w:r w:rsidRPr="00272E82">
        <w:rPr>
          <w:i/>
          <w:iCs/>
        </w:rPr>
        <w:t>225.8 patient years for the cumulative period (14 January 2016 to 14 Jan</w:t>
      </w:r>
      <w:r w:rsidR="00CF6586">
        <w:rPr>
          <w:i/>
          <w:iCs/>
        </w:rPr>
        <w:t>uary</w:t>
      </w:r>
      <w:r w:rsidRPr="00272E82">
        <w:rPr>
          <w:i/>
          <w:iCs/>
        </w:rPr>
        <w:t xml:space="preserve"> 2025)</w:t>
      </w:r>
      <w:r>
        <w:rPr>
          <w:i/>
          <w:iCs/>
        </w:rPr>
        <w:t xml:space="preserve">. </w:t>
      </w:r>
      <w:r w:rsidRPr="00272E82">
        <w:rPr>
          <w:i/>
          <w:iCs/>
        </w:rPr>
        <w:t>Additionally, patient exposure for patients who are supplied product through an expanded</w:t>
      </w:r>
      <w:r>
        <w:rPr>
          <w:i/>
          <w:iCs/>
        </w:rPr>
        <w:t xml:space="preserve"> </w:t>
      </w:r>
      <w:r w:rsidRPr="00272E82">
        <w:rPr>
          <w:i/>
          <w:iCs/>
        </w:rPr>
        <w:t>access program (e.g., free of charge supply) is based on absolute patient numbers.</w:t>
      </w:r>
      <w:r>
        <w:rPr>
          <w:i/>
          <w:iCs/>
        </w:rPr>
        <w:t xml:space="preserve"> </w:t>
      </w:r>
      <w:r w:rsidRPr="00272E82">
        <w:rPr>
          <w:i/>
          <w:iCs/>
        </w:rPr>
        <w:t>Cumulatively there have been 180 patients exposed to birch bark extract through</w:t>
      </w:r>
      <w:r>
        <w:rPr>
          <w:i/>
          <w:iCs/>
        </w:rPr>
        <w:t xml:space="preserve"> </w:t>
      </w:r>
      <w:r w:rsidRPr="00272E82">
        <w:rPr>
          <w:i/>
          <w:iCs/>
        </w:rPr>
        <w:t>Compassionate use/Expanded access programs in the EMEA, UK, USA and</w:t>
      </w:r>
      <w:r w:rsidR="00F67E36">
        <w:rPr>
          <w:i/>
          <w:iCs/>
        </w:rPr>
        <w:t xml:space="preserve"> ROW</w:t>
      </w:r>
      <w:r w:rsidRPr="00272E82">
        <w:rPr>
          <w:i/>
          <w:iCs/>
        </w:rPr>
        <w:t xml:space="preserve"> </w:t>
      </w:r>
      <w:r w:rsidR="00F67E36">
        <w:t>(</w:t>
      </w:r>
      <w:r>
        <w:t>rest of world</w:t>
      </w:r>
      <w:r w:rsidR="00F67E36">
        <w:t>)</w:t>
      </w:r>
      <w:r w:rsidRPr="00272E82">
        <w:rPr>
          <w:i/>
          <w:iCs/>
        </w:rPr>
        <w:t>.</w:t>
      </w:r>
    </w:p>
    <w:p w14:paraId="65376830" w14:textId="77777777" w:rsidR="00D23F93" w:rsidRPr="009A231A" w:rsidRDefault="00D23F93" w:rsidP="00D23F93">
      <w:r>
        <w:t>There have been few reports of adverse events, which align with the safety information identified in the clinical studies. New safety signals have not been identified.</w:t>
      </w:r>
    </w:p>
    <w:p w14:paraId="19A4EEDA" w14:textId="77777777" w:rsidR="00D23F93" w:rsidRPr="003622D6" w:rsidRDefault="00D23F93" w:rsidP="003622D6">
      <w:pPr>
        <w:rPr>
          <w:b/>
          <w:bCs/>
          <w:i/>
          <w:iCs/>
          <w:color w:val="657C9C" w:themeColor="text2" w:themeTint="BF"/>
        </w:rPr>
      </w:pPr>
      <w:r w:rsidRPr="003622D6">
        <w:rPr>
          <w:b/>
          <w:bCs/>
        </w:rPr>
        <w:t xml:space="preserve">Other (e.g. companion diagnostic considerations, drug delivery device) </w:t>
      </w:r>
    </w:p>
    <w:p w14:paraId="676BECDF" w14:textId="77777777" w:rsidR="00D23F93" w:rsidRDefault="00D23F93" w:rsidP="00D23F93">
      <w:pPr>
        <w:rPr>
          <w:i/>
          <w:color w:val="A5A5A5" w:themeColor="accent3"/>
        </w:rPr>
      </w:pPr>
      <w:r>
        <w:t>Real world evidence/real world data arising from post-approval safety reports</w:t>
      </w:r>
      <w:r w:rsidRPr="001D051B">
        <w:t xml:space="preserve"> were </w:t>
      </w:r>
      <w:r>
        <w:t>provided</w:t>
      </w:r>
      <w:r w:rsidRPr="001D051B">
        <w:t xml:space="preserve"> in the submission</w:t>
      </w:r>
      <w:r>
        <w:t xml:space="preserve"> and did not affect the benefit-risk safety profile.</w:t>
      </w:r>
    </w:p>
    <w:p w14:paraId="2858B006" w14:textId="77777777" w:rsidR="00C22214" w:rsidRPr="006D73FF" w:rsidRDefault="00C22214" w:rsidP="006D73FF">
      <w:pPr>
        <w:pStyle w:val="Heading3"/>
      </w:pPr>
      <w:bookmarkStart w:id="64" w:name="_Toc314842514"/>
      <w:bookmarkStart w:id="65" w:name="_Toc103679298"/>
      <w:bookmarkStart w:id="66" w:name="_Toc233030857"/>
      <w:r w:rsidRPr="006D73FF">
        <w:t>Risk management plan</w:t>
      </w:r>
      <w:bookmarkEnd w:id="64"/>
      <w:bookmarkEnd w:id="65"/>
      <w:bookmarkEnd w:id="66"/>
    </w:p>
    <w:p w14:paraId="67F6DEB8" w14:textId="01EC5D53" w:rsidR="00C36F8C" w:rsidRDefault="00D16994" w:rsidP="00C36F8C">
      <w:pPr>
        <w:rPr>
          <w:szCs w:val="22"/>
        </w:rPr>
      </w:pPr>
      <w:bookmarkStart w:id="67" w:name="_Toc247691531"/>
      <w:bookmarkStart w:id="68" w:name="_Toc314842515"/>
      <w:r w:rsidRPr="00D16994">
        <w:rPr>
          <w:szCs w:val="22"/>
        </w:rPr>
        <w:t xml:space="preserve">Chiesi Australia Pty Ltd </w:t>
      </w:r>
      <w:r w:rsidR="002C26DA">
        <w:rPr>
          <w:szCs w:val="22"/>
        </w:rPr>
        <w:t>has</w:t>
      </w:r>
      <w:r w:rsidR="00C36F8C" w:rsidRPr="00C36F8C">
        <w:rPr>
          <w:szCs w:val="22"/>
        </w:rPr>
        <w:t xml:space="preserve"> submitted EU-RMP version 2.1 (date 14 June 2023; DLP 14 January 2023) and ASA version 1.0 (date 21 March 2025) in support of this application. With the s31 responses the sponsor provided EU RMP version 2.3 (date 14 June 2023; DLP 14 January 2023) and ASA version 1.1 (date 27 October 2025).</w:t>
      </w:r>
    </w:p>
    <w:p w14:paraId="18473A29" w14:textId="4A45FBDE" w:rsidR="006B3216" w:rsidRPr="006B3216" w:rsidRDefault="006B3216" w:rsidP="006B3216">
      <w:pPr>
        <w:rPr>
          <w:szCs w:val="22"/>
        </w:rPr>
      </w:pPr>
      <w:r w:rsidRPr="006B3216">
        <w:rPr>
          <w:szCs w:val="22"/>
        </w:rPr>
        <w:lastRenderedPageBreak/>
        <w:t xml:space="preserve">The summary of safety concerns and their associated risk monitoring and mitigation strategies are summarised in </w:t>
      </w:r>
      <w:r w:rsidRPr="006B3216">
        <w:rPr>
          <w:szCs w:val="22"/>
        </w:rPr>
        <w:fldChar w:fldCharType="begin"/>
      </w:r>
      <w:r w:rsidRPr="006B3216">
        <w:rPr>
          <w:szCs w:val="22"/>
        </w:rPr>
        <w:instrText xml:space="preserve"> REF _Ref97629131 \h  \* MERGEFORMAT </w:instrText>
      </w:r>
      <w:r w:rsidRPr="006B3216">
        <w:rPr>
          <w:szCs w:val="22"/>
        </w:rPr>
      </w:r>
      <w:r w:rsidRPr="006B3216">
        <w:rPr>
          <w:szCs w:val="22"/>
        </w:rPr>
        <w:fldChar w:fldCharType="separate"/>
      </w:r>
      <w:r w:rsidRPr="006B3216">
        <w:rPr>
          <w:szCs w:val="22"/>
        </w:rPr>
        <w:t xml:space="preserve">Table </w:t>
      </w:r>
      <w:r w:rsidRPr="006B3216">
        <w:rPr>
          <w:szCs w:val="22"/>
        </w:rPr>
        <w:fldChar w:fldCharType="end"/>
      </w:r>
      <w:r>
        <w:rPr>
          <w:szCs w:val="22"/>
        </w:rPr>
        <w:t>10</w:t>
      </w:r>
      <w:r w:rsidRPr="006B3216">
        <w:rPr>
          <w:szCs w:val="22"/>
        </w:rPr>
        <w:t>. The TGA may request an updated RMP at any stage of a product's life cycle, during both the pre-approval and post-approval phases.</w:t>
      </w:r>
    </w:p>
    <w:p w14:paraId="39D19BE6" w14:textId="3BD7E0B1" w:rsidR="00153A42" w:rsidRPr="00C36F8C" w:rsidRDefault="00153A42" w:rsidP="006B3216">
      <w:pPr>
        <w:pStyle w:val="TableTitle"/>
      </w:pPr>
      <w:bookmarkStart w:id="69" w:name="_Ref97629131"/>
      <w:r w:rsidRPr="00153A42">
        <w:t xml:space="preserve">Table </w:t>
      </w:r>
      <w:bookmarkEnd w:id="69"/>
      <w:r w:rsidR="006B3216">
        <w:t>10.</w:t>
      </w:r>
      <w:r w:rsidRPr="00153A42">
        <w:t xml:space="preserve"> Summary of safety concerns</w:t>
      </w:r>
      <w:r w:rsidR="006B3216">
        <w:t>.</w:t>
      </w:r>
    </w:p>
    <w:tbl>
      <w:tblPr>
        <w:tblStyle w:val="TableTGAblue2023"/>
        <w:tblW w:w="9469" w:type="dxa"/>
        <w:tblLayout w:type="fixed"/>
        <w:tblLook w:val="04A0" w:firstRow="1" w:lastRow="0" w:firstColumn="1" w:lastColumn="0" w:noHBand="0" w:noVBand="1"/>
      </w:tblPr>
      <w:tblGrid>
        <w:gridCol w:w="1413"/>
        <w:gridCol w:w="2410"/>
        <w:gridCol w:w="1275"/>
        <w:gridCol w:w="1418"/>
        <w:gridCol w:w="1417"/>
        <w:gridCol w:w="1536"/>
      </w:tblGrid>
      <w:tr w:rsidR="00677919" w:rsidRPr="00BF52F4" w14:paraId="55D265FE" w14:textId="77777777" w:rsidTr="00677919">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823" w:type="dxa"/>
            <w:gridSpan w:val="2"/>
            <w:vMerge w:val="restart"/>
          </w:tcPr>
          <w:p w14:paraId="1929916C" w14:textId="77777777" w:rsidR="00677919" w:rsidRPr="00BF52F4" w:rsidRDefault="00677919" w:rsidP="00851612">
            <w:r w:rsidRPr="00BF52F4">
              <w:t>Summary of safety concerns</w:t>
            </w:r>
          </w:p>
        </w:tc>
        <w:tc>
          <w:tcPr>
            <w:tcW w:w="2693" w:type="dxa"/>
            <w:gridSpan w:val="2"/>
          </w:tcPr>
          <w:p w14:paraId="6ABC945A" w14:textId="77777777" w:rsidR="00677919" w:rsidRPr="00BF52F4" w:rsidRDefault="00677919" w:rsidP="00851612">
            <w:pPr>
              <w:cnfStyle w:val="100000000000" w:firstRow="1" w:lastRow="0" w:firstColumn="0" w:lastColumn="0" w:oddVBand="0" w:evenVBand="0" w:oddHBand="0" w:evenHBand="0" w:firstRowFirstColumn="0" w:firstRowLastColumn="0" w:lastRowFirstColumn="0" w:lastRowLastColumn="0"/>
              <w:rPr>
                <w:sz w:val="18"/>
              </w:rPr>
            </w:pPr>
            <w:r w:rsidRPr="00BF52F4">
              <w:rPr>
                <w:sz w:val="18"/>
              </w:rPr>
              <w:t>Pharmacovigilance</w:t>
            </w:r>
          </w:p>
        </w:tc>
        <w:tc>
          <w:tcPr>
            <w:tcW w:w="2953" w:type="dxa"/>
            <w:gridSpan w:val="2"/>
          </w:tcPr>
          <w:p w14:paraId="5F9442C5" w14:textId="77777777" w:rsidR="00677919" w:rsidRPr="00BF52F4" w:rsidRDefault="00677919" w:rsidP="00851612">
            <w:pPr>
              <w:cnfStyle w:val="100000000000" w:firstRow="1" w:lastRow="0" w:firstColumn="0" w:lastColumn="0" w:oddVBand="0" w:evenVBand="0" w:oddHBand="0" w:evenHBand="0" w:firstRowFirstColumn="0" w:firstRowLastColumn="0" w:lastRowFirstColumn="0" w:lastRowLastColumn="0"/>
              <w:rPr>
                <w:sz w:val="18"/>
              </w:rPr>
            </w:pPr>
            <w:r w:rsidRPr="00BF52F4">
              <w:rPr>
                <w:sz w:val="18"/>
              </w:rPr>
              <w:t>Risk Minimisation</w:t>
            </w:r>
          </w:p>
        </w:tc>
      </w:tr>
      <w:tr w:rsidR="00677919" w:rsidRPr="00BF52F4" w14:paraId="0EA85D5B" w14:textId="77777777" w:rsidTr="00677919">
        <w:trPr>
          <w:trHeight w:val="150"/>
        </w:trPr>
        <w:tc>
          <w:tcPr>
            <w:cnfStyle w:val="001000000000" w:firstRow="0" w:lastRow="0" w:firstColumn="1" w:lastColumn="0" w:oddVBand="0" w:evenVBand="0" w:oddHBand="0" w:evenHBand="0" w:firstRowFirstColumn="0" w:firstRowLastColumn="0" w:lastRowFirstColumn="0" w:lastRowLastColumn="0"/>
            <w:tcW w:w="3823" w:type="dxa"/>
            <w:gridSpan w:val="2"/>
            <w:vMerge/>
          </w:tcPr>
          <w:p w14:paraId="039FA6BB" w14:textId="77777777" w:rsidR="00677919" w:rsidRPr="00BF52F4" w:rsidRDefault="00677919" w:rsidP="00851612">
            <w:pPr>
              <w:rPr>
                <w:b/>
              </w:rPr>
            </w:pPr>
          </w:p>
        </w:tc>
        <w:tc>
          <w:tcPr>
            <w:tcW w:w="1275" w:type="dxa"/>
          </w:tcPr>
          <w:p w14:paraId="1ECC052A" w14:textId="77777777" w:rsidR="00677919" w:rsidRPr="00BF52F4" w:rsidRDefault="00677919" w:rsidP="00851612">
            <w:pPr>
              <w:cnfStyle w:val="000000000000" w:firstRow="0" w:lastRow="0" w:firstColumn="0" w:lastColumn="0" w:oddVBand="0" w:evenVBand="0" w:oddHBand="0" w:evenHBand="0" w:firstRowFirstColumn="0" w:firstRowLastColumn="0" w:lastRowFirstColumn="0" w:lastRowLastColumn="0"/>
              <w:rPr>
                <w:sz w:val="18"/>
              </w:rPr>
            </w:pPr>
            <w:r w:rsidRPr="00BF52F4">
              <w:rPr>
                <w:sz w:val="18"/>
              </w:rPr>
              <w:t>Routine</w:t>
            </w:r>
          </w:p>
        </w:tc>
        <w:tc>
          <w:tcPr>
            <w:tcW w:w="1418" w:type="dxa"/>
          </w:tcPr>
          <w:p w14:paraId="13EEDCB3" w14:textId="77777777" w:rsidR="00677919" w:rsidRPr="00BF52F4" w:rsidRDefault="00677919" w:rsidP="00851612">
            <w:pPr>
              <w:cnfStyle w:val="000000000000" w:firstRow="0" w:lastRow="0" w:firstColumn="0" w:lastColumn="0" w:oddVBand="0" w:evenVBand="0" w:oddHBand="0" w:evenHBand="0" w:firstRowFirstColumn="0" w:firstRowLastColumn="0" w:lastRowFirstColumn="0" w:lastRowLastColumn="0"/>
              <w:rPr>
                <w:sz w:val="18"/>
              </w:rPr>
            </w:pPr>
            <w:r w:rsidRPr="00BF52F4">
              <w:rPr>
                <w:sz w:val="18"/>
              </w:rPr>
              <w:t>Additional</w:t>
            </w:r>
          </w:p>
        </w:tc>
        <w:tc>
          <w:tcPr>
            <w:tcW w:w="1417" w:type="dxa"/>
          </w:tcPr>
          <w:p w14:paraId="4D957A98" w14:textId="77777777" w:rsidR="00677919" w:rsidRPr="00BF52F4" w:rsidRDefault="00677919" w:rsidP="00851612">
            <w:pPr>
              <w:cnfStyle w:val="000000000000" w:firstRow="0" w:lastRow="0" w:firstColumn="0" w:lastColumn="0" w:oddVBand="0" w:evenVBand="0" w:oddHBand="0" w:evenHBand="0" w:firstRowFirstColumn="0" w:firstRowLastColumn="0" w:lastRowFirstColumn="0" w:lastRowLastColumn="0"/>
              <w:rPr>
                <w:sz w:val="18"/>
              </w:rPr>
            </w:pPr>
            <w:r w:rsidRPr="00BF52F4">
              <w:rPr>
                <w:sz w:val="18"/>
              </w:rPr>
              <w:t>Routine</w:t>
            </w:r>
          </w:p>
        </w:tc>
        <w:tc>
          <w:tcPr>
            <w:tcW w:w="1536" w:type="dxa"/>
          </w:tcPr>
          <w:p w14:paraId="7A8D0291" w14:textId="77777777" w:rsidR="00677919" w:rsidRPr="00BF52F4" w:rsidRDefault="00677919" w:rsidP="00851612">
            <w:pPr>
              <w:cnfStyle w:val="000000000000" w:firstRow="0" w:lastRow="0" w:firstColumn="0" w:lastColumn="0" w:oddVBand="0" w:evenVBand="0" w:oddHBand="0" w:evenHBand="0" w:firstRowFirstColumn="0" w:firstRowLastColumn="0" w:lastRowFirstColumn="0" w:lastRowLastColumn="0"/>
              <w:rPr>
                <w:sz w:val="18"/>
              </w:rPr>
            </w:pPr>
            <w:r w:rsidRPr="00BF52F4">
              <w:rPr>
                <w:sz w:val="18"/>
              </w:rPr>
              <w:t>Additional</w:t>
            </w:r>
          </w:p>
        </w:tc>
      </w:tr>
      <w:tr w:rsidR="00677919" w:rsidRPr="008C083B" w14:paraId="49BAAD18" w14:textId="77777777" w:rsidTr="005F5983">
        <w:trPr>
          <w:trHeight w:val="137"/>
        </w:trPr>
        <w:tc>
          <w:tcPr>
            <w:cnfStyle w:val="001000000000" w:firstRow="0" w:lastRow="0" w:firstColumn="1" w:lastColumn="0" w:oddVBand="0" w:evenVBand="0" w:oddHBand="0" w:evenHBand="0" w:firstRowFirstColumn="0" w:firstRowLastColumn="0" w:lastRowFirstColumn="0" w:lastRowLastColumn="0"/>
            <w:tcW w:w="1413" w:type="dxa"/>
          </w:tcPr>
          <w:p w14:paraId="6C121617" w14:textId="77777777" w:rsidR="00677919" w:rsidRPr="00BF52F4" w:rsidRDefault="00677919" w:rsidP="00851612">
            <w:pPr>
              <w:rPr>
                <w:b/>
              </w:rPr>
            </w:pPr>
            <w:r w:rsidRPr="00BF52F4">
              <w:rPr>
                <w:b/>
              </w:rPr>
              <w:t>Important identified risks</w:t>
            </w:r>
          </w:p>
        </w:tc>
        <w:tc>
          <w:tcPr>
            <w:tcW w:w="2410" w:type="dxa"/>
          </w:tcPr>
          <w:p w14:paraId="0CE66CBD" w14:textId="77777777" w:rsidR="00677919" w:rsidRPr="00BF52F4" w:rsidRDefault="00677919" w:rsidP="00851612">
            <w:pPr>
              <w:cnfStyle w:val="000000000000" w:firstRow="0" w:lastRow="0" w:firstColumn="0" w:lastColumn="0" w:oddVBand="0" w:evenVBand="0" w:oddHBand="0" w:evenHBand="0" w:firstRowFirstColumn="0" w:firstRowLastColumn="0" w:lastRowFirstColumn="0" w:lastRowLastColumn="0"/>
            </w:pPr>
            <w:r>
              <w:t>None</w:t>
            </w:r>
          </w:p>
        </w:tc>
        <w:tc>
          <w:tcPr>
            <w:tcW w:w="1275" w:type="dxa"/>
          </w:tcPr>
          <w:p w14:paraId="7EE65637" w14:textId="77777777" w:rsidR="00677919" w:rsidRPr="008C083B" w:rsidRDefault="00677919" w:rsidP="00851612">
            <w:pPr>
              <w:cnfStyle w:val="000000000000" w:firstRow="0" w:lastRow="0" w:firstColumn="0" w:lastColumn="0" w:oddVBand="0" w:evenVBand="0" w:oddHBand="0" w:evenHBand="0" w:firstRowFirstColumn="0" w:firstRowLastColumn="0" w:lastRowFirstColumn="0" w:lastRowLastColumn="0"/>
            </w:pPr>
            <w:r w:rsidRPr="008C083B">
              <w:t>–</w:t>
            </w:r>
          </w:p>
        </w:tc>
        <w:tc>
          <w:tcPr>
            <w:tcW w:w="1418" w:type="dxa"/>
          </w:tcPr>
          <w:p w14:paraId="658667BA" w14:textId="77777777" w:rsidR="00677919" w:rsidRPr="008C083B" w:rsidRDefault="00677919" w:rsidP="00851612">
            <w:pPr>
              <w:cnfStyle w:val="000000000000" w:firstRow="0" w:lastRow="0" w:firstColumn="0" w:lastColumn="0" w:oddVBand="0" w:evenVBand="0" w:oddHBand="0" w:evenHBand="0" w:firstRowFirstColumn="0" w:firstRowLastColumn="0" w:lastRowFirstColumn="0" w:lastRowLastColumn="0"/>
            </w:pPr>
            <w:r w:rsidRPr="008C083B">
              <w:t>–</w:t>
            </w:r>
          </w:p>
        </w:tc>
        <w:tc>
          <w:tcPr>
            <w:tcW w:w="1417" w:type="dxa"/>
          </w:tcPr>
          <w:p w14:paraId="70462C33" w14:textId="77777777" w:rsidR="00677919" w:rsidRPr="008C083B" w:rsidRDefault="00677919" w:rsidP="00851612">
            <w:pPr>
              <w:cnfStyle w:val="000000000000" w:firstRow="0" w:lastRow="0" w:firstColumn="0" w:lastColumn="0" w:oddVBand="0" w:evenVBand="0" w:oddHBand="0" w:evenHBand="0" w:firstRowFirstColumn="0" w:firstRowLastColumn="0" w:lastRowFirstColumn="0" w:lastRowLastColumn="0"/>
            </w:pPr>
            <w:r w:rsidRPr="008C083B">
              <w:t>–</w:t>
            </w:r>
          </w:p>
        </w:tc>
        <w:tc>
          <w:tcPr>
            <w:tcW w:w="1536" w:type="dxa"/>
          </w:tcPr>
          <w:p w14:paraId="4F1A945E" w14:textId="77777777" w:rsidR="00677919" w:rsidRPr="008C083B" w:rsidRDefault="00677919" w:rsidP="00851612">
            <w:pPr>
              <w:cnfStyle w:val="000000000000" w:firstRow="0" w:lastRow="0" w:firstColumn="0" w:lastColumn="0" w:oddVBand="0" w:evenVBand="0" w:oddHBand="0" w:evenHBand="0" w:firstRowFirstColumn="0" w:firstRowLastColumn="0" w:lastRowFirstColumn="0" w:lastRowLastColumn="0"/>
            </w:pPr>
            <w:r w:rsidRPr="008C083B">
              <w:t>–</w:t>
            </w:r>
          </w:p>
        </w:tc>
      </w:tr>
      <w:tr w:rsidR="00677919" w:rsidRPr="008C083B" w14:paraId="0DA9DF3D" w14:textId="77777777" w:rsidTr="005F5983">
        <w:trPr>
          <w:trHeight w:val="159"/>
        </w:trPr>
        <w:tc>
          <w:tcPr>
            <w:cnfStyle w:val="001000000000" w:firstRow="0" w:lastRow="0" w:firstColumn="1" w:lastColumn="0" w:oddVBand="0" w:evenVBand="0" w:oddHBand="0" w:evenHBand="0" w:firstRowFirstColumn="0" w:firstRowLastColumn="0" w:lastRowFirstColumn="0" w:lastRowLastColumn="0"/>
            <w:tcW w:w="1413" w:type="dxa"/>
          </w:tcPr>
          <w:p w14:paraId="198F4E7C" w14:textId="77777777" w:rsidR="00677919" w:rsidRPr="00BF52F4" w:rsidRDefault="00677919" w:rsidP="00851612">
            <w:pPr>
              <w:rPr>
                <w:b/>
              </w:rPr>
            </w:pPr>
            <w:r w:rsidRPr="00BF52F4">
              <w:rPr>
                <w:b/>
              </w:rPr>
              <w:t>Important potential risks</w:t>
            </w:r>
          </w:p>
        </w:tc>
        <w:tc>
          <w:tcPr>
            <w:tcW w:w="2410" w:type="dxa"/>
          </w:tcPr>
          <w:p w14:paraId="29C29994" w14:textId="77777777" w:rsidR="00677919" w:rsidRPr="00BF52F4" w:rsidRDefault="00677919" w:rsidP="00851612">
            <w:pPr>
              <w:cnfStyle w:val="000000000000" w:firstRow="0" w:lastRow="0" w:firstColumn="0" w:lastColumn="0" w:oddVBand="0" w:evenVBand="0" w:oddHBand="0" w:evenHBand="0" w:firstRowFirstColumn="0" w:firstRowLastColumn="0" w:lastRowFirstColumn="0" w:lastRowLastColumn="0"/>
            </w:pPr>
            <w:r w:rsidRPr="00914F54">
              <w:t>Squamous cell carcinoma and other skin malignancies</w:t>
            </w:r>
          </w:p>
        </w:tc>
        <w:tc>
          <w:tcPr>
            <w:tcW w:w="1275" w:type="dxa"/>
          </w:tcPr>
          <w:p w14:paraId="298A94E4" w14:textId="77777777" w:rsidR="00677919" w:rsidRPr="008C083B" w:rsidRDefault="00677919" w:rsidP="00851612">
            <w:pPr>
              <w:cnfStyle w:val="000000000000" w:firstRow="0" w:lastRow="0" w:firstColumn="0" w:lastColumn="0" w:oddVBand="0" w:evenVBand="0" w:oddHBand="0" w:evenHBand="0" w:firstRowFirstColumn="0" w:firstRowLastColumn="0" w:lastRowFirstColumn="0" w:lastRowLastColumn="0"/>
            </w:pPr>
            <w:r w:rsidRPr="008C083B">
              <w:rPr>
                <w:rFonts w:ascii="Wingdings" w:eastAsia="Wingdings" w:hAnsi="Wingdings" w:cs="Wingdings"/>
              </w:rPr>
              <w:t>ü</w:t>
            </w:r>
            <w:r w:rsidRPr="008C083B">
              <w:t>*</w:t>
            </w:r>
          </w:p>
        </w:tc>
        <w:tc>
          <w:tcPr>
            <w:tcW w:w="1418" w:type="dxa"/>
          </w:tcPr>
          <w:p w14:paraId="447EA54D" w14:textId="77777777" w:rsidR="00677919" w:rsidRPr="008C083B" w:rsidRDefault="00677919" w:rsidP="00851612">
            <w:pPr>
              <w:cnfStyle w:val="000000000000" w:firstRow="0" w:lastRow="0" w:firstColumn="0" w:lastColumn="0" w:oddVBand="0" w:evenVBand="0" w:oddHBand="0" w:evenHBand="0" w:firstRowFirstColumn="0" w:firstRowLastColumn="0" w:lastRowFirstColumn="0" w:lastRowLastColumn="0"/>
            </w:pPr>
            <w:r w:rsidRPr="008C083B">
              <w:rPr>
                <w:rFonts w:ascii="Wingdings" w:eastAsia="Wingdings" w:hAnsi="Wingdings" w:cs="Wingdings"/>
              </w:rPr>
              <w:t>ü</w:t>
            </w:r>
            <w:r w:rsidRPr="008C083B">
              <w:rPr>
                <w:rFonts w:asciiTheme="majorHAnsi" w:hAnsiTheme="majorHAnsi"/>
                <w:szCs w:val="20"/>
                <w:vertAlign w:val="superscript"/>
              </w:rPr>
              <w:t>†</w:t>
            </w:r>
          </w:p>
        </w:tc>
        <w:tc>
          <w:tcPr>
            <w:tcW w:w="1417" w:type="dxa"/>
          </w:tcPr>
          <w:p w14:paraId="499856D6" w14:textId="77777777" w:rsidR="00677919" w:rsidRPr="008C083B" w:rsidRDefault="00677919" w:rsidP="00851612">
            <w:pPr>
              <w:cnfStyle w:val="000000000000" w:firstRow="0" w:lastRow="0" w:firstColumn="0" w:lastColumn="0" w:oddVBand="0" w:evenVBand="0" w:oddHBand="0" w:evenHBand="0" w:firstRowFirstColumn="0" w:firstRowLastColumn="0" w:lastRowFirstColumn="0" w:lastRowLastColumn="0"/>
            </w:pPr>
            <w:r w:rsidRPr="008C083B">
              <w:rPr>
                <w:rFonts w:ascii="Wingdings" w:eastAsia="Wingdings" w:hAnsi="Wingdings" w:cs="Wingdings"/>
              </w:rPr>
              <w:t>ü</w:t>
            </w:r>
          </w:p>
        </w:tc>
        <w:tc>
          <w:tcPr>
            <w:tcW w:w="1536" w:type="dxa"/>
          </w:tcPr>
          <w:p w14:paraId="74481DBD" w14:textId="77777777" w:rsidR="00677919" w:rsidRPr="008C083B" w:rsidRDefault="00677919" w:rsidP="00851612">
            <w:pPr>
              <w:cnfStyle w:val="000000000000" w:firstRow="0" w:lastRow="0" w:firstColumn="0" w:lastColumn="0" w:oddVBand="0" w:evenVBand="0" w:oddHBand="0" w:evenHBand="0" w:firstRowFirstColumn="0" w:firstRowLastColumn="0" w:lastRowFirstColumn="0" w:lastRowLastColumn="0"/>
            </w:pPr>
            <w:r w:rsidRPr="008C083B">
              <w:t>–</w:t>
            </w:r>
          </w:p>
        </w:tc>
      </w:tr>
      <w:tr w:rsidR="00677919" w:rsidRPr="008C083B" w14:paraId="68FCAEF1" w14:textId="77777777" w:rsidTr="005F5983">
        <w:trPr>
          <w:trHeight w:val="178"/>
        </w:trPr>
        <w:tc>
          <w:tcPr>
            <w:cnfStyle w:val="001000000000" w:firstRow="0" w:lastRow="0" w:firstColumn="1" w:lastColumn="0" w:oddVBand="0" w:evenVBand="0" w:oddHBand="0" w:evenHBand="0" w:firstRowFirstColumn="0" w:firstRowLastColumn="0" w:lastRowFirstColumn="0" w:lastRowLastColumn="0"/>
            <w:tcW w:w="1413" w:type="dxa"/>
          </w:tcPr>
          <w:p w14:paraId="48E5D923" w14:textId="77777777" w:rsidR="00677919" w:rsidRPr="00BF52F4" w:rsidRDefault="00677919" w:rsidP="00851612">
            <w:pPr>
              <w:rPr>
                <w:b/>
              </w:rPr>
            </w:pPr>
            <w:r w:rsidRPr="00BF52F4">
              <w:rPr>
                <w:b/>
              </w:rPr>
              <w:t>Missing information</w:t>
            </w:r>
          </w:p>
        </w:tc>
        <w:tc>
          <w:tcPr>
            <w:tcW w:w="2410" w:type="dxa"/>
          </w:tcPr>
          <w:p w14:paraId="34C7F379" w14:textId="77777777" w:rsidR="00677919" w:rsidRPr="000E060C" w:rsidRDefault="00677919" w:rsidP="00851612">
            <w:pPr>
              <w:cnfStyle w:val="000000000000" w:firstRow="0" w:lastRow="0" w:firstColumn="0" w:lastColumn="0" w:oddVBand="0" w:evenVBand="0" w:oddHBand="0" w:evenHBand="0" w:firstRowFirstColumn="0" w:firstRowLastColumn="0" w:lastRowFirstColumn="0" w:lastRowLastColumn="0"/>
            </w:pPr>
            <w:r w:rsidRPr="000E060C">
              <w:t>Use in patients of different race/ethnicity</w:t>
            </w:r>
          </w:p>
        </w:tc>
        <w:tc>
          <w:tcPr>
            <w:tcW w:w="1275" w:type="dxa"/>
          </w:tcPr>
          <w:p w14:paraId="75D4480A" w14:textId="77777777" w:rsidR="00677919" w:rsidRPr="000E060C" w:rsidRDefault="00677919" w:rsidP="00851612">
            <w:pPr>
              <w:cnfStyle w:val="000000000000" w:firstRow="0" w:lastRow="0" w:firstColumn="0" w:lastColumn="0" w:oddVBand="0" w:evenVBand="0" w:oddHBand="0" w:evenHBand="0" w:firstRowFirstColumn="0" w:firstRowLastColumn="0" w:lastRowFirstColumn="0" w:lastRowLastColumn="0"/>
            </w:pPr>
            <w:r w:rsidRPr="000E060C">
              <w:rPr>
                <w:rFonts w:ascii="Wingdings" w:eastAsia="Wingdings" w:hAnsi="Wingdings" w:cs="Wingdings"/>
              </w:rPr>
              <w:t>ü</w:t>
            </w:r>
          </w:p>
        </w:tc>
        <w:tc>
          <w:tcPr>
            <w:tcW w:w="1418" w:type="dxa"/>
          </w:tcPr>
          <w:p w14:paraId="6BDC94BA" w14:textId="77777777" w:rsidR="00677919" w:rsidRPr="000E060C" w:rsidRDefault="00677919" w:rsidP="00851612">
            <w:pPr>
              <w:cnfStyle w:val="000000000000" w:firstRow="0" w:lastRow="0" w:firstColumn="0" w:lastColumn="0" w:oddVBand="0" w:evenVBand="0" w:oddHBand="0" w:evenHBand="0" w:firstRowFirstColumn="0" w:firstRowLastColumn="0" w:lastRowFirstColumn="0" w:lastRowLastColumn="0"/>
            </w:pPr>
            <w:r w:rsidRPr="000E060C">
              <w:rPr>
                <w:rFonts w:ascii="Wingdings" w:eastAsia="Wingdings" w:hAnsi="Wingdings" w:cs="Wingdings"/>
              </w:rPr>
              <w:t>ü</w:t>
            </w:r>
            <w:r w:rsidRPr="000E060C">
              <w:rPr>
                <w:rFonts w:asciiTheme="majorHAnsi" w:hAnsiTheme="majorHAnsi"/>
                <w:szCs w:val="20"/>
                <w:vertAlign w:val="superscript"/>
              </w:rPr>
              <w:t>†</w:t>
            </w:r>
          </w:p>
        </w:tc>
        <w:tc>
          <w:tcPr>
            <w:tcW w:w="1417" w:type="dxa"/>
          </w:tcPr>
          <w:p w14:paraId="08428F65" w14:textId="77777777" w:rsidR="00677919" w:rsidRPr="008C083B" w:rsidRDefault="00677919" w:rsidP="00851612">
            <w:pPr>
              <w:cnfStyle w:val="000000000000" w:firstRow="0" w:lastRow="0" w:firstColumn="0" w:lastColumn="0" w:oddVBand="0" w:evenVBand="0" w:oddHBand="0" w:evenHBand="0" w:firstRowFirstColumn="0" w:firstRowLastColumn="0" w:lastRowFirstColumn="0" w:lastRowLastColumn="0"/>
            </w:pPr>
            <w:r w:rsidRPr="008C083B">
              <w:t>–</w:t>
            </w:r>
          </w:p>
        </w:tc>
        <w:tc>
          <w:tcPr>
            <w:tcW w:w="1536" w:type="dxa"/>
          </w:tcPr>
          <w:p w14:paraId="7C83D7DA" w14:textId="77777777" w:rsidR="00677919" w:rsidRPr="008C083B" w:rsidRDefault="00677919" w:rsidP="00851612">
            <w:pPr>
              <w:cnfStyle w:val="000000000000" w:firstRow="0" w:lastRow="0" w:firstColumn="0" w:lastColumn="0" w:oddVBand="0" w:evenVBand="0" w:oddHBand="0" w:evenHBand="0" w:firstRowFirstColumn="0" w:firstRowLastColumn="0" w:lastRowFirstColumn="0" w:lastRowLastColumn="0"/>
            </w:pPr>
            <w:r w:rsidRPr="008C083B">
              <w:t>–</w:t>
            </w:r>
          </w:p>
        </w:tc>
      </w:tr>
    </w:tbl>
    <w:p w14:paraId="16F8E3CB" w14:textId="70085F26" w:rsidR="00172241" w:rsidRPr="00172241" w:rsidRDefault="00172241" w:rsidP="005F5983">
      <w:pPr>
        <w:pStyle w:val="TableDescription"/>
      </w:pPr>
      <w:r w:rsidRPr="00172241">
        <w:rPr>
          <w:vertAlign w:val="superscript"/>
        </w:rPr>
        <w:t>*</w:t>
      </w:r>
      <w:r w:rsidRPr="00172241">
        <w:t>Follow-up questionnaire</w:t>
      </w:r>
      <w:r w:rsidRPr="00172241">
        <w:br/>
      </w:r>
      <w:r w:rsidRPr="00172241">
        <w:rPr>
          <w:vertAlign w:val="superscript"/>
        </w:rPr>
        <w:t>†</w:t>
      </w:r>
      <w:r w:rsidR="00B85908">
        <w:t xml:space="preserve">Observational Safety </w:t>
      </w:r>
      <w:r w:rsidRPr="00172241">
        <w:t xml:space="preserve">Registry-based study </w:t>
      </w:r>
      <w:r w:rsidR="00B85908">
        <w:t>(</w:t>
      </w:r>
      <w:proofErr w:type="spellStart"/>
      <w:r w:rsidR="00B85908">
        <w:t>FOSte</w:t>
      </w:r>
      <w:r w:rsidR="00632912">
        <w:t>R</w:t>
      </w:r>
      <w:proofErr w:type="spellEnd"/>
      <w:r w:rsidR="00632912">
        <w:t>)</w:t>
      </w:r>
      <w:r w:rsidRPr="00172241">
        <w:t>– in Europe</w:t>
      </w:r>
    </w:p>
    <w:p w14:paraId="4E1286CD" w14:textId="77777777" w:rsidR="006B5A5A" w:rsidRPr="006B5A5A" w:rsidRDefault="006B5A5A" w:rsidP="006B5A5A">
      <w:pPr>
        <w:rPr>
          <w:szCs w:val="22"/>
        </w:rPr>
      </w:pPr>
      <w:r w:rsidRPr="006B5A5A">
        <w:rPr>
          <w:szCs w:val="22"/>
        </w:rPr>
        <w:t xml:space="preserve">Subject to the evaluation of the nonclinical and clinical aspects of the safety specifications, the summary of safety concerns is acceptable from an RMP perspective. </w:t>
      </w:r>
    </w:p>
    <w:p w14:paraId="343788E2" w14:textId="46617738" w:rsidR="00C62636" w:rsidRPr="006B5A5A" w:rsidRDefault="006B5A5A" w:rsidP="00C62636">
      <w:pPr>
        <w:rPr>
          <w:szCs w:val="22"/>
        </w:rPr>
      </w:pPr>
      <w:r w:rsidRPr="006B5A5A">
        <w:rPr>
          <w:szCs w:val="22"/>
        </w:rPr>
        <w:t xml:space="preserve">The pharmacovigilance plan is acceptable from an RMP perspective. Although Australian patients are not included in the patient registry, the outcomes of this activity will be applicable in the Australian context.  </w:t>
      </w:r>
    </w:p>
    <w:p w14:paraId="65542BC2" w14:textId="042CB613" w:rsidR="006B5A5A" w:rsidRPr="006B5A5A" w:rsidRDefault="006B5A5A" w:rsidP="006B5A5A">
      <w:pPr>
        <w:rPr>
          <w:szCs w:val="22"/>
        </w:rPr>
      </w:pPr>
      <w:r w:rsidRPr="006B5A5A">
        <w:rPr>
          <w:szCs w:val="22"/>
        </w:rPr>
        <w:t>Only routine risk minimisation activities are proposed. This approach is the same as that implemented in the EU. Routine risk minimisation measures are considered acceptable to manage the risks associated with this product.</w:t>
      </w:r>
    </w:p>
    <w:p w14:paraId="691F9F2B" w14:textId="2F1E86FB" w:rsidR="006B5A5A" w:rsidRPr="006B5A5A" w:rsidRDefault="006B5A5A" w:rsidP="00851612">
      <w:pPr>
        <w:pStyle w:val="Heading5"/>
      </w:pPr>
      <w:r w:rsidRPr="006B5A5A">
        <w:t>RMP evaluator recommendations regarding conditions of registration</w:t>
      </w:r>
    </w:p>
    <w:p w14:paraId="7D2A31D3" w14:textId="77777777" w:rsidR="006B5A5A" w:rsidRPr="006B5A5A" w:rsidRDefault="006B5A5A" w:rsidP="006B5A5A">
      <w:pPr>
        <w:rPr>
          <w:szCs w:val="22"/>
        </w:rPr>
      </w:pPr>
      <w:r w:rsidRPr="006B5A5A">
        <w:rPr>
          <w:szCs w:val="22"/>
        </w:rPr>
        <w:t xml:space="preserve">Any changes to which the sponsor has agreed should be included in a revised RMP and ASA. However, irrespective of </w:t>
      </w:r>
      <w:proofErr w:type="gramStart"/>
      <w:r w:rsidRPr="006B5A5A">
        <w:rPr>
          <w:szCs w:val="22"/>
        </w:rPr>
        <w:t>whether or not</w:t>
      </w:r>
      <w:proofErr w:type="gramEnd"/>
      <w:r w:rsidRPr="006B5A5A">
        <w:rPr>
          <w:szCs w:val="22"/>
        </w:rPr>
        <w:t xml:space="preserve"> they are included in the currently available version of the RMP document, the agreed changes become part of the risk management system. </w:t>
      </w:r>
    </w:p>
    <w:p w14:paraId="16E5DFAA" w14:textId="13E75BD7" w:rsidR="00032A0F" w:rsidRDefault="00032A0F" w:rsidP="003B149C">
      <w:pPr>
        <w:rPr>
          <w:rFonts w:eastAsia="Cambria" w:cs="Times New Roman"/>
          <w:i/>
          <w:color w:val="007099"/>
          <w:szCs w:val="22"/>
        </w:rPr>
      </w:pPr>
      <w:r>
        <w:t>The RMP evaluation recommended conditions of registration relating to the versions of the risk management plan, requirement for periodic safety update reports, and inclusion of the medicine in the Black Triangle Scheme.</w:t>
      </w:r>
      <w:r w:rsidRPr="00663544">
        <w:rPr>
          <w:rFonts w:eastAsia="Cambria" w:cs="Times New Roman"/>
          <w:i/>
          <w:color w:val="007099"/>
          <w:szCs w:val="22"/>
        </w:rPr>
        <w:t xml:space="preserve"> </w:t>
      </w:r>
    </w:p>
    <w:p w14:paraId="456C7934" w14:textId="306B4714" w:rsidR="00FA1BC9" w:rsidRDefault="00FA1BC9" w:rsidP="00FA1BC9">
      <w:pPr>
        <w:rPr>
          <w:szCs w:val="22"/>
        </w:rPr>
      </w:pPr>
      <w:bookmarkStart w:id="70" w:name="_Toc103679299"/>
      <w:r w:rsidRPr="00BD5DBD">
        <w:rPr>
          <w:szCs w:val="22"/>
        </w:rPr>
        <w:t xml:space="preserve">Further information regarding the TGA’s risk management approach can be found in </w:t>
      </w:r>
      <w:hyperlink r:id="rId35" w:history="1">
        <w:r w:rsidRPr="00BD5DBD">
          <w:rPr>
            <w:rStyle w:val="Hyperlink"/>
            <w:szCs w:val="22"/>
          </w:rPr>
          <w:t>risk management plans for medicines and biologicals</w:t>
        </w:r>
      </w:hyperlink>
      <w:r w:rsidRPr="00BD5DBD">
        <w:rPr>
          <w:szCs w:val="22"/>
        </w:rPr>
        <w:t xml:space="preserve"> and </w:t>
      </w:r>
      <w:hyperlink r:id="rId36" w:history="1">
        <w:r w:rsidRPr="00BD5DBD">
          <w:rPr>
            <w:rStyle w:val="Hyperlink"/>
            <w:szCs w:val="22"/>
          </w:rPr>
          <w:t>the TGA's risk management approach</w:t>
        </w:r>
      </w:hyperlink>
      <w:r w:rsidRPr="00BD5DBD">
        <w:rPr>
          <w:szCs w:val="22"/>
        </w:rPr>
        <w:t xml:space="preserve">. Information on the </w:t>
      </w:r>
      <w:hyperlink r:id="rId37"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38" w:history="1">
        <w:r w:rsidRPr="00BD5DBD">
          <w:rPr>
            <w:rStyle w:val="Hyperlink"/>
            <w:szCs w:val="22"/>
          </w:rPr>
          <w:t>ASA</w:t>
        </w:r>
      </w:hyperlink>
      <w:r w:rsidRPr="00BD5DBD">
        <w:rPr>
          <w:szCs w:val="22"/>
        </w:rPr>
        <w:t>) can be found on the TGA website.</w:t>
      </w:r>
    </w:p>
    <w:p w14:paraId="126158AC" w14:textId="0B7CC484" w:rsidR="00C22214" w:rsidRDefault="00C22214" w:rsidP="00164BD9">
      <w:r>
        <w:t>Risk-benefit analysis</w:t>
      </w:r>
      <w:bookmarkEnd w:id="67"/>
      <w:bookmarkEnd w:id="68"/>
      <w:bookmarkEnd w:id="70"/>
    </w:p>
    <w:p w14:paraId="77DE2655" w14:textId="77777777" w:rsidR="00C22214" w:rsidRDefault="00C22214" w:rsidP="00C22214">
      <w:pPr>
        <w:pStyle w:val="Heading4"/>
      </w:pPr>
      <w:bookmarkStart w:id="71" w:name="_Toc98931932"/>
      <w:bookmarkStart w:id="72" w:name="_Toc233030858"/>
      <w:r>
        <w:t>Delegate’s considerations</w:t>
      </w:r>
      <w:bookmarkEnd w:id="71"/>
      <w:bookmarkEnd w:id="72"/>
    </w:p>
    <w:p w14:paraId="46E1B459" w14:textId="4DFF00AD" w:rsidR="00A6547F" w:rsidRDefault="00A6547F" w:rsidP="001474CD">
      <w:pPr>
        <w:rPr>
          <w:lang w:val="en-GB"/>
        </w:rPr>
      </w:pPr>
      <w:r w:rsidRPr="00CA7AD3">
        <w:t>The claim</w:t>
      </w:r>
      <w:r>
        <w:t xml:space="preserve"> for efficacy of F</w:t>
      </w:r>
      <w:r w:rsidR="00D96D1F">
        <w:t>ilsuvez</w:t>
      </w:r>
      <w:r w:rsidRPr="00CA7AD3">
        <w:t xml:space="preserve"> is supported by a clinical study comparing wound healing time in patients with dystrophic EB</w:t>
      </w:r>
      <w:r>
        <w:t xml:space="preserve"> or </w:t>
      </w:r>
      <w:r w:rsidRPr="00CA7AD3">
        <w:t xml:space="preserve">junctional EB </w:t>
      </w:r>
      <w:r>
        <w:t>and</w:t>
      </w:r>
      <w:r w:rsidRPr="00CA7AD3">
        <w:t xml:space="preserve"> </w:t>
      </w:r>
      <w:r>
        <w:t xml:space="preserve">with </w:t>
      </w:r>
      <w:r w:rsidRPr="00CA7AD3">
        <w:t>a target partial-thickness wound lasting ≥21 days and &lt;9 months that was 10–50 cm</w:t>
      </w:r>
      <w:r w:rsidRPr="00CA7AD3">
        <w:rPr>
          <w:vertAlign w:val="superscript"/>
        </w:rPr>
        <w:t>2</w:t>
      </w:r>
      <w:r>
        <w:rPr>
          <w:vertAlign w:val="superscript"/>
        </w:rPr>
        <w:t xml:space="preserve"> </w:t>
      </w:r>
      <w:r>
        <w:t>in size</w:t>
      </w:r>
      <w:r w:rsidRPr="00CA7AD3">
        <w:t xml:space="preserve">, allocated to treatment with birch </w:t>
      </w:r>
      <w:r w:rsidR="005F5F8B">
        <w:t>triterpenes</w:t>
      </w:r>
      <w:r w:rsidR="00B40331">
        <w:t xml:space="preserve"> </w:t>
      </w:r>
      <w:r w:rsidRPr="00CA7AD3">
        <w:t>(Oleogel-S10) or control gel (</w:t>
      </w:r>
      <w:r w:rsidRPr="00CA7AD3">
        <w:rPr>
          <w:lang w:val="en-GB"/>
        </w:rPr>
        <w:t>85% sunflower oil, 5% cera flava/yellow wax, and 10% carnauba wax)</w:t>
      </w:r>
      <w:r w:rsidRPr="00CA7AD3">
        <w:t xml:space="preserve"> – both with standard-of-care non-adhesive dressings.</w:t>
      </w:r>
      <w:r w:rsidR="002433EC" w:rsidRPr="002433EC">
        <w:rPr>
          <w:vertAlign w:val="superscript"/>
        </w:rPr>
        <w:fldChar w:fldCharType="begin"/>
      </w:r>
      <w:r w:rsidR="002433EC" w:rsidRPr="002433EC">
        <w:rPr>
          <w:vertAlign w:val="superscript"/>
        </w:rPr>
        <w:instrText xml:space="preserve"> NOTEREF _Ref231305051 \h  \* MERGEFORMAT </w:instrText>
      </w:r>
      <w:r w:rsidR="002433EC" w:rsidRPr="002433EC">
        <w:rPr>
          <w:vertAlign w:val="superscript"/>
        </w:rPr>
      </w:r>
      <w:r w:rsidR="002433EC" w:rsidRPr="002433EC">
        <w:rPr>
          <w:vertAlign w:val="superscript"/>
        </w:rPr>
        <w:fldChar w:fldCharType="separate"/>
      </w:r>
      <w:r w:rsidR="002433EC" w:rsidRPr="002433EC">
        <w:rPr>
          <w:vertAlign w:val="superscript"/>
        </w:rPr>
        <w:t>14</w:t>
      </w:r>
      <w:r w:rsidR="002433EC" w:rsidRPr="002433EC">
        <w:rPr>
          <w:vertAlign w:val="superscript"/>
        </w:rPr>
        <w:fldChar w:fldCharType="end"/>
      </w:r>
      <w:r w:rsidRPr="00CA7AD3">
        <w:t xml:space="preserve"> </w:t>
      </w:r>
      <w:r>
        <w:t>The t</w:t>
      </w:r>
      <w:r w:rsidRPr="00CA7AD3">
        <w:t>ypes of standard-of-</w:t>
      </w:r>
      <w:r w:rsidRPr="00CA7AD3">
        <w:lastRenderedPageBreak/>
        <w:t>care dressings were not described</w:t>
      </w:r>
      <w:r>
        <w:t>.</w:t>
      </w:r>
      <w:r w:rsidRPr="00CA7AD3">
        <w:t xml:space="preserve"> </w:t>
      </w:r>
      <w:r>
        <w:t>W</w:t>
      </w:r>
      <w:r w:rsidRPr="00CA7AD3">
        <w:t xml:space="preserve">ounds other than the nominated </w:t>
      </w:r>
      <w:r w:rsidR="00C769E5">
        <w:t>‘</w:t>
      </w:r>
      <w:r w:rsidRPr="00CA7AD3">
        <w:t>target</w:t>
      </w:r>
      <w:r w:rsidR="00C769E5">
        <w:t>’</w:t>
      </w:r>
      <w:r w:rsidRPr="00CA7AD3">
        <w:t xml:space="preserve"> wound </w:t>
      </w:r>
      <w:r>
        <w:t>were allowed treatment with</w:t>
      </w:r>
      <w:r w:rsidRPr="00CA7AD3">
        <w:t xml:space="preserve"> topical antiseptics at wound dressing changes, steroid medications, silver dressings and topical antibiotics as required. Skin products including </w:t>
      </w:r>
      <w:r w:rsidRPr="00CA7AD3">
        <w:rPr>
          <w:lang w:val="en-GB"/>
        </w:rPr>
        <w:t xml:space="preserve">creams (including barrier creams), ointments (and dressings containing topical emollients, e.g., </w:t>
      </w:r>
      <w:proofErr w:type="spellStart"/>
      <w:r w:rsidRPr="00CA7AD3">
        <w:rPr>
          <w:lang w:val="en-GB"/>
        </w:rPr>
        <w:t>vaselinised</w:t>
      </w:r>
      <w:proofErr w:type="spellEnd"/>
      <w:r w:rsidRPr="00CA7AD3">
        <w:rPr>
          <w:lang w:val="en-GB"/>
        </w:rPr>
        <w:t xml:space="preserve"> gauze), gels, or emollients, were not permitted to be used on any areas affected by EB wounds during the double-blind period, and systemic steroids (other than </w:t>
      </w:r>
      <w:r>
        <w:rPr>
          <w:lang w:val="en-GB"/>
        </w:rPr>
        <w:t xml:space="preserve">those </w:t>
      </w:r>
      <w:r w:rsidRPr="00CA7AD3">
        <w:rPr>
          <w:lang w:val="en-GB"/>
        </w:rPr>
        <w:t xml:space="preserve">inhaled for </w:t>
      </w:r>
      <w:r>
        <w:rPr>
          <w:lang w:val="en-GB"/>
        </w:rPr>
        <w:t>oe</w:t>
      </w:r>
      <w:r w:rsidRPr="00CA7AD3">
        <w:rPr>
          <w:lang w:val="en-GB"/>
        </w:rPr>
        <w:t xml:space="preserve">sophageal strictures, or ophthalmic preparations), immunosuppressive or cytotoxic chemotherapy and systemic antibiotics were not allowed for 3 months into </w:t>
      </w:r>
      <w:r>
        <w:rPr>
          <w:lang w:val="en-GB"/>
        </w:rPr>
        <w:t>the</w:t>
      </w:r>
      <w:r w:rsidRPr="00CA7AD3">
        <w:rPr>
          <w:lang w:val="en-GB"/>
        </w:rPr>
        <w:t xml:space="preserve"> open-label extension study. </w:t>
      </w:r>
    </w:p>
    <w:p w14:paraId="5BD085EF" w14:textId="77777777" w:rsidR="00A6547F" w:rsidRPr="0061262E" w:rsidRDefault="00A6547F" w:rsidP="001474CD">
      <w:r w:rsidRPr="0061262E">
        <w:t xml:space="preserve">The median age </w:t>
      </w:r>
      <w:r>
        <w:t xml:space="preserve">of the participants </w:t>
      </w:r>
      <w:r w:rsidRPr="0061262E">
        <w:t xml:space="preserve">was 12 years (range 6 months to 81 years). </w:t>
      </w:r>
      <w:r>
        <w:t xml:space="preserve">By </w:t>
      </w:r>
      <w:r w:rsidRPr="0061262E">
        <w:t xml:space="preserve">age categories, 8% of </w:t>
      </w:r>
      <w:r>
        <w:t xml:space="preserve">study participants </w:t>
      </w:r>
      <w:r w:rsidRPr="0061262E">
        <w:t xml:space="preserve">were </w:t>
      </w:r>
      <w:r>
        <w:t>6 months</w:t>
      </w:r>
      <w:r w:rsidRPr="0061262E">
        <w:t xml:space="preserve"> to &lt;4 years of age, 38% were 4 to &lt;12 years, 24% were 12</w:t>
      </w:r>
      <w:r>
        <w:t xml:space="preserve"> </w:t>
      </w:r>
      <w:r w:rsidRPr="0061262E">
        <w:t xml:space="preserve">to &lt;18 years, and 30% were ≥18 years of age. Of the 67 </w:t>
      </w:r>
      <w:r>
        <w:t>adults</w:t>
      </w:r>
      <w:r w:rsidRPr="0061262E">
        <w:t xml:space="preserve"> </w:t>
      </w:r>
      <w:r>
        <w:t>(</w:t>
      </w:r>
      <w:r w:rsidRPr="0061262E">
        <w:t>≥18 years of age</w:t>
      </w:r>
      <w:r>
        <w:t>)</w:t>
      </w:r>
      <w:r w:rsidRPr="0061262E">
        <w:t xml:space="preserve"> </w:t>
      </w:r>
      <w:r>
        <w:t xml:space="preserve">three </w:t>
      </w:r>
      <w:r w:rsidRPr="0061262E">
        <w:t>were 65 years of age or older. This reflect</w:t>
      </w:r>
      <w:r>
        <w:t>s</w:t>
      </w:r>
      <w:r w:rsidRPr="0061262E">
        <w:t xml:space="preserve"> a population</w:t>
      </w:r>
      <w:r>
        <w:t xml:space="preserve"> </w:t>
      </w:r>
      <w:r w:rsidRPr="0061262E">
        <w:t>with severe EB</w:t>
      </w:r>
      <w:r>
        <w:t>.</w:t>
      </w:r>
    </w:p>
    <w:p w14:paraId="69AF063A" w14:textId="77777777" w:rsidR="00A6547F" w:rsidRPr="00CA7AD3" w:rsidRDefault="00A6547F" w:rsidP="001474CD">
      <w:r w:rsidRPr="00681522">
        <w:t>The efficacy was regarded as modest, no</w:t>
      </w:r>
      <w:r>
        <w:t xml:space="preserve"> </w:t>
      </w:r>
      <w:r w:rsidRPr="00681522">
        <w:t>disease-modifying effect has been demonstrated, nor any effects on prevention of complications like</w:t>
      </w:r>
      <w:r>
        <w:t xml:space="preserve"> </w:t>
      </w:r>
      <w:r w:rsidRPr="00681522">
        <w:t>infections, full-thickness ulceration and malignant transformation.</w:t>
      </w:r>
    </w:p>
    <w:p w14:paraId="7A8EC831" w14:textId="07089A85" w:rsidR="00A6547F" w:rsidRPr="00CA7AD3" w:rsidRDefault="00A6547F" w:rsidP="001474CD">
      <w:r>
        <w:rPr>
          <w:lang w:val="en-GB"/>
        </w:rPr>
        <w:t xml:space="preserve">One </w:t>
      </w:r>
      <w:r w:rsidRPr="00CA7AD3">
        <w:rPr>
          <w:lang w:val="en-GB"/>
        </w:rPr>
        <w:t xml:space="preserve">weakness in this application is that by focusing on wounds associated with EB, the investigators chose comparison with </w:t>
      </w:r>
      <w:r>
        <w:rPr>
          <w:lang w:val="en-GB"/>
        </w:rPr>
        <w:t xml:space="preserve">a </w:t>
      </w:r>
      <w:r w:rsidR="00C32908">
        <w:rPr>
          <w:lang w:val="en-GB"/>
        </w:rPr>
        <w:t>‘</w:t>
      </w:r>
      <w:r>
        <w:rPr>
          <w:lang w:val="en-GB"/>
        </w:rPr>
        <w:t>control</w:t>
      </w:r>
      <w:r w:rsidR="00C32908">
        <w:rPr>
          <w:lang w:val="en-GB"/>
        </w:rPr>
        <w:t>’</w:t>
      </w:r>
      <w:r>
        <w:rPr>
          <w:lang w:val="en-GB"/>
        </w:rPr>
        <w:t xml:space="preserve"> gel</w:t>
      </w:r>
      <w:r w:rsidRPr="00CA7AD3">
        <w:rPr>
          <w:lang w:val="en-GB"/>
        </w:rPr>
        <w:t xml:space="preserve"> and did not consider other topical preparations as comparators. While the mechanism of action of birch </w:t>
      </w:r>
      <w:r w:rsidR="00506B0B">
        <w:rPr>
          <w:lang w:val="en-GB"/>
        </w:rPr>
        <w:t>triterpenes</w:t>
      </w:r>
      <w:r w:rsidR="00C577C4">
        <w:rPr>
          <w:lang w:val="en-GB"/>
        </w:rPr>
        <w:t xml:space="preserve"> </w:t>
      </w:r>
      <w:r w:rsidRPr="00CA7AD3">
        <w:rPr>
          <w:lang w:val="en-GB"/>
        </w:rPr>
        <w:t xml:space="preserve">has not been clearly elucidated, the applicant and investigators have </w:t>
      </w:r>
      <w:r>
        <w:rPr>
          <w:lang w:val="en-GB"/>
        </w:rPr>
        <w:t>considered literature promoting</w:t>
      </w:r>
      <w:r w:rsidRPr="00CA7AD3">
        <w:rPr>
          <w:lang w:val="en-GB"/>
        </w:rPr>
        <w:t xml:space="preserve"> </w:t>
      </w:r>
      <w:r w:rsidRPr="00CA7AD3">
        <w:t xml:space="preserve">antibacterial, antimycotic, antiviral, anti-inflammatory, antitumoral and wound-healing properties. This </w:t>
      </w:r>
      <w:r>
        <w:t>suggests</w:t>
      </w:r>
      <w:r w:rsidRPr="00CA7AD3">
        <w:t xml:space="preserve"> that </w:t>
      </w:r>
      <w:r>
        <w:t xml:space="preserve">birch </w:t>
      </w:r>
      <w:r w:rsidR="009329B5">
        <w:t>triter</w:t>
      </w:r>
      <w:r w:rsidR="00C76C50">
        <w:t>penes</w:t>
      </w:r>
      <w:r>
        <w:t xml:space="preserve"> </w:t>
      </w:r>
      <w:r w:rsidRPr="00CA7AD3">
        <w:t xml:space="preserve">may </w:t>
      </w:r>
      <w:r>
        <w:t xml:space="preserve">also </w:t>
      </w:r>
      <w:r w:rsidRPr="00CA7AD3">
        <w:t xml:space="preserve">be effective in wounds associated with conditions other than EB. Indeed, the published report referenced three </w:t>
      </w:r>
      <w:r>
        <w:t xml:space="preserve">small </w:t>
      </w:r>
      <w:r w:rsidRPr="00CA7AD3">
        <w:t>phase III studies of Oleogel-S10 which demonstrated accelerated wound-healing effects in split-thickness skin graft donor sites and grade 2a burn wounds.</w:t>
      </w:r>
    </w:p>
    <w:p w14:paraId="52A2F9EF" w14:textId="77777777" w:rsidR="00A6547F" w:rsidRDefault="00A6547F" w:rsidP="00A6547F">
      <w:r>
        <w:t xml:space="preserve">Accepting that birch bark extract is at least moderately efficacious in the treatment of wounds related to EB further supports the plausibility of positively influencing healing of other partial thickness wounds, irrespective of the underlying cause of the lesions. </w:t>
      </w:r>
      <w:r w:rsidRPr="007F2543">
        <w:t>The mechanism of action</w:t>
      </w:r>
      <w:r>
        <w:t>, while yet undefined, may simply be as a</w:t>
      </w:r>
      <w:r w:rsidRPr="00FE6E9C">
        <w:t xml:space="preserve"> general support to achiev</w:t>
      </w:r>
      <w:r>
        <w:t xml:space="preserve">e </w:t>
      </w:r>
      <w:r w:rsidRPr="00FE6E9C">
        <w:t>faster wound healing rather than a specific mechanism</w:t>
      </w:r>
      <w:r>
        <w:t xml:space="preserve"> </w:t>
      </w:r>
      <w:r w:rsidRPr="00FE6E9C">
        <w:t>of action targeting specific EB sub-types.</w:t>
      </w:r>
    </w:p>
    <w:p w14:paraId="45541CCD" w14:textId="2A9EAE6F" w:rsidR="00A6547F" w:rsidRPr="00A6547F" w:rsidRDefault="00A6547F" w:rsidP="00A6547F">
      <w:r>
        <w:t xml:space="preserve">Regarding safety, the clinical studies have not identified any significant adverse effects of topical application of birch </w:t>
      </w:r>
      <w:r w:rsidR="005F2C0A">
        <w:t>triterpenes</w:t>
      </w:r>
      <w:r>
        <w:t>. Similar rates of adverse events were reported in both active and placebo-treated populations, and many of these could be considered a result of the underlying condition. One concern that is being monitored is that the potentially long-term use, either chronic or intermittent, of a product proposed to have effects on cell proliferation could also contribute to an increased risk of skin cancers. This is already a risk in the population with EB. Safety update reviews to date have not identified any change in the rate of development of skin cancers in patients with EB using Filsuvez.</w:t>
      </w:r>
      <w:r w:rsidR="00474D03">
        <w:t xml:space="preserve"> </w:t>
      </w:r>
    </w:p>
    <w:p w14:paraId="3916F296" w14:textId="77777777" w:rsidR="00C22214" w:rsidRPr="00D87324" w:rsidRDefault="00C22214" w:rsidP="00D87324">
      <w:pPr>
        <w:pStyle w:val="Heading4"/>
      </w:pPr>
      <w:bookmarkStart w:id="73" w:name="_Toc98931933"/>
      <w:bookmarkStart w:id="74" w:name="_Toc233030859"/>
      <w:r w:rsidRPr="00D87324">
        <w:t>Proposed action</w:t>
      </w:r>
      <w:bookmarkEnd w:id="73"/>
      <w:bookmarkEnd w:id="74"/>
    </w:p>
    <w:p w14:paraId="587B7E15" w14:textId="1FD30D77" w:rsidR="006F6A20" w:rsidRDefault="006F6A20" w:rsidP="006F6A20">
      <w:r>
        <w:t>F</w:t>
      </w:r>
      <w:r w:rsidR="008A19B6">
        <w:t>ilsuvez</w:t>
      </w:r>
      <w:r>
        <w:t xml:space="preserve"> </w:t>
      </w:r>
      <w:r w:rsidRPr="006B11BB">
        <w:t>is considered a locally applied, locally acting gel with limited systemic absorption.</w:t>
      </w:r>
      <w:r w:rsidRPr="0071092B">
        <w:rPr>
          <w:rFonts w:ascii="Verdana" w:hAnsi="Verdana" w:cs="Verdana"/>
          <w:sz w:val="18"/>
          <w:szCs w:val="18"/>
        </w:rPr>
        <w:t xml:space="preserve"> </w:t>
      </w:r>
      <w:r w:rsidRPr="0071092B">
        <w:t xml:space="preserve">The gel should be applied to the surface </w:t>
      </w:r>
      <w:r>
        <w:t xml:space="preserve">of a partial thickness wound </w:t>
      </w:r>
      <w:r w:rsidRPr="0071092B">
        <w:t>at a thickness of approximately 1 mm and covered by a</w:t>
      </w:r>
      <w:r>
        <w:t xml:space="preserve"> </w:t>
      </w:r>
      <w:r w:rsidRPr="0071092B">
        <w:t>sterile non adhesive wound dressing or applied to the dressing so that the gel is in direct contact with the</w:t>
      </w:r>
      <w:r>
        <w:t xml:space="preserve"> </w:t>
      </w:r>
      <w:r w:rsidRPr="0071092B">
        <w:t>wound. The gel should be reapplied at each wound dressing change.</w:t>
      </w:r>
    </w:p>
    <w:p w14:paraId="777B210B" w14:textId="5A06E319" w:rsidR="005C0830" w:rsidRDefault="006F6A20" w:rsidP="006F6A20">
      <w:r>
        <w:t>While there were several weaknesses with the submission, none of them either in isolation or in combination indicate major concerns with the safety of F</w:t>
      </w:r>
      <w:r w:rsidR="003C51FC">
        <w:t xml:space="preserve">ilsuvez </w:t>
      </w:r>
      <w:r w:rsidR="00025187">
        <w:t>(</w:t>
      </w:r>
      <w:r>
        <w:t>birch bark dry extract</w:t>
      </w:r>
      <w:r w:rsidR="00025187">
        <w:t>)</w:t>
      </w:r>
      <w:r>
        <w:t xml:space="preserve">. The product has been approved in major comparable jurisdictions for the proposed indication, and historically in the European Union for a separate wound-healing indication. </w:t>
      </w:r>
    </w:p>
    <w:p w14:paraId="772BD99B" w14:textId="77777777" w:rsidR="006F6A20" w:rsidRDefault="006F6A20" w:rsidP="006F6A20">
      <w:pPr>
        <w:rPr>
          <w:rFonts w:ascii="Arial" w:eastAsia="Times New Roman" w:hAnsi="Arial"/>
          <w:b/>
          <w:bCs/>
          <w:sz w:val="26"/>
          <w:szCs w:val="21"/>
        </w:rPr>
      </w:pPr>
      <w:r>
        <w:lastRenderedPageBreak/>
        <w:t>I propose to approve the application subject to conditions of registration proposed by the RMP evaluation and a commitment from the sponsor to provide to TGA results of the FDA requested long-term carcinogenicity study in rodents when they become available.</w:t>
      </w:r>
    </w:p>
    <w:p w14:paraId="307F236C" w14:textId="7FD19BD3" w:rsidR="00C22214" w:rsidRPr="002E238E" w:rsidRDefault="0046285C" w:rsidP="00C22214">
      <w:pPr>
        <w:pStyle w:val="Heading2"/>
      </w:pPr>
      <w:bookmarkStart w:id="75" w:name="_Toc247691532"/>
      <w:bookmarkStart w:id="76" w:name="_Toc314842516"/>
      <w:bookmarkStart w:id="77" w:name="_Toc103679300"/>
      <w:bookmarkStart w:id="78" w:name="_Toc233030860"/>
      <w:r>
        <w:t>Assessment</w:t>
      </w:r>
      <w:r w:rsidR="00190853">
        <w:t xml:space="preserve"> </w:t>
      </w:r>
      <w:r>
        <w:t>o</w:t>
      </w:r>
      <w:r w:rsidR="00C22214">
        <w:t>utcome</w:t>
      </w:r>
      <w:bookmarkEnd w:id="75"/>
      <w:bookmarkEnd w:id="76"/>
      <w:bookmarkEnd w:id="77"/>
      <w:bookmarkEnd w:id="78"/>
    </w:p>
    <w:p w14:paraId="4EF22939" w14:textId="1EF79DDD" w:rsidR="00C22214" w:rsidRDefault="00C22214" w:rsidP="008C7B7A">
      <w:r w:rsidRPr="0017005C">
        <w:t xml:space="preserve">Based on a review of quality, safety, and efficacy, the TGA </w:t>
      </w:r>
      <w:r w:rsidR="00B46DFB">
        <w:t>decided to</w:t>
      </w:r>
      <w:r w:rsidRPr="0017005C">
        <w:t xml:space="preserve"> regist</w:t>
      </w:r>
      <w:r w:rsidR="00B46DFB">
        <w:t>er</w:t>
      </w:r>
      <w:r w:rsidRPr="0017005C">
        <w:t xml:space="preserve"> </w:t>
      </w:r>
      <w:r w:rsidR="00175A4C" w:rsidRPr="00175A4C">
        <w:t>F</w:t>
      </w:r>
      <w:r w:rsidR="008C7B7A">
        <w:t>ilsuvez</w:t>
      </w:r>
      <w:r w:rsidR="00175A4C" w:rsidRPr="00175A4C">
        <w:t xml:space="preserve"> birch bark dry extract (84</w:t>
      </w:r>
      <w:r w:rsidR="00BE275A">
        <w:t xml:space="preserve"> </w:t>
      </w:r>
      <w:r w:rsidR="00175A4C" w:rsidRPr="00175A4C">
        <w:t>-</w:t>
      </w:r>
      <w:r w:rsidR="00BE275A">
        <w:t xml:space="preserve"> </w:t>
      </w:r>
      <w:r w:rsidR="00175A4C" w:rsidRPr="00175A4C">
        <w:t xml:space="preserve">95% triterpenes) </w:t>
      </w:r>
      <w:r w:rsidR="008C7B7A" w:rsidRPr="008C7B7A">
        <w:t>100 mg/g gel</w:t>
      </w:r>
      <w:r w:rsidR="008C7B7A">
        <w:t xml:space="preserve"> </w:t>
      </w:r>
      <w:r w:rsidR="008C7B7A" w:rsidRPr="008C7B7A">
        <w:t>tube</w:t>
      </w:r>
      <w:r w:rsidRPr="0017005C">
        <w:t>, indicated for:</w:t>
      </w:r>
    </w:p>
    <w:p w14:paraId="7EC83AE9" w14:textId="67B91BE0" w:rsidR="00020BEA" w:rsidRPr="00020BEA" w:rsidRDefault="00020BEA" w:rsidP="00020BEA">
      <w:pPr>
        <w:ind w:left="720"/>
        <w:rPr>
          <w:i/>
          <w:iCs/>
        </w:rPr>
      </w:pPr>
      <w:r w:rsidRPr="00020BEA">
        <w:rPr>
          <w:i/>
          <w:iCs/>
        </w:rPr>
        <w:t>Treatment of partial thickness wounds associated with dystrophic and junctional</w:t>
      </w:r>
      <w:r>
        <w:rPr>
          <w:i/>
          <w:iCs/>
        </w:rPr>
        <w:t xml:space="preserve"> </w:t>
      </w:r>
      <w:r w:rsidRPr="00020BEA">
        <w:rPr>
          <w:i/>
          <w:iCs/>
        </w:rPr>
        <w:t>epidermolysis bullosa (EB) in patients 6 months and older.</w:t>
      </w:r>
    </w:p>
    <w:p w14:paraId="0D732DA4" w14:textId="74882685" w:rsidR="00854D98" w:rsidRPr="00D23139" w:rsidRDefault="00854D98" w:rsidP="00884647">
      <w:pPr>
        <w:pStyle w:val="Heading3"/>
      </w:pPr>
      <w:bookmarkStart w:id="79" w:name="_Toc233030861"/>
      <w:bookmarkStart w:id="80" w:name="_Toc103679301"/>
      <w:r w:rsidRPr="00D23139">
        <w:t>Specific conditions of registration</w:t>
      </w:r>
      <w:bookmarkEnd w:id="79"/>
      <w:r w:rsidRPr="00D23139">
        <w:t xml:space="preserve"> </w:t>
      </w:r>
      <w:bookmarkEnd w:id="80"/>
    </w:p>
    <w:p w14:paraId="5BE1F49A" w14:textId="27FCE94D" w:rsidR="00C45925" w:rsidRDefault="00A90A8E" w:rsidP="00C45925">
      <w:pPr>
        <w:pStyle w:val="ListBullet"/>
      </w:pPr>
      <w:r w:rsidRPr="00A90A8E">
        <w:t>Filsuvez (birch bark dry extract</w:t>
      </w:r>
      <w:r w:rsidR="009B08D0">
        <w:t xml:space="preserve">, </w:t>
      </w:r>
      <w:r w:rsidRPr="00A90A8E">
        <w:t>84</w:t>
      </w:r>
      <w:r w:rsidR="00BE275A">
        <w:t xml:space="preserve"> </w:t>
      </w:r>
      <w:r w:rsidRPr="00A90A8E">
        <w:t>-</w:t>
      </w:r>
      <w:r w:rsidR="00BE275A">
        <w:t xml:space="preserve"> </w:t>
      </w:r>
      <w:r w:rsidRPr="00A90A8E">
        <w:t>95% triterpenes) is to be included in the Black</w:t>
      </w:r>
      <w:r w:rsidR="009D1C2F">
        <w:t xml:space="preserve"> </w:t>
      </w:r>
      <w:r w:rsidRPr="00A90A8E">
        <w:t>Triangle Scheme. The PI and CMI for Filsuvez must include the black triangle symbol</w:t>
      </w:r>
      <w:r w:rsidR="00C45925">
        <w:t xml:space="preserve"> </w:t>
      </w:r>
      <w:r w:rsidRPr="00A90A8E">
        <w:t>and mandatory accompanying text for five years, which starts from the date of first</w:t>
      </w:r>
      <w:r w:rsidR="00C45925">
        <w:t xml:space="preserve"> </w:t>
      </w:r>
      <w:r w:rsidRPr="00A90A8E">
        <w:t>supply of the product.</w:t>
      </w:r>
    </w:p>
    <w:p w14:paraId="5D2F8253" w14:textId="247D08AF" w:rsidR="00784C71" w:rsidRPr="00A90A8E" w:rsidRDefault="00A90A8E" w:rsidP="00EA0C7B">
      <w:pPr>
        <w:pStyle w:val="ListBullet"/>
      </w:pPr>
      <w:r w:rsidRPr="00A90A8E">
        <w:t>The Filsuvez EU-Risk Management Plan (RMP) version 2.3</w:t>
      </w:r>
      <w:r w:rsidR="00D137CD">
        <w:t xml:space="preserve"> (</w:t>
      </w:r>
      <w:r w:rsidRPr="00A90A8E">
        <w:t>dated 8 May 2025; DLP 14</w:t>
      </w:r>
      <w:r w:rsidR="00D137CD">
        <w:t xml:space="preserve"> </w:t>
      </w:r>
      <w:r w:rsidRPr="00A90A8E">
        <w:t>January 2023), with Australia-Specific Annex (ASA) version 1.1</w:t>
      </w:r>
      <w:r w:rsidR="00D137CD">
        <w:t xml:space="preserve"> (</w:t>
      </w:r>
      <w:r w:rsidRPr="00A90A8E">
        <w:t>dated 27 October</w:t>
      </w:r>
      <w:r w:rsidR="003F28EE">
        <w:t xml:space="preserve"> </w:t>
      </w:r>
      <w:r w:rsidRPr="00A90A8E">
        <w:t>2025), included with submission PM-2025-01059-1-1, and any subsequent revisions,</w:t>
      </w:r>
      <w:r w:rsidR="003F28EE">
        <w:t xml:space="preserve"> </w:t>
      </w:r>
      <w:r w:rsidRPr="00A90A8E">
        <w:t>as agreed with the TGA will be implemented in Australia.</w:t>
      </w:r>
    </w:p>
    <w:p w14:paraId="29F83E61" w14:textId="237D83BC" w:rsidR="00A90A8E" w:rsidRPr="00A90A8E" w:rsidRDefault="00A90A8E" w:rsidP="00B26801">
      <w:pPr>
        <w:pStyle w:val="ListBullet"/>
      </w:pPr>
      <w:r w:rsidRPr="00A90A8E">
        <w:t>An obligatory component of risk management plans is routine pharmacovigilance.</w:t>
      </w:r>
      <w:r w:rsidR="003F28EE">
        <w:t xml:space="preserve"> </w:t>
      </w:r>
      <w:r w:rsidRPr="00A90A8E">
        <w:t>Routine pharmacovigilance includes the submission of periodic safety update reports</w:t>
      </w:r>
      <w:r w:rsidR="003F28EE">
        <w:t xml:space="preserve"> </w:t>
      </w:r>
      <w:r w:rsidRPr="00A90A8E">
        <w:t>(PSURs).</w:t>
      </w:r>
    </w:p>
    <w:p w14:paraId="6C3B1EAF" w14:textId="00348E50" w:rsidR="00A90A8E" w:rsidRPr="00A90A8E" w:rsidRDefault="00A90A8E" w:rsidP="009848BF">
      <w:pPr>
        <w:pStyle w:val="ListBullet"/>
        <w:numPr>
          <w:ilvl w:val="0"/>
          <w:numId w:val="0"/>
        </w:numPr>
        <w:ind w:left="360"/>
      </w:pPr>
      <w:r w:rsidRPr="00A90A8E">
        <w:t>Reports are to be provided in line with the current published list of EU reference dates</w:t>
      </w:r>
      <w:r w:rsidR="00B26801">
        <w:t xml:space="preserve"> </w:t>
      </w:r>
      <w:r w:rsidRPr="00A90A8E">
        <w:t>and frequency of submission of PSURs until the period covered by such reports is not</w:t>
      </w:r>
      <w:r w:rsidR="00B26801">
        <w:t xml:space="preserve"> </w:t>
      </w:r>
      <w:r w:rsidRPr="00A90A8E">
        <w:t>less than three years from the date of this approval letter. Each report must be</w:t>
      </w:r>
      <w:r w:rsidR="009848BF">
        <w:t xml:space="preserve"> </w:t>
      </w:r>
      <w:r w:rsidRPr="00A90A8E">
        <w:t>submitted within ninety calendar days of the data lock point for that report.</w:t>
      </w:r>
    </w:p>
    <w:p w14:paraId="320F8BFD" w14:textId="40D00E2E" w:rsidR="00A90A8E" w:rsidRPr="00F73346" w:rsidRDefault="00A90A8E" w:rsidP="00884647">
      <w:pPr>
        <w:pStyle w:val="ListBullet"/>
        <w:numPr>
          <w:ilvl w:val="0"/>
          <w:numId w:val="0"/>
        </w:numPr>
        <w:ind w:left="360"/>
      </w:pPr>
      <w:r w:rsidRPr="00A90A8E">
        <w:t>The reports are to at least meet the requirements for PSURs as described in the</w:t>
      </w:r>
      <w:r w:rsidR="009848BF">
        <w:t xml:space="preserve"> </w:t>
      </w:r>
      <w:r w:rsidRPr="00A90A8E">
        <w:t>European Medicines Agency’s Guideline on good pharmacovigilance practices (GVP)</w:t>
      </w:r>
      <w:r w:rsidR="009922A6">
        <w:t xml:space="preserve"> </w:t>
      </w:r>
      <w:r w:rsidRPr="00A90A8E">
        <w:t>Module VII-periodic safety update report (Rev 1), Part VII.B Structures and processes.</w:t>
      </w:r>
      <w:r w:rsidR="00884647">
        <w:t xml:space="preserve"> </w:t>
      </w:r>
      <w:r w:rsidRPr="00A90A8E">
        <w:t>Note that submission of a PSUR does not constitute an application to vary the</w:t>
      </w:r>
      <w:r w:rsidR="00884647">
        <w:t xml:space="preserve"> </w:t>
      </w:r>
      <w:r w:rsidRPr="00A90A8E">
        <w:t>registration.</w:t>
      </w:r>
    </w:p>
    <w:p w14:paraId="0F9C1952" w14:textId="46BD475E" w:rsidR="00BA657C" w:rsidRPr="00BA657C" w:rsidRDefault="00BA657C" w:rsidP="004D4AD5">
      <w:pPr>
        <w:pStyle w:val="Heading3"/>
      </w:pPr>
      <w:bookmarkStart w:id="81" w:name="_Toc233030862"/>
      <w:bookmarkStart w:id="82" w:name="_Toc196738290"/>
      <w:r w:rsidRPr="00BA657C">
        <w:t>Product Information and Consumer Medicine Information</w:t>
      </w:r>
      <w:bookmarkEnd w:id="81"/>
      <w:r w:rsidRPr="00BA657C">
        <w:t xml:space="preserve"> </w:t>
      </w:r>
      <w:bookmarkEnd w:id="82"/>
    </w:p>
    <w:p w14:paraId="5F276616" w14:textId="6667B73D" w:rsidR="004D0933" w:rsidRPr="004D0933" w:rsidRDefault="004D0933" w:rsidP="004D0933">
      <w:bookmarkStart w:id="83" w:name="_Hlk200021736"/>
      <w:r w:rsidRPr="004D0933">
        <w:t xml:space="preserve">For the most recent Product Information (PI) and Consumer Medicine Information (CMI), please refer to the TGA </w:t>
      </w:r>
      <w:hyperlink r:id="rId39" w:history="1">
        <w:r w:rsidRPr="004D0933">
          <w:rPr>
            <w:rStyle w:val="Hyperlink"/>
          </w:rPr>
          <w:t>PI/CMI search facility.</w:t>
        </w:r>
      </w:hyperlink>
    </w:p>
    <w:bookmarkEnd w:id="83"/>
    <w:p w14:paraId="11222186" w14:textId="77777777" w:rsidR="004D0933" w:rsidRPr="00BD5DBD" w:rsidRDefault="004D0933" w:rsidP="00675F81">
      <w:pPr>
        <w:rPr>
          <w:szCs w:val="22"/>
        </w:rPr>
      </w:pPr>
    </w:p>
    <w:p w14:paraId="53357BF3" w14:textId="276457B5" w:rsidR="00C22214" w:rsidRDefault="00C22214" w:rsidP="00C22214">
      <w:pPr>
        <w:rPr>
          <w:lang w:eastAsia="ja-JP"/>
        </w:rPr>
        <w:sectPr w:rsidR="00C22214" w:rsidSect="007452E8">
          <w:headerReference w:type="default" r:id="rId40"/>
          <w:footerReference w:type="default" r:id="rId4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3"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4"/>
      <w:footerReference w:type="first" r:id="rId4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FAA00" w14:textId="77777777" w:rsidR="00D9004A" w:rsidRDefault="00D9004A" w:rsidP="00F02AEC">
      <w:pPr>
        <w:spacing w:after="0" w:line="240" w:lineRule="auto"/>
      </w:pPr>
      <w:r>
        <w:separator/>
      </w:r>
    </w:p>
  </w:endnote>
  <w:endnote w:type="continuationSeparator" w:id="0">
    <w:p w14:paraId="01FAF886" w14:textId="77777777" w:rsidR="00D9004A" w:rsidRDefault="00D9004A" w:rsidP="00F02AEC">
      <w:pPr>
        <w:spacing w:after="0" w:line="240" w:lineRule="auto"/>
      </w:pPr>
      <w:r>
        <w:continuationSeparator/>
      </w:r>
    </w:p>
  </w:endnote>
  <w:endnote w:type="continuationNotice" w:id="1">
    <w:p w14:paraId="349EFB63" w14:textId="77777777" w:rsidR="00D9004A" w:rsidRDefault="00D900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imesNewRomanPSMT">
    <w:altName w:val="Yu Gothic"/>
    <w:panose1 w:val="00000000000000000000"/>
    <w:charset w:val="00"/>
    <w:family w:val="swiss"/>
    <w:notTrueType/>
    <w:pitch w:val="default"/>
    <w:sig w:usb0="00000003" w:usb1="00000000" w:usb2="00000000" w:usb3="00000000" w:csb0="00000001" w:csb1="00000000"/>
  </w:font>
  <w:font w:name="Noto Sans">
    <w:charset w:val="00"/>
    <w:family w:val="swiss"/>
    <w:pitch w:val="variable"/>
    <w:sig w:usb0="E00082FF" w:usb1="400078F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2F89E963"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FCE37F2" w:rsidR="007452E8" w:rsidRPr="004A3084" w:rsidRDefault="007452E8" w:rsidP="007452E8">
          <w:pPr>
            <w:pStyle w:val="Footer"/>
          </w:pPr>
          <w:r w:rsidRPr="00487162">
            <w:t>AusPA</w:t>
          </w:r>
          <w:r>
            <w:t xml:space="preserve">R </w:t>
          </w:r>
          <w:r w:rsidR="005E2744">
            <w:t>–</w:t>
          </w:r>
          <w:r>
            <w:t xml:space="preserve"> </w:t>
          </w:r>
          <w:r w:rsidR="005E2744">
            <w:t>Filsuvez (</w:t>
          </w:r>
          <w:r w:rsidR="0012637F" w:rsidRPr="0012637F">
            <w:t xml:space="preserve">birch bark dry extract </w:t>
          </w:r>
          <w:r w:rsidR="00C75653">
            <w:t xml:space="preserve">- </w:t>
          </w:r>
          <w:r w:rsidR="0012637F" w:rsidRPr="0012637F">
            <w:t>84-95% triterpenes)</w:t>
          </w:r>
          <w:r w:rsidR="00C75653">
            <w:t xml:space="preserve"> </w:t>
          </w:r>
          <w:r w:rsidR="00C75653" w:rsidRPr="00C75653">
            <w:t xml:space="preserve">Chiesi Australia Pty Ltd </w:t>
          </w:r>
          <w:r w:rsidR="00C75653">
            <w:t xml:space="preserve">- </w:t>
          </w:r>
          <w:r w:rsidR="0012637F" w:rsidRPr="0012637F">
            <w:t xml:space="preserve">Type A PM-2025-01059-1-1 </w:t>
          </w:r>
          <w:r w:rsidR="00D168A6">
            <w:t xml:space="preserve">Date </w:t>
          </w:r>
          <w:r w:rsidR="0035319B">
            <w:t>2 June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94A8D" w14:textId="77777777" w:rsidR="00D9004A" w:rsidRDefault="00D9004A" w:rsidP="00F02AEC">
      <w:pPr>
        <w:spacing w:after="0" w:line="240" w:lineRule="auto"/>
      </w:pPr>
      <w:r>
        <w:separator/>
      </w:r>
    </w:p>
  </w:footnote>
  <w:footnote w:type="continuationSeparator" w:id="0">
    <w:p w14:paraId="21D32838" w14:textId="77777777" w:rsidR="00D9004A" w:rsidRDefault="00D9004A" w:rsidP="00F02AEC">
      <w:pPr>
        <w:spacing w:after="0" w:line="240" w:lineRule="auto"/>
      </w:pPr>
      <w:r>
        <w:continuationSeparator/>
      </w:r>
    </w:p>
  </w:footnote>
  <w:footnote w:type="continuationNotice" w:id="1">
    <w:p w14:paraId="63D9102D" w14:textId="77777777" w:rsidR="00D9004A" w:rsidRDefault="00D9004A">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0A9F4EC0" w14:textId="77777777" w:rsidR="005856AF" w:rsidRPr="00F43C73" w:rsidRDefault="005856AF" w:rsidP="005856AF">
      <w:pPr>
        <w:pStyle w:val="FootnoteText"/>
      </w:pPr>
      <w:r>
        <w:rPr>
          <w:rStyle w:val="FootnoteReference"/>
        </w:rPr>
        <w:footnoteRef/>
      </w:r>
      <w:r>
        <w:t xml:space="preserve"> Laimer M &amp; Merrell D.</w:t>
      </w:r>
      <w:r w:rsidRPr="00B25B5F">
        <w:rPr>
          <w:rFonts w:ascii="Noto Sans" w:hAnsi="Noto Sans" w:cs="Noto Sans"/>
          <w:b/>
          <w:bCs/>
          <w:color w:val="232323"/>
          <w:sz w:val="38"/>
          <w:szCs w:val="38"/>
          <w:shd w:val="clear" w:color="auto" w:fill="F6F6F6"/>
        </w:rPr>
        <w:t xml:space="preserve"> </w:t>
      </w:r>
      <w:hyperlink r:id="rId1" w:history="1">
        <w:r w:rsidRPr="00E76C13">
          <w:rPr>
            <w:rStyle w:val="Hyperlink"/>
          </w:rPr>
          <w:t>Epidermolysis bullosa: Epidemiology, pathogenesis, classification, and clinical features</w:t>
        </w:r>
      </w:hyperlink>
      <w:r>
        <w:t xml:space="preserve">, </w:t>
      </w:r>
      <w:r>
        <w:rPr>
          <w:i/>
          <w:iCs/>
        </w:rPr>
        <w:t xml:space="preserve">UptoDate, </w:t>
      </w:r>
      <w:r>
        <w:t>updated Oct 28, 2024. Accessed Jan 31, 2025.</w:t>
      </w:r>
    </w:p>
  </w:footnote>
  <w:footnote w:id="4">
    <w:p w14:paraId="605EA9A2" w14:textId="4824B261" w:rsidR="00D02C08" w:rsidRDefault="00D02C08">
      <w:pPr>
        <w:pStyle w:val="FootnoteText"/>
      </w:pPr>
      <w:r>
        <w:rPr>
          <w:rStyle w:val="FootnoteReference"/>
        </w:rPr>
        <w:footnoteRef/>
      </w:r>
      <w:r>
        <w:t xml:space="preserve"> </w:t>
      </w:r>
      <w:r w:rsidRPr="00D02C08">
        <w:t xml:space="preserve">El Hachem M, et al. (2014) Multicentre consensus recommendations for skin care in inherited epidermolysis bullosa. </w:t>
      </w:r>
      <w:r w:rsidRPr="00D02C08">
        <w:rPr>
          <w:i/>
          <w:iCs/>
        </w:rPr>
        <w:t>Orphanet Journal of Rare Diseases</w:t>
      </w:r>
      <w:r w:rsidR="00EA4AE7">
        <w:t>,</w:t>
      </w:r>
      <w:r w:rsidRPr="00D02C08">
        <w:t xml:space="preserve"> 9:76</w:t>
      </w:r>
      <w:r w:rsidR="00220251">
        <w:t>.</w:t>
      </w:r>
      <w:r w:rsidRPr="00D02C08">
        <w:t xml:space="preserve"> </w:t>
      </w:r>
      <w:hyperlink r:id="rId2" w:history="1">
        <w:r w:rsidRPr="007D7F0B">
          <w:rPr>
            <w:rStyle w:val="Hyperlink"/>
          </w:rPr>
          <w:t>http://www.ojrd.com/content/9/1/76</w:t>
        </w:r>
      </w:hyperlink>
      <w:r>
        <w:t xml:space="preserve"> </w:t>
      </w:r>
    </w:p>
  </w:footnote>
  <w:footnote w:id="5">
    <w:p w14:paraId="6282BD5B" w14:textId="404C3F49" w:rsidR="00205EC0" w:rsidRDefault="00205EC0">
      <w:pPr>
        <w:pStyle w:val="FootnoteText"/>
      </w:pPr>
      <w:r>
        <w:rPr>
          <w:rStyle w:val="FootnoteReference"/>
        </w:rPr>
        <w:footnoteRef/>
      </w:r>
      <w:r>
        <w:t xml:space="preserve"> </w:t>
      </w:r>
      <w:r w:rsidR="00B0565E" w:rsidRPr="00B0565E">
        <w:t xml:space="preserve">C. Has, J.W. Bauer, C. Bodemer, M.C. Bolling, L. Bruckner‐Tuderman, </w:t>
      </w:r>
      <w:r w:rsidR="00B0565E">
        <w:t>et al.</w:t>
      </w:r>
      <w:r w:rsidR="00704F49">
        <w:t xml:space="preserve"> (2020)</w:t>
      </w:r>
      <w:r w:rsidR="00B0565E" w:rsidRPr="00B0565E">
        <w:t xml:space="preserve"> Consensus reclassification of inherited epidermolysis bullosa and other disorders with skin fragility, </w:t>
      </w:r>
      <w:r w:rsidR="00B0565E" w:rsidRPr="00B0565E">
        <w:rPr>
          <w:i/>
          <w:iCs/>
        </w:rPr>
        <w:t>British Journal of Dermatology</w:t>
      </w:r>
      <w:r w:rsidR="00B0565E" w:rsidRPr="00B0565E">
        <w:t>, 183</w:t>
      </w:r>
      <w:r w:rsidR="00704F49">
        <w:t>(</w:t>
      </w:r>
      <w:r w:rsidR="00B0565E" w:rsidRPr="00B0565E">
        <w:t>4</w:t>
      </w:r>
      <w:r w:rsidR="00704F49">
        <w:t xml:space="preserve">): </w:t>
      </w:r>
      <w:r w:rsidR="00B0565E" w:rsidRPr="00B0565E">
        <w:t>614–627</w:t>
      </w:r>
      <w:r w:rsidR="00220251">
        <w:t>.</w:t>
      </w:r>
      <w:r w:rsidR="00B0565E" w:rsidRPr="00B0565E">
        <w:t> </w:t>
      </w:r>
      <w:hyperlink r:id="rId3" w:history="1">
        <w:r w:rsidR="00B0565E" w:rsidRPr="00B0565E">
          <w:rPr>
            <w:rStyle w:val="Hyperlink"/>
          </w:rPr>
          <w:t>https://doi.org/10.1111/bjd.18921</w:t>
        </w:r>
      </w:hyperlink>
    </w:p>
  </w:footnote>
  <w:footnote w:id="6">
    <w:p w14:paraId="135A344A" w14:textId="70DF7512" w:rsidR="00503C33" w:rsidRPr="00503C33" w:rsidRDefault="00503C33" w:rsidP="00503C33">
      <w:pPr>
        <w:pStyle w:val="FootnoteText"/>
      </w:pPr>
      <w:r>
        <w:rPr>
          <w:rStyle w:val="FootnoteReference"/>
        </w:rPr>
        <w:footnoteRef/>
      </w:r>
      <w:r>
        <w:t xml:space="preserve"> </w:t>
      </w:r>
      <w:r w:rsidRPr="00503C33">
        <w:t xml:space="preserve">Fine JD, Johnson LB, Weiner M, Li KP, Suchindran C. </w:t>
      </w:r>
      <w:r w:rsidR="000E4A8E">
        <w:t xml:space="preserve">(2009) </w:t>
      </w:r>
      <w:r w:rsidRPr="00503C33">
        <w:t>Epidermolysis bullosa and the risk of</w:t>
      </w:r>
    </w:p>
    <w:p w14:paraId="0694C7B0" w14:textId="77777777" w:rsidR="00503C33" w:rsidRPr="00503C33" w:rsidRDefault="00503C33" w:rsidP="00503C33">
      <w:pPr>
        <w:pStyle w:val="FootnoteText"/>
      </w:pPr>
      <w:r w:rsidRPr="00503C33">
        <w:t>life-threatening cancers: the National EB Registry experience, 1986-2006. J Am Acad</w:t>
      </w:r>
    </w:p>
    <w:p w14:paraId="17F24728" w14:textId="2F876E8C" w:rsidR="00503C33" w:rsidRDefault="00503C33">
      <w:pPr>
        <w:pStyle w:val="FootnoteText"/>
      </w:pPr>
      <w:r w:rsidRPr="00503C33">
        <w:t>Dermatol</w:t>
      </w:r>
      <w:r w:rsidR="001E5800">
        <w:t>,</w:t>
      </w:r>
      <w:r w:rsidRPr="00503C33">
        <w:t xml:space="preserve"> 60(2):203-211.</w:t>
      </w:r>
      <w:r w:rsidR="0005343F">
        <w:t xml:space="preserve"> </w:t>
      </w:r>
      <w:hyperlink r:id="rId4" w:history="1">
        <w:r w:rsidR="00B23B05" w:rsidRPr="004B0886">
          <w:rPr>
            <w:rStyle w:val="Hyperlink"/>
          </w:rPr>
          <w:t>https://www.jaad.org/article/S0190-9622(08)01216-4/abstract</w:t>
        </w:r>
      </w:hyperlink>
      <w:r w:rsidR="00B23B05">
        <w:t xml:space="preserve"> </w:t>
      </w:r>
    </w:p>
  </w:footnote>
  <w:footnote w:id="7">
    <w:p w14:paraId="3DE8B8CA" w14:textId="77777777" w:rsidR="000714B3" w:rsidRPr="003D5C2B" w:rsidRDefault="000714B3" w:rsidP="000714B3">
      <w:pPr>
        <w:pStyle w:val="FootnoteText"/>
      </w:pPr>
      <w:r>
        <w:rPr>
          <w:rStyle w:val="FootnoteReference"/>
        </w:rPr>
        <w:footnoteRef/>
      </w:r>
      <w:r>
        <w:t xml:space="preserve"> The Australasian College of Dermatologists. </w:t>
      </w:r>
      <w:hyperlink r:id="rId5" w:history="1">
        <w:r w:rsidRPr="00111D6C">
          <w:rPr>
            <w:rStyle w:val="Hyperlink"/>
          </w:rPr>
          <w:t>Epidermolysis bullosa</w:t>
        </w:r>
      </w:hyperlink>
      <w:r>
        <w:t>, updated April 2023, accessed 31 Jan 2025</w:t>
      </w:r>
    </w:p>
  </w:footnote>
  <w:footnote w:id="8">
    <w:p w14:paraId="2405EC6F" w14:textId="77777777" w:rsidR="000714B3" w:rsidRPr="00B23530" w:rsidRDefault="000714B3" w:rsidP="000714B3">
      <w:pPr>
        <w:pStyle w:val="FootnoteText"/>
      </w:pPr>
      <w:r>
        <w:rPr>
          <w:rStyle w:val="FootnoteReference"/>
        </w:rPr>
        <w:footnoteRef/>
      </w:r>
      <w:r>
        <w:t xml:space="preserve"> Harris AG, et al. (2016) </w:t>
      </w:r>
      <w:r w:rsidRPr="00ED1F2B">
        <w:t>The distribution of epidermolysis bullosa in Australia</w:t>
      </w:r>
      <w:r>
        <w:t xml:space="preserve"> </w:t>
      </w:r>
      <w:r w:rsidRPr="00ED1F2B">
        <w:t>with a focus on rural and remote areas</w:t>
      </w:r>
      <w:r>
        <w:t xml:space="preserve">. </w:t>
      </w:r>
      <w:r w:rsidRPr="00B1128E">
        <w:rPr>
          <w:i/>
          <w:iCs/>
        </w:rPr>
        <w:t>Australasian Journal of Dermatology</w:t>
      </w:r>
      <w:r>
        <w:rPr>
          <w:i/>
          <w:iCs/>
        </w:rPr>
        <w:t xml:space="preserve"> </w:t>
      </w:r>
      <w:r w:rsidRPr="00B23530">
        <w:rPr>
          <w:i/>
          <w:iCs/>
        </w:rPr>
        <w:t>doi: 10.1111/ajd.12431</w:t>
      </w:r>
    </w:p>
  </w:footnote>
  <w:footnote w:id="9">
    <w:p w14:paraId="0F17D7A9" w14:textId="0720E649" w:rsidR="0094095A" w:rsidRDefault="0094095A">
      <w:pPr>
        <w:pStyle w:val="FootnoteText"/>
      </w:pPr>
      <w:r>
        <w:rPr>
          <w:rStyle w:val="FootnoteReference"/>
        </w:rPr>
        <w:footnoteRef/>
      </w:r>
      <w:r>
        <w:t xml:space="preserve"> </w:t>
      </w:r>
      <w:hyperlink r:id="rId6" w:history="1">
        <w:r w:rsidRPr="00C66C51">
          <w:rPr>
            <w:rStyle w:val="Hyperlink"/>
          </w:rPr>
          <w:t>National Epidermolysis Bullosa (EB) Dressing Scheme</w:t>
        </w:r>
      </w:hyperlink>
    </w:p>
  </w:footnote>
  <w:footnote w:id="10">
    <w:p w14:paraId="2C7C7E39" w14:textId="4A25C13E" w:rsidR="00BF4976" w:rsidRDefault="00BF4976">
      <w:pPr>
        <w:pStyle w:val="FootnoteText"/>
      </w:pPr>
      <w:r>
        <w:rPr>
          <w:rStyle w:val="FootnoteReference"/>
        </w:rPr>
        <w:footnoteRef/>
      </w:r>
      <w:r>
        <w:t xml:space="preserve"> </w:t>
      </w:r>
      <w:r w:rsidR="008363B6">
        <w:t xml:space="preserve">National </w:t>
      </w:r>
      <w:r w:rsidR="009959DC">
        <w:t xml:space="preserve">EB Dressing Scheme: </w:t>
      </w:r>
      <w:r w:rsidR="00AB55DD">
        <w:t>List of Approved Dressing</w:t>
      </w:r>
      <w:r w:rsidR="009959DC">
        <w:t xml:space="preserve">s - </w:t>
      </w:r>
      <w:hyperlink r:id="rId7" w:history="1">
        <w:r w:rsidR="00AB55DD" w:rsidRPr="007C6618">
          <w:rPr>
            <w:rStyle w:val="Hyperlink"/>
          </w:rPr>
          <w:t>Produ</w:t>
        </w:r>
        <w:r w:rsidR="007C6618" w:rsidRPr="007C6618">
          <w:rPr>
            <w:rStyle w:val="Hyperlink"/>
          </w:rPr>
          <w:t>ct List</w:t>
        </w:r>
      </w:hyperlink>
    </w:p>
  </w:footnote>
  <w:footnote w:id="11">
    <w:p w14:paraId="4871D5BE" w14:textId="0C575217" w:rsidR="002C0673" w:rsidRDefault="002C0673">
      <w:pPr>
        <w:pStyle w:val="FootnoteText"/>
      </w:pPr>
      <w:r w:rsidRPr="001006B8">
        <w:rPr>
          <w:rStyle w:val="FootnoteReference"/>
        </w:rPr>
        <w:footnoteRef/>
      </w:r>
      <w:r w:rsidRPr="001006B8">
        <w:t xml:space="preserve"> </w:t>
      </w:r>
      <w:r w:rsidR="001006B8" w:rsidRPr="001006B8">
        <w:t>Paul Hartmann Pty Ltd - Atrauman Ag - Wound-nonadherent dressing, absorbent, antimicrobial</w:t>
      </w:r>
      <w:r w:rsidR="004826F6">
        <w:t>.</w:t>
      </w:r>
      <w:r w:rsidR="001006B8" w:rsidRPr="001006B8">
        <w:t xml:space="preserve"> (</w:t>
      </w:r>
      <w:hyperlink r:id="rId8" w:history="1">
        <w:r w:rsidR="001006B8" w:rsidRPr="001006B8">
          <w:rPr>
            <w:rStyle w:val="Hyperlink"/>
          </w:rPr>
          <w:t>432293</w:t>
        </w:r>
      </w:hyperlink>
      <w:r w:rsidR="001006B8" w:rsidRPr="001006B8">
        <w:t>)</w:t>
      </w:r>
    </w:p>
  </w:footnote>
  <w:footnote w:id="12">
    <w:p w14:paraId="41DCAED9" w14:textId="438D71B1" w:rsidR="00D9610A" w:rsidRPr="007E239C" w:rsidRDefault="00D9610A">
      <w:pPr>
        <w:pStyle w:val="FootnoteText"/>
      </w:pPr>
      <w:r>
        <w:rPr>
          <w:rStyle w:val="FootnoteReference"/>
        </w:rPr>
        <w:footnoteRef/>
      </w:r>
      <w:r>
        <w:t xml:space="preserve"> </w:t>
      </w:r>
      <w:r w:rsidRPr="00D9610A">
        <w:t>Urgo Medical Australia Pty Ltd - Urgotul Ag - Dressing, highly-absorbent, hydrophilic gel-forming, antimicrobial</w:t>
      </w:r>
      <w:r w:rsidR="004826F6">
        <w:t>.</w:t>
      </w:r>
      <w:r w:rsidRPr="00D9610A">
        <w:t xml:space="preserve"> (</w:t>
      </w:r>
      <w:hyperlink r:id="rId9" w:history="1">
        <w:r w:rsidRPr="007E239C">
          <w:rPr>
            <w:rStyle w:val="Hyperlink"/>
          </w:rPr>
          <w:t>394054</w:t>
        </w:r>
      </w:hyperlink>
      <w:r w:rsidRPr="007E239C">
        <w:t>)</w:t>
      </w:r>
    </w:p>
  </w:footnote>
  <w:footnote w:id="13">
    <w:p w14:paraId="67FDDC54" w14:textId="1C43A6E9" w:rsidR="006B0548" w:rsidRPr="007E239C" w:rsidRDefault="006B0548">
      <w:pPr>
        <w:pStyle w:val="FootnoteText"/>
      </w:pPr>
      <w:r w:rsidRPr="007E239C">
        <w:rPr>
          <w:rStyle w:val="FootnoteReference"/>
        </w:rPr>
        <w:footnoteRef/>
      </w:r>
      <w:r w:rsidRPr="007E239C">
        <w:t xml:space="preserve"> KCI Medical Australia Pty Ltd - 3M Tegaderm CHG Chlorhexidine Gluconate Dressing - Antimicrobial synthetic polymer semi-permeable film dressing, adhesive</w:t>
      </w:r>
      <w:r w:rsidR="004826F6">
        <w:t>.</w:t>
      </w:r>
      <w:r w:rsidRPr="007E239C">
        <w:t xml:space="preserve"> (</w:t>
      </w:r>
      <w:hyperlink r:id="rId10" w:history="1">
        <w:r w:rsidRPr="007E239C">
          <w:rPr>
            <w:rStyle w:val="Hyperlink"/>
          </w:rPr>
          <w:t>431070</w:t>
        </w:r>
      </w:hyperlink>
      <w:r w:rsidRPr="007E239C">
        <w:t>)</w:t>
      </w:r>
    </w:p>
  </w:footnote>
  <w:footnote w:id="14">
    <w:p w14:paraId="1F614A18" w14:textId="0FC58361" w:rsidR="00A311B1" w:rsidRDefault="00A311B1">
      <w:pPr>
        <w:pStyle w:val="FootnoteText"/>
      </w:pPr>
      <w:r w:rsidRPr="007E239C">
        <w:rPr>
          <w:rStyle w:val="FootnoteReference"/>
        </w:rPr>
        <w:footnoteRef/>
      </w:r>
      <w:r w:rsidRPr="007E239C">
        <w:t xml:space="preserve"> </w:t>
      </w:r>
      <w:r w:rsidR="007E72E4" w:rsidRPr="007E239C">
        <w:t xml:space="preserve">KCI Medical Australia Pty Ltd </w:t>
      </w:r>
      <w:r w:rsidR="00073E19">
        <w:t>–</w:t>
      </w:r>
      <w:r w:rsidR="007E72E4" w:rsidRPr="007E239C">
        <w:t xml:space="preserve"> T</w:t>
      </w:r>
      <w:r w:rsidR="00073E19">
        <w:t>egaderm CHG</w:t>
      </w:r>
      <w:r w:rsidR="007E72E4" w:rsidRPr="007E239C">
        <w:t xml:space="preserve"> C</w:t>
      </w:r>
      <w:r w:rsidR="00073E19">
        <w:t>hlorhexidine</w:t>
      </w:r>
      <w:r w:rsidR="007E72E4" w:rsidRPr="007E239C">
        <w:t xml:space="preserve"> G</w:t>
      </w:r>
      <w:r w:rsidR="00073E19">
        <w:t>luconate</w:t>
      </w:r>
      <w:r w:rsidR="00322DB3">
        <w:t xml:space="preserve"> gel pad</w:t>
      </w:r>
      <w:r w:rsidR="007E72E4" w:rsidRPr="007E239C">
        <w:t xml:space="preserve"> - Antimicrobial synthetic polymer semi-permeable film dressing, adhesive</w:t>
      </w:r>
      <w:r w:rsidR="004826F6">
        <w:t>.</w:t>
      </w:r>
      <w:r w:rsidR="007E72E4" w:rsidRPr="007E239C">
        <w:t xml:space="preserve"> (</w:t>
      </w:r>
      <w:hyperlink r:id="rId11" w:history="1">
        <w:r w:rsidR="007E72E4" w:rsidRPr="007E239C">
          <w:rPr>
            <w:rStyle w:val="Hyperlink"/>
          </w:rPr>
          <w:t>422430</w:t>
        </w:r>
      </w:hyperlink>
      <w:r w:rsidR="007E72E4" w:rsidRPr="007E239C">
        <w:t>)</w:t>
      </w:r>
    </w:p>
  </w:footnote>
  <w:footnote w:id="15">
    <w:p w14:paraId="4F32D681" w14:textId="76513CBA" w:rsidR="002C01DA" w:rsidRPr="002C01DA" w:rsidRDefault="002C01DA">
      <w:pPr>
        <w:pStyle w:val="FootnoteText"/>
      </w:pPr>
      <w:r>
        <w:rPr>
          <w:rStyle w:val="FootnoteReference"/>
        </w:rPr>
        <w:footnoteRef/>
      </w:r>
      <w:r>
        <w:t xml:space="preserve"> </w:t>
      </w:r>
      <w:r w:rsidRPr="002C01DA">
        <w:t>Molnlycke Health Care Pty Ltd - Mepilex Transfer Ag - Dressing, wound-nonadherent, permeable, antimicrobial</w:t>
      </w:r>
      <w:r w:rsidR="004826F6">
        <w:t>.</w:t>
      </w:r>
      <w:r w:rsidRPr="002C01DA">
        <w:t xml:space="preserve"> (</w:t>
      </w:r>
      <w:hyperlink r:id="rId12" w:history="1">
        <w:r w:rsidRPr="00C5263B">
          <w:rPr>
            <w:rStyle w:val="Hyperlink"/>
          </w:rPr>
          <w:t>226604</w:t>
        </w:r>
      </w:hyperlink>
      <w:r w:rsidRPr="002C01DA">
        <w:t>)</w:t>
      </w:r>
    </w:p>
  </w:footnote>
  <w:footnote w:id="16">
    <w:p w14:paraId="3ACBC3D7" w14:textId="574CAF6A" w:rsidR="002D4E91" w:rsidRDefault="002D4E91">
      <w:pPr>
        <w:pStyle w:val="FootnoteText"/>
      </w:pPr>
      <w:r>
        <w:rPr>
          <w:rStyle w:val="FootnoteReference"/>
        </w:rPr>
        <w:footnoteRef/>
      </w:r>
      <w:r>
        <w:t xml:space="preserve"> </w:t>
      </w:r>
      <w:r w:rsidR="004826F6" w:rsidRPr="004826F6">
        <w:t>Coloplast Pty Ltd - Biatain Silicone Ag - Exudate-absorbent dressing, non-hydrophilic-gel-forming, antimicrobial</w:t>
      </w:r>
      <w:r w:rsidR="004826F6">
        <w:t>.</w:t>
      </w:r>
      <w:r w:rsidR="004826F6" w:rsidRPr="004826F6">
        <w:t xml:space="preserve"> (</w:t>
      </w:r>
      <w:hyperlink r:id="rId13" w:history="1">
        <w:r w:rsidR="004826F6" w:rsidRPr="004826F6">
          <w:rPr>
            <w:rStyle w:val="Hyperlink"/>
          </w:rPr>
          <w:t>311822</w:t>
        </w:r>
      </w:hyperlink>
      <w:r w:rsidR="004826F6" w:rsidRPr="004826F6">
        <w:t>)</w:t>
      </w:r>
    </w:p>
  </w:footnote>
  <w:footnote w:id="17">
    <w:p w14:paraId="75771B6C" w14:textId="34187A96" w:rsidR="002379A1" w:rsidRPr="000559C8" w:rsidRDefault="002379A1" w:rsidP="002379A1">
      <w:pPr>
        <w:pStyle w:val="FootnoteText"/>
      </w:pPr>
      <w:r>
        <w:rPr>
          <w:rStyle w:val="FootnoteReference"/>
        </w:rPr>
        <w:footnoteRef/>
      </w:r>
      <w:r w:rsidR="00307428">
        <w:t xml:space="preserve"> </w:t>
      </w:r>
      <w:r w:rsidRPr="00C32A0B">
        <w:t xml:space="preserve">International consensus. </w:t>
      </w:r>
      <w:r w:rsidRPr="007A2F46">
        <w:rPr>
          <w:i/>
          <w:iCs/>
        </w:rPr>
        <w:t>Appropriate use of silver dressings in wounds. An expert working group consensus</w:t>
      </w:r>
      <w:r w:rsidRPr="00C32A0B">
        <w:t>. London: Wounds International, 2012</w:t>
      </w:r>
      <w:r w:rsidR="004A0F86">
        <w:t xml:space="preserve">. </w:t>
      </w:r>
      <w:hyperlink r:id="rId14" w:history="1">
        <w:r w:rsidR="004A0F86" w:rsidRPr="004A0F86">
          <w:rPr>
            <w:rStyle w:val="Hyperlink"/>
          </w:rPr>
          <w:t>26953778fdfb53b9c87f7c6f05dd07eb.pdf</w:t>
        </w:r>
      </w:hyperlink>
      <w:r w:rsidR="004A0F86">
        <w:t xml:space="preserve"> </w:t>
      </w:r>
    </w:p>
  </w:footnote>
  <w:footnote w:id="18">
    <w:p w14:paraId="7966554D" w14:textId="3D965CE5" w:rsidR="00A965F4" w:rsidRDefault="00A965F4">
      <w:pPr>
        <w:pStyle w:val="FootnoteText"/>
      </w:pPr>
      <w:r>
        <w:rPr>
          <w:rStyle w:val="FootnoteReference"/>
        </w:rPr>
        <w:footnoteRef/>
      </w:r>
      <w:r w:rsidR="00307428">
        <w:t xml:space="preserve"> </w:t>
      </w:r>
      <w:r w:rsidRPr="00A965F4">
        <w:t xml:space="preserve">Wölfle U, Laszczyk MN, Kraus M, et al. </w:t>
      </w:r>
      <w:r w:rsidR="00307428">
        <w:t xml:space="preserve">(2010) </w:t>
      </w:r>
      <w:r w:rsidRPr="00A965F4">
        <w:t>Triterpenes promote keratinocyte differentiation in vitro, ex vivo and in vivo: a role for the transient receptor potential canonical (subtype) 6. J Invest Dermatol</w:t>
      </w:r>
      <w:r w:rsidR="00307428">
        <w:t xml:space="preserve">, </w:t>
      </w:r>
      <w:r w:rsidRPr="00A965F4">
        <w:t>130(1):113-123.</w:t>
      </w:r>
      <w:r w:rsidR="009736F8">
        <w:t xml:space="preserve"> </w:t>
      </w:r>
      <w:hyperlink r:id="rId15" w:history="1">
        <w:r w:rsidR="009736F8" w:rsidRPr="004B0886">
          <w:rPr>
            <w:rStyle w:val="Hyperlink"/>
          </w:rPr>
          <w:t>https://www.jidonline.org/article/S0022-202X(15)34531-0/fulltext</w:t>
        </w:r>
      </w:hyperlink>
      <w:r w:rsidR="009736F8">
        <w:t xml:space="preserve"> </w:t>
      </w:r>
    </w:p>
  </w:footnote>
  <w:footnote w:id="19">
    <w:p w14:paraId="77A098BD" w14:textId="140DC0D9" w:rsidR="002E236E" w:rsidRDefault="002E236E">
      <w:pPr>
        <w:pStyle w:val="FootnoteText"/>
      </w:pPr>
      <w:r>
        <w:rPr>
          <w:rStyle w:val="FootnoteReference"/>
        </w:rPr>
        <w:footnoteRef/>
      </w:r>
      <w:r>
        <w:t xml:space="preserve"> </w:t>
      </w:r>
      <w:r w:rsidRPr="002E236E">
        <w:t>Ebeling S, Naumann K, Pollok S, Wardecki T, Vidal-y-Sy S, et al. (2014) From a Traditional Medicinal Plant to a Rational Drug: Understanding the Clinically Proven Wound Healing Efficacy of Birch Bark Extract. PLOS ONE 9(1): e86147. </w:t>
      </w:r>
      <w:hyperlink r:id="rId16" w:history="1">
        <w:r w:rsidRPr="002E236E">
          <w:rPr>
            <w:rStyle w:val="Hyperlink"/>
          </w:rPr>
          <w:t>https://doi.org/10.1371/journal.pone.0086147</w:t>
        </w:r>
      </w:hyperlink>
    </w:p>
  </w:footnote>
  <w:footnote w:id="20">
    <w:p w14:paraId="63C54710" w14:textId="6865B4E5" w:rsidR="0050720C" w:rsidRDefault="0050720C" w:rsidP="0016625C">
      <w:r>
        <w:rPr>
          <w:rStyle w:val="FootnoteReference"/>
        </w:rPr>
        <w:footnoteRef/>
      </w:r>
      <w:r>
        <w:t xml:space="preserve"> </w:t>
      </w:r>
      <w:r w:rsidRPr="00B8525B">
        <w:rPr>
          <w:sz w:val="18"/>
          <w:szCs w:val="18"/>
        </w:rPr>
        <w:t xml:space="preserve">In response to an FDA requirement the European MAH </w:t>
      </w:r>
      <w:r w:rsidRPr="00991D18">
        <w:rPr>
          <w:sz w:val="18"/>
          <w:szCs w:val="18"/>
        </w:rPr>
        <w:t>Chiesi</w:t>
      </w:r>
      <w:r w:rsidRPr="00B8525B">
        <w:rPr>
          <w:sz w:val="18"/>
          <w:szCs w:val="18"/>
        </w:rPr>
        <w:t xml:space="preserve"> </w:t>
      </w:r>
      <w:r w:rsidRPr="00991D18">
        <w:rPr>
          <w:sz w:val="18"/>
          <w:szCs w:val="18"/>
        </w:rPr>
        <w:t>Farmaceutici initiated a 2-year dermal carcinogenicity study of Oleogel-S10 in CD-1 mice. The</w:t>
      </w:r>
      <w:r w:rsidRPr="00B8525B">
        <w:rPr>
          <w:sz w:val="18"/>
          <w:szCs w:val="18"/>
        </w:rPr>
        <w:t xml:space="preserve"> </w:t>
      </w:r>
      <w:r w:rsidRPr="00991D18">
        <w:rPr>
          <w:sz w:val="18"/>
          <w:szCs w:val="18"/>
        </w:rPr>
        <w:t>first dosing was initiated on</w:t>
      </w:r>
      <w:r w:rsidRPr="00B8525B">
        <w:rPr>
          <w:sz w:val="18"/>
          <w:szCs w:val="18"/>
        </w:rPr>
        <w:t xml:space="preserve"> </w:t>
      </w:r>
      <w:r w:rsidRPr="00991D18">
        <w:rPr>
          <w:sz w:val="18"/>
          <w:szCs w:val="18"/>
        </w:rPr>
        <w:t>the 15 October 2024. The in-life portion of the study is due for completion on the 13-27</w:t>
      </w:r>
      <w:r w:rsidRPr="00B8525B">
        <w:rPr>
          <w:sz w:val="18"/>
          <w:szCs w:val="18"/>
        </w:rPr>
        <w:t xml:space="preserve"> </w:t>
      </w:r>
      <w:r w:rsidRPr="00991D18">
        <w:rPr>
          <w:sz w:val="18"/>
          <w:szCs w:val="18"/>
        </w:rPr>
        <w:t>October 2026 with the final approved report delivered in the second half (H2) of 2027. The</w:t>
      </w:r>
      <w:r w:rsidRPr="00B8525B">
        <w:rPr>
          <w:sz w:val="18"/>
          <w:szCs w:val="18"/>
        </w:rPr>
        <w:t xml:space="preserve"> </w:t>
      </w:r>
      <w:r w:rsidRPr="00991D18">
        <w:rPr>
          <w:sz w:val="18"/>
          <w:szCs w:val="18"/>
        </w:rPr>
        <w:t>study is being conducted by Charles River Laboratories (Spencerville, Ohio, USA) in</w:t>
      </w:r>
      <w:r w:rsidRPr="00B8525B">
        <w:rPr>
          <w:sz w:val="18"/>
          <w:szCs w:val="18"/>
        </w:rPr>
        <w:t xml:space="preserve"> </w:t>
      </w:r>
      <w:r w:rsidRPr="00991D18">
        <w:rPr>
          <w:sz w:val="18"/>
          <w:szCs w:val="18"/>
        </w:rPr>
        <w:t>accordance with the protocol provided under Special Protocol Assistance, SN0038 and</w:t>
      </w:r>
      <w:r w:rsidRPr="00B8525B">
        <w:rPr>
          <w:sz w:val="18"/>
          <w:szCs w:val="18"/>
        </w:rPr>
        <w:t xml:space="preserve"> reviewed on 7 December 2021 by the FDA.</w:t>
      </w:r>
    </w:p>
  </w:footnote>
  <w:footnote w:id="21">
    <w:p w14:paraId="5CEB0276" w14:textId="6FB4D926" w:rsidR="0036261D" w:rsidRDefault="0036261D">
      <w:pPr>
        <w:pStyle w:val="FootnoteText"/>
      </w:pPr>
      <w:r>
        <w:rPr>
          <w:rStyle w:val="FootnoteReference"/>
        </w:rPr>
        <w:footnoteRef/>
      </w:r>
      <w:r w:rsidR="00F9166E">
        <w:t xml:space="preserve"> </w:t>
      </w:r>
      <w:r w:rsidR="0051307D" w:rsidRPr="0051307D">
        <w:t>Committee for Medicinal Products for Human Use (CHMP)</w:t>
      </w:r>
      <w:r w:rsidR="00F936C3">
        <w:t xml:space="preserve"> (2022) </w:t>
      </w:r>
      <w:r>
        <w:t xml:space="preserve"> </w:t>
      </w:r>
      <w:hyperlink r:id="rId17" w:history="1">
        <w:r w:rsidRPr="0036261D">
          <w:rPr>
            <w:rStyle w:val="Hyperlink"/>
          </w:rPr>
          <w:t>Filsuvez, common name-birch bark extract</w:t>
        </w:r>
      </w:hyperlink>
      <w:r w:rsidR="00AA079A">
        <w:t xml:space="preserve">, </w:t>
      </w:r>
      <w:r w:rsidR="00F9166E">
        <w:t>Assessment Report - E</w:t>
      </w:r>
      <w:r w:rsidR="00F9166E" w:rsidRPr="00F9166E">
        <w:t>MA/260035/2022</w:t>
      </w:r>
      <w:r w:rsidR="00F9166E">
        <w:t xml:space="preserve">. </w:t>
      </w:r>
      <w:r w:rsidR="00AA079A">
        <w:t>Pg 36-37</w:t>
      </w:r>
      <w:r w:rsidR="00EF4BEF">
        <w:t>, 45</w:t>
      </w:r>
      <w:r w:rsidR="00B36300">
        <w:t>, 71</w:t>
      </w:r>
      <w:r w:rsidR="00EF4BEF">
        <w:t>.</w:t>
      </w:r>
    </w:p>
  </w:footnote>
  <w:footnote w:id="22">
    <w:p w14:paraId="2D6AD504" w14:textId="411C8F85" w:rsidR="00C33599" w:rsidRDefault="00C33599" w:rsidP="00C33599">
      <w:pPr>
        <w:pStyle w:val="FootnoteText"/>
      </w:pPr>
      <w:r>
        <w:rPr>
          <w:rStyle w:val="FootnoteReference"/>
        </w:rPr>
        <w:footnoteRef/>
      </w:r>
      <w:r>
        <w:t xml:space="preserve"> </w:t>
      </w:r>
      <w:r w:rsidRPr="00657E58">
        <w:t>Wölfle U, Laszczyk MN, Kraus M, et al. Triterpenes promote keratinocyte differentiation in</w:t>
      </w:r>
      <w:r>
        <w:t xml:space="preserve"> </w:t>
      </w:r>
      <w:r w:rsidRPr="00657E58">
        <w:t>vitro, ex vivo and in vivo: a role for the transient receptor potential canonical (subtype) 6.</w:t>
      </w:r>
      <w:r>
        <w:t xml:space="preserve"> </w:t>
      </w:r>
      <w:r w:rsidRPr="00657E58">
        <w:rPr>
          <w:i/>
          <w:iCs/>
        </w:rPr>
        <w:t>J Invest Dermatol</w:t>
      </w:r>
      <w:r w:rsidRPr="00657E58">
        <w:t>. 2010;130(1):113-123</w:t>
      </w:r>
      <w:r w:rsidR="00977014" w:rsidRPr="00977014">
        <w:t xml:space="preserve"> </w:t>
      </w:r>
      <w:hyperlink r:id="rId18" w:history="1">
        <w:r w:rsidR="00977014" w:rsidRPr="000C45EC">
          <w:rPr>
            <w:rStyle w:val="Hyperlink"/>
          </w:rPr>
          <w:t>https://doi.org/10.1038/jid.2009.248</w:t>
        </w:r>
      </w:hyperlink>
      <w:r w:rsidR="00977014">
        <w:t xml:space="preserve"> </w:t>
      </w:r>
    </w:p>
  </w:footnote>
  <w:footnote w:id="23">
    <w:p w14:paraId="767AD39D" w14:textId="1B15709E" w:rsidR="00C33599" w:rsidRDefault="00C33599" w:rsidP="00C33599">
      <w:pPr>
        <w:pStyle w:val="FootnoteText"/>
      </w:pPr>
      <w:r>
        <w:rPr>
          <w:rStyle w:val="FootnoteReference"/>
        </w:rPr>
        <w:footnoteRef/>
      </w:r>
      <w:r>
        <w:t xml:space="preserve"> </w:t>
      </w:r>
      <w:r w:rsidRPr="00B9305F">
        <w:t>Ebeling S, Naumann K, Pollok S, et al. From a traditional medicinal plant to a rational drug:</w:t>
      </w:r>
      <w:r>
        <w:t xml:space="preserve"> </w:t>
      </w:r>
      <w:r w:rsidRPr="00B9305F">
        <w:t xml:space="preserve">understanding the clinically proven wound healing efficacy of birch bark extract. </w:t>
      </w:r>
      <w:r w:rsidRPr="00B9305F">
        <w:rPr>
          <w:i/>
          <w:iCs/>
        </w:rPr>
        <w:t>PLoS One</w:t>
      </w:r>
      <w:r w:rsidRPr="00B9305F">
        <w:t>.</w:t>
      </w:r>
      <w:r>
        <w:t xml:space="preserve"> </w:t>
      </w:r>
      <w:r w:rsidRPr="00B9305F">
        <w:t>2014;9(1):e86147</w:t>
      </w:r>
      <w:r w:rsidR="00AD5D79">
        <w:rPr>
          <w:rFonts w:ascii="Consolas" w:eastAsiaTheme="minorHAnsi" w:hAnsi="Consolas" w:cstheme="minorBidi"/>
          <w:color w:val="1B1B1B"/>
          <w:sz w:val="22"/>
          <w:shd w:val="clear" w:color="auto" w:fill="FFFFFF"/>
        </w:rPr>
        <w:t xml:space="preserve"> </w:t>
      </w:r>
      <w:hyperlink r:id="rId19" w:history="1">
        <w:r w:rsidR="00AD5D79" w:rsidRPr="000C45EC">
          <w:rPr>
            <w:rStyle w:val="Hyperlink"/>
          </w:rPr>
          <w:t>https://doi.org/10.1371/journal.pone.0086147</w:t>
        </w:r>
      </w:hyperlink>
      <w:r w:rsidR="00C604CA">
        <w:t xml:space="preserve"> </w:t>
      </w:r>
    </w:p>
  </w:footnote>
  <w:footnote w:id="24">
    <w:p w14:paraId="61153415" w14:textId="4E024A92" w:rsidR="00C33599" w:rsidRDefault="00C33599" w:rsidP="00C33599">
      <w:pPr>
        <w:pStyle w:val="FootnoteText"/>
      </w:pPr>
      <w:r>
        <w:rPr>
          <w:rStyle w:val="FootnoteReference"/>
        </w:rPr>
        <w:footnoteRef/>
      </w:r>
      <w:r>
        <w:t xml:space="preserve"> </w:t>
      </w:r>
      <w:r w:rsidRPr="009B157B">
        <w:t>Wardecki T, Werner P, Thomas M, et al. Influence of Birch Bark Triterpenes on Keratinocytes</w:t>
      </w:r>
      <w:r>
        <w:t xml:space="preserve"> </w:t>
      </w:r>
      <w:r w:rsidRPr="009B157B">
        <w:t xml:space="preserve">and Fibroblasts from Diabetic and Nondiabetic Donors. </w:t>
      </w:r>
      <w:r w:rsidRPr="009B157B">
        <w:rPr>
          <w:i/>
          <w:iCs/>
        </w:rPr>
        <w:t>J Nat Prod</w:t>
      </w:r>
      <w:r w:rsidRPr="009B157B">
        <w:t>. 2016; 79(4):1112-1123.</w:t>
      </w:r>
      <w:r w:rsidR="007C176A" w:rsidRPr="007C176A">
        <w:rPr>
          <w:rFonts w:ascii="Courier New" w:eastAsiaTheme="minorHAnsi" w:hAnsi="Courier New" w:cs="Courier New"/>
          <w:color w:val="auto"/>
          <w:kern w:val="2"/>
          <w:sz w:val="21"/>
          <w14:ligatures w14:val="standardContextual"/>
        </w:rPr>
        <w:t xml:space="preserve"> </w:t>
      </w:r>
      <w:hyperlink r:id="rId20" w:history="1">
        <w:r w:rsidR="007C176A" w:rsidRPr="000C45EC">
          <w:rPr>
            <w:rStyle w:val="Hyperlink"/>
          </w:rPr>
          <w:t>https://doi.org/10.1021/acs.jnatprod.6b00027</w:t>
        </w:r>
      </w:hyperlink>
      <w:r w:rsidR="007C176A">
        <w:t xml:space="preserve"> </w:t>
      </w:r>
    </w:p>
  </w:footnote>
  <w:footnote w:id="25">
    <w:p w14:paraId="6DF8C868" w14:textId="1C4E0623" w:rsidR="00C621CF" w:rsidRDefault="00C621CF">
      <w:pPr>
        <w:pStyle w:val="FootnoteText"/>
      </w:pPr>
      <w:r>
        <w:rPr>
          <w:rStyle w:val="FootnoteReference"/>
        </w:rPr>
        <w:footnoteRef/>
      </w:r>
      <w:r>
        <w:t xml:space="preserve"> </w:t>
      </w:r>
      <w:r w:rsidRPr="00C621CF">
        <w:t>Kern, J.S., Sprecher, E., Fernandez, M.F., Schauer, F., Bodemer, C., Cunningham, T., Löwe, S., Davis, C., Sumeray, M., Bruckner, A.L., Murrell, F.F. for the EASE investigators. (2023) Efficacy and safety of Oleogel-S10 (birch triterpenes) for epidermolysis bullosa: results from the phase III randomized double-blind phase of the EASE study, </w:t>
      </w:r>
      <w:r w:rsidRPr="00C621CF">
        <w:rPr>
          <w:i/>
          <w:iCs/>
        </w:rPr>
        <w:t>British Journal of Dermatology</w:t>
      </w:r>
      <w:r w:rsidRPr="00C621CF">
        <w:t>, Volume 188, Issue 1, Pages 12–21, </w:t>
      </w:r>
      <w:hyperlink r:id="rId21" w:history="1">
        <w:r w:rsidRPr="00C621CF">
          <w:rPr>
            <w:rStyle w:val="Hyperlink"/>
          </w:rPr>
          <w:t>https://doi.org/10.1093/bjd/ljac001</w:t>
        </w:r>
      </w:hyperlink>
    </w:p>
  </w:footnote>
  <w:footnote w:id="26">
    <w:p w14:paraId="057BE1D3" w14:textId="77777777" w:rsidR="00C33599" w:rsidRPr="00F9513E" w:rsidRDefault="00C33599" w:rsidP="00C33599">
      <w:pPr>
        <w:pStyle w:val="FootnoteText"/>
      </w:pPr>
      <w:r>
        <w:rPr>
          <w:rStyle w:val="FootnoteReference"/>
        </w:rPr>
        <w:footnoteRef/>
      </w:r>
      <w:r>
        <w:t xml:space="preserve"> </w:t>
      </w:r>
      <w:r w:rsidRPr="00CD721A">
        <w:t>EASE Study BEB-13 CLINICAL STUDY REPORT (Double-Blind Phase and Interim Open-Label Data) VERSION 1.0,</w:t>
      </w:r>
      <w:r>
        <w:rPr>
          <w:b/>
          <w:bCs/>
        </w:rPr>
        <w:t xml:space="preserve"> </w:t>
      </w:r>
      <w:r>
        <w:t>Date of report 9 Feb 2021</w:t>
      </w:r>
    </w:p>
  </w:footnote>
  <w:footnote w:id="27">
    <w:p w14:paraId="75BBABEC" w14:textId="77777777" w:rsidR="007A7CC9" w:rsidRDefault="007A7CC9" w:rsidP="007A7CC9">
      <w:pPr>
        <w:pStyle w:val="FootnoteText"/>
      </w:pPr>
      <w:r>
        <w:rPr>
          <w:rStyle w:val="FootnoteReference"/>
        </w:rPr>
        <w:footnoteRef/>
      </w:r>
      <w:r>
        <w:t xml:space="preserve"> EBDASI Section 1 (Skin Activity) scores evidence of blistering, erosions and crusting in 10 anatomical locations, excluding anogenital regions and buttocks for the purposes of this study. Th</w:t>
      </w:r>
      <w:r w:rsidRPr="00181352">
        <w:t xml:space="preserve">e maximum possible score of the partial EBDASI based on </w:t>
      </w:r>
      <w:r>
        <w:t>s</w:t>
      </w:r>
      <w:r w:rsidRPr="00181352">
        <w:t>kin</w:t>
      </w:r>
      <w:r>
        <w:t xml:space="preserve"> a</w:t>
      </w:r>
      <w:r w:rsidRPr="00181352">
        <w:t xml:space="preserve">ctivity </w:t>
      </w:r>
      <w:r>
        <w:t>is 100 (10 points in each of the ten locations).</w:t>
      </w:r>
    </w:p>
  </w:footnote>
  <w:footnote w:id="28">
    <w:p w14:paraId="24D1348F" w14:textId="5B192B68" w:rsidR="00E72BD0" w:rsidRDefault="00E72BD0" w:rsidP="00E72BD0">
      <w:pPr>
        <w:pStyle w:val="FootnoteText"/>
      </w:pPr>
      <w:r>
        <w:rPr>
          <w:rStyle w:val="FootnoteReference"/>
        </w:rPr>
        <w:footnoteRef/>
      </w:r>
      <w:r>
        <w:t xml:space="preserve"> </w:t>
      </w:r>
      <w:r w:rsidR="00707AE8" w:rsidRPr="00707AE8">
        <w:t xml:space="preserve">Committee for Medicinal Products for Human Use (CHMP) (2022)  </w:t>
      </w:r>
      <w:hyperlink r:id="rId22" w:history="1">
        <w:r w:rsidR="00707AE8" w:rsidRPr="00707AE8">
          <w:rPr>
            <w:rStyle w:val="Hyperlink"/>
          </w:rPr>
          <w:t>Filsuvez, common name-birch bark extract</w:t>
        </w:r>
      </w:hyperlink>
      <w:r w:rsidR="00707AE8" w:rsidRPr="00707AE8">
        <w:t xml:space="preserve">, Assessment Report - EMA/260035/2022. Pg </w:t>
      </w:r>
      <w:r>
        <w:t>1</w:t>
      </w:r>
      <w:r w:rsidR="00EC0F4D">
        <w:t>15</w:t>
      </w:r>
      <w:r w:rsidR="00013BA1">
        <w:t>, 117</w:t>
      </w:r>
      <w:r w:rsidR="00575289">
        <w:t xml:space="preserve"> - 118</w:t>
      </w:r>
      <w:r w:rsidR="006071C4">
        <w:t xml:space="preserve">. </w:t>
      </w:r>
    </w:p>
  </w:footnote>
  <w:footnote w:id="29">
    <w:p w14:paraId="08DA0727" w14:textId="77777777" w:rsidR="00E72BD0" w:rsidRDefault="00E72BD0" w:rsidP="00E72BD0">
      <w:pPr>
        <w:pStyle w:val="FootnoteText"/>
      </w:pPr>
      <w:r>
        <w:rPr>
          <w:rStyle w:val="FootnoteReference"/>
        </w:rPr>
        <w:footnoteRef/>
      </w:r>
      <w:r>
        <w:t xml:space="preserve"> These descriptions were not defined in the study report or the evaluation and given the nature of the study are unlikely to be of significance. No further clarification requested.</w:t>
      </w:r>
    </w:p>
  </w:footnote>
  <w:footnote w:id="30">
    <w:p w14:paraId="326B1263" w14:textId="5FC35876" w:rsidR="00D23F93" w:rsidRDefault="00D23F93" w:rsidP="00D23F93">
      <w:pPr>
        <w:pStyle w:val="FootnoteText"/>
      </w:pPr>
      <w:r w:rsidRPr="001206ED">
        <w:rPr>
          <w:rStyle w:val="FootnoteReference"/>
        </w:rPr>
        <w:footnoteRef/>
      </w:r>
      <w:r w:rsidRPr="001206ED">
        <w:t xml:space="preserve"> EMA</w:t>
      </w:r>
      <w:r w:rsidR="00C76430" w:rsidRPr="001206ED">
        <w:t>/4657/2024</w:t>
      </w:r>
      <w:r w:rsidRPr="001206ED">
        <w:t>, dated 14 December 2023</w:t>
      </w:r>
      <w:r w:rsidR="0011441A" w:rsidRPr="0011441A">
        <w:t xml:space="preserve"> </w:t>
      </w:r>
      <w:hyperlink r:id="rId23" w:history="1">
        <w:r w:rsidR="0011441A" w:rsidRPr="004B0886">
          <w:rPr>
            <w:rStyle w:val="Hyperlink"/>
          </w:rPr>
          <w:t>https://www.ema.europa.eu/en/documents/variation-report/filsuvez-h-c-005035-ii-0006-epar-assessment-report-variation_en.pdf</w:t>
        </w:r>
      </w:hyperlink>
      <w:r w:rsidR="0011441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D9004A"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58CB39C2"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E8F0AED"/>
    <w:multiLevelType w:val="hybridMultilevel"/>
    <w:tmpl w:val="7EE462BA"/>
    <w:lvl w:ilvl="0" w:tplc="A00215B8">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0"/>
  </w:num>
  <w:num w:numId="5" w16cid:durableId="1652950129">
    <w:abstractNumId w:val="5"/>
  </w:num>
  <w:num w:numId="6" w16cid:durableId="1053193207">
    <w:abstractNumId w:val="8"/>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1"/>
  </w:num>
  <w:num w:numId="10" w16cid:durableId="2108043357">
    <w:abstractNumId w:val="4"/>
  </w:num>
  <w:num w:numId="11" w16cid:durableId="1725904230">
    <w:abstractNumId w:val="6"/>
  </w:num>
  <w:num w:numId="12" w16cid:durableId="141579354">
    <w:abstractNumId w:val="11"/>
  </w:num>
  <w:num w:numId="13" w16cid:durableId="283735081">
    <w:abstractNumId w:val="12"/>
  </w:num>
  <w:num w:numId="14" w16cid:durableId="18060423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3B0"/>
    <w:rsid w:val="00000E6E"/>
    <w:rsid w:val="00003D17"/>
    <w:rsid w:val="00004431"/>
    <w:rsid w:val="00004E7E"/>
    <w:rsid w:val="00005062"/>
    <w:rsid w:val="0000532C"/>
    <w:rsid w:val="00005DFC"/>
    <w:rsid w:val="000065C2"/>
    <w:rsid w:val="0001064C"/>
    <w:rsid w:val="00012B23"/>
    <w:rsid w:val="0001384A"/>
    <w:rsid w:val="00013BA1"/>
    <w:rsid w:val="0001471A"/>
    <w:rsid w:val="00020BEA"/>
    <w:rsid w:val="00021C13"/>
    <w:rsid w:val="00022A41"/>
    <w:rsid w:val="00025187"/>
    <w:rsid w:val="00027544"/>
    <w:rsid w:val="00027A19"/>
    <w:rsid w:val="0003093C"/>
    <w:rsid w:val="000311CC"/>
    <w:rsid w:val="00031A62"/>
    <w:rsid w:val="00032A0F"/>
    <w:rsid w:val="00032B0A"/>
    <w:rsid w:val="00036AC1"/>
    <w:rsid w:val="00036B55"/>
    <w:rsid w:val="00037358"/>
    <w:rsid w:val="00040D8D"/>
    <w:rsid w:val="00041039"/>
    <w:rsid w:val="00044400"/>
    <w:rsid w:val="00046423"/>
    <w:rsid w:val="000477F5"/>
    <w:rsid w:val="0005067C"/>
    <w:rsid w:val="000512B1"/>
    <w:rsid w:val="0005343F"/>
    <w:rsid w:val="0006104E"/>
    <w:rsid w:val="00063B57"/>
    <w:rsid w:val="000640BD"/>
    <w:rsid w:val="00064AAF"/>
    <w:rsid w:val="00064E84"/>
    <w:rsid w:val="00065839"/>
    <w:rsid w:val="00065FDF"/>
    <w:rsid w:val="0006693A"/>
    <w:rsid w:val="000670D6"/>
    <w:rsid w:val="00070986"/>
    <w:rsid w:val="000714B3"/>
    <w:rsid w:val="00073E19"/>
    <w:rsid w:val="000741D9"/>
    <w:rsid w:val="00074E26"/>
    <w:rsid w:val="00077844"/>
    <w:rsid w:val="0008109F"/>
    <w:rsid w:val="00083763"/>
    <w:rsid w:val="000843F7"/>
    <w:rsid w:val="0008624A"/>
    <w:rsid w:val="0008628A"/>
    <w:rsid w:val="000875AA"/>
    <w:rsid w:val="000900AE"/>
    <w:rsid w:val="000904AD"/>
    <w:rsid w:val="00090510"/>
    <w:rsid w:val="0009076D"/>
    <w:rsid w:val="000917AE"/>
    <w:rsid w:val="0009309D"/>
    <w:rsid w:val="00094B81"/>
    <w:rsid w:val="00094CFB"/>
    <w:rsid w:val="00095C6A"/>
    <w:rsid w:val="000975AA"/>
    <w:rsid w:val="000A03C4"/>
    <w:rsid w:val="000A6CCC"/>
    <w:rsid w:val="000A7309"/>
    <w:rsid w:val="000B064A"/>
    <w:rsid w:val="000B1391"/>
    <w:rsid w:val="000B1E05"/>
    <w:rsid w:val="000B4143"/>
    <w:rsid w:val="000B63E6"/>
    <w:rsid w:val="000B6AFA"/>
    <w:rsid w:val="000B6B15"/>
    <w:rsid w:val="000B7F73"/>
    <w:rsid w:val="000C07C2"/>
    <w:rsid w:val="000C0A5A"/>
    <w:rsid w:val="000C0E58"/>
    <w:rsid w:val="000C1FDE"/>
    <w:rsid w:val="000C25A7"/>
    <w:rsid w:val="000C2EDB"/>
    <w:rsid w:val="000C414E"/>
    <w:rsid w:val="000C52A3"/>
    <w:rsid w:val="000C5432"/>
    <w:rsid w:val="000C5D94"/>
    <w:rsid w:val="000C63F8"/>
    <w:rsid w:val="000D09D7"/>
    <w:rsid w:val="000D3B1D"/>
    <w:rsid w:val="000D6C9D"/>
    <w:rsid w:val="000D78EC"/>
    <w:rsid w:val="000D7934"/>
    <w:rsid w:val="000D79CD"/>
    <w:rsid w:val="000E1D60"/>
    <w:rsid w:val="000E2434"/>
    <w:rsid w:val="000E2597"/>
    <w:rsid w:val="000E4A8E"/>
    <w:rsid w:val="000E504E"/>
    <w:rsid w:val="000E5EAA"/>
    <w:rsid w:val="000E6746"/>
    <w:rsid w:val="000F19A9"/>
    <w:rsid w:val="000F1DC6"/>
    <w:rsid w:val="000F31B4"/>
    <w:rsid w:val="000F34D7"/>
    <w:rsid w:val="000F4C15"/>
    <w:rsid w:val="000F6A7F"/>
    <w:rsid w:val="000F7B51"/>
    <w:rsid w:val="001006B8"/>
    <w:rsid w:val="00101BEE"/>
    <w:rsid w:val="00101CE6"/>
    <w:rsid w:val="00101FB1"/>
    <w:rsid w:val="00102D07"/>
    <w:rsid w:val="001042E5"/>
    <w:rsid w:val="0010558A"/>
    <w:rsid w:val="0011012D"/>
    <w:rsid w:val="001101FF"/>
    <w:rsid w:val="00111989"/>
    <w:rsid w:val="0011239F"/>
    <w:rsid w:val="00113F9F"/>
    <w:rsid w:val="00114025"/>
    <w:rsid w:val="0011441A"/>
    <w:rsid w:val="001158ED"/>
    <w:rsid w:val="001174F7"/>
    <w:rsid w:val="001206ED"/>
    <w:rsid w:val="001229ED"/>
    <w:rsid w:val="00123C7C"/>
    <w:rsid w:val="0012473C"/>
    <w:rsid w:val="00124806"/>
    <w:rsid w:val="0012637F"/>
    <w:rsid w:val="00127784"/>
    <w:rsid w:val="00127A74"/>
    <w:rsid w:val="0013132F"/>
    <w:rsid w:val="001315BC"/>
    <w:rsid w:val="00131B1B"/>
    <w:rsid w:val="00131CA9"/>
    <w:rsid w:val="00131F96"/>
    <w:rsid w:val="001324E7"/>
    <w:rsid w:val="0013306D"/>
    <w:rsid w:val="00134020"/>
    <w:rsid w:val="001344DD"/>
    <w:rsid w:val="0013485D"/>
    <w:rsid w:val="0013528C"/>
    <w:rsid w:val="001408D2"/>
    <w:rsid w:val="001442A2"/>
    <w:rsid w:val="00146356"/>
    <w:rsid w:val="001468CA"/>
    <w:rsid w:val="00147036"/>
    <w:rsid w:val="001474CD"/>
    <w:rsid w:val="001500A8"/>
    <w:rsid w:val="00150486"/>
    <w:rsid w:val="00151DBE"/>
    <w:rsid w:val="00153A42"/>
    <w:rsid w:val="00155D85"/>
    <w:rsid w:val="001576A0"/>
    <w:rsid w:val="00161888"/>
    <w:rsid w:val="00162800"/>
    <w:rsid w:val="00164BD9"/>
    <w:rsid w:val="00165D28"/>
    <w:rsid w:val="0016625C"/>
    <w:rsid w:val="001673A6"/>
    <w:rsid w:val="00167CEB"/>
    <w:rsid w:val="0017005C"/>
    <w:rsid w:val="00171012"/>
    <w:rsid w:val="00172241"/>
    <w:rsid w:val="00175A4C"/>
    <w:rsid w:val="00175CD8"/>
    <w:rsid w:val="0017633F"/>
    <w:rsid w:val="00177C2F"/>
    <w:rsid w:val="00182BD8"/>
    <w:rsid w:val="00184091"/>
    <w:rsid w:val="00184B7E"/>
    <w:rsid w:val="00185F63"/>
    <w:rsid w:val="00187474"/>
    <w:rsid w:val="001906E1"/>
    <w:rsid w:val="00190853"/>
    <w:rsid w:val="00191204"/>
    <w:rsid w:val="0019200C"/>
    <w:rsid w:val="0019749A"/>
    <w:rsid w:val="001A05B0"/>
    <w:rsid w:val="001A3FD6"/>
    <w:rsid w:val="001A5208"/>
    <w:rsid w:val="001A5A76"/>
    <w:rsid w:val="001A5FB9"/>
    <w:rsid w:val="001A691B"/>
    <w:rsid w:val="001A76F9"/>
    <w:rsid w:val="001B06FF"/>
    <w:rsid w:val="001B139C"/>
    <w:rsid w:val="001B1703"/>
    <w:rsid w:val="001B203F"/>
    <w:rsid w:val="001B2999"/>
    <w:rsid w:val="001B79E1"/>
    <w:rsid w:val="001C0EB9"/>
    <w:rsid w:val="001C0EBC"/>
    <w:rsid w:val="001C109B"/>
    <w:rsid w:val="001C1C2E"/>
    <w:rsid w:val="001C31A1"/>
    <w:rsid w:val="001C3FA2"/>
    <w:rsid w:val="001C5EE2"/>
    <w:rsid w:val="001C70C6"/>
    <w:rsid w:val="001D0077"/>
    <w:rsid w:val="001D45C5"/>
    <w:rsid w:val="001E11FF"/>
    <w:rsid w:val="001E322B"/>
    <w:rsid w:val="001E407B"/>
    <w:rsid w:val="001E50E6"/>
    <w:rsid w:val="001E5800"/>
    <w:rsid w:val="001E7FC6"/>
    <w:rsid w:val="001F00C7"/>
    <w:rsid w:val="001F1431"/>
    <w:rsid w:val="001F1671"/>
    <w:rsid w:val="001F2502"/>
    <w:rsid w:val="001F35EF"/>
    <w:rsid w:val="001F4958"/>
    <w:rsid w:val="001F70A5"/>
    <w:rsid w:val="0020235D"/>
    <w:rsid w:val="002026B1"/>
    <w:rsid w:val="00202CC1"/>
    <w:rsid w:val="0020337C"/>
    <w:rsid w:val="0020369B"/>
    <w:rsid w:val="002053BF"/>
    <w:rsid w:val="00205EC0"/>
    <w:rsid w:val="00207B4D"/>
    <w:rsid w:val="00210B2D"/>
    <w:rsid w:val="00210F9B"/>
    <w:rsid w:val="002117B1"/>
    <w:rsid w:val="002144B2"/>
    <w:rsid w:val="00217CCE"/>
    <w:rsid w:val="00220251"/>
    <w:rsid w:val="002203B1"/>
    <w:rsid w:val="0022137B"/>
    <w:rsid w:val="00222EE4"/>
    <w:rsid w:val="00223A1B"/>
    <w:rsid w:val="0022555F"/>
    <w:rsid w:val="0022565E"/>
    <w:rsid w:val="00225BAE"/>
    <w:rsid w:val="00226F39"/>
    <w:rsid w:val="002307DC"/>
    <w:rsid w:val="0023218C"/>
    <w:rsid w:val="002334AD"/>
    <w:rsid w:val="00234AB2"/>
    <w:rsid w:val="002368BA"/>
    <w:rsid w:val="002372B6"/>
    <w:rsid w:val="002379A1"/>
    <w:rsid w:val="00241369"/>
    <w:rsid w:val="00241B60"/>
    <w:rsid w:val="0024269C"/>
    <w:rsid w:val="002433EC"/>
    <w:rsid w:val="00243E6B"/>
    <w:rsid w:val="00246AFF"/>
    <w:rsid w:val="00246E61"/>
    <w:rsid w:val="00250E8B"/>
    <w:rsid w:val="00250EC2"/>
    <w:rsid w:val="00252B2C"/>
    <w:rsid w:val="0025443F"/>
    <w:rsid w:val="0025785B"/>
    <w:rsid w:val="00257969"/>
    <w:rsid w:val="00257F11"/>
    <w:rsid w:val="00261946"/>
    <w:rsid w:val="00263AFF"/>
    <w:rsid w:val="00264F26"/>
    <w:rsid w:val="00265AA3"/>
    <w:rsid w:val="00265CD1"/>
    <w:rsid w:val="002669E7"/>
    <w:rsid w:val="002669F4"/>
    <w:rsid w:val="00267968"/>
    <w:rsid w:val="0027191E"/>
    <w:rsid w:val="00271AB0"/>
    <w:rsid w:val="00271FA1"/>
    <w:rsid w:val="00272CE5"/>
    <w:rsid w:val="00275493"/>
    <w:rsid w:val="00276574"/>
    <w:rsid w:val="00280048"/>
    <w:rsid w:val="0028326F"/>
    <w:rsid w:val="00284840"/>
    <w:rsid w:val="0028489E"/>
    <w:rsid w:val="002848DE"/>
    <w:rsid w:val="0028739D"/>
    <w:rsid w:val="0028794E"/>
    <w:rsid w:val="00290AC2"/>
    <w:rsid w:val="00291508"/>
    <w:rsid w:val="002926E0"/>
    <w:rsid w:val="00292DA9"/>
    <w:rsid w:val="00295B36"/>
    <w:rsid w:val="00296C8D"/>
    <w:rsid w:val="0029733B"/>
    <w:rsid w:val="002A2430"/>
    <w:rsid w:val="002A5841"/>
    <w:rsid w:val="002B0089"/>
    <w:rsid w:val="002B1EDF"/>
    <w:rsid w:val="002B2061"/>
    <w:rsid w:val="002B31A8"/>
    <w:rsid w:val="002B33C3"/>
    <w:rsid w:val="002B4CEF"/>
    <w:rsid w:val="002B603A"/>
    <w:rsid w:val="002C01DA"/>
    <w:rsid w:val="002C0673"/>
    <w:rsid w:val="002C1232"/>
    <w:rsid w:val="002C1E44"/>
    <w:rsid w:val="002C26DA"/>
    <w:rsid w:val="002C5C92"/>
    <w:rsid w:val="002C5E29"/>
    <w:rsid w:val="002C6BA5"/>
    <w:rsid w:val="002C7270"/>
    <w:rsid w:val="002D0311"/>
    <w:rsid w:val="002D0478"/>
    <w:rsid w:val="002D1859"/>
    <w:rsid w:val="002D439A"/>
    <w:rsid w:val="002D4E91"/>
    <w:rsid w:val="002D7127"/>
    <w:rsid w:val="002E115B"/>
    <w:rsid w:val="002E1592"/>
    <w:rsid w:val="002E236E"/>
    <w:rsid w:val="002E5140"/>
    <w:rsid w:val="002E6E15"/>
    <w:rsid w:val="002E71FE"/>
    <w:rsid w:val="002F0F3B"/>
    <w:rsid w:val="002F331E"/>
    <w:rsid w:val="002F3E80"/>
    <w:rsid w:val="002F599E"/>
    <w:rsid w:val="002F76CD"/>
    <w:rsid w:val="003008D8"/>
    <w:rsid w:val="00301D9A"/>
    <w:rsid w:val="003030FD"/>
    <w:rsid w:val="00303959"/>
    <w:rsid w:val="00305468"/>
    <w:rsid w:val="00306E72"/>
    <w:rsid w:val="00307190"/>
    <w:rsid w:val="00307428"/>
    <w:rsid w:val="003076B3"/>
    <w:rsid w:val="00311A42"/>
    <w:rsid w:val="00312AC3"/>
    <w:rsid w:val="00313F72"/>
    <w:rsid w:val="00314430"/>
    <w:rsid w:val="003163BC"/>
    <w:rsid w:val="003174DF"/>
    <w:rsid w:val="00317972"/>
    <w:rsid w:val="003212D9"/>
    <w:rsid w:val="00321629"/>
    <w:rsid w:val="00322A67"/>
    <w:rsid w:val="00322DB3"/>
    <w:rsid w:val="0032351A"/>
    <w:rsid w:val="00324B33"/>
    <w:rsid w:val="00325E2B"/>
    <w:rsid w:val="00326A12"/>
    <w:rsid w:val="00327488"/>
    <w:rsid w:val="00335D4E"/>
    <w:rsid w:val="00336FE1"/>
    <w:rsid w:val="00337BD8"/>
    <w:rsid w:val="0034020C"/>
    <w:rsid w:val="00342D56"/>
    <w:rsid w:val="003456E7"/>
    <w:rsid w:val="00346EC2"/>
    <w:rsid w:val="003477F9"/>
    <w:rsid w:val="00350C36"/>
    <w:rsid w:val="0035319B"/>
    <w:rsid w:val="0035444D"/>
    <w:rsid w:val="00356D62"/>
    <w:rsid w:val="00361BF8"/>
    <w:rsid w:val="003622D6"/>
    <w:rsid w:val="0036261D"/>
    <w:rsid w:val="00363EE3"/>
    <w:rsid w:val="0036552C"/>
    <w:rsid w:val="00365C94"/>
    <w:rsid w:val="00366A91"/>
    <w:rsid w:val="00366E38"/>
    <w:rsid w:val="0037010F"/>
    <w:rsid w:val="00372142"/>
    <w:rsid w:val="00373433"/>
    <w:rsid w:val="003735F3"/>
    <w:rsid w:val="00374729"/>
    <w:rsid w:val="003749F7"/>
    <w:rsid w:val="003813A9"/>
    <w:rsid w:val="003819A5"/>
    <w:rsid w:val="00381BA3"/>
    <w:rsid w:val="00383BA4"/>
    <w:rsid w:val="00385163"/>
    <w:rsid w:val="0038527C"/>
    <w:rsid w:val="00387298"/>
    <w:rsid w:val="00387984"/>
    <w:rsid w:val="00392886"/>
    <w:rsid w:val="00393626"/>
    <w:rsid w:val="00395140"/>
    <w:rsid w:val="003969D6"/>
    <w:rsid w:val="00397CE9"/>
    <w:rsid w:val="003A1D9E"/>
    <w:rsid w:val="003A2422"/>
    <w:rsid w:val="003A5240"/>
    <w:rsid w:val="003A5DB8"/>
    <w:rsid w:val="003B00F6"/>
    <w:rsid w:val="003B0BC3"/>
    <w:rsid w:val="003B149C"/>
    <w:rsid w:val="003B304A"/>
    <w:rsid w:val="003B30D3"/>
    <w:rsid w:val="003B474F"/>
    <w:rsid w:val="003B4C87"/>
    <w:rsid w:val="003B5379"/>
    <w:rsid w:val="003C0284"/>
    <w:rsid w:val="003C0FDB"/>
    <w:rsid w:val="003C1192"/>
    <w:rsid w:val="003C299D"/>
    <w:rsid w:val="003C51FC"/>
    <w:rsid w:val="003C55E2"/>
    <w:rsid w:val="003C63D5"/>
    <w:rsid w:val="003C7AA8"/>
    <w:rsid w:val="003D0E9F"/>
    <w:rsid w:val="003D2677"/>
    <w:rsid w:val="003D3347"/>
    <w:rsid w:val="003D6C78"/>
    <w:rsid w:val="003D71A1"/>
    <w:rsid w:val="003E302B"/>
    <w:rsid w:val="003E3FC9"/>
    <w:rsid w:val="003E4B5C"/>
    <w:rsid w:val="003E4FF7"/>
    <w:rsid w:val="003E5D13"/>
    <w:rsid w:val="003F28EE"/>
    <w:rsid w:val="003F4101"/>
    <w:rsid w:val="003F453C"/>
    <w:rsid w:val="003F536A"/>
    <w:rsid w:val="003F5D17"/>
    <w:rsid w:val="00402DF5"/>
    <w:rsid w:val="00403384"/>
    <w:rsid w:val="00404752"/>
    <w:rsid w:val="00406C41"/>
    <w:rsid w:val="00413AC7"/>
    <w:rsid w:val="00413D77"/>
    <w:rsid w:val="004141D8"/>
    <w:rsid w:val="00414788"/>
    <w:rsid w:val="0041688F"/>
    <w:rsid w:val="00417B0B"/>
    <w:rsid w:val="00417C4D"/>
    <w:rsid w:val="00420901"/>
    <w:rsid w:val="00420EDD"/>
    <w:rsid w:val="00422524"/>
    <w:rsid w:val="0042376F"/>
    <w:rsid w:val="004246B8"/>
    <w:rsid w:val="004248F1"/>
    <w:rsid w:val="00426D13"/>
    <w:rsid w:val="00430F2F"/>
    <w:rsid w:val="004317C9"/>
    <w:rsid w:val="004324FD"/>
    <w:rsid w:val="00432AE8"/>
    <w:rsid w:val="0043306B"/>
    <w:rsid w:val="00433318"/>
    <w:rsid w:val="00434126"/>
    <w:rsid w:val="004343E2"/>
    <w:rsid w:val="00434ECA"/>
    <w:rsid w:val="0043525A"/>
    <w:rsid w:val="00437264"/>
    <w:rsid w:val="004411D9"/>
    <w:rsid w:val="00442524"/>
    <w:rsid w:val="00442A56"/>
    <w:rsid w:val="0044326B"/>
    <w:rsid w:val="004444B0"/>
    <w:rsid w:val="0045060B"/>
    <w:rsid w:val="00451446"/>
    <w:rsid w:val="00451692"/>
    <w:rsid w:val="00453DD4"/>
    <w:rsid w:val="004626FF"/>
    <w:rsid w:val="0046285C"/>
    <w:rsid w:val="00465790"/>
    <w:rsid w:val="00465D25"/>
    <w:rsid w:val="00466C96"/>
    <w:rsid w:val="00467A61"/>
    <w:rsid w:val="00470A52"/>
    <w:rsid w:val="00471BD5"/>
    <w:rsid w:val="00472318"/>
    <w:rsid w:val="00474D03"/>
    <w:rsid w:val="00475367"/>
    <w:rsid w:val="00476387"/>
    <w:rsid w:val="00477838"/>
    <w:rsid w:val="00477C4E"/>
    <w:rsid w:val="00477F07"/>
    <w:rsid w:val="00481503"/>
    <w:rsid w:val="00481955"/>
    <w:rsid w:val="00481D12"/>
    <w:rsid w:val="004826F6"/>
    <w:rsid w:val="00482A18"/>
    <w:rsid w:val="00482D2C"/>
    <w:rsid w:val="004854A6"/>
    <w:rsid w:val="00485EB3"/>
    <w:rsid w:val="0048729E"/>
    <w:rsid w:val="00491717"/>
    <w:rsid w:val="00491A55"/>
    <w:rsid w:val="00492A98"/>
    <w:rsid w:val="00492D07"/>
    <w:rsid w:val="00493FC5"/>
    <w:rsid w:val="00494C3E"/>
    <w:rsid w:val="0049544D"/>
    <w:rsid w:val="0049612E"/>
    <w:rsid w:val="00497DF1"/>
    <w:rsid w:val="00497EF2"/>
    <w:rsid w:val="004A0F86"/>
    <w:rsid w:val="004A2451"/>
    <w:rsid w:val="004A318E"/>
    <w:rsid w:val="004A4080"/>
    <w:rsid w:val="004A45D4"/>
    <w:rsid w:val="004A57E8"/>
    <w:rsid w:val="004A760C"/>
    <w:rsid w:val="004A7F47"/>
    <w:rsid w:val="004B2122"/>
    <w:rsid w:val="004B307E"/>
    <w:rsid w:val="004B3081"/>
    <w:rsid w:val="004B4A09"/>
    <w:rsid w:val="004B4A52"/>
    <w:rsid w:val="004B5B73"/>
    <w:rsid w:val="004B6060"/>
    <w:rsid w:val="004C00D2"/>
    <w:rsid w:val="004C1A90"/>
    <w:rsid w:val="004C2D03"/>
    <w:rsid w:val="004C35A9"/>
    <w:rsid w:val="004C41CE"/>
    <w:rsid w:val="004C4308"/>
    <w:rsid w:val="004C5A71"/>
    <w:rsid w:val="004C631B"/>
    <w:rsid w:val="004C7123"/>
    <w:rsid w:val="004D0288"/>
    <w:rsid w:val="004D0933"/>
    <w:rsid w:val="004D17A4"/>
    <w:rsid w:val="004D1FA0"/>
    <w:rsid w:val="004D2F00"/>
    <w:rsid w:val="004D31D8"/>
    <w:rsid w:val="004D35D1"/>
    <w:rsid w:val="004D4AD5"/>
    <w:rsid w:val="004D4C7E"/>
    <w:rsid w:val="004D5388"/>
    <w:rsid w:val="004D5AFC"/>
    <w:rsid w:val="004D5B5E"/>
    <w:rsid w:val="004D7E6A"/>
    <w:rsid w:val="004E05E5"/>
    <w:rsid w:val="004E16C6"/>
    <w:rsid w:val="004E2523"/>
    <w:rsid w:val="004E5971"/>
    <w:rsid w:val="004E5E00"/>
    <w:rsid w:val="004E7F16"/>
    <w:rsid w:val="004F044C"/>
    <w:rsid w:val="004F04F3"/>
    <w:rsid w:val="004F18EC"/>
    <w:rsid w:val="004F2CDF"/>
    <w:rsid w:val="004F689B"/>
    <w:rsid w:val="004F76A0"/>
    <w:rsid w:val="004F7712"/>
    <w:rsid w:val="004F77F3"/>
    <w:rsid w:val="00500D68"/>
    <w:rsid w:val="005024F9"/>
    <w:rsid w:val="00502BB5"/>
    <w:rsid w:val="00503C33"/>
    <w:rsid w:val="0050594B"/>
    <w:rsid w:val="00506B0B"/>
    <w:rsid w:val="0050720C"/>
    <w:rsid w:val="00510767"/>
    <w:rsid w:val="0051307D"/>
    <w:rsid w:val="00513558"/>
    <w:rsid w:val="00513770"/>
    <w:rsid w:val="00514515"/>
    <w:rsid w:val="005145DE"/>
    <w:rsid w:val="00515754"/>
    <w:rsid w:val="00515C64"/>
    <w:rsid w:val="0051614C"/>
    <w:rsid w:val="00517565"/>
    <w:rsid w:val="005176DD"/>
    <w:rsid w:val="00517C15"/>
    <w:rsid w:val="005219FE"/>
    <w:rsid w:val="00522034"/>
    <w:rsid w:val="005227AD"/>
    <w:rsid w:val="00523826"/>
    <w:rsid w:val="005253D3"/>
    <w:rsid w:val="00526583"/>
    <w:rsid w:val="005276F7"/>
    <w:rsid w:val="0053091E"/>
    <w:rsid w:val="0053099C"/>
    <w:rsid w:val="0053377D"/>
    <w:rsid w:val="005353FB"/>
    <w:rsid w:val="00535DFE"/>
    <w:rsid w:val="00535FC7"/>
    <w:rsid w:val="005373B5"/>
    <w:rsid w:val="00537AB7"/>
    <w:rsid w:val="00540766"/>
    <w:rsid w:val="00541F6D"/>
    <w:rsid w:val="005444A2"/>
    <w:rsid w:val="00546314"/>
    <w:rsid w:val="0054669B"/>
    <w:rsid w:val="00554D84"/>
    <w:rsid w:val="00556DF1"/>
    <w:rsid w:val="00557684"/>
    <w:rsid w:val="00560EC1"/>
    <w:rsid w:val="005610D1"/>
    <w:rsid w:val="0056133C"/>
    <w:rsid w:val="0056240C"/>
    <w:rsid w:val="00562F42"/>
    <w:rsid w:val="00564A1C"/>
    <w:rsid w:val="00565739"/>
    <w:rsid w:val="0056766D"/>
    <w:rsid w:val="0057071C"/>
    <w:rsid w:val="00571114"/>
    <w:rsid w:val="005713FD"/>
    <w:rsid w:val="005741BB"/>
    <w:rsid w:val="00575215"/>
    <w:rsid w:val="00575289"/>
    <w:rsid w:val="005762CF"/>
    <w:rsid w:val="00576C93"/>
    <w:rsid w:val="005775D0"/>
    <w:rsid w:val="00577E04"/>
    <w:rsid w:val="00580AB0"/>
    <w:rsid w:val="00581138"/>
    <w:rsid w:val="00583F64"/>
    <w:rsid w:val="005853D4"/>
    <w:rsid w:val="005856AF"/>
    <w:rsid w:val="0058575E"/>
    <w:rsid w:val="0058783C"/>
    <w:rsid w:val="005911AE"/>
    <w:rsid w:val="005926E2"/>
    <w:rsid w:val="0059313A"/>
    <w:rsid w:val="00593626"/>
    <w:rsid w:val="005942E6"/>
    <w:rsid w:val="00594EEE"/>
    <w:rsid w:val="00596242"/>
    <w:rsid w:val="00596CC6"/>
    <w:rsid w:val="005A17E9"/>
    <w:rsid w:val="005A2666"/>
    <w:rsid w:val="005A3911"/>
    <w:rsid w:val="005A54EA"/>
    <w:rsid w:val="005A767F"/>
    <w:rsid w:val="005B023F"/>
    <w:rsid w:val="005B02A2"/>
    <w:rsid w:val="005B1417"/>
    <w:rsid w:val="005B2411"/>
    <w:rsid w:val="005B247E"/>
    <w:rsid w:val="005B395B"/>
    <w:rsid w:val="005B69CF"/>
    <w:rsid w:val="005B6B65"/>
    <w:rsid w:val="005C051F"/>
    <w:rsid w:val="005C0830"/>
    <w:rsid w:val="005C247E"/>
    <w:rsid w:val="005C3F07"/>
    <w:rsid w:val="005C4B46"/>
    <w:rsid w:val="005C5DC5"/>
    <w:rsid w:val="005D0877"/>
    <w:rsid w:val="005D0BF1"/>
    <w:rsid w:val="005D0E1E"/>
    <w:rsid w:val="005D2089"/>
    <w:rsid w:val="005D2F5A"/>
    <w:rsid w:val="005D4E98"/>
    <w:rsid w:val="005D5468"/>
    <w:rsid w:val="005D7514"/>
    <w:rsid w:val="005E03FB"/>
    <w:rsid w:val="005E0FC6"/>
    <w:rsid w:val="005E1A7B"/>
    <w:rsid w:val="005E231F"/>
    <w:rsid w:val="005E2744"/>
    <w:rsid w:val="005E3234"/>
    <w:rsid w:val="005E3385"/>
    <w:rsid w:val="005E4014"/>
    <w:rsid w:val="005E4B58"/>
    <w:rsid w:val="005E72F9"/>
    <w:rsid w:val="005F2C0A"/>
    <w:rsid w:val="005F31E6"/>
    <w:rsid w:val="005F4297"/>
    <w:rsid w:val="005F5983"/>
    <w:rsid w:val="005F5F8B"/>
    <w:rsid w:val="005F614D"/>
    <w:rsid w:val="005F7472"/>
    <w:rsid w:val="006012A6"/>
    <w:rsid w:val="00602D6E"/>
    <w:rsid w:val="00604C2F"/>
    <w:rsid w:val="00605C05"/>
    <w:rsid w:val="006062C3"/>
    <w:rsid w:val="006071C4"/>
    <w:rsid w:val="00607719"/>
    <w:rsid w:val="00611351"/>
    <w:rsid w:val="006114AA"/>
    <w:rsid w:val="00611FB9"/>
    <w:rsid w:val="0061217D"/>
    <w:rsid w:val="006129AE"/>
    <w:rsid w:val="00616655"/>
    <w:rsid w:val="00622202"/>
    <w:rsid w:val="006277A1"/>
    <w:rsid w:val="00630E4F"/>
    <w:rsid w:val="006324DA"/>
    <w:rsid w:val="00632674"/>
    <w:rsid w:val="00632912"/>
    <w:rsid w:val="00633BD7"/>
    <w:rsid w:val="00634580"/>
    <w:rsid w:val="00634884"/>
    <w:rsid w:val="00634FDF"/>
    <w:rsid w:val="006351D9"/>
    <w:rsid w:val="0063680C"/>
    <w:rsid w:val="00636912"/>
    <w:rsid w:val="00637130"/>
    <w:rsid w:val="00637F0E"/>
    <w:rsid w:val="00640306"/>
    <w:rsid w:val="00641D15"/>
    <w:rsid w:val="00641DE6"/>
    <w:rsid w:val="006423F2"/>
    <w:rsid w:val="006428C5"/>
    <w:rsid w:val="00642F18"/>
    <w:rsid w:val="00645463"/>
    <w:rsid w:val="00650234"/>
    <w:rsid w:val="00651079"/>
    <w:rsid w:val="00652643"/>
    <w:rsid w:val="006540CA"/>
    <w:rsid w:val="006568F7"/>
    <w:rsid w:val="0066044B"/>
    <w:rsid w:val="00660489"/>
    <w:rsid w:val="00661201"/>
    <w:rsid w:val="0066207D"/>
    <w:rsid w:val="00663092"/>
    <w:rsid w:val="006630AA"/>
    <w:rsid w:val="00663544"/>
    <w:rsid w:val="00666539"/>
    <w:rsid w:val="00666911"/>
    <w:rsid w:val="00667B9E"/>
    <w:rsid w:val="00667EFF"/>
    <w:rsid w:val="00675F81"/>
    <w:rsid w:val="0067639C"/>
    <w:rsid w:val="00677850"/>
    <w:rsid w:val="00677919"/>
    <w:rsid w:val="0068143E"/>
    <w:rsid w:val="00682247"/>
    <w:rsid w:val="00684A18"/>
    <w:rsid w:val="0068507D"/>
    <w:rsid w:val="00687B94"/>
    <w:rsid w:val="00691207"/>
    <w:rsid w:val="006915BF"/>
    <w:rsid w:val="00691AF2"/>
    <w:rsid w:val="00692B80"/>
    <w:rsid w:val="00692CCD"/>
    <w:rsid w:val="00692D51"/>
    <w:rsid w:val="00694DD7"/>
    <w:rsid w:val="0069636B"/>
    <w:rsid w:val="006A1762"/>
    <w:rsid w:val="006A19CE"/>
    <w:rsid w:val="006A1F0B"/>
    <w:rsid w:val="006A277A"/>
    <w:rsid w:val="006A3DD7"/>
    <w:rsid w:val="006A5973"/>
    <w:rsid w:val="006B04F3"/>
    <w:rsid w:val="006B0548"/>
    <w:rsid w:val="006B3216"/>
    <w:rsid w:val="006B3B8D"/>
    <w:rsid w:val="006B57E6"/>
    <w:rsid w:val="006B5A5A"/>
    <w:rsid w:val="006B5CD8"/>
    <w:rsid w:val="006B5E64"/>
    <w:rsid w:val="006B7126"/>
    <w:rsid w:val="006C09ED"/>
    <w:rsid w:val="006C0C84"/>
    <w:rsid w:val="006C1F02"/>
    <w:rsid w:val="006C2A32"/>
    <w:rsid w:val="006C2CF4"/>
    <w:rsid w:val="006C53DB"/>
    <w:rsid w:val="006C658C"/>
    <w:rsid w:val="006C6B86"/>
    <w:rsid w:val="006D14B9"/>
    <w:rsid w:val="006D4553"/>
    <w:rsid w:val="006D4A35"/>
    <w:rsid w:val="006D6B44"/>
    <w:rsid w:val="006D7116"/>
    <w:rsid w:val="006D73FF"/>
    <w:rsid w:val="006E0F71"/>
    <w:rsid w:val="006E27FE"/>
    <w:rsid w:val="006E3CCE"/>
    <w:rsid w:val="006E4ECF"/>
    <w:rsid w:val="006E4EF2"/>
    <w:rsid w:val="006E64D3"/>
    <w:rsid w:val="006F4381"/>
    <w:rsid w:val="006F6A20"/>
    <w:rsid w:val="00701097"/>
    <w:rsid w:val="00701110"/>
    <w:rsid w:val="00702E91"/>
    <w:rsid w:val="0070330F"/>
    <w:rsid w:val="00703624"/>
    <w:rsid w:val="007046ED"/>
    <w:rsid w:val="007049B5"/>
    <w:rsid w:val="00704F49"/>
    <w:rsid w:val="007053E3"/>
    <w:rsid w:val="0070541F"/>
    <w:rsid w:val="00705DE9"/>
    <w:rsid w:val="00706346"/>
    <w:rsid w:val="007072A1"/>
    <w:rsid w:val="00707AE8"/>
    <w:rsid w:val="0071060C"/>
    <w:rsid w:val="00710BC5"/>
    <w:rsid w:val="007121CA"/>
    <w:rsid w:val="00715E83"/>
    <w:rsid w:val="00716A66"/>
    <w:rsid w:val="00717183"/>
    <w:rsid w:val="0072003B"/>
    <w:rsid w:val="00721059"/>
    <w:rsid w:val="007211E6"/>
    <w:rsid w:val="00721E6A"/>
    <w:rsid w:val="007220C4"/>
    <w:rsid w:val="00723A9E"/>
    <w:rsid w:val="00723AF9"/>
    <w:rsid w:val="0072491D"/>
    <w:rsid w:val="00726FE1"/>
    <w:rsid w:val="007305ED"/>
    <w:rsid w:val="007311B9"/>
    <w:rsid w:val="00731BEE"/>
    <w:rsid w:val="00731F90"/>
    <w:rsid w:val="00732361"/>
    <w:rsid w:val="00733AA5"/>
    <w:rsid w:val="0073460E"/>
    <w:rsid w:val="00734E2A"/>
    <w:rsid w:val="0073558A"/>
    <w:rsid w:val="007357B9"/>
    <w:rsid w:val="00741AB9"/>
    <w:rsid w:val="00741D26"/>
    <w:rsid w:val="00742D03"/>
    <w:rsid w:val="00744216"/>
    <w:rsid w:val="007448DE"/>
    <w:rsid w:val="007452E8"/>
    <w:rsid w:val="007453ED"/>
    <w:rsid w:val="00746990"/>
    <w:rsid w:val="00747093"/>
    <w:rsid w:val="00750D70"/>
    <w:rsid w:val="007523E8"/>
    <w:rsid w:val="007524C8"/>
    <w:rsid w:val="00753033"/>
    <w:rsid w:val="007575D0"/>
    <w:rsid w:val="00757687"/>
    <w:rsid w:val="00760B96"/>
    <w:rsid w:val="00764898"/>
    <w:rsid w:val="007662E0"/>
    <w:rsid w:val="00767FCF"/>
    <w:rsid w:val="00772FA9"/>
    <w:rsid w:val="0077365F"/>
    <w:rsid w:val="007768B5"/>
    <w:rsid w:val="00776E9C"/>
    <w:rsid w:val="00780721"/>
    <w:rsid w:val="007816D8"/>
    <w:rsid w:val="00784150"/>
    <w:rsid w:val="00784A4F"/>
    <w:rsid w:val="00784C71"/>
    <w:rsid w:val="0078611C"/>
    <w:rsid w:val="00793272"/>
    <w:rsid w:val="0079499A"/>
    <w:rsid w:val="00794B64"/>
    <w:rsid w:val="00794DFD"/>
    <w:rsid w:val="00795AE9"/>
    <w:rsid w:val="007967C3"/>
    <w:rsid w:val="007A0A33"/>
    <w:rsid w:val="007A0F1B"/>
    <w:rsid w:val="007A36AA"/>
    <w:rsid w:val="007A7CC9"/>
    <w:rsid w:val="007B04DE"/>
    <w:rsid w:val="007B0AE6"/>
    <w:rsid w:val="007B343B"/>
    <w:rsid w:val="007B39B6"/>
    <w:rsid w:val="007B6658"/>
    <w:rsid w:val="007B71C0"/>
    <w:rsid w:val="007C0F0B"/>
    <w:rsid w:val="007C176A"/>
    <w:rsid w:val="007C2F26"/>
    <w:rsid w:val="007C2FFD"/>
    <w:rsid w:val="007C31A9"/>
    <w:rsid w:val="007C3BB0"/>
    <w:rsid w:val="007C57BC"/>
    <w:rsid w:val="007C6618"/>
    <w:rsid w:val="007D04CA"/>
    <w:rsid w:val="007D0A2B"/>
    <w:rsid w:val="007D12A1"/>
    <w:rsid w:val="007D1CAC"/>
    <w:rsid w:val="007D38A4"/>
    <w:rsid w:val="007D3A0E"/>
    <w:rsid w:val="007D3B62"/>
    <w:rsid w:val="007D40E5"/>
    <w:rsid w:val="007D4138"/>
    <w:rsid w:val="007D427C"/>
    <w:rsid w:val="007D4FEC"/>
    <w:rsid w:val="007E00C2"/>
    <w:rsid w:val="007E239C"/>
    <w:rsid w:val="007E4178"/>
    <w:rsid w:val="007E42E7"/>
    <w:rsid w:val="007E6443"/>
    <w:rsid w:val="007E72E4"/>
    <w:rsid w:val="007E7446"/>
    <w:rsid w:val="007F0A77"/>
    <w:rsid w:val="007F1651"/>
    <w:rsid w:val="007F1E37"/>
    <w:rsid w:val="007F50D3"/>
    <w:rsid w:val="007F58B4"/>
    <w:rsid w:val="007F6010"/>
    <w:rsid w:val="007F6B1F"/>
    <w:rsid w:val="007F7C20"/>
    <w:rsid w:val="008009E7"/>
    <w:rsid w:val="008013F0"/>
    <w:rsid w:val="00803072"/>
    <w:rsid w:val="00803926"/>
    <w:rsid w:val="00804897"/>
    <w:rsid w:val="00804EFB"/>
    <w:rsid w:val="00807DDC"/>
    <w:rsid w:val="0081003C"/>
    <w:rsid w:val="00810359"/>
    <w:rsid w:val="0081352A"/>
    <w:rsid w:val="00813D36"/>
    <w:rsid w:val="008142C4"/>
    <w:rsid w:val="008147FE"/>
    <w:rsid w:val="00814D24"/>
    <w:rsid w:val="00816DF4"/>
    <w:rsid w:val="008209D4"/>
    <w:rsid w:val="00822AD1"/>
    <w:rsid w:val="00822D9F"/>
    <w:rsid w:val="00823488"/>
    <w:rsid w:val="0082756A"/>
    <w:rsid w:val="008305DE"/>
    <w:rsid w:val="00830789"/>
    <w:rsid w:val="0083132E"/>
    <w:rsid w:val="0083163A"/>
    <w:rsid w:val="00831834"/>
    <w:rsid w:val="008326AB"/>
    <w:rsid w:val="008329DB"/>
    <w:rsid w:val="00833653"/>
    <w:rsid w:val="0083412A"/>
    <w:rsid w:val="00835828"/>
    <w:rsid w:val="00835C58"/>
    <w:rsid w:val="008361C5"/>
    <w:rsid w:val="0083628F"/>
    <w:rsid w:val="008363B6"/>
    <w:rsid w:val="00836C76"/>
    <w:rsid w:val="00837AB9"/>
    <w:rsid w:val="00840B01"/>
    <w:rsid w:val="00842A45"/>
    <w:rsid w:val="0084367C"/>
    <w:rsid w:val="008466E7"/>
    <w:rsid w:val="00850637"/>
    <w:rsid w:val="00851612"/>
    <w:rsid w:val="00851AB2"/>
    <w:rsid w:val="00854143"/>
    <w:rsid w:val="008543EC"/>
    <w:rsid w:val="00854D98"/>
    <w:rsid w:val="0085751E"/>
    <w:rsid w:val="0086075A"/>
    <w:rsid w:val="00860B29"/>
    <w:rsid w:val="00860B8C"/>
    <w:rsid w:val="008617BB"/>
    <w:rsid w:val="008622E8"/>
    <w:rsid w:val="008645EE"/>
    <w:rsid w:val="00864F19"/>
    <w:rsid w:val="008656C1"/>
    <w:rsid w:val="00870144"/>
    <w:rsid w:val="0087072C"/>
    <w:rsid w:val="00871312"/>
    <w:rsid w:val="00871409"/>
    <w:rsid w:val="00872E9C"/>
    <w:rsid w:val="00873D7A"/>
    <w:rsid w:val="008744E5"/>
    <w:rsid w:val="00877CB3"/>
    <w:rsid w:val="008804CF"/>
    <w:rsid w:val="00881ED1"/>
    <w:rsid w:val="00882D58"/>
    <w:rsid w:val="00882F19"/>
    <w:rsid w:val="00883D35"/>
    <w:rsid w:val="00884569"/>
    <w:rsid w:val="00884647"/>
    <w:rsid w:val="00885BE3"/>
    <w:rsid w:val="00887A51"/>
    <w:rsid w:val="0089038A"/>
    <w:rsid w:val="00890D9B"/>
    <w:rsid w:val="0089136F"/>
    <w:rsid w:val="00891C6C"/>
    <w:rsid w:val="00893CCD"/>
    <w:rsid w:val="00894055"/>
    <w:rsid w:val="0089612F"/>
    <w:rsid w:val="008964B3"/>
    <w:rsid w:val="008A199E"/>
    <w:rsid w:val="008A19B6"/>
    <w:rsid w:val="008A2371"/>
    <w:rsid w:val="008A2CFE"/>
    <w:rsid w:val="008A74A8"/>
    <w:rsid w:val="008A7E59"/>
    <w:rsid w:val="008B0DFA"/>
    <w:rsid w:val="008B1367"/>
    <w:rsid w:val="008B1420"/>
    <w:rsid w:val="008B1CB5"/>
    <w:rsid w:val="008B3271"/>
    <w:rsid w:val="008B6F88"/>
    <w:rsid w:val="008B7BFE"/>
    <w:rsid w:val="008C054B"/>
    <w:rsid w:val="008C1749"/>
    <w:rsid w:val="008C2D69"/>
    <w:rsid w:val="008C2F8C"/>
    <w:rsid w:val="008C30A6"/>
    <w:rsid w:val="008C3309"/>
    <w:rsid w:val="008C36BD"/>
    <w:rsid w:val="008C4579"/>
    <w:rsid w:val="008C49C6"/>
    <w:rsid w:val="008C63A9"/>
    <w:rsid w:val="008C754C"/>
    <w:rsid w:val="008C7B7A"/>
    <w:rsid w:val="008D0F44"/>
    <w:rsid w:val="008D56C9"/>
    <w:rsid w:val="008D56CA"/>
    <w:rsid w:val="008D6A54"/>
    <w:rsid w:val="008D7769"/>
    <w:rsid w:val="008E2585"/>
    <w:rsid w:val="008E2D7A"/>
    <w:rsid w:val="008E3B7D"/>
    <w:rsid w:val="008F2620"/>
    <w:rsid w:val="008F2EBE"/>
    <w:rsid w:val="008F3215"/>
    <w:rsid w:val="008F32DB"/>
    <w:rsid w:val="008F3383"/>
    <w:rsid w:val="008F4A62"/>
    <w:rsid w:val="008F5460"/>
    <w:rsid w:val="008F60E5"/>
    <w:rsid w:val="008F7256"/>
    <w:rsid w:val="009013D6"/>
    <w:rsid w:val="00901C23"/>
    <w:rsid w:val="00901D8C"/>
    <w:rsid w:val="00901F28"/>
    <w:rsid w:val="0090362B"/>
    <w:rsid w:val="00903A5F"/>
    <w:rsid w:val="0090424C"/>
    <w:rsid w:val="00904AD1"/>
    <w:rsid w:val="00905061"/>
    <w:rsid w:val="0090509E"/>
    <w:rsid w:val="00905D0B"/>
    <w:rsid w:val="0090605E"/>
    <w:rsid w:val="009064C5"/>
    <w:rsid w:val="00906C74"/>
    <w:rsid w:val="009108CE"/>
    <w:rsid w:val="00913735"/>
    <w:rsid w:val="00914350"/>
    <w:rsid w:val="00915A9F"/>
    <w:rsid w:val="00920375"/>
    <w:rsid w:val="00920EA1"/>
    <w:rsid w:val="009213C1"/>
    <w:rsid w:val="009220B6"/>
    <w:rsid w:val="00924335"/>
    <w:rsid w:val="00930D58"/>
    <w:rsid w:val="00932083"/>
    <w:rsid w:val="009327CD"/>
    <w:rsid w:val="009329B5"/>
    <w:rsid w:val="00935712"/>
    <w:rsid w:val="00935AAA"/>
    <w:rsid w:val="0093776E"/>
    <w:rsid w:val="00937902"/>
    <w:rsid w:val="0094095A"/>
    <w:rsid w:val="0094267A"/>
    <w:rsid w:val="009427BA"/>
    <w:rsid w:val="00943C57"/>
    <w:rsid w:val="0095031E"/>
    <w:rsid w:val="00951A62"/>
    <w:rsid w:val="009525A1"/>
    <w:rsid w:val="00953792"/>
    <w:rsid w:val="00954297"/>
    <w:rsid w:val="0095478C"/>
    <w:rsid w:val="00955777"/>
    <w:rsid w:val="00956895"/>
    <w:rsid w:val="009578C0"/>
    <w:rsid w:val="009607CB"/>
    <w:rsid w:val="00960A56"/>
    <w:rsid w:val="00961F35"/>
    <w:rsid w:val="0096220B"/>
    <w:rsid w:val="00963859"/>
    <w:rsid w:val="00965677"/>
    <w:rsid w:val="00966EF1"/>
    <w:rsid w:val="00967223"/>
    <w:rsid w:val="00967498"/>
    <w:rsid w:val="009674CC"/>
    <w:rsid w:val="009712A0"/>
    <w:rsid w:val="009736F8"/>
    <w:rsid w:val="00973AC6"/>
    <w:rsid w:val="00973D80"/>
    <w:rsid w:val="009751F7"/>
    <w:rsid w:val="0097579E"/>
    <w:rsid w:val="00975A32"/>
    <w:rsid w:val="00976213"/>
    <w:rsid w:val="0097633A"/>
    <w:rsid w:val="0097673B"/>
    <w:rsid w:val="00977014"/>
    <w:rsid w:val="0098168B"/>
    <w:rsid w:val="0098350E"/>
    <w:rsid w:val="009848BF"/>
    <w:rsid w:val="009868D4"/>
    <w:rsid w:val="00987A02"/>
    <w:rsid w:val="009904EE"/>
    <w:rsid w:val="00990C12"/>
    <w:rsid w:val="00990F80"/>
    <w:rsid w:val="009922A6"/>
    <w:rsid w:val="00992583"/>
    <w:rsid w:val="0099404F"/>
    <w:rsid w:val="00994892"/>
    <w:rsid w:val="009959DC"/>
    <w:rsid w:val="00995B8A"/>
    <w:rsid w:val="0099639F"/>
    <w:rsid w:val="00996FA5"/>
    <w:rsid w:val="009A0FC2"/>
    <w:rsid w:val="009A1B09"/>
    <w:rsid w:val="009A37CF"/>
    <w:rsid w:val="009A49DC"/>
    <w:rsid w:val="009A5801"/>
    <w:rsid w:val="009A74E5"/>
    <w:rsid w:val="009B017E"/>
    <w:rsid w:val="009B08D0"/>
    <w:rsid w:val="009B1C79"/>
    <w:rsid w:val="009B2475"/>
    <w:rsid w:val="009B3926"/>
    <w:rsid w:val="009B5662"/>
    <w:rsid w:val="009B6EC1"/>
    <w:rsid w:val="009C2211"/>
    <w:rsid w:val="009C2CDB"/>
    <w:rsid w:val="009C3590"/>
    <w:rsid w:val="009C40E8"/>
    <w:rsid w:val="009C45C5"/>
    <w:rsid w:val="009C5D4C"/>
    <w:rsid w:val="009C6E9D"/>
    <w:rsid w:val="009D17E7"/>
    <w:rsid w:val="009D1C2F"/>
    <w:rsid w:val="009D47D1"/>
    <w:rsid w:val="009D4FF3"/>
    <w:rsid w:val="009E125E"/>
    <w:rsid w:val="009E1552"/>
    <w:rsid w:val="009E183B"/>
    <w:rsid w:val="009E2C0D"/>
    <w:rsid w:val="009E4F5E"/>
    <w:rsid w:val="009E6858"/>
    <w:rsid w:val="009E6F8C"/>
    <w:rsid w:val="009E743F"/>
    <w:rsid w:val="009E7483"/>
    <w:rsid w:val="009F1AB0"/>
    <w:rsid w:val="009F36FD"/>
    <w:rsid w:val="009F405F"/>
    <w:rsid w:val="009F478B"/>
    <w:rsid w:val="009F5391"/>
    <w:rsid w:val="009F689D"/>
    <w:rsid w:val="00A005A0"/>
    <w:rsid w:val="00A01C56"/>
    <w:rsid w:val="00A02713"/>
    <w:rsid w:val="00A04064"/>
    <w:rsid w:val="00A0496D"/>
    <w:rsid w:val="00A05AF7"/>
    <w:rsid w:val="00A06427"/>
    <w:rsid w:val="00A06B19"/>
    <w:rsid w:val="00A07157"/>
    <w:rsid w:val="00A1266C"/>
    <w:rsid w:val="00A12D4F"/>
    <w:rsid w:val="00A14394"/>
    <w:rsid w:val="00A15179"/>
    <w:rsid w:val="00A15AF9"/>
    <w:rsid w:val="00A203B6"/>
    <w:rsid w:val="00A203EE"/>
    <w:rsid w:val="00A22CD7"/>
    <w:rsid w:val="00A26F39"/>
    <w:rsid w:val="00A310F6"/>
    <w:rsid w:val="00A311B1"/>
    <w:rsid w:val="00A32C50"/>
    <w:rsid w:val="00A340ED"/>
    <w:rsid w:val="00A358E7"/>
    <w:rsid w:val="00A42453"/>
    <w:rsid w:val="00A43720"/>
    <w:rsid w:val="00A4380B"/>
    <w:rsid w:val="00A438AF"/>
    <w:rsid w:val="00A447B8"/>
    <w:rsid w:val="00A469F6"/>
    <w:rsid w:val="00A4705D"/>
    <w:rsid w:val="00A5089C"/>
    <w:rsid w:val="00A51A2D"/>
    <w:rsid w:val="00A52F54"/>
    <w:rsid w:val="00A5311D"/>
    <w:rsid w:val="00A53A39"/>
    <w:rsid w:val="00A54C8D"/>
    <w:rsid w:val="00A5554C"/>
    <w:rsid w:val="00A5596B"/>
    <w:rsid w:val="00A62113"/>
    <w:rsid w:val="00A62BAB"/>
    <w:rsid w:val="00A63C07"/>
    <w:rsid w:val="00A63D9B"/>
    <w:rsid w:val="00A6547F"/>
    <w:rsid w:val="00A66DE7"/>
    <w:rsid w:val="00A704DC"/>
    <w:rsid w:val="00A7064E"/>
    <w:rsid w:val="00A70988"/>
    <w:rsid w:val="00A711CF"/>
    <w:rsid w:val="00A7248A"/>
    <w:rsid w:val="00A74FFF"/>
    <w:rsid w:val="00A7738D"/>
    <w:rsid w:val="00A81172"/>
    <w:rsid w:val="00A83658"/>
    <w:rsid w:val="00A85644"/>
    <w:rsid w:val="00A900CF"/>
    <w:rsid w:val="00A90A8E"/>
    <w:rsid w:val="00A90BF8"/>
    <w:rsid w:val="00A90DD2"/>
    <w:rsid w:val="00A92521"/>
    <w:rsid w:val="00A93DC6"/>
    <w:rsid w:val="00A9411A"/>
    <w:rsid w:val="00A94819"/>
    <w:rsid w:val="00A965F4"/>
    <w:rsid w:val="00A9722D"/>
    <w:rsid w:val="00A97ACA"/>
    <w:rsid w:val="00AA079A"/>
    <w:rsid w:val="00AA3E17"/>
    <w:rsid w:val="00AA4A4B"/>
    <w:rsid w:val="00AA4CB0"/>
    <w:rsid w:val="00AA647F"/>
    <w:rsid w:val="00AA6682"/>
    <w:rsid w:val="00AB0613"/>
    <w:rsid w:val="00AB0F58"/>
    <w:rsid w:val="00AB13FF"/>
    <w:rsid w:val="00AB2065"/>
    <w:rsid w:val="00AB21DC"/>
    <w:rsid w:val="00AB3FFC"/>
    <w:rsid w:val="00AB45DF"/>
    <w:rsid w:val="00AB4EB5"/>
    <w:rsid w:val="00AB55DD"/>
    <w:rsid w:val="00AB74BA"/>
    <w:rsid w:val="00AB7C5C"/>
    <w:rsid w:val="00AB7CBF"/>
    <w:rsid w:val="00AB7D9B"/>
    <w:rsid w:val="00AB7F83"/>
    <w:rsid w:val="00AC340E"/>
    <w:rsid w:val="00AC64CA"/>
    <w:rsid w:val="00AC6AA4"/>
    <w:rsid w:val="00AD0111"/>
    <w:rsid w:val="00AD05AB"/>
    <w:rsid w:val="00AD07BD"/>
    <w:rsid w:val="00AD0B68"/>
    <w:rsid w:val="00AD40C3"/>
    <w:rsid w:val="00AD4C72"/>
    <w:rsid w:val="00AD5451"/>
    <w:rsid w:val="00AD5D79"/>
    <w:rsid w:val="00AE0654"/>
    <w:rsid w:val="00AE0BD2"/>
    <w:rsid w:val="00AE0FAE"/>
    <w:rsid w:val="00AE1947"/>
    <w:rsid w:val="00AE3F8C"/>
    <w:rsid w:val="00AE43E0"/>
    <w:rsid w:val="00AE5547"/>
    <w:rsid w:val="00AE5EAC"/>
    <w:rsid w:val="00AE6A91"/>
    <w:rsid w:val="00AE6FBB"/>
    <w:rsid w:val="00AF0754"/>
    <w:rsid w:val="00AF1C8B"/>
    <w:rsid w:val="00AF1F4D"/>
    <w:rsid w:val="00AF299B"/>
    <w:rsid w:val="00AF336E"/>
    <w:rsid w:val="00AF7CD6"/>
    <w:rsid w:val="00AF7E43"/>
    <w:rsid w:val="00B02AE0"/>
    <w:rsid w:val="00B03F25"/>
    <w:rsid w:val="00B05326"/>
    <w:rsid w:val="00B0565E"/>
    <w:rsid w:val="00B059EF"/>
    <w:rsid w:val="00B06F5D"/>
    <w:rsid w:val="00B077DB"/>
    <w:rsid w:val="00B12E2A"/>
    <w:rsid w:val="00B13749"/>
    <w:rsid w:val="00B14545"/>
    <w:rsid w:val="00B14E60"/>
    <w:rsid w:val="00B17BA2"/>
    <w:rsid w:val="00B200CF"/>
    <w:rsid w:val="00B2175A"/>
    <w:rsid w:val="00B21F0A"/>
    <w:rsid w:val="00B22455"/>
    <w:rsid w:val="00B23B05"/>
    <w:rsid w:val="00B260AE"/>
    <w:rsid w:val="00B26749"/>
    <w:rsid w:val="00B26801"/>
    <w:rsid w:val="00B26DC3"/>
    <w:rsid w:val="00B2709B"/>
    <w:rsid w:val="00B2773E"/>
    <w:rsid w:val="00B30AB0"/>
    <w:rsid w:val="00B30B9D"/>
    <w:rsid w:val="00B318B1"/>
    <w:rsid w:val="00B33AA0"/>
    <w:rsid w:val="00B35508"/>
    <w:rsid w:val="00B36300"/>
    <w:rsid w:val="00B376E1"/>
    <w:rsid w:val="00B37D94"/>
    <w:rsid w:val="00B40331"/>
    <w:rsid w:val="00B421C4"/>
    <w:rsid w:val="00B43C94"/>
    <w:rsid w:val="00B44327"/>
    <w:rsid w:val="00B446F3"/>
    <w:rsid w:val="00B449EA"/>
    <w:rsid w:val="00B4574D"/>
    <w:rsid w:val="00B468E1"/>
    <w:rsid w:val="00B46BC0"/>
    <w:rsid w:val="00B46DFB"/>
    <w:rsid w:val="00B47B47"/>
    <w:rsid w:val="00B5141B"/>
    <w:rsid w:val="00B532D4"/>
    <w:rsid w:val="00B53910"/>
    <w:rsid w:val="00B54BA4"/>
    <w:rsid w:val="00B55681"/>
    <w:rsid w:val="00B55E39"/>
    <w:rsid w:val="00B57AAD"/>
    <w:rsid w:val="00B6022E"/>
    <w:rsid w:val="00B615A5"/>
    <w:rsid w:val="00B6374E"/>
    <w:rsid w:val="00B6539D"/>
    <w:rsid w:val="00B6646D"/>
    <w:rsid w:val="00B664B0"/>
    <w:rsid w:val="00B72193"/>
    <w:rsid w:val="00B72B16"/>
    <w:rsid w:val="00B72BD4"/>
    <w:rsid w:val="00B751F8"/>
    <w:rsid w:val="00B75B97"/>
    <w:rsid w:val="00B76B59"/>
    <w:rsid w:val="00B76B80"/>
    <w:rsid w:val="00B80408"/>
    <w:rsid w:val="00B81397"/>
    <w:rsid w:val="00B85908"/>
    <w:rsid w:val="00B87B93"/>
    <w:rsid w:val="00B925DB"/>
    <w:rsid w:val="00B938BF"/>
    <w:rsid w:val="00B95DA0"/>
    <w:rsid w:val="00B967FF"/>
    <w:rsid w:val="00B974B9"/>
    <w:rsid w:val="00B97BFF"/>
    <w:rsid w:val="00BA1C83"/>
    <w:rsid w:val="00BA3F6D"/>
    <w:rsid w:val="00BA4BE6"/>
    <w:rsid w:val="00BA4FC0"/>
    <w:rsid w:val="00BA61E0"/>
    <w:rsid w:val="00BA657C"/>
    <w:rsid w:val="00BA78B4"/>
    <w:rsid w:val="00BA7F7D"/>
    <w:rsid w:val="00BB1C14"/>
    <w:rsid w:val="00BB21E5"/>
    <w:rsid w:val="00BB6847"/>
    <w:rsid w:val="00BB6DC1"/>
    <w:rsid w:val="00BB7C9D"/>
    <w:rsid w:val="00BB7F8F"/>
    <w:rsid w:val="00BC21EE"/>
    <w:rsid w:val="00BC2E5A"/>
    <w:rsid w:val="00BC2FF3"/>
    <w:rsid w:val="00BC4CC3"/>
    <w:rsid w:val="00BC58FC"/>
    <w:rsid w:val="00BC5F21"/>
    <w:rsid w:val="00BC716A"/>
    <w:rsid w:val="00BC7895"/>
    <w:rsid w:val="00BD07DF"/>
    <w:rsid w:val="00BD0E95"/>
    <w:rsid w:val="00BD26F4"/>
    <w:rsid w:val="00BD5DBD"/>
    <w:rsid w:val="00BD5DF6"/>
    <w:rsid w:val="00BD720A"/>
    <w:rsid w:val="00BE0041"/>
    <w:rsid w:val="00BE275A"/>
    <w:rsid w:val="00BE3A3C"/>
    <w:rsid w:val="00BE48D5"/>
    <w:rsid w:val="00BE4BA9"/>
    <w:rsid w:val="00BE4F37"/>
    <w:rsid w:val="00BE640F"/>
    <w:rsid w:val="00BE6D2A"/>
    <w:rsid w:val="00BE70FC"/>
    <w:rsid w:val="00BE7458"/>
    <w:rsid w:val="00BF388B"/>
    <w:rsid w:val="00BF4638"/>
    <w:rsid w:val="00BF46BF"/>
    <w:rsid w:val="00BF4976"/>
    <w:rsid w:val="00BF5130"/>
    <w:rsid w:val="00BF75ED"/>
    <w:rsid w:val="00BF7DEC"/>
    <w:rsid w:val="00C00844"/>
    <w:rsid w:val="00C0160E"/>
    <w:rsid w:val="00C044C1"/>
    <w:rsid w:val="00C059D0"/>
    <w:rsid w:val="00C05F54"/>
    <w:rsid w:val="00C06481"/>
    <w:rsid w:val="00C07551"/>
    <w:rsid w:val="00C105BA"/>
    <w:rsid w:val="00C10FEE"/>
    <w:rsid w:val="00C1109F"/>
    <w:rsid w:val="00C12814"/>
    <w:rsid w:val="00C12D65"/>
    <w:rsid w:val="00C132DC"/>
    <w:rsid w:val="00C133AB"/>
    <w:rsid w:val="00C13BD6"/>
    <w:rsid w:val="00C20B56"/>
    <w:rsid w:val="00C22214"/>
    <w:rsid w:val="00C225A6"/>
    <w:rsid w:val="00C225F7"/>
    <w:rsid w:val="00C240F8"/>
    <w:rsid w:val="00C26F72"/>
    <w:rsid w:val="00C309A7"/>
    <w:rsid w:val="00C30AE1"/>
    <w:rsid w:val="00C32908"/>
    <w:rsid w:val="00C32CF5"/>
    <w:rsid w:val="00C33599"/>
    <w:rsid w:val="00C335AB"/>
    <w:rsid w:val="00C33F79"/>
    <w:rsid w:val="00C3536C"/>
    <w:rsid w:val="00C36F8C"/>
    <w:rsid w:val="00C407AB"/>
    <w:rsid w:val="00C41C27"/>
    <w:rsid w:val="00C42D3B"/>
    <w:rsid w:val="00C45925"/>
    <w:rsid w:val="00C5198F"/>
    <w:rsid w:val="00C524A0"/>
    <w:rsid w:val="00C5263B"/>
    <w:rsid w:val="00C52B7B"/>
    <w:rsid w:val="00C53B28"/>
    <w:rsid w:val="00C547CD"/>
    <w:rsid w:val="00C559BA"/>
    <w:rsid w:val="00C5638A"/>
    <w:rsid w:val="00C570FF"/>
    <w:rsid w:val="00C577C4"/>
    <w:rsid w:val="00C57CEA"/>
    <w:rsid w:val="00C604CA"/>
    <w:rsid w:val="00C60FEC"/>
    <w:rsid w:val="00C61A3D"/>
    <w:rsid w:val="00C621CF"/>
    <w:rsid w:val="00C62265"/>
    <w:rsid w:val="00C62636"/>
    <w:rsid w:val="00C62B1C"/>
    <w:rsid w:val="00C64B59"/>
    <w:rsid w:val="00C65365"/>
    <w:rsid w:val="00C6574E"/>
    <w:rsid w:val="00C663D1"/>
    <w:rsid w:val="00C66C51"/>
    <w:rsid w:val="00C674BF"/>
    <w:rsid w:val="00C7016A"/>
    <w:rsid w:val="00C707FD"/>
    <w:rsid w:val="00C70EB7"/>
    <w:rsid w:val="00C73FAF"/>
    <w:rsid w:val="00C74793"/>
    <w:rsid w:val="00C75653"/>
    <w:rsid w:val="00C75739"/>
    <w:rsid w:val="00C76430"/>
    <w:rsid w:val="00C769E5"/>
    <w:rsid w:val="00C76C50"/>
    <w:rsid w:val="00C76DEB"/>
    <w:rsid w:val="00C771E3"/>
    <w:rsid w:val="00C811D8"/>
    <w:rsid w:val="00C816C6"/>
    <w:rsid w:val="00C817EE"/>
    <w:rsid w:val="00C825A6"/>
    <w:rsid w:val="00C8548D"/>
    <w:rsid w:val="00C85656"/>
    <w:rsid w:val="00C863A7"/>
    <w:rsid w:val="00C90D92"/>
    <w:rsid w:val="00C912F4"/>
    <w:rsid w:val="00C9156F"/>
    <w:rsid w:val="00C92D49"/>
    <w:rsid w:val="00C93101"/>
    <w:rsid w:val="00C943ED"/>
    <w:rsid w:val="00C9581A"/>
    <w:rsid w:val="00C95E4B"/>
    <w:rsid w:val="00C97982"/>
    <w:rsid w:val="00C97D29"/>
    <w:rsid w:val="00CA1EEF"/>
    <w:rsid w:val="00CA3151"/>
    <w:rsid w:val="00CA331B"/>
    <w:rsid w:val="00CA5591"/>
    <w:rsid w:val="00CB0550"/>
    <w:rsid w:val="00CB06CF"/>
    <w:rsid w:val="00CB0AE7"/>
    <w:rsid w:val="00CB6813"/>
    <w:rsid w:val="00CB68EC"/>
    <w:rsid w:val="00CB7637"/>
    <w:rsid w:val="00CC2FE3"/>
    <w:rsid w:val="00CC7082"/>
    <w:rsid w:val="00CD11AB"/>
    <w:rsid w:val="00CD1788"/>
    <w:rsid w:val="00CD4E8D"/>
    <w:rsid w:val="00CD7251"/>
    <w:rsid w:val="00CE2F38"/>
    <w:rsid w:val="00CE3FB9"/>
    <w:rsid w:val="00CF2588"/>
    <w:rsid w:val="00CF3AB4"/>
    <w:rsid w:val="00CF4CA7"/>
    <w:rsid w:val="00CF6586"/>
    <w:rsid w:val="00CF6A55"/>
    <w:rsid w:val="00CF6DC6"/>
    <w:rsid w:val="00CF6DCF"/>
    <w:rsid w:val="00D01DDB"/>
    <w:rsid w:val="00D02C08"/>
    <w:rsid w:val="00D03AF1"/>
    <w:rsid w:val="00D03FCC"/>
    <w:rsid w:val="00D04C22"/>
    <w:rsid w:val="00D06942"/>
    <w:rsid w:val="00D078BE"/>
    <w:rsid w:val="00D130FE"/>
    <w:rsid w:val="00D13530"/>
    <w:rsid w:val="00D137CD"/>
    <w:rsid w:val="00D13F8A"/>
    <w:rsid w:val="00D14371"/>
    <w:rsid w:val="00D15EF3"/>
    <w:rsid w:val="00D168A6"/>
    <w:rsid w:val="00D16994"/>
    <w:rsid w:val="00D16F60"/>
    <w:rsid w:val="00D171CF"/>
    <w:rsid w:val="00D17241"/>
    <w:rsid w:val="00D17E9F"/>
    <w:rsid w:val="00D20402"/>
    <w:rsid w:val="00D22981"/>
    <w:rsid w:val="00D23709"/>
    <w:rsid w:val="00D23C75"/>
    <w:rsid w:val="00D23F93"/>
    <w:rsid w:val="00D274CC"/>
    <w:rsid w:val="00D3255E"/>
    <w:rsid w:val="00D3349B"/>
    <w:rsid w:val="00D3398F"/>
    <w:rsid w:val="00D33A49"/>
    <w:rsid w:val="00D37253"/>
    <w:rsid w:val="00D424A8"/>
    <w:rsid w:val="00D44B44"/>
    <w:rsid w:val="00D46714"/>
    <w:rsid w:val="00D548C3"/>
    <w:rsid w:val="00D566CB"/>
    <w:rsid w:val="00D6036F"/>
    <w:rsid w:val="00D6156E"/>
    <w:rsid w:val="00D61983"/>
    <w:rsid w:val="00D625B6"/>
    <w:rsid w:val="00D62877"/>
    <w:rsid w:val="00D63760"/>
    <w:rsid w:val="00D6627D"/>
    <w:rsid w:val="00D6703F"/>
    <w:rsid w:val="00D67CF3"/>
    <w:rsid w:val="00D7058C"/>
    <w:rsid w:val="00D71A94"/>
    <w:rsid w:val="00D71D0A"/>
    <w:rsid w:val="00D734EB"/>
    <w:rsid w:val="00D76AA7"/>
    <w:rsid w:val="00D805D0"/>
    <w:rsid w:val="00D82713"/>
    <w:rsid w:val="00D828AC"/>
    <w:rsid w:val="00D8292E"/>
    <w:rsid w:val="00D82D54"/>
    <w:rsid w:val="00D8617E"/>
    <w:rsid w:val="00D86F00"/>
    <w:rsid w:val="00D87324"/>
    <w:rsid w:val="00D9004A"/>
    <w:rsid w:val="00D918D5"/>
    <w:rsid w:val="00D94C8E"/>
    <w:rsid w:val="00D9610A"/>
    <w:rsid w:val="00D9662A"/>
    <w:rsid w:val="00D96D1F"/>
    <w:rsid w:val="00D97245"/>
    <w:rsid w:val="00D97892"/>
    <w:rsid w:val="00DA59E8"/>
    <w:rsid w:val="00DB1372"/>
    <w:rsid w:val="00DB192C"/>
    <w:rsid w:val="00DB1CF3"/>
    <w:rsid w:val="00DB3937"/>
    <w:rsid w:val="00DB5425"/>
    <w:rsid w:val="00DB697F"/>
    <w:rsid w:val="00DB72A6"/>
    <w:rsid w:val="00DB72D1"/>
    <w:rsid w:val="00DB796E"/>
    <w:rsid w:val="00DC33AF"/>
    <w:rsid w:val="00DC36EE"/>
    <w:rsid w:val="00DC3D58"/>
    <w:rsid w:val="00DC6611"/>
    <w:rsid w:val="00DC77AB"/>
    <w:rsid w:val="00DC7F23"/>
    <w:rsid w:val="00DD19EB"/>
    <w:rsid w:val="00DD4927"/>
    <w:rsid w:val="00DD5AFB"/>
    <w:rsid w:val="00DE1344"/>
    <w:rsid w:val="00DE1E60"/>
    <w:rsid w:val="00DE37CA"/>
    <w:rsid w:val="00DE4683"/>
    <w:rsid w:val="00DE7BA1"/>
    <w:rsid w:val="00DF065D"/>
    <w:rsid w:val="00DF17DC"/>
    <w:rsid w:val="00DF1CFD"/>
    <w:rsid w:val="00DF2C35"/>
    <w:rsid w:val="00DF37D0"/>
    <w:rsid w:val="00DF51EA"/>
    <w:rsid w:val="00DF57F9"/>
    <w:rsid w:val="00DF5BFE"/>
    <w:rsid w:val="00E02854"/>
    <w:rsid w:val="00E03C76"/>
    <w:rsid w:val="00E0523F"/>
    <w:rsid w:val="00E05CB6"/>
    <w:rsid w:val="00E11416"/>
    <w:rsid w:val="00E12A79"/>
    <w:rsid w:val="00E1582D"/>
    <w:rsid w:val="00E16ADC"/>
    <w:rsid w:val="00E17247"/>
    <w:rsid w:val="00E20254"/>
    <w:rsid w:val="00E20D7A"/>
    <w:rsid w:val="00E210A9"/>
    <w:rsid w:val="00E23E50"/>
    <w:rsid w:val="00E24452"/>
    <w:rsid w:val="00E2462A"/>
    <w:rsid w:val="00E2564D"/>
    <w:rsid w:val="00E26213"/>
    <w:rsid w:val="00E274DF"/>
    <w:rsid w:val="00E34D66"/>
    <w:rsid w:val="00E359A8"/>
    <w:rsid w:val="00E362C4"/>
    <w:rsid w:val="00E36BC7"/>
    <w:rsid w:val="00E40051"/>
    <w:rsid w:val="00E44250"/>
    <w:rsid w:val="00E468E7"/>
    <w:rsid w:val="00E46CC2"/>
    <w:rsid w:val="00E472CC"/>
    <w:rsid w:val="00E47E0C"/>
    <w:rsid w:val="00E51813"/>
    <w:rsid w:val="00E52839"/>
    <w:rsid w:val="00E52C0B"/>
    <w:rsid w:val="00E53BD1"/>
    <w:rsid w:val="00E53D3F"/>
    <w:rsid w:val="00E54661"/>
    <w:rsid w:val="00E5579B"/>
    <w:rsid w:val="00E55CEE"/>
    <w:rsid w:val="00E57FF4"/>
    <w:rsid w:val="00E65889"/>
    <w:rsid w:val="00E6733E"/>
    <w:rsid w:val="00E679D1"/>
    <w:rsid w:val="00E67C1C"/>
    <w:rsid w:val="00E7069F"/>
    <w:rsid w:val="00E72BD0"/>
    <w:rsid w:val="00E744E9"/>
    <w:rsid w:val="00E7552A"/>
    <w:rsid w:val="00E76474"/>
    <w:rsid w:val="00E80CC8"/>
    <w:rsid w:val="00E837BE"/>
    <w:rsid w:val="00E8509F"/>
    <w:rsid w:val="00E868D9"/>
    <w:rsid w:val="00E879F3"/>
    <w:rsid w:val="00E90518"/>
    <w:rsid w:val="00E91A39"/>
    <w:rsid w:val="00E91D6A"/>
    <w:rsid w:val="00E91F11"/>
    <w:rsid w:val="00E939C7"/>
    <w:rsid w:val="00E93EDE"/>
    <w:rsid w:val="00E94C29"/>
    <w:rsid w:val="00E95B8F"/>
    <w:rsid w:val="00E95F09"/>
    <w:rsid w:val="00E9706D"/>
    <w:rsid w:val="00EA0C7B"/>
    <w:rsid w:val="00EA3AF4"/>
    <w:rsid w:val="00EA4AE7"/>
    <w:rsid w:val="00EA6BFB"/>
    <w:rsid w:val="00EA7A80"/>
    <w:rsid w:val="00EB420D"/>
    <w:rsid w:val="00EB42B3"/>
    <w:rsid w:val="00EB655D"/>
    <w:rsid w:val="00EC0EFF"/>
    <w:rsid w:val="00EC0F4D"/>
    <w:rsid w:val="00EC5B07"/>
    <w:rsid w:val="00EC5D96"/>
    <w:rsid w:val="00ED0B6C"/>
    <w:rsid w:val="00ED23DA"/>
    <w:rsid w:val="00EE133B"/>
    <w:rsid w:val="00EE1912"/>
    <w:rsid w:val="00EE1F9B"/>
    <w:rsid w:val="00EE4B01"/>
    <w:rsid w:val="00EE504F"/>
    <w:rsid w:val="00EE7052"/>
    <w:rsid w:val="00EF0840"/>
    <w:rsid w:val="00EF1742"/>
    <w:rsid w:val="00EF29B0"/>
    <w:rsid w:val="00EF2DF0"/>
    <w:rsid w:val="00EF34CE"/>
    <w:rsid w:val="00EF3B66"/>
    <w:rsid w:val="00EF3F0B"/>
    <w:rsid w:val="00EF4836"/>
    <w:rsid w:val="00EF4BEF"/>
    <w:rsid w:val="00EF4EC8"/>
    <w:rsid w:val="00EF5583"/>
    <w:rsid w:val="00EF7566"/>
    <w:rsid w:val="00F026B7"/>
    <w:rsid w:val="00F027C8"/>
    <w:rsid w:val="00F0289D"/>
    <w:rsid w:val="00F02AEC"/>
    <w:rsid w:val="00F03F52"/>
    <w:rsid w:val="00F04903"/>
    <w:rsid w:val="00F05C05"/>
    <w:rsid w:val="00F066CA"/>
    <w:rsid w:val="00F07572"/>
    <w:rsid w:val="00F10A5D"/>
    <w:rsid w:val="00F11336"/>
    <w:rsid w:val="00F13585"/>
    <w:rsid w:val="00F157FC"/>
    <w:rsid w:val="00F22648"/>
    <w:rsid w:val="00F2776F"/>
    <w:rsid w:val="00F30AF3"/>
    <w:rsid w:val="00F31467"/>
    <w:rsid w:val="00F32756"/>
    <w:rsid w:val="00F33F3A"/>
    <w:rsid w:val="00F36ACC"/>
    <w:rsid w:val="00F36CBF"/>
    <w:rsid w:val="00F37620"/>
    <w:rsid w:val="00F379E7"/>
    <w:rsid w:val="00F422C7"/>
    <w:rsid w:val="00F428EE"/>
    <w:rsid w:val="00F43CD1"/>
    <w:rsid w:val="00F44BB9"/>
    <w:rsid w:val="00F45AE0"/>
    <w:rsid w:val="00F460C8"/>
    <w:rsid w:val="00F46538"/>
    <w:rsid w:val="00F47214"/>
    <w:rsid w:val="00F51F29"/>
    <w:rsid w:val="00F54385"/>
    <w:rsid w:val="00F60CF2"/>
    <w:rsid w:val="00F657B4"/>
    <w:rsid w:val="00F662A6"/>
    <w:rsid w:val="00F66D5A"/>
    <w:rsid w:val="00F67E36"/>
    <w:rsid w:val="00F70B8B"/>
    <w:rsid w:val="00F72725"/>
    <w:rsid w:val="00F74A5C"/>
    <w:rsid w:val="00F74DA9"/>
    <w:rsid w:val="00F756BB"/>
    <w:rsid w:val="00F7649F"/>
    <w:rsid w:val="00F8083B"/>
    <w:rsid w:val="00F82D1B"/>
    <w:rsid w:val="00F8467B"/>
    <w:rsid w:val="00F8568E"/>
    <w:rsid w:val="00F865A7"/>
    <w:rsid w:val="00F90B9F"/>
    <w:rsid w:val="00F91599"/>
    <w:rsid w:val="00F9166E"/>
    <w:rsid w:val="00F91C74"/>
    <w:rsid w:val="00F93486"/>
    <w:rsid w:val="00F936C3"/>
    <w:rsid w:val="00F95029"/>
    <w:rsid w:val="00F96A85"/>
    <w:rsid w:val="00F9763E"/>
    <w:rsid w:val="00FA0754"/>
    <w:rsid w:val="00FA1BC9"/>
    <w:rsid w:val="00FA37B0"/>
    <w:rsid w:val="00FA49C3"/>
    <w:rsid w:val="00FA58EE"/>
    <w:rsid w:val="00FA60FC"/>
    <w:rsid w:val="00FA67CF"/>
    <w:rsid w:val="00FB1311"/>
    <w:rsid w:val="00FB1CCE"/>
    <w:rsid w:val="00FB236E"/>
    <w:rsid w:val="00FB3983"/>
    <w:rsid w:val="00FB3F7B"/>
    <w:rsid w:val="00FB4C2A"/>
    <w:rsid w:val="00FB5973"/>
    <w:rsid w:val="00FB5CF4"/>
    <w:rsid w:val="00FB7F1D"/>
    <w:rsid w:val="00FC2107"/>
    <w:rsid w:val="00FC2941"/>
    <w:rsid w:val="00FC305B"/>
    <w:rsid w:val="00FC3BB3"/>
    <w:rsid w:val="00FC4058"/>
    <w:rsid w:val="00FC4090"/>
    <w:rsid w:val="00FC48FE"/>
    <w:rsid w:val="00FC53CF"/>
    <w:rsid w:val="00FC6BC3"/>
    <w:rsid w:val="00FC6F56"/>
    <w:rsid w:val="00FC7037"/>
    <w:rsid w:val="00FD0741"/>
    <w:rsid w:val="00FD1EF6"/>
    <w:rsid w:val="00FD270C"/>
    <w:rsid w:val="00FD55D0"/>
    <w:rsid w:val="00FD7A30"/>
    <w:rsid w:val="00FE087C"/>
    <w:rsid w:val="00FE0FF5"/>
    <w:rsid w:val="00FE527D"/>
    <w:rsid w:val="00FE5C68"/>
    <w:rsid w:val="00FE66B0"/>
    <w:rsid w:val="00FE79A0"/>
    <w:rsid w:val="00FE7BC4"/>
    <w:rsid w:val="00FF0195"/>
    <w:rsid w:val="00FF0939"/>
    <w:rsid w:val="00FF3715"/>
    <w:rsid w:val="00FF478E"/>
    <w:rsid w:val="00FF4E33"/>
    <w:rsid w:val="00FF5F0B"/>
    <w:rsid w:val="00FF61D6"/>
    <w:rsid w:val="00FF688C"/>
    <w:rsid w:val="00FF7719"/>
    <w:rsid w:val="019515A8"/>
    <w:rsid w:val="026E1A18"/>
    <w:rsid w:val="04C9A3E0"/>
    <w:rsid w:val="05DF25A3"/>
    <w:rsid w:val="06ECBCB7"/>
    <w:rsid w:val="0C6ABCE5"/>
    <w:rsid w:val="0CD543E8"/>
    <w:rsid w:val="0DC64682"/>
    <w:rsid w:val="1809119B"/>
    <w:rsid w:val="23565129"/>
    <w:rsid w:val="23D66FA1"/>
    <w:rsid w:val="248E0686"/>
    <w:rsid w:val="2653D479"/>
    <w:rsid w:val="287DAC53"/>
    <w:rsid w:val="31B8F791"/>
    <w:rsid w:val="32B25899"/>
    <w:rsid w:val="32C44048"/>
    <w:rsid w:val="346C2001"/>
    <w:rsid w:val="34C63453"/>
    <w:rsid w:val="3551B7A8"/>
    <w:rsid w:val="37FCBDDD"/>
    <w:rsid w:val="38136844"/>
    <w:rsid w:val="3A7F4D7E"/>
    <w:rsid w:val="3F35B1D6"/>
    <w:rsid w:val="43365BD6"/>
    <w:rsid w:val="43C8BA77"/>
    <w:rsid w:val="441B44BF"/>
    <w:rsid w:val="45F005F3"/>
    <w:rsid w:val="46CFB61F"/>
    <w:rsid w:val="480DAEF5"/>
    <w:rsid w:val="4DA7B198"/>
    <w:rsid w:val="4E7FEEF9"/>
    <w:rsid w:val="4FC895E8"/>
    <w:rsid w:val="514BFC58"/>
    <w:rsid w:val="5211B642"/>
    <w:rsid w:val="52F86A24"/>
    <w:rsid w:val="55B1FCB6"/>
    <w:rsid w:val="5B9E88F0"/>
    <w:rsid w:val="5E7C44B7"/>
    <w:rsid w:val="65332CE3"/>
    <w:rsid w:val="685FDE64"/>
    <w:rsid w:val="68E7E6B3"/>
    <w:rsid w:val="6C430074"/>
    <w:rsid w:val="70918E9A"/>
    <w:rsid w:val="7094EC9D"/>
    <w:rsid w:val="75906B34"/>
    <w:rsid w:val="7B0DE7C0"/>
    <w:rsid w:val="7B2C5D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699F2FF7-A448-4E31-BBE1-612F18F2A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15E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85161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Bold SemiConden" w:hAnsi="Bahnschrift SemiBold SemiConden"/>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366E38"/>
    <w:rPr>
      <w:b/>
      <w:bCs/>
      <w:sz w:val="22"/>
    </w:rPr>
  </w:style>
  <w:style w:type="character" w:customStyle="1" w:styleId="CommentSubjectChar">
    <w:name w:val="Comment Subject Char"/>
    <w:basedOn w:val="CommentTextChar"/>
    <w:link w:val="CommentSubject"/>
    <w:uiPriority w:val="99"/>
    <w:semiHidden/>
    <w:rsid w:val="00E47E0C"/>
    <w:rPr>
      <w:rFonts w:ascii="Cambria" w:hAnsi="Cambria"/>
      <w:b/>
      <w:bCs/>
      <w:sz w:val="22"/>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15EF3"/>
    <w:rPr>
      <w:rFonts w:asciiTheme="majorHAnsi" w:eastAsiaTheme="majorEastAsia" w:hAnsiTheme="majorHAnsi" w:cstheme="majorBidi"/>
      <w:color w:val="2F5496" w:themeColor="accent1" w:themeShade="BF"/>
      <w:sz w:val="32"/>
      <w:szCs w:val="32"/>
    </w:rPr>
  </w:style>
  <w:style w:type="paragraph" w:customStyle="1" w:styleId="Tabletext0">
    <w:name w:val="Table text"/>
    <w:basedOn w:val="Normal"/>
    <w:link w:val="TabletextChar"/>
    <w:qFormat/>
    <w:rsid w:val="00677919"/>
    <w:pPr>
      <w:spacing w:before="120" w:line="240" w:lineRule="atLeast"/>
    </w:pPr>
    <w:rPr>
      <w:rFonts w:eastAsia="Cambria" w:cs="Times New Roman"/>
      <w:sz w:val="19"/>
      <w:szCs w:val="22"/>
    </w:rPr>
  </w:style>
  <w:style w:type="character" w:customStyle="1" w:styleId="TabletextChar">
    <w:name w:val="Table text Char"/>
    <w:basedOn w:val="DefaultParagraphFont"/>
    <w:link w:val="Tabletext0"/>
    <w:rsid w:val="00677919"/>
    <w:rPr>
      <w:rFonts w:ascii="Cambria" w:eastAsia="Cambria" w:hAnsi="Cambria" w:cs="Times New Roman"/>
      <w:sz w:val="19"/>
      <w:szCs w:val="22"/>
    </w:rPr>
  </w:style>
  <w:style w:type="paragraph" w:styleId="PlainText">
    <w:name w:val="Plain Text"/>
    <w:basedOn w:val="Normal"/>
    <w:link w:val="PlainTextChar"/>
    <w:uiPriority w:val="99"/>
    <w:unhideWhenUsed/>
    <w:rsid w:val="007C176A"/>
    <w:pPr>
      <w:spacing w:after="0" w:line="240" w:lineRule="auto"/>
    </w:pPr>
    <w:rPr>
      <w:rFonts w:ascii="Consolas" w:hAnsi="Consolas" w:cs="Times New Roman"/>
      <w:kern w:val="2"/>
      <w:sz w:val="21"/>
      <w:szCs w:val="21"/>
      <w14:ligatures w14:val="standardContextual"/>
    </w:rPr>
  </w:style>
  <w:style w:type="character" w:customStyle="1" w:styleId="PlainTextChar">
    <w:name w:val="Plain Text Char"/>
    <w:basedOn w:val="DefaultParagraphFont"/>
    <w:link w:val="PlainText"/>
    <w:uiPriority w:val="99"/>
    <w:rsid w:val="007C176A"/>
    <w:rPr>
      <w:rFonts w:ascii="Consolas" w:hAnsi="Consolas" w:cs="Times New Roman"/>
      <w:kern w:val="2"/>
      <w:sz w:val="21"/>
      <w:szCs w:val="21"/>
      <w14:ligatures w14:val="standardContextual"/>
    </w:rPr>
  </w:style>
  <w:style w:type="character" w:styleId="Mention">
    <w:name w:val="Mention"/>
    <w:basedOn w:val="DefaultParagraphFont"/>
    <w:uiPriority w:val="99"/>
    <w:unhideWhenUsed/>
    <w:rsid w:val="00716A66"/>
    <w:rPr>
      <w:color w:val="2B579A"/>
      <w:shd w:val="clear" w:color="auto" w:fill="E1DFDD"/>
    </w:rPr>
  </w:style>
  <w:style w:type="character" w:customStyle="1" w:styleId="Heading7Char">
    <w:name w:val="Heading 7 Char"/>
    <w:basedOn w:val="DefaultParagraphFont"/>
    <w:link w:val="Heading7"/>
    <w:uiPriority w:val="9"/>
    <w:rsid w:val="00851612"/>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7.emf"/><Relationship Id="rId39" Type="http://schemas.openxmlformats.org/officeDocument/2006/relationships/hyperlink" Target="https://www.ebs.tga.gov.au/" TargetMode="External"/><Relationship Id="rId21" Type="http://schemas.openxmlformats.org/officeDocument/2006/relationships/image" Target="media/image4.emf"/><Relationship Id="rId34" Type="http://schemas.openxmlformats.org/officeDocument/2006/relationships/image" Target="media/image14.png"/><Relationship Id="rId42" Type="http://schemas.openxmlformats.org/officeDocument/2006/relationships/hyperlink" Target="mailto:info@tga.gov.au"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www.tga.gov.au/resources/resource/guidance/risk-management-plans-medicines-and-biologicals/australia-specific-annex-eu-rmp" TargetMode="External"/><Relationship Id="rId40" Type="http://schemas.openxmlformats.org/officeDocument/2006/relationships/header" Target="header3.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resources/resource/guidance/orphan-drug-designation" TargetMode="External"/><Relationship Id="rId28" Type="http://schemas.openxmlformats.org/officeDocument/2006/relationships/image" Target="media/image9.png"/><Relationship Id="rId36" Type="http://schemas.openxmlformats.org/officeDocument/2006/relationships/hyperlink" Target="https://www.tga.gov.au/tgas-risk-management-approach" TargetMode="Externa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1.emf"/><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comparable-overseas-regulators-cors-timeframes-and-milestones" TargetMode="External"/><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hyperlink" Target="https://www.tga.gov.au/publication/risk-management-plans-medicines-and-biologicals" TargetMode="External"/><Relationship Id="rId43" Type="http://schemas.openxmlformats.org/officeDocument/2006/relationships/hyperlink" Target="https://www.tga.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s://www.tga.gov.au/resources/resource/guidance/risk-management-plans-medicines-and-biologicals/australia-specific-annex-eu-rmp" TargetMode="External"/><Relationship Id="rId46" Type="http://schemas.openxmlformats.org/officeDocument/2006/relationships/fontTable" Target="fontTable.xml"/><Relationship Id="rId20" Type="http://schemas.openxmlformats.org/officeDocument/2006/relationships/hyperlink" Target="https://www.tga.gov.au/obstetric-drug-information-services" TargetMode="External"/><Relationship Id="rId41"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resources/artg/432293" TargetMode="External"/><Relationship Id="rId13" Type="http://schemas.openxmlformats.org/officeDocument/2006/relationships/hyperlink" Target="https://www.tga.gov.au/resources/artg/311822" TargetMode="External"/><Relationship Id="rId18" Type="http://schemas.openxmlformats.org/officeDocument/2006/relationships/hyperlink" Target="https://doi.org/10.1038/jid.2009.248" TargetMode="External"/><Relationship Id="rId3" Type="http://schemas.openxmlformats.org/officeDocument/2006/relationships/hyperlink" Target="https://doi.org/10.1111/bjd.18921" TargetMode="External"/><Relationship Id="rId21" Type="http://schemas.openxmlformats.org/officeDocument/2006/relationships/hyperlink" Target="https://doi.org/10.1093/bjd/ljac001" TargetMode="External"/><Relationship Id="rId7" Type="http://schemas.openxmlformats.org/officeDocument/2006/relationships/hyperlink" Target="https://publication.independenceaustralia.com.au/ia26_nebds_dressingschemeweblist-may2026/page/1" TargetMode="External"/><Relationship Id="rId12" Type="http://schemas.openxmlformats.org/officeDocument/2006/relationships/hyperlink" Target="https://www.tga.gov.au/resources/artg/226604" TargetMode="External"/><Relationship Id="rId17" Type="http://schemas.openxmlformats.org/officeDocument/2006/relationships/hyperlink" Target="https://www.ema.europa.eu/en/documents/assessment-report/filsuvez-epar-public-assessment-report_en.pdf" TargetMode="External"/><Relationship Id="rId2" Type="http://schemas.openxmlformats.org/officeDocument/2006/relationships/hyperlink" Target="http://www.ojrd.com/content/9/1/76" TargetMode="External"/><Relationship Id="rId16" Type="http://schemas.openxmlformats.org/officeDocument/2006/relationships/hyperlink" Target="https://doi.org/10.1371/journal.pone.0086147" TargetMode="External"/><Relationship Id="rId20" Type="http://schemas.openxmlformats.org/officeDocument/2006/relationships/hyperlink" Target="https://doi.org/10.1021/acs.jnatprod.6b00027" TargetMode="External"/><Relationship Id="rId1" Type="http://schemas.openxmlformats.org/officeDocument/2006/relationships/hyperlink" Target="https://www.uptodate.com/contents/epidermolysis-bullosa-epidemiology-pathogenesis-classification-and-clinical-features?search=epidermolysis%20bullosa&amp;source=search_result&amp;selectedTitle=1%7E85&amp;usage_type=default&amp;display_rank=1" TargetMode="External"/><Relationship Id="rId6" Type="http://schemas.openxmlformats.org/officeDocument/2006/relationships/hyperlink" Target="https://www.ebdressings.com.au/" TargetMode="External"/><Relationship Id="rId11" Type="http://schemas.openxmlformats.org/officeDocument/2006/relationships/hyperlink" Target="https://www.tga.gov.au/resources/artg/422430" TargetMode="External"/><Relationship Id="rId5" Type="http://schemas.openxmlformats.org/officeDocument/2006/relationships/hyperlink" Target="https://www.dermcoll.edu.au/atoz/epidermolysis-bullosa/" TargetMode="External"/><Relationship Id="rId15" Type="http://schemas.openxmlformats.org/officeDocument/2006/relationships/hyperlink" Target="https://www.jidonline.org/article/S0022-202X(15)34531-0/fulltext" TargetMode="External"/><Relationship Id="rId23" Type="http://schemas.openxmlformats.org/officeDocument/2006/relationships/hyperlink" Target="https://www.ema.europa.eu/en/documents/variation-report/filsuvez-h-c-005035-ii-0006-epar-assessment-report-variation_en.pdf" TargetMode="External"/><Relationship Id="rId10" Type="http://schemas.openxmlformats.org/officeDocument/2006/relationships/hyperlink" Target="https://www.tga.gov.au/resources/artg/431070" TargetMode="External"/><Relationship Id="rId19" Type="http://schemas.openxmlformats.org/officeDocument/2006/relationships/hyperlink" Target="https://doi.org/10.1371/journal.pone.0086147" TargetMode="External"/><Relationship Id="rId4" Type="http://schemas.openxmlformats.org/officeDocument/2006/relationships/hyperlink" Target="https://www.jaad.org/article/S0190-9622(08)01216-4/abstract" TargetMode="External"/><Relationship Id="rId9" Type="http://schemas.openxmlformats.org/officeDocument/2006/relationships/hyperlink" Target="https://www.tga.gov.au/resources/artg/394054" TargetMode="External"/><Relationship Id="rId14" Type="http://schemas.openxmlformats.org/officeDocument/2006/relationships/hyperlink" Target="https://woundsinternational.com/wp-content/uploads/2023/02/26953778fdfb53b9c87f7c6f05dd07eb.pdf" TargetMode="External"/><Relationship Id="rId22" Type="http://schemas.openxmlformats.org/officeDocument/2006/relationships/hyperlink" Target="https://www.ema.europa.eu/en/documents/assessment-report/filsuvez-epar-public-assessment-report_en.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D91FC3D684364E882814D98A6895D1" ma:contentTypeVersion="4" ma:contentTypeDescription="Create a new document." ma:contentTypeScope="" ma:versionID="29158001daef1524a7f42320e08bab17">
  <xsd:schema xmlns:xsd="http://www.w3.org/2001/XMLSchema" xmlns:xs="http://www.w3.org/2001/XMLSchema" xmlns:p="http://schemas.microsoft.com/office/2006/metadata/properties" xmlns:ns2="0b6a642e-2365-45b9-a990-4ccceeda764e" targetNamespace="http://schemas.microsoft.com/office/2006/metadata/properties" ma:root="true" ma:fieldsID="da9edfdf67640b15e284af36089d06f6" ns2:_="">
    <xsd:import namespace="0b6a642e-2365-45b9-a990-4ccceeda76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a642e-2365-45b9-a990-4ccceeda76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380257-08EE-45EE-A2F1-B9DB31E4FF0A}">
  <ds:schemaRefs>
    <ds:schemaRef ds:uri="http://schemas.microsoft.com/sharepoint/v3/contenttype/form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E3DA1645-4549-428B-8651-07A36179D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a642e-2365-45b9-a990-4ccceeda76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7ACE09-31B5-40C7-BE0C-564BC4F39B4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80d1b489-5ad6-45c2-b757-0ef89ea02c5b}" enabled="0" method="" siteId="{80d1b489-5ad6-45c2-b757-0ef89ea02c5b}"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34</Pages>
  <Words>11959</Words>
  <Characters>68167</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79967</CharactersWithSpaces>
  <SharedDoc>false</SharedDoc>
  <HLinks>
    <vt:vector size="360" baseType="variant">
      <vt:variant>
        <vt:i4>3473445</vt:i4>
      </vt:variant>
      <vt:variant>
        <vt:i4>261</vt:i4>
      </vt:variant>
      <vt:variant>
        <vt:i4>0</vt:i4>
      </vt:variant>
      <vt:variant>
        <vt:i4>5</vt:i4>
      </vt:variant>
      <vt:variant>
        <vt:lpwstr>https://www.tga.gov.au/</vt:lpwstr>
      </vt:variant>
      <vt:variant>
        <vt:lpwstr/>
      </vt:variant>
      <vt:variant>
        <vt:i4>5242926</vt:i4>
      </vt:variant>
      <vt:variant>
        <vt:i4>258</vt:i4>
      </vt:variant>
      <vt:variant>
        <vt:i4>0</vt:i4>
      </vt:variant>
      <vt:variant>
        <vt:i4>5</vt:i4>
      </vt:variant>
      <vt:variant>
        <vt:lpwstr>mailto:info@tga.gov.au</vt:lpwstr>
      </vt:variant>
      <vt:variant>
        <vt:lpwstr/>
      </vt:variant>
      <vt:variant>
        <vt:i4>7929907</vt:i4>
      </vt:variant>
      <vt:variant>
        <vt:i4>255</vt:i4>
      </vt:variant>
      <vt:variant>
        <vt:i4>0</vt:i4>
      </vt:variant>
      <vt:variant>
        <vt:i4>5</vt:i4>
      </vt:variant>
      <vt:variant>
        <vt:lpwstr>https://www.ebs.tga.gov.au/</vt:lpwstr>
      </vt:variant>
      <vt:variant>
        <vt:lpwstr/>
      </vt:variant>
      <vt:variant>
        <vt:i4>2424877</vt:i4>
      </vt:variant>
      <vt:variant>
        <vt:i4>249</vt:i4>
      </vt:variant>
      <vt:variant>
        <vt:i4>0</vt:i4>
      </vt:variant>
      <vt:variant>
        <vt:i4>5</vt:i4>
      </vt:variant>
      <vt:variant>
        <vt:lpwstr>https://www.tga.gov.au/resources/resource/guidance/risk-management-plans-medicines-and-biologicals/australia-specific-annex-eu-rmp</vt:lpwstr>
      </vt:variant>
      <vt:variant>
        <vt:lpwstr/>
      </vt:variant>
      <vt:variant>
        <vt:i4>2424877</vt:i4>
      </vt:variant>
      <vt:variant>
        <vt:i4>246</vt:i4>
      </vt:variant>
      <vt:variant>
        <vt:i4>0</vt:i4>
      </vt:variant>
      <vt:variant>
        <vt:i4>5</vt:i4>
      </vt:variant>
      <vt:variant>
        <vt:lpwstr>https://www.tga.gov.au/resources/resource/guidance/risk-management-plans-medicines-and-biologicals/australia-specific-annex-eu-rmp</vt:lpwstr>
      </vt:variant>
      <vt:variant>
        <vt:lpwstr/>
      </vt:variant>
      <vt:variant>
        <vt:i4>5111899</vt:i4>
      </vt:variant>
      <vt:variant>
        <vt:i4>243</vt:i4>
      </vt:variant>
      <vt:variant>
        <vt:i4>0</vt:i4>
      </vt:variant>
      <vt:variant>
        <vt:i4>5</vt:i4>
      </vt:variant>
      <vt:variant>
        <vt:lpwstr>https://www.tga.gov.au/tgas-risk-management-approach</vt:lpwstr>
      </vt:variant>
      <vt:variant>
        <vt:lpwstr/>
      </vt:variant>
      <vt:variant>
        <vt:i4>7929888</vt:i4>
      </vt:variant>
      <vt:variant>
        <vt:i4>240</vt:i4>
      </vt:variant>
      <vt:variant>
        <vt:i4>0</vt:i4>
      </vt:variant>
      <vt:variant>
        <vt:i4>5</vt:i4>
      </vt:variant>
      <vt:variant>
        <vt:lpwstr>https://www.tga.gov.au/publication/risk-management-plans-medicines-and-biologicals</vt:lpwstr>
      </vt:variant>
      <vt:variant>
        <vt:lpwstr/>
      </vt:variant>
      <vt:variant>
        <vt:i4>2293815</vt:i4>
      </vt:variant>
      <vt:variant>
        <vt:i4>198</vt:i4>
      </vt:variant>
      <vt:variant>
        <vt:i4>0</vt:i4>
      </vt:variant>
      <vt:variant>
        <vt:i4>5</vt:i4>
      </vt:variant>
      <vt:variant>
        <vt:lpwstr>https://www.tga.gov.au/resources/resource/guidance/orphan-drug-designation</vt:lpwstr>
      </vt:variant>
      <vt:variant>
        <vt:lpwstr/>
      </vt:variant>
      <vt:variant>
        <vt:i4>5636121</vt:i4>
      </vt:variant>
      <vt:variant>
        <vt:i4>192</vt:i4>
      </vt:variant>
      <vt:variant>
        <vt:i4>0</vt:i4>
      </vt:variant>
      <vt:variant>
        <vt:i4>5</vt:i4>
      </vt:variant>
      <vt:variant>
        <vt:lpwstr>https://www.tga.gov.au/comparable-overseas-regulators-cors-timeframes-and-milestones</vt:lpwstr>
      </vt:variant>
      <vt:variant>
        <vt:lpwstr/>
      </vt:variant>
      <vt:variant>
        <vt:i4>3670063</vt:i4>
      </vt:variant>
      <vt:variant>
        <vt:i4>174</vt:i4>
      </vt:variant>
      <vt:variant>
        <vt:i4>0</vt:i4>
      </vt:variant>
      <vt:variant>
        <vt:i4>5</vt:i4>
      </vt:variant>
      <vt:variant>
        <vt:lpwstr>https://www.tga.gov.au/obstetric-drug-information-services</vt:lpwstr>
      </vt:variant>
      <vt:variant>
        <vt:lpwstr/>
      </vt:variant>
      <vt:variant>
        <vt:i4>2949173</vt:i4>
      </vt:variant>
      <vt:variant>
        <vt:i4>171</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168</vt:i4>
      </vt:variant>
      <vt:variant>
        <vt:i4>0</vt:i4>
      </vt:variant>
      <vt:variant>
        <vt:i4>5</vt:i4>
      </vt:variant>
      <vt:variant>
        <vt:lpwstr>https://www.tga.gov.au/black-triangle-scheme</vt:lpwstr>
      </vt:variant>
      <vt:variant>
        <vt:lpwstr/>
      </vt:variant>
      <vt:variant>
        <vt:i4>1572923</vt:i4>
      </vt:variant>
      <vt:variant>
        <vt:i4>161</vt:i4>
      </vt:variant>
      <vt:variant>
        <vt:i4>0</vt:i4>
      </vt:variant>
      <vt:variant>
        <vt:i4>5</vt:i4>
      </vt:variant>
      <vt:variant>
        <vt:lpwstr/>
      </vt:variant>
      <vt:variant>
        <vt:lpwstr>_Toc231307887</vt:lpwstr>
      </vt:variant>
      <vt:variant>
        <vt:i4>1572923</vt:i4>
      </vt:variant>
      <vt:variant>
        <vt:i4>155</vt:i4>
      </vt:variant>
      <vt:variant>
        <vt:i4>0</vt:i4>
      </vt:variant>
      <vt:variant>
        <vt:i4>5</vt:i4>
      </vt:variant>
      <vt:variant>
        <vt:lpwstr/>
      </vt:variant>
      <vt:variant>
        <vt:lpwstr>_Toc231307886</vt:lpwstr>
      </vt:variant>
      <vt:variant>
        <vt:i4>1572923</vt:i4>
      </vt:variant>
      <vt:variant>
        <vt:i4>149</vt:i4>
      </vt:variant>
      <vt:variant>
        <vt:i4>0</vt:i4>
      </vt:variant>
      <vt:variant>
        <vt:i4>5</vt:i4>
      </vt:variant>
      <vt:variant>
        <vt:lpwstr/>
      </vt:variant>
      <vt:variant>
        <vt:lpwstr>_Toc231307885</vt:lpwstr>
      </vt:variant>
      <vt:variant>
        <vt:i4>1572923</vt:i4>
      </vt:variant>
      <vt:variant>
        <vt:i4>143</vt:i4>
      </vt:variant>
      <vt:variant>
        <vt:i4>0</vt:i4>
      </vt:variant>
      <vt:variant>
        <vt:i4>5</vt:i4>
      </vt:variant>
      <vt:variant>
        <vt:lpwstr/>
      </vt:variant>
      <vt:variant>
        <vt:lpwstr>_Toc231307884</vt:lpwstr>
      </vt:variant>
      <vt:variant>
        <vt:i4>1572923</vt:i4>
      </vt:variant>
      <vt:variant>
        <vt:i4>137</vt:i4>
      </vt:variant>
      <vt:variant>
        <vt:i4>0</vt:i4>
      </vt:variant>
      <vt:variant>
        <vt:i4>5</vt:i4>
      </vt:variant>
      <vt:variant>
        <vt:lpwstr/>
      </vt:variant>
      <vt:variant>
        <vt:lpwstr>_Toc231307883</vt:lpwstr>
      </vt:variant>
      <vt:variant>
        <vt:i4>1572923</vt:i4>
      </vt:variant>
      <vt:variant>
        <vt:i4>131</vt:i4>
      </vt:variant>
      <vt:variant>
        <vt:i4>0</vt:i4>
      </vt:variant>
      <vt:variant>
        <vt:i4>5</vt:i4>
      </vt:variant>
      <vt:variant>
        <vt:lpwstr/>
      </vt:variant>
      <vt:variant>
        <vt:lpwstr>_Toc231307882</vt:lpwstr>
      </vt:variant>
      <vt:variant>
        <vt:i4>1572923</vt:i4>
      </vt:variant>
      <vt:variant>
        <vt:i4>125</vt:i4>
      </vt:variant>
      <vt:variant>
        <vt:i4>0</vt:i4>
      </vt:variant>
      <vt:variant>
        <vt:i4>5</vt:i4>
      </vt:variant>
      <vt:variant>
        <vt:lpwstr/>
      </vt:variant>
      <vt:variant>
        <vt:lpwstr>_Toc231307881</vt:lpwstr>
      </vt:variant>
      <vt:variant>
        <vt:i4>1572923</vt:i4>
      </vt:variant>
      <vt:variant>
        <vt:i4>119</vt:i4>
      </vt:variant>
      <vt:variant>
        <vt:i4>0</vt:i4>
      </vt:variant>
      <vt:variant>
        <vt:i4>5</vt:i4>
      </vt:variant>
      <vt:variant>
        <vt:lpwstr/>
      </vt:variant>
      <vt:variant>
        <vt:lpwstr>_Toc231307880</vt:lpwstr>
      </vt:variant>
      <vt:variant>
        <vt:i4>1507387</vt:i4>
      </vt:variant>
      <vt:variant>
        <vt:i4>113</vt:i4>
      </vt:variant>
      <vt:variant>
        <vt:i4>0</vt:i4>
      </vt:variant>
      <vt:variant>
        <vt:i4>5</vt:i4>
      </vt:variant>
      <vt:variant>
        <vt:lpwstr/>
      </vt:variant>
      <vt:variant>
        <vt:lpwstr>_Toc231307879</vt:lpwstr>
      </vt:variant>
      <vt:variant>
        <vt:i4>1507387</vt:i4>
      </vt:variant>
      <vt:variant>
        <vt:i4>107</vt:i4>
      </vt:variant>
      <vt:variant>
        <vt:i4>0</vt:i4>
      </vt:variant>
      <vt:variant>
        <vt:i4>5</vt:i4>
      </vt:variant>
      <vt:variant>
        <vt:lpwstr/>
      </vt:variant>
      <vt:variant>
        <vt:lpwstr>_Toc231307878</vt:lpwstr>
      </vt:variant>
      <vt:variant>
        <vt:i4>1507387</vt:i4>
      </vt:variant>
      <vt:variant>
        <vt:i4>101</vt:i4>
      </vt:variant>
      <vt:variant>
        <vt:i4>0</vt:i4>
      </vt:variant>
      <vt:variant>
        <vt:i4>5</vt:i4>
      </vt:variant>
      <vt:variant>
        <vt:lpwstr/>
      </vt:variant>
      <vt:variant>
        <vt:lpwstr>_Toc231307877</vt:lpwstr>
      </vt:variant>
      <vt:variant>
        <vt:i4>1507387</vt:i4>
      </vt:variant>
      <vt:variant>
        <vt:i4>95</vt:i4>
      </vt:variant>
      <vt:variant>
        <vt:i4>0</vt:i4>
      </vt:variant>
      <vt:variant>
        <vt:i4>5</vt:i4>
      </vt:variant>
      <vt:variant>
        <vt:lpwstr/>
      </vt:variant>
      <vt:variant>
        <vt:lpwstr>_Toc231307876</vt:lpwstr>
      </vt:variant>
      <vt:variant>
        <vt:i4>1507387</vt:i4>
      </vt:variant>
      <vt:variant>
        <vt:i4>89</vt:i4>
      </vt:variant>
      <vt:variant>
        <vt:i4>0</vt:i4>
      </vt:variant>
      <vt:variant>
        <vt:i4>5</vt:i4>
      </vt:variant>
      <vt:variant>
        <vt:lpwstr/>
      </vt:variant>
      <vt:variant>
        <vt:lpwstr>_Toc231307875</vt:lpwstr>
      </vt:variant>
      <vt:variant>
        <vt:i4>1507387</vt:i4>
      </vt:variant>
      <vt:variant>
        <vt:i4>83</vt:i4>
      </vt:variant>
      <vt:variant>
        <vt:i4>0</vt:i4>
      </vt:variant>
      <vt:variant>
        <vt:i4>5</vt:i4>
      </vt:variant>
      <vt:variant>
        <vt:lpwstr/>
      </vt:variant>
      <vt:variant>
        <vt:lpwstr>_Toc231307874</vt:lpwstr>
      </vt:variant>
      <vt:variant>
        <vt:i4>1507387</vt:i4>
      </vt:variant>
      <vt:variant>
        <vt:i4>77</vt:i4>
      </vt:variant>
      <vt:variant>
        <vt:i4>0</vt:i4>
      </vt:variant>
      <vt:variant>
        <vt:i4>5</vt:i4>
      </vt:variant>
      <vt:variant>
        <vt:lpwstr/>
      </vt:variant>
      <vt:variant>
        <vt:lpwstr>_Toc231307873</vt:lpwstr>
      </vt:variant>
      <vt:variant>
        <vt:i4>1507387</vt:i4>
      </vt:variant>
      <vt:variant>
        <vt:i4>71</vt:i4>
      </vt:variant>
      <vt:variant>
        <vt:i4>0</vt:i4>
      </vt:variant>
      <vt:variant>
        <vt:i4>5</vt:i4>
      </vt:variant>
      <vt:variant>
        <vt:lpwstr/>
      </vt:variant>
      <vt:variant>
        <vt:lpwstr>_Toc231307872</vt:lpwstr>
      </vt:variant>
      <vt:variant>
        <vt:i4>1507387</vt:i4>
      </vt:variant>
      <vt:variant>
        <vt:i4>65</vt:i4>
      </vt:variant>
      <vt:variant>
        <vt:i4>0</vt:i4>
      </vt:variant>
      <vt:variant>
        <vt:i4>5</vt:i4>
      </vt:variant>
      <vt:variant>
        <vt:lpwstr/>
      </vt:variant>
      <vt:variant>
        <vt:lpwstr>_Toc231307871</vt:lpwstr>
      </vt:variant>
      <vt:variant>
        <vt:i4>1507387</vt:i4>
      </vt:variant>
      <vt:variant>
        <vt:i4>59</vt:i4>
      </vt:variant>
      <vt:variant>
        <vt:i4>0</vt:i4>
      </vt:variant>
      <vt:variant>
        <vt:i4>5</vt:i4>
      </vt:variant>
      <vt:variant>
        <vt:lpwstr/>
      </vt:variant>
      <vt:variant>
        <vt:lpwstr>_Toc231307870</vt:lpwstr>
      </vt:variant>
      <vt:variant>
        <vt:i4>1441851</vt:i4>
      </vt:variant>
      <vt:variant>
        <vt:i4>53</vt:i4>
      </vt:variant>
      <vt:variant>
        <vt:i4>0</vt:i4>
      </vt:variant>
      <vt:variant>
        <vt:i4>5</vt:i4>
      </vt:variant>
      <vt:variant>
        <vt:lpwstr/>
      </vt:variant>
      <vt:variant>
        <vt:lpwstr>_Toc231307869</vt:lpwstr>
      </vt:variant>
      <vt:variant>
        <vt:i4>1441851</vt:i4>
      </vt:variant>
      <vt:variant>
        <vt:i4>47</vt:i4>
      </vt:variant>
      <vt:variant>
        <vt:i4>0</vt:i4>
      </vt:variant>
      <vt:variant>
        <vt:i4>5</vt:i4>
      </vt:variant>
      <vt:variant>
        <vt:lpwstr/>
      </vt:variant>
      <vt:variant>
        <vt:lpwstr>_Toc231307868</vt:lpwstr>
      </vt:variant>
      <vt:variant>
        <vt:i4>1441851</vt:i4>
      </vt:variant>
      <vt:variant>
        <vt:i4>41</vt:i4>
      </vt:variant>
      <vt:variant>
        <vt:i4>0</vt:i4>
      </vt:variant>
      <vt:variant>
        <vt:i4>5</vt:i4>
      </vt:variant>
      <vt:variant>
        <vt:lpwstr/>
      </vt:variant>
      <vt:variant>
        <vt:lpwstr>_Toc231307867</vt:lpwstr>
      </vt:variant>
      <vt:variant>
        <vt:i4>1441851</vt:i4>
      </vt:variant>
      <vt:variant>
        <vt:i4>35</vt:i4>
      </vt:variant>
      <vt:variant>
        <vt:i4>0</vt:i4>
      </vt:variant>
      <vt:variant>
        <vt:i4>5</vt:i4>
      </vt:variant>
      <vt:variant>
        <vt:lpwstr/>
      </vt:variant>
      <vt:variant>
        <vt:lpwstr>_Toc231307866</vt:lpwstr>
      </vt:variant>
      <vt:variant>
        <vt:i4>1441851</vt:i4>
      </vt:variant>
      <vt:variant>
        <vt:i4>29</vt:i4>
      </vt:variant>
      <vt:variant>
        <vt:i4>0</vt:i4>
      </vt:variant>
      <vt:variant>
        <vt:i4>5</vt:i4>
      </vt:variant>
      <vt:variant>
        <vt:lpwstr/>
      </vt:variant>
      <vt:variant>
        <vt:lpwstr>_Toc231307865</vt:lpwstr>
      </vt:variant>
      <vt:variant>
        <vt:i4>1441851</vt:i4>
      </vt:variant>
      <vt:variant>
        <vt:i4>23</vt:i4>
      </vt:variant>
      <vt:variant>
        <vt:i4>0</vt:i4>
      </vt:variant>
      <vt:variant>
        <vt:i4>5</vt:i4>
      </vt:variant>
      <vt:variant>
        <vt:lpwstr/>
      </vt:variant>
      <vt:variant>
        <vt:lpwstr>_Toc231307864</vt:lpwstr>
      </vt:variant>
      <vt:variant>
        <vt:i4>1441851</vt:i4>
      </vt:variant>
      <vt:variant>
        <vt:i4>17</vt:i4>
      </vt:variant>
      <vt:variant>
        <vt:i4>0</vt:i4>
      </vt:variant>
      <vt:variant>
        <vt:i4>5</vt:i4>
      </vt:variant>
      <vt:variant>
        <vt:lpwstr/>
      </vt:variant>
      <vt:variant>
        <vt:lpwstr>_Toc231307863</vt:lpwstr>
      </vt:variant>
      <vt:variant>
        <vt:i4>1441851</vt:i4>
      </vt:variant>
      <vt:variant>
        <vt:i4>11</vt:i4>
      </vt:variant>
      <vt:variant>
        <vt:i4>0</vt:i4>
      </vt:variant>
      <vt:variant>
        <vt:i4>5</vt:i4>
      </vt:variant>
      <vt:variant>
        <vt:lpwstr/>
      </vt:variant>
      <vt:variant>
        <vt:lpwstr>_Toc231307862</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5374054</vt:i4>
      </vt:variant>
      <vt:variant>
        <vt:i4>51</vt:i4>
      </vt:variant>
      <vt:variant>
        <vt:i4>0</vt:i4>
      </vt:variant>
      <vt:variant>
        <vt:i4>5</vt:i4>
      </vt:variant>
      <vt:variant>
        <vt:lpwstr>https://www.ema.europa.eu/en/documents/assessment-report/filsuvez-epar-public-assessment-report_en.pdf</vt:lpwstr>
      </vt:variant>
      <vt:variant>
        <vt:lpwstr/>
      </vt:variant>
      <vt:variant>
        <vt:i4>6684770</vt:i4>
      </vt:variant>
      <vt:variant>
        <vt:i4>48</vt:i4>
      </vt:variant>
      <vt:variant>
        <vt:i4>0</vt:i4>
      </vt:variant>
      <vt:variant>
        <vt:i4>5</vt:i4>
      </vt:variant>
      <vt:variant>
        <vt:lpwstr>https://doi.org/10.1093/bjd/ljac001</vt:lpwstr>
      </vt:variant>
      <vt:variant>
        <vt:lpwstr/>
      </vt:variant>
      <vt:variant>
        <vt:i4>5308435</vt:i4>
      </vt:variant>
      <vt:variant>
        <vt:i4>45</vt:i4>
      </vt:variant>
      <vt:variant>
        <vt:i4>0</vt:i4>
      </vt:variant>
      <vt:variant>
        <vt:i4>5</vt:i4>
      </vt:variant>
      <vt:variant>
        <vt:lpwstr>https://doi.org/10.1021/acs.jnatprod.6b00027</vt:lpwstr>
      </vt:variant>
      <vt:variant>
        <vt:lpwstr/>
      </vt:variant>
      <vt:variant>
        <vt:i4>4325447</vt:i4>
      </vt:variant>
      <vt:variant>
        <vt:i4>42</vt:i4>
      </vt:variant>
      <vt:variant>
        <vt:i4>0</vt:i4>
      </vt:variant>
      <vt:variant>
        <vt:i4>5</vt:i4>
      </vt:variant>
      <vt:variant>
        <vt:lpwstr>https://doi.org/10.1371/journal.pone.0086147</vt:lpwstr>
      </vt:variant>
      <vt:variant>
        <vt:lpwstr/>
      </vt:variant>
      <vt:variant>
        <vt:i4>5505092</vt:i4>
      </vt:variant>
      <vt:variant>
        <vt:i4>39</vt:i4>
      </vt:variant>
      <vt:variant>
        <vt:i4>0</vt:i4>
      </vt:variant>
      <vt:variant>
        <vt:i4>5</vt:i4>
      </vt:variant>
      <vt:variant>
        <vt:lpwstr>https://doi.org/10.1038/jid.2009.248</vt:lpwstr>
      </vt:variant>
      <vt:variant>
        <vt:lpwstr/>
      </vt:variant>
      <vt:variant>
        <vt:i4>5374054</vt:i4>
      </vt:variant>
      <vt:variant>
        <vt:i4>36</vt:i4>
      </vt:variant>
      <vt:variant>
        <vt:i4>0</vt:i4>
      </vt:variant>
      <vt:variant>
        <vt:i4>5</vt:i4>
      </vt:variant>
      <vt:variant>
        <vt:lpwstr>https://www.ema.europa.eu/en/documents/assessment-report/filsuvez-epar-public-assessment-report_en.pdf</vt:lpwstr>
      </vt:variant>
      <vt:variant>
        <vt:lpwstr/>
      </vt:variant>
      <vt:variant>
        <vt:i4>3014698</vt:i4>
      </vt:variant>
      <vt:variant>
        <vt:i4>33</vt:i4>
      </vt:variant>
      <vt:variant>
        <vt:i4>0</vt:i4>
      </vt:variant>
      <vt:variant>
        <vt:i4>5</vt:i4>
      </vt:variant>
      <vt:variant>
        <vt:lpwstr>https://woundsinternational.com/wp-content/uploads/2023/02/26953778fdfb53b9c87f7c6f05dd07eb.pdf</vt:lpwstr>
      </vt:variant>
      <vt:variant>
        <vt:lpwstr/>
      </vt:variant>
      <vt:variant>
        <vt:i4>5242909</vt:i4>
      </vt:variant>
      <vt:variant>
        <vt:i4>30</vt:i4>
      </vt:variant>
      <vt:variant>
        <vt:i4>0</vt:i4>
      </vt:variant>
      <vt:variant>
        <vt:i4>5</vt:i4>
      </vt:variant>
      <vt:variant>
        <vt:lpwstr>https://www.tga.gov.au/resources/artg/311822</vt:lpwstr>
      </vt:variant>
      <vt:variant>
        <vt:lpwstr/>
      </vt:variant>
      <vt:variant>
        <vt:i4>5963801</vt:i4>
      </vt:variant>
      <vt:variant>
        <vt:i4>27</vt:i4>
      </vt:variant>
      <vt:variant>
        <vt:i4>0</vt:i4>
      </vt:variant>
      <vt:variant>
        <vt:i4>5</vt:i4>
      </vt:variant>
      <vt:variant>
        <vt:lpwstr>https://www.tga.gov.au/resources/artg/226604</vt:lpwstr>
      </vt:variant>
      <vt:variant>
        <vt:lpwstr/>
      </vt:variant>
      <vt:variant>
        <vt:i4>6094872</vt:i4>
      </vt:variant>
      <vt:variant>
        <vt:i4>24</vt:i4>
      </vt:variant>
      <vt:variant>
        <vt:i4>0</vt:i4>
      </vt:variant>
      <vt:variant>
        <vt:i4>5</vt:i4>
      </vt:variant>
      <vt:variant>
        <vt:lpwstr>https://www.tga.gov.au/resources/artg/422430</vt:lpwstr>
      </vt:variant>
      <vt:variant>
        <vt:lpwstr/>
      </vt:variant>
      <vt:variant>
        <vt:i4>5767199</vt:i4>
      </vt:variant>
      <vt:variant>
        <vt:i4>21</vt:i4>
      </vt:variant>
      <vt:variant>
        <vt:i4>0</vt:i4>
      </vt:variant>
      <vt:variant>
        <vt:i4>5</vt:i4>
      </vt:variant>
      <vt:variant>
        <vt:lpwstr>https://www.tga.gov.au/resources/artg/431070</vt:lpwstr>
      </vt:variant>
      <vt:variant>
        <vt:lpwstr/>
      </vt:variant>
      <vt:variant>
        <vt:i4>5636127</vt:i4>
      </vt:variant>
      <vt:variant>
        <vt:i4>18</vt:i4>
      </vt:variant>
      <vt:variant>
        <vt:i4>0</vt:i4>
      </vt:variant>
      <vt:variant>
        <vt:i4>5</vt:i4>
      </vt:variant>
      <vt:variant>
        <vt:lpwstr>https://www.tga.gov.au/resources/artg/394054</vt:lpwstr>
      </vt:variant>
      <vt:variant>
        <vt:lpwstr/>
      </vt:variant>
      <vt:variant>
        <vt:i4>5832722</vt:i4>
      </vt:variant>
      <vt:variant>
        <vt:i4>15</vt:i4>
      </vt:variant>
      <vt:variant>
        <vt:i4>0</vt:i4>
      </vt:variant>
      <vt:variant>
        <vt:i4>5</vt:i4>
      </vt:variant>
      <vt:variant>
        <vt:lpwstr>https://www.tga.gov.au/resources/artg/432293</vt:lpwstr>
      </vt:variant>
      <vt:variant>
        <vt:lpwstr/>
      </vt:variant>
      <vt:variant>
        <vt:i4>5636101</vt:i4>
      </vt:variant>
      <vt:variant>
        <vt:i4>12</vt:i4>
      </vt:variant>
      <vt:variant>
        <vt:i4>0</vt:i4>
      </vt:variant>
      <vt:variant>
        <vt:i4>5</vt:i4>
      </vt:variant>
      <vt:variant>
        <vt:lpwstr>https://publication.independenceaustralia.com.au/ia26_nebds_dressingschemeweblist-may2026/page/1</vt:lpwstr>
      </vt:variant>
      <vt:variant>
        <vt:lpwstr/>
      </vt:variant>
      <vt:variant>
        <vt:i4>4128805</vt:i4>
      </vt:variant>
      <vt:variant>
        <vt:i4>9</vt:i4>
      </vt:variant>
      <vt:variant>
        <vt:i4>0</vt:i4>
      </vt:variant>
      <vt:variant>
        <vt:i4>5</vt:i4>
      </vt:variant>
      <vt:variant>
        <vt:lpwstr>https://www.ebdressings.com.au/</vt:lpwstr>
      </vt:variant>
      <vt:variant>
        <vt:lpwstr/>
      </vt:variant>
      <vt:variant>
        <vt:i4>8060983</vt:i4>
      </vt:variant>
      <vt:variant>
        <vt:i4>6</vt:i4>
      </vt:variant>
      <vt:variant>
        <vt:i4>0</vt:i4>
      </vt:variant>
      <vt:variant>
        <vt:i4>5</vt:i4>
      </vt:variant>
      <vt:variant>
        <vt:lpwstr>https://www.dermcoll.edu.au/atoz/epidermolysis-bullosa/</vt:lpwstr>
      </vt:variant>
      <vt:variant>
        <vt:lpwstr/>
      </vt:variant>
      <vt:variant>
        <vt:i4>3407987</vt:i4>
      </vt:variant>
      <vt:variant>
        <vt:i4>3</vt:i4>
      </vt:variant>
      <vt:variant>
        <vt:i4>0</vt:i4>
      </vt:variant>
      <vt:variant>
        <vt:i4>5</vt:i4>
      </vt:variant>
      <vt:variant>
        <vt:lpwstr>http://www.ojrd.com/content/9/1/76</vt:lpwstr>
      </vt:variant>
      <vt:variant>
        <vt:lpwstr/>
      </vt:variant>
      <vt:variant>
        <vt:i4>6029420</vt:i4>
      </vt:variant>
      <vt:variant>
        <vt:i4>0</vt:i4>
      </vt:variant>
      <vt:variant>
        <vt:i4>0</vt:i4>
      </vt:variant>
      <vt:variant>
        <vt:i4>5</vt:i4>
      </vt:variant>
      <vt:variant>
        <vt:lpwstr>https://www.uptodate.com/contents/epidermolysis-bullosa-epidemiology-pathogenesis-classification-and-clinical-features?search=epidermolysis%20bullosa&amp;source=search_result&amp;selectedTitle=1%7E85&amp;usage_type=default&amp;display_rank=1</vt:lpwstr>
      </vt:variant>
      <vt:variant>
        <vt:lpwstr/>
      </vt:variant>
      <vt:variant>
        <vt:i4>3997787</vt:i4>
      </vt:variant>
      <vt:variant>
        <vt:i4>0</vt:i4>
      </vt:variant>
      <vt:variant>
        <vt:i4>0</vt:i4>
      </vt:variant>
      <vt:variant>
        <vt:i4>5</vt:i4>
      </vt:variant>
      <vt:variant>
        <vt:lpwstr>mailto:z.lecheheb@chiesi.com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Filsuvez</dc:title>
  <dc:subject>Prescription medicines</dc:subject>
  <dc:creator>Therapeutic Goods Administration</dc:creator>
  <cp:keywords/>
  <dc:description/>
  <cp:lastModifiedBy>LACK, Janet</cp:lastModifiedBy>
  <cp:revision>3</cp:revision>
  <dcterms:created xsi:type="dcterms:W3CDTF">2026-06-28T22:50:00Z</dcterms:created>
  <dcterms:modified xsi:type="dcterms:W3CDTF">2026-06-28T23:05:00Z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2025-12-01T03:47:48Z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93f14edd-a9cd-485c-a7b7-a4a0dd485297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ContentTypeId">
    <vt:lpwstr>0x010100B2D91FC3D684364E882814D98A6895D1</vt:lpwstr>
  </property>
</Properties>
</file>