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5F39" w14:textId="39FB2F47" w:rsidR="00FE0504" w:rsidRPr="00194049" w:rsidRDefault="00FE0504" w:rsidP="00F73DBE">
      <w:pPr>
        <w:pStyle w:val="BodyText"/>
        <w:spacing w:before="0"/>
        <w:rPr>
          <w:b/>
          <w:bCs/>
          <w:caps/>
          <w:sz w:val="28"/>
          <w:szCs w:val="28"/>
        </w:rPr>
      </w:pPr>
      <w:r w:rsidRPr="00194049">
        <mc:AlternateContent>
          <mc:Choice Requires="wps">
            <w:drawing>
              <wp:inline distT="0" distB="0" distL="0" distR="0" wp14:anchorId="22B7C4A9" wp14:editId="032EEB07">
                <wp:extent cx="252095" cy="252095"/>
                <wp:effectExtent l="0" t="0" r="0" b="0"/>
                <wp:docPr id="988040723" name="Text Box 988040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wps:spPr>
                      <wps:txbx>
                        <w:txbxContent>
                          <w:p w14:paraId="4996EF63" w14:textId="77777777" w:rsidR="00FE0504" w:rsidRPr="00194049" w:rsidRDefault="00FE0504" w:rsidP="00FE0504">
                            <w:pPr>
                              <w:rPr>
                                <w:rFonts w:ascii="Wingdings 3" w:hAnsi="Wingdings 3"/>
                                <w:sz w:val="24"/>
                              </w:rPr>
                            </w:pPr>
                            <w:r w:rsidRPr="00194049">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2B7C4A9" id="_x0000_t202" coordsize="21600,21600" o:spt="202" path="m,l,21600r21600,l21600,xe">
                <v:stroke joinstyle="miter"/>
                <v:path gradientshapeok="t" o:connecttype="rect"/>
              </v:shapetype>
              <v:shape id="Text Box 98804072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4996EF63" w14:textId="77777777" w:rsidR="00FE0504" w:rsidRPr="00194049" w:rsidRDefault="00FE0504" w:rsidP="00FE0504">
                      <w:pPr>
                        <w:rPr>
                          <w:rFonts w:ascii="Wingdings 3" w:hAnsi="Wingdings 3"/>
                          <w:sz w:val="24"/>
                        </w:rPr>
                      </w:pPr>
                      <w:r w:rsidRPr="00194049">
                        <w:rPr>
                          <w:rFonts w:ascii="SimSun" w:eastAsia="SimSun" w:hAnsi="SimSun" w:cs="Arial" w:hint="eastAsia"/>
                          <w:sz w:val="40"/>
                        </w:rPr>
                        <w:t>▼</w:t>
                      </w:r>
                    </w:p>
                  </w:txbxContent>
                </v:textbox>
                <w10:anchorlock/>
              </v:shape>
            </w:pict>
          </mc:Fallback>
        </mc:AlternateContent>
      </w:r>
      <w:r w:rsidRPr="00194049">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194049">
          <w:rPr>
            <w:rStyle w:val="Hyperlink"/>
          </w:rPr>
          <w:t>https://www.tga.gov.au/reporting-problems</w:t>
        </w:r>
      </w:hyperlink>
      <w:r w:rsidRPr="00194049">
        <w:t>.</w:t>
      </w:r>
    </w:p>
    <w:p w14:paraId="1CBB3F9F" w14:textId="726BF513" w:rsidR="0075336D" w:rsidRPr="008D50E9" w:rsidRDefault="0075336D" w:rsidP="009F57E8">
      <w:pPr>
        <w:pStyle w:val="Header"/>
        <w:rPr>
          <w:caps w:val="0"/>
        </w:rPr>
      </w:pPr>
      <w:r w:rsidRPr="009F57E8">
        <w:t>AUSTRALIAN PRODUCT INFORMATION</w:t>
      </w:r>
      <w:r w:rsidR="0060748B" w:rsidRPr="009F57E8">
        <w:br/>
      </w:r>
      <w:r w:rsidR="003F2C7E" w:rsidRPr="00AC10DB">
        <w:t>FILSUVEZ</w:t>
      </w:r>
      <w:r w:rsidR="00C21604" w:rsidRPr="00AC10DB">
        <w:rPr>
          <w:vertAlign w:val="superscript"/>
        </w:rPr>
        <w:t>®</w:t>
      </w:r>
      <w:r w:rsidR="000E1ED1" w:rsidRPr="00AC10DB">
        <w:t xml:space="preserve"> </w:t>
      </w:r>
      <w:r w:rsidRPr="00AC10DB">
        <w:t>(</w:t>
      </w:r>
      <w:r w:rsidR="00AC10DB" w:rsidRPr="009F57E8">
        <w:rPr>
          <w:caps w:val="0"/>
        </w:rPr>
        <w:t xml:space="preserve">birch bark dry extract </w:t>
      </w:r>
      <w:r w:rsidR="00BF5F60">
        <w:rPr>
          <w:caps w:val="0"/>
        </w:rPr>
        <w:t>(</w:t>
      </w:r>
      <w:r w:rsidR="00AC10DB" w:rsidRPr="009F57E8">
        <w:rPr>
          <w:caps w:val="0"/>
        </w:rPr>
        <w:t>84-95% triterpenes</w:t>
      </w:r>
      <w:r w:rsidR="00BF5F60">
        <w:rPr>
          <w:caps w:val="0"/>
        </w:rPr>
        <w:t>)</w:t>
      </w:r>
      <w:r w:rsidRPr="00AC10DB">
        <w:t>)</w:t>
      </w:r>
      <w:r w:rsidR="008D50E9">
        <w:t xml:space="preserve"> </w:t>
      </w:r>
      <w:r w:rsidR="004164F1" w:rsidRPr="00FF784C">
        <w:rPr>
          <w:rFonts w:ascii="Times New Roman" w:hAnsi="Times New Roman"/>
          <w:caps w:val="0"/>
          <w:noProof/>
        </w:rPr>
        <w:t>gel</w:t>
      </w:r>
    </w:p>
    <w:p w14:paraId="56846524" w14:textId="77777777" w:rsidR="000C49CD" w:rsidRPr="00106855" w:rsidRDefault="000C49CD" w:rsidP="00106855">
      <w:pPr>
        <w:pStyle w:val="Heading1"/>
      </w:pPr>
      <w:r w:rsidRPr="00106855">
        <w:t>NAME OF THE MEDICIN</w:t>
      </w:r>
      <w:r w:rsidR="001E27D5" w:rsidRPr="00106855">
        <w:t>E</w:t>
      </w:r>
    </w:p>
    <w:p w14:paraId="302900A1" w14:textId="07549682" w:rsidR="00461677" w:rsidRPr="00194049" w:rsidRDefault="00CE261E" w:rsidP="008544D5">
      <w:pPr>
        <w:pStyle w:val="BodyText"/>
      </w:pPr>
      <w:r>
        <w:t>B</w:t>
      </w:r>
      <w:r w:rsidR="00E15461" w:rsidRPr="00E15461">
        <w:t xml:space="preserve">irch bark dry extract </w:t>
      </w:r>
      <w:r w:rsidR="00BF5F60">
        <w:t>(</w:t>
      </w:r>
      <w:r w:rsidR="00E15461" w:rsidRPr="00E15461">
        <w:t>84-95% triterpenes</w:t>
      </w:r>
      <w:r w:rsidR="00BF5F60">
        <w:t>)</w:t>
      </w:r>
    </w:p>
    <w:p w14:paraId="3009DF34" w14:textId="77777777" w:rsidR="000C49CD" w:rsidRPr="00194049" w:rsidRDefault="000C49CD" w:rsidP="00106855">
      <w:pPr>
        <w:pStyle w:val="Heading1"/>
      </w:pPr>
      <w:r w:rsidRPr="00194049">
        <w:t>QUALITATIVE AND QUANTITATIVE COMPOSITION</w:t>
      </w:r>
    </w:p>
    <w:p w14:paraId="6AA9EE31" w14:textId="16626618" w:rsidR="00613930" w:rsidRDefault="00613930" w:rsidP="00613930">
      <w:pPr>
        <w:pStyle w:val="BodyText"/>
      </w:pPr>
      <w:r>
        <w:t xml:space="preserve">Each 1 g of gel contains </w:t>
      </w:r>
      <w:r w:rsidR="00E15461" w:rsidRPr="00E15461">
        <w:t>100 mg</w:t>
      </w:r>
      <w:r w:rsidR="009F57E8">
        <w:t xml:space="preserve"> </w:t>
      </w:r>
      <w:r w:rsidR="0011344E">
        <w:t xml:space="preserve">birch bark </w:t>
      </w:r>
      <w:r w:rsidR="00C17B75">
        <w:t xml:space="preserve">dry </w:t>
      </w:r>
      <w:r w:rsidR="00E15461" w:rsidRPr="00E15461">
        <w:t>extract (</w:t>
      </w:r>
      <w:r w:rsidR="009327C6">
        <w:t>10</w:t>
      </w:r>
      <w:r w:rsidR="00AC10DB">
        <w:t>% w/w</w:t>
      </w:r>
      <w:r w:rsidR="00E15461" w:rsidRPr="00E15461">
        <w:t xml:space="preserve">) </w:t>
      </w:r>
      <w:r w:rsidR="00E8566E">
        <w:t>which</w:t>
      </w:r>
      <w:r w:rsidR="00552F83">
        <w:t xml:space="preserve"> </w:t>
      </w:r>
      <w:r w:rsidR="00B1215F">
        <w:t>is composed of a mixtur</w:t>
      </w:r>
      <w:r w:rsidR="005455E2">
        <w:t>e of</w:t>
      </w:r>
      <w:r w:rsidR="00E15461" w:rsidRPr="00E15461">
        <w:t xml:space="preserve"> triterpenes </w:t>
      </w:r>
      <w:r w:rsidR="00E43BFA">
        <w:t>(8</w:t>
      </w:r>
      <w:r w:rsidR="00D832A8">
        <w:t>4-95</w:t>
      </w:r>
      <w:r w:rsidR="00500D96">
        <w:t>% w/w</w:t>
      </w:r>
      <w:r w:rsidR="00E43BFA">
        <w:t>)</w:t>
      </w:r>
      <w:r w:rsidR="008D50E9">
        <w:t xml:space="preserve"> </w:t>
      </w:r>
      <w:r w:rsidR="008D50E9" w:rsidRPr="008D50E9">
        <w:t>quantified to 72-88% (w/w) betulin, 2.4-5.7% (w/w) lupeol, 2.6-4.2% (w/w) betulinic acid, 0.5-1.2% (w/w) erythrodiol, 0.3-0.8% (w/w) oleanolic acid</w:t>
      </w:r>
      <w:r>
        <w:t xml:space="preserve">. </w:t>
      </w:r>
    </w:p>
    <w:p w14:paraId="43F380A4" w14:textId="7F76ECDD" w:rsidR="000C49CD" w:rsidRPr="00194049" w:rsidRDefault="000C49CD" w:rsidP="008544D5">
      <w:pPr>
        <w:pStyle w:val="BodyText"/>
      </w:pPr>
      <w:r w:rsidRPr="00194049">
        <w:t xml:space="preserve">For </w:t>
      </w:r>
      <w:r w:rsidR="00BC43D5" w:rsidRPr="00194049">
        <w:t>the</w:t>
      </w:r>
      <w:r w:rsidRPr="00194049">
        <w:t xml:space="preserve"> full list of excipients see </w:t>
      </w:r>
      <w:hyperlink w:anchor="_6.1_LIST_OF" w:history="1">
        <w:r w:rsidRPr="00194049">
          <w:rPr>
            <w:rStyle w:val="Hyperlink"/>
          </w:rPr>
          <w:t>section 6.</w:t>
        </w:r>
        <w:r w:rsidR="00945FE9" w:rsidRPr="00194049">
          <w:rPr>
            <w:rStyle w:val="Hyperlink"/>
          </w:rPr>
          <w:t>1 LIST OF EXCIPIENTS</w:t>
        </w:r>
      </w:hyperlink>
      <w:r w:rsidRPr="00194049">
        <w:t>.</w:t>
      </w:r>
    </w:p>
    <w:p w14:paraId="6F9AE8C5" w14:textId="77777777" w:rsidR="000C49CD" w:rsidRPr="00194049" w:rsidRDefault="000C49CD" w:rsidP="00106855">
      <w:pPr>
        <w:pStyle w:val="Heading1"/>
      </w:pPr>
      <w:r w:rsidRPr="00194049">
        <w:t>PHARMACEUTICAL FORM</w:t>
      </w:r>
    </w:p>
    <w:p w14:paraId="06DB7F1A" w14:textId="77777777" w:rsidR="00613930" w:rsidRDefault="00613930" w:rsidP="00613930">
      <w:pPr>
        <w:pStyle w:val="BodyText"/>
      </w:pPr>
      <w:r>
        <w:t>Gel</w:t>
      </w:r>
    </w:p>
    <w:p w14:paraId="74650A1E" w14:textId="2DA7BB19" w:rsidR="0038362D" w:rsidRPr="00194049" w:rsidRDefault="00613930" w:rsidP="00613930">
      <w:pPr>
        <w:pStyle w:val="BodyText"/>
      </w:pPr>
      <w:r>
        <w:t>Colourless to slightly yellowish, opalescent, non-aqueous gel.</w:t>
      </w:r>
    </w:p>
    <w:p w14:paraId="6342072C" w14:textId="77777777" w:rsidR="000C49CD" w:rsidRPr="00194049" w:rsidRDefault="000C49CD" w:rsidP="00106855">
      <w:pPr>
        <w:pStyle w:val="Heading1"/>
      </w:pPr>
      <w:r w:rsidRPr="00194049">
        <w:t>CLINICAL PARTICULARS</w:t>
      </w:r>
    </w:p>
    <w:p w14:paraId="771A20F0" w14:textId="6B734D51" w:rsidR="001E27D5" w:rsidRPr="00B30667" w:rsidRDefault="001E27D5" w:rsidP="00762050">
      <w:pPr>
        <w:pStyle w:val="Heading2"/>
      </w:pPr>
      <w:r w:rsidRPr="00B30667">
        <w:t>THERAPEUTIC INDICATIONS</w:t>
      </w:r>
    </w:p>
    <w:p w14:paraId="7670F7C6" w14:textId="77AE6480" w:rsidR="001B4EAF" w:rsidRPr="00194049" w:rsidRDefault="00613930" w:rsidP="001B4EAF">
      <w:pPr>
        <w:pStyle w:val="BodyText"/>
      </w:pPr>
      <w:bookmarkStart w:id="0" w:name="_4.2_POSOLOGY_AND"/>
      <w:bookmarkStart w:id="1" w:name="_4.2_DOSE_AND"/>
      <w:bookmarkStart w:id="2" w:name="_Hlk12286226"/>
      <w:bookmarkEnd w:id="0"/>
      <w:bookmarkEnd w:id="1"/>
      <w:r w:rsidRPr="00613930">
        <w:t>Treatment of partial thickness wounds associated with dystrophic and junctional epidermolysis bullosa (EB) in patients 6 months and older.</w:t>
      </w:r>
    </w:p>
    <w:p w14:paraId="1A61068B" w14:textId="734EB23E" w:rsidR="000C49CD" w:rsidRDefault="0052162B" w:rsidP="00762050">
      <w:pPr>
        <w:pStyle w:val="Heading2"/>
      </w:pPr>
      <w:bookmarkStart w:id="3" w:name="_4.2_DOSE_AND_1"/>
      <w:bookmarkEnd w:id="3"/>
      <w:r w:rsidRPr="00194049">
        <w:t xml:space="preserve">DOSE </w:t>
      </w:r>
      <w:r w:rsidR="00FB2DD3" w:rsidRPr="00194049">
        <w:t>AND METHOD OF ADMINISTRATION</w:t>
      </w:r>
    </w:p>
    <w:p w14:paraId="3C356FC3" w14:textId="1253815F" w:rsidR="00613930" w:rsidRDefault="00D97081" w:rsidP="00D97081">
      <w:pPr>
        <w:pStyle w:val="Heading3"/>
      </w:pPr>
      <w:r>
        <w:t>Dosage</w:t>
      </w:r>
    </w:p>
    <w:p w14:paraId="13B930A0" w14:textId="48C9B522" w:rsidR="00D97081" w:rsidRDefault="00D97081" w:rsidP="00613930">
      <w:pPr>
        <w:pStyle w:val="BodyText"/>
      </w:pPr>
      <w:r w:rsidRPr="00D97081">
        <w:t xml:space="preserve">The gel should be applied at a thickness of approximately 1 mm </w:t>
      </w:r>
      <w:r w:rsidR="000B54C1">
        <w:t>to</w:t>
      </w:r>
      <w:r w:rsidRPr="00D97081">
        <w:t xml:space="preserve"> a sterile non-adhesive wound dressing </w:t>
      </w:r>
      <w:r w:rsidR="002E3B72">
        <w:t xml:space="preserve">that is placed </w:t>
      </w:r>
      <w:r w:rsidR="00697B19">
        <w:t xml:space="preserve">directly over the wound </w:t>
      </w:r>
      <w:r w:rsidRPr="00D97081">
        <w:t xml:space="preserve">or applied to the </w:t>
      </w:r>
      <w:r w:rsidR="00255D85">
        <w:t>wound surface</w:t>
      </w:r>
      <w:r w:rsidR="00733B6E">
        <w:t xml:space="preserve"> and covered by the </w:t>
      </w:r>
      <w:r w:rsidRPr="00D97081">
        <w:t xml:space="preserve">dressing. The gel should </w:t>
      </w:r>
      <w:r w:rsidR="00806338">
        <w:t xml:space="preserve">be applied </w:t>
      </w:r>
      <w:r w:rsidR="00AA1DA4">
        <w:t>liberally</w:t>
      </w:r>
      <w:r w:rsidRPr="00D97081">
        <w:t xml:space="preserve">. It should not be rubbed in. The gel should be reapplied at each wound dressing change. </w:t>
      </w:r>
    </w:p>
    <w:p w14:paraId="0CBEC3E9" w14:textId="77777777" w:rsidR="00D97081" w:rsidRDefault="00D97081" w:rsidP="00613930">
      <w:pPr>
        <w:pStyle w:val="BodyText"/>
      </w:pPr>
      <w:r w:rsidRPr="00D97081">
        <w:t>The maximum total wound area treated in clinical studies was 5,300 cm</w:t>
      </w:r>
      <w:r>
        <w:t>²</w:t>
      </w:r>
      <w:r w:rsidRPr="00D97081">
        <w:t xml:space="preserve"> with a median total wound area of 735 cm</w:t>
      </w:r>
      <w:r>
        <w:t>²</w:t>
      </w:r>
      <w:r w:rsidRPr="00D97081">
        <w:t xml:space="preserve">. </w:t>
      </w:r>
    </w:p>
    <w:p w14:paraId="3B8ADFDC" w14:textId="42748FD5" w:rsidR="00D97081" w:rsidRPr="00613930" w:rsidRDefault="00D97081" w:rsidP="00613930">
      <w:pPr>
        <w:pStyle w:val="BodyText"/>
      </w:pPr>
      <w:r w:rsidRPr="00D97081">
        <w:t>If symptoms persist or worsen after use, or if wound complications occur, the patient’s condition should be fully clinically assessed prior to continuation of treatment, and regularly re-evaluated thereafter.</w:t>
      </w:r>
    </w:p>
    <w:bookmarkEnd w:id="2"/>
    <w:p w14:paraId="4B7D8D7F" w14:textId="77777777" w:rsidR="00043CD2" w:rsidRPr="00B30667" w:rsidRDefault="00043CD2" w:rsidP="00002A30">
      <w:pPr>
        <w:pStyle w:val="Heading4"/>
      </w:pPr>
      <w:r w:rsidRPr="00B30667">
        <w:lastRenderedPageBreak/>
        <w:t>Special populations</w:t>
      </w:r>
    </w:p>
    <w:p w14:paraId="2AAA2BD6" w14:textId="77777777" w:rsidR="00043CD2" w:rsidRPr="00002A30" w:rsidRDefault="00043CD2" w:rsidP="00002A30">
      <w:pPr>
        <w:pStyle w:val="BodyText"/>
        <w:keepNext/>
        <w:rPr>
          <w:i/>
          <w:iCs/>
        </w:rPr>
      </w:pPr>
      <w:r w:rsidRPr="00002A30">
        <w:rPr>
          <w:i/>
          <w:iCs/>
        </w:rPr>
        <w:t>Renal or hepatic impairment</w:t>
      </w:r>
    </w:p>
    <w:p w14:paraId="5D607D64" w14:textId="0BB1CC4C" w:rsidR="00043CD2" w:rsidRPr="00194049" w:rsidRDefault="00043CD2" w:rsidP="00043CD2">
      <w:pPr>
        <w:pStyle w:val="BodyText"/>
      </w:pPr>
      <w:r w:rsidRPr="00D97081">
        <w:t>No studies have been conducted with FILSUVEZ in patients with renal or hepatic impairment.</w:t>
      </w:r>
      <w:r w:rsidRPr="00613930">
        <w:t xml:space="preserve"> No dose adjustment or special considerations are anticipated for patients with renal or hepatic impairment </w:t>
      </w:r>
      <w:r>
        <w:t xml:space="preserve">as </w:t>
      </w:r>
      <w:r w:rsidRPr="00FC4A82">
        <w:t>systemic exposure is negligible</w:t>
      </w:r>
      <w:r>
        <w:t xml:space="preserve"> </w:t>
      </w:r>
      <w:r w:rsidRPr="00613930">
        <w:t xml:space="preserve">(see </w:t>
      </w:r>
      <w:hyperlink w:anchor="_PHARMACOKINETIC_PROPERTIES" w:history="1">
        <w:r w:rsidRPr="00613930">
          <w:rPr>
            <w:rStyle w:val="Hyperlink"/>
          </w:rPr>
          <w:t>section 5.2 PHARMACOKINETIC PROPERTIES</w:t>
        </w:r>
      </w:hyperlink>
      <w:r w:rsidRPr="00613930">
        <w:t>).</w:t>
      </w:r>
    </w:p>
    <w:p w14:paraId="59B75E90" w14:textId="77777777" w:rsidR="00043CD2" w:rsidRPr="00002A30" w:rsidRDefault="00043CD2" w:rsidP="00002A30">
      <w:pPr>
        <w:pStyle w:val="BodyText"/>
        <w:keepNext/>
        <w:rPr>
          <w:i/>
          <w:iCs/>
        </w:rPr>
      </w:pPr>
      <w:r w:rsidRPr="00002A30">
        <w:rPr>
          <w:i/>
          <w:iCs/>
        </w:rPr>
        <w:t>Elderly</w:t>
      </w:r>
    </w:p>
    <w:p w14:paraId="6AB3901A" w14:textId="77777777" w:rsidR="00043CD2" w:rsidRPr="00194049" w:rsidRDefault="00043CD2" w:rsidP="00043CD2">
      <w:pPr>
        <w:pStyle w:val="BodyText"/>
      </w:pPr>
      <w:r w:rsidRPr="00613930">
        <w:t>No dose adjustment is required.</w:t>
      </w:r>
    </w:p>
    <w:p w14:paraId="05AC34D4" w14:textId="77777777" w:rsidR="00043CD2" w:rsidRPr="00002A30" w:rsidRDefault="00043CD2" w:rsidP="00002A30">
      <w:pPr>
        <w:pStyle w:val="BodyText"/>
        <w:keepNext/>
        <w:rPr>
          <w:i/>
          <w:iCs/>
        </w:rPr>
      </w:pPr>
      <w:r w:rsidRPr="00002A30">
        <w:rPr>
          <w:i/>
          <w:iCs/>
        </w:rPr>
        <w:t>Paediatric population</w:t>
      </w:r>
    </w:p>
    <w:p w14:paraId="3A735466" w14:textId="77777777" w:rsidR="00043CD2" w:rsidRDefault="00043CD2" w:rsidP="00043CD2">
      <w:pPr>
        <w:pStyle w:val="BodyText"/>
      </w:pPr>
      <w:r>
        <w:t>The posology in paediatric patients (6 months and older) is the same as in adults.</w:t>
      </w:r>
    </w:p>
    <w:p w14:paraId="7579AD69" w14:textId="77777777" w:rsidR="00043CD2" w:rsidRPr="00194049" w:rsidRDefault="00043CD2" w:rsidP="00043CD2">
      <w:pPr>
        <w:pStyle w:val="BodyText"/>
        <w:keepNext/>
        <w:keepLines/>
      </w:pPr>
      <w:r>
        <w:t>The safety and efficacy of FILSUVEZ in children aged less than 6 months have not been established. No data are available.</w:t>
      </w:r>
    </w:p>
    <w:p w14:paraId="08EC5C7B" w14:textId="77777777" w:rsidR="00D97081" w:rsidRPr="00194049" w:rsidRDefault="00D97081" w:rsidP="00D97081">
      <w:pPr>
        <w:pStyle w:val="Heading3"/>
        <w:keepLines/>
      </w:pPr>
      <w:r w:rsidRPr="00194049">
        <w:t>Method of administration</w:t>
      </w:r>
    </w:p>
    <w:p w14:paraId="7E31CB01" w14:textId="42532179" w:rsidR="00D97081" w:rsidRDefault="00D97081" w:rsidP="00D97081">
      <w:pPr>
        <w:pStyle w:val="BodyText"/>
      </w:pPr>
      <w:r>
        <w:t xml:space="preserve">For </w:t>
      </w:r>
      <w:r w:rsidR="0060181F">
        <w:t xml:space="preserve">topical </w:t>
      </w:r>
      <w:r>
        <w:t>application only.</w:t>
      </w:r>
    </w:p>
    <w:p w14:paraId="5745D409" w14:textId="77777777" w:rsidR="00D97081" w:rsidRDefault="00D97081" w:rsidP="00D97081">
      <w:pPr>
        <w:pStyle w:val="BodyText"/>
      </w:pPr>
      <w:bookmarkStart w:id="4" w:name="_Hlk188533707"/>
      <w:r>
        <w:t>FILSUVEZ</w:t>
      </w:r>
      <w:bookmarkEnd w:id="4"/>
      <w:r>
        <w:t xml:space="preserve"> should be applied to cleansed wounds. This medicinal product is not for ophthalmic use and should not be applied to mucous membranes.</w:t>
      </w:r>
    </w:p>
    <w:p w14:paraId="1DF671CE" w14:textId="5DD8E078" w:rsidR="00FC4A82" w:rsidRDefault="00D97081" w:rsidP="00FC4A82">
      <w:pPr>
        <w:pStyle w:val="BodyText"/>
      </w:pPr>
      <w:r>
        <w:t>Each tube is for single use only. The tube should be discarded after use</w:t>
      </w:r>
      <w:r w:rsidR="005E3C06">
        <w:t>.</w:t>
      </w:r>
    </w:p>
    <w:p w14:paraId="6AD9317E" w14:textId="0E3E75E0" w:rsidR="000C49CD" w:rsidRPr="00194049" w:rsidRDefault="00416B31" w:rsidP="00762050">
      <w:pPr>
        <w:pStyle w:val="Heading2"/>
      </w:pPr>
      <w:r w:rsidRPr="00194049">
        <w:t>CONTRAINDICATIONS</w:t>
      </w:r>
    </w:p>
    <w:p w14:paraId="294CA4CA" w14:textId="40E83B30" w:rsidR="00152F9A" w:rsidRPr="00194049" w:rsidRDefault="00613930" w:rsidP="00F22EBC">
      <w:pPr>
        <w:pStyle w:val="BodyText"/>
      </w:pPr>
      <w:r w:rsidRPr="00613930">
        <w:t xml:space="preserve">Hypersensitivity to the active substance or to the excipient listed in </w:t>
      </w:r>
      <w:hyperlink w:anchor="_6.1_LIST_OF" w:history="1">
        <w:r w:rsidR="00152F9A" w:rsidRPr="00613930">
          <w:rPr>
            <w:rStyle w:val="Hyperlink"/>
          </w:rPr>
          <w:t>section</w:t>
        </w:r>
        <w:r w:rsidRPr="00613930">
          <w:rPr>
            <w:rStyle w:val="Hyperlink"/>
          </w:rPr>
          <w:t> </w:t>
        </w:r>
        <w:r w:rsidR="00152F9A" w:rsidRPr="00194049">
          <w:rPr>
            <w:rStyle w:val="Hyperlink"/>
          </w:rPr>
          <w:t>6.1 LIST OF EXCIPIENTS</w:t>
        </w:r>
      </w:hyperlink>
      <w:r w:rsidR="00152F9A" w:rsidRPr="00194049">
        <w:t>.</w:t>
      </w:r>
    </w:p>
    <w:p w14:paraId="7C5A9027" w14:textId="6C3A5238" w:rsidR="000C49CD" w:rsidRPr="00194049" w:rsidRDefault="00416B31" w:rsidP="00762050">
      <w:pPr>
        <w:pStyle w:val="Heading2"/>
      </w:pPr>
      <w:bookmarkStart w:id="5" w:name="_4.4_SPECIAL_WARNINGS"/>
      <w:bookmarkStart w:id="6" w:name="_Hlk12286166"/>
      <w:bookmarkEnd w:id="5"/>
      <w:r w:rsidRPr="00194049">
        <w:t>SPECIAL WARNINGS AND PRECAUTIONS FOR USE</w:t>
      </w:r>
    </w:p>
    <w:bookmarkEnd w:id="6"/>
    <w:p w14:paraId="3E9FAA53" w14:textId="2C31B31F" w:rsidR="005D11FA" w:rsidRPr="00194049" w:rsidRDefault="005D11FA" w:rsidP="00B30667">
      <w:pPr>
        <w:pStyle w:val="Heading3"/>
      </w:pPr>
      <w:r w:rsidRPr="00194049">
        <w:t>I</w:t>
      </w:r>
      <w:r w:rsidR="009D7DFC" w:rsidRPr="00194049">
        <w:t xml:space="preserve">dentified </w:t>
      </w:r>
      <w:r w:rsidR="00C041F8" w:rsidRPr="00194049">
        <w:t>p</w:t>
      </w:r>
      <w:r w:rsidR="009D7DFC" w:rsidRPr="00194049">
        <w:t>recautions</w:t>
      </w:r>
    </w:p>
    <w:p w14:paraId="0E560D0B" w14:textId="36FF66BB" w:rsidR="005D11FA" w:rsidRPr="00194049" w:rsidRDefault="00A62319" w:rsidP="00B30667">
      <w:pPr>
        <w:pStyle w:val="Heading4"/>
      </w:pPr>
      <w:r w:rsidRPr="00A62319">
        <w:t>Hypersensitivity</w:t>
      </w:r>
    </w:p>
    <w:p w14:paraId="038FCCA4" w14:textId="69DADC2A" w:rsidR="001B4EAF" w:rsidRPr="00194049" w:rsidRDefault="00A62319" w:rsidP="001B4EAF">
      <w:pPr>
        <w:pStyle w:val="BodyText"/>
      </w:pPr>
      <w:r w:rsidRPr="00A62319">
        <w:t xml:space="preserve">Hypersensitivity has occurred in patients treated with </w:t>
      </w:r>
      <w:r w:rsidR="0060181F">
        <w:t>FILSUVEZ</w:t>
      </w:r>
      <w:r w:rsidRPr="00A62319">
        <w:t xml:space="preserve"> (see </w:t>
      </w:r>
      <w:hyperlink w:anchor="_ADVERSE_EFFECTS_(UNDESIRABLE" w:history="1">
        <w:r w:rsidRPr="00C87E43">
          <w:rPr>
            <w:rStyle w:val="Hyperlink"/>
          </w:rPr>
          <w:t>section 4.8 ADVERSE EFFECTS (UNDESIRABLE EFFECTS)</w:t>
        </w:r>
      </w:hyperlink>
      <w:r w:rsidRPr="00A62319">
        <w:t xml:space="preserve">). If signs and symptoms of local or systemic hypersensitivity occur, </w:t>
      </w:r>
      <w:r>
        <w:t>FILSUVEZ</w:t>
      </w:r>
      <w:r w:rsidRPr="00A62319">
        <w:t xml:space="preserve"> should be discontinued immediately and appropriate therapy should be initiated.</w:t>
      </w:r>
    </w:p>
    <w:p w14:paraId="537BE15A" w14:textId="26F54244" w:rsidR="00591C26" w:rsidRPr="00194049" w:rsidRDefault="00A62319" w:rsidP="00B30667">
      <w:pPr>
        <w:pStyle w:val="Heading4"/>
      </w:pPr>
      <w:r w:rsidRPr="00A62319">
        <w:t>Wound infection</w:t>
      </w:r>
    </w:p>
    <w:p w14:paraId="27114D81" w14:textId="4D5BBC42" w:rsidR="00591C26" w:rsidRPr="00194049" w:rsidRDefault="00A62319" w:rsidP="00591C26">
      <w:pPr>
        <w:pStyle w:val="BodyText"/>
      </w:pPr>
      <w:r w:rsidRPr="00A62319">
        <w:t xml:space="preserve">The gel is sterile. However, wound infection is an important and serious complication that can occur during wound healing. In the case of infection, it is recommended to interrupt treatment. Additional standard treatment may be required (see </w:t>
      </w:r>
      <w:hyperlink w:anchor="_4.5_INTERACTIONS_WITH_1" w:history="1">
        <w:r w:rsidRPr="00CE261E">
          <w:rPr>
            <w:rStyle w:val="Hyperlink"/>
          </w:rPr>
          <w:t>section</w:t>
        </w:r>
        <w:r w:rsidRPr="00A62319">
          <w:rPr>
            <w:rStyle w:val="Hyperlink"/>
          </w:rPr>
          <w:t> 4.5 INTERACTIONS WITH OTHER MEDICINES AND OTHER FORMS OF INTERACTIONS</w:t>
        </w:r>
      </w:hyperlink>
      <w:r w:rsidRPr="00A62319">
        <w:t xml:space="preserve">). Treatment </w:t>
      </w:r>
      <w:r w:rsidR="00F91EEC">
        <w:t xml:space="preserve">with FILSUVEZ </w:t>
      </w:r>
      <w:r w:rsidRPr="00A62319">
        <w:t>may be re-initiated once the infection has resolved.</w:t>
      </w:r>
    </w:p>
    <w:p w14:paraId="40AA486B" w14:textId="14FF760F" w:rsidR="00476700" w:rsidRPr="00194049" w:rsidRDefault="00A62319" w:rsidP="00B30667">
      <w:pPr>
        <w:pStyle w:val="Heading4"/>
      </w:pPr>
      <w:r w:rsidRPr="00A62319">
        <w:lastRenderedPageBreak/>
        <w:t>Squamous cell carcinoma and other skin malignancies</w:t>
      </w:r>
    </w:p>
    <w:p w14:paraId="7A876947" w14:textId="03C9B611" w:rsidR="001B4EAF" w:rsidRPr="00194049" w:rsidRDefault="00A62319" w:rsidP="001B4EAF">
      <w:pPr>
        <w:pStyle w:val="BodyText"/>
      </w:pPr>
      <w:r w:rsidRPr="00A62319">
        <w:t xml:space="preserve">Patients with dystrophic EB (DEB) and junctional EB (JEB) may be at increased risk of development of squamous cell carcinoma. While there has been no increased risk of skin malignancies associated with </w:t>
      </w:r>
      <w:r>
        <w:t>FILSUVEZ</w:t>
      </w:r>
      <w:r w:rsidRPr="00A62319">
        <w:t xml:space="preserve"> to date, a theoretical increased risk of skin malignancies associated with use of </w:t>
      </w:r>
      <w:r>
        <w:t>FILSUVEZ</w:t>
      </w:r>
      <w:r w:rsidRPr="00A62319">
        <w:t xml:space="preserve"> cannot be ruled out. In the case of diagnosis of squamous cell carcinoma or other skin malignancies, treatment to the affected area should be discontinued.</w:t>
      </w:r>
    </w:p>
    <w:p w14:paraId="5FA8F761" w14:textId="487FF7A6" w:rsidR="00476700" w:rsidRPr="00194049" w:rsidRDefault="00A62319" w:rsidP="00B30667">
      <w:pPr>
        <w:pStyle w:val="Heading4"/>
      </w:pPr>
      <w:r w:rsidRPr="00A62319">
        <w:t>Use in dominant dystrophic EB (DDEB) and junctional EB (JEB)</w:t>
      </w:r>
    </w:p>
    <w:p w14:paraId="764DCD59" w14:textId="4D57DE00" w:rsidR="001B4EAF" w:rsidRPr="00194049" w:rsidRDefault="00A62319" w:rsidP="00137646">
      <w:pPr>
        <w:pStyle w:val="BodyText"/>
      </w:pPr>
      <w:r w:rsidRPr="00A62319">
        <w:t xml:space="preserve">The clinical data  in patients with DDEB and JEB is limited (see </w:t>
      </w:r>
      <w:hyperlink w:anchor="_PHARMACODYNAMIC_PROPERTIES" w:history="1">
        <w:r w:rsidRPr="00C87E43">
          <w:rPr>
            <w:rStyle w:val="Hyperlink"/>
          </w:rPr>
          <w:t>section 5.1 PHARMACODYNAMIC PROPERTIES</w:t>
        </w:r>
      </w:hyperlink>
      <w:r w:rsidRPr="00A62319">
        <w:t>). The patient’s condition should be regularly evaluated to assess the benefit of continued treatment.</w:t>
      </w:r>
    </w:p>
    <w:p w14:paraId="70271B27" w14:textId="3C8DA5CA" w:rsidR="00476700" w:rsidRPr="00194049" w:rsidRDefault="00A62319" w:rsidP="00B30667">
      <w:pPr>
        <w:pStyle w:val="Heading4"/>
      </w:pPr>
      <w:r>
        <w:t>Birch pollen allergy</w:t>
      </w:r>
    </w:p>
    <w:p w14:paraId="243B9D34" w14:textId="1240286F" w:rsidR="001B4EAF" w:rsidRPr="00194049" w:rsidRDefault="00A62319" w:rsidP="00137646">
      <w:pPr>
        <w:pStyle w:val="BodyText"/>
      </w:pPr>
      <w:r>
        <w:t>FILSUVEZ</w:t>
      </w:r>
      <w:r w:rsidRPr="00A62319">
        <w:t xml:space="preserve"> is safe to use for people who are allergic to birch pollen, as these allergens are not present in this medicinal product.</w:t>
      </w:r>
    </w:p>
    <w:p w14:paraId="27499BFC" w14:textId="68AEE076" w:rsidR="00476700" w:rsidRPr="00194049" w:rsidRDefault="00A62319" w:rsidP="00B30667">
      <w:pPr>
        <w:pStyle w:val="Heading4"/>
      </w:pPr>
      <w:r w:rsidRPr="00A62319">
        <w:t>Accidental eye exposure</w:t>
      </w:r>
    </w:p>
    <w:p w14:paraId="183C6D30" w14:textId="3D640E4B" w:rsidR="001B4EAF" w:rsidRPr="00194049" w:rsidRDefault="00A62319" w:rsidP="001B4EAF">
      <w:pPr>
        <w:pStyle w:val="BodyText"/>
      </w:pPr>
      <w:r w:rsidRPr="00A62319">
        <w:t>In the case of exposure to eyes product should be removed by eye irrigation.</w:t>
      </w:r>
    </w:p>
    <w:p w14:paraId="712553FD" w14:textId="0F1B3A22" w:rsidR="007903C1" w:rsidRPr="00613930" w:rsidRDefault="007903C1" w:rsidP="00B30667">
      <w:pPr>
        <w:pStyle w:val="Heading3"/>
      </w:pPr>
      <w:r w:rsidRPr="00613930">
        <w:t>Use in the elderly</w:t>
      </w:r>
    </w:p>
    <w:p w14:paraId="4AAD85C5" w14:textId="77777777" w:rsidR="003927EA" w:rsidRPr="00613930" w:rsidRDefault="003927EA" w:rsidP="003927EA">
      <w:pPr>
        <w:pStyle w:val="BodyText"/>
      </w:pPr>
      <w:r w:rsidRPr="00613930">
        <w:t xml:space="preserve">See </w:t>
      </w:r>
      <w:hyperlink w:anchor="_4.2_DOSE_AND_1" w:history="1">
        <w:r w:rsidRPr="00CE261E">
          <w:rPr>
            <w:rStyle w:val="Hyperlink"/>
          </w:rPr>
          <w:t>section 4</w:t>
        </w:r>
        <w:r w:rsidRPr="00613930">
          <w:rPr>
            <w:rStyle w:val="Hyperlink"/>
          </w:rPr>
          <w:t>.2 DOSE AND METHOD OF ADMINISTRATION</w:t>
        </w:r>
      </w:hyperlink>
      <w:r w:rsidRPr="00613930">
        <w:t>.</w:t>
      </w:r>
    </w:p>
    <w:p w14:paraId="5B322AAE" w14:textId="77777777" w:rsidR="007903C1" w:rsidRPr="00613930" w:rsidRDefault="007903C1" w:rsidP="00B30667">
      <w:pPr>
        <w:pStyle w:val="Heading3"/>
      </w:pPr>
      <w:r w:rsidRPr="00613930">
        <w:t>Paediatric use</w:t>
      </w:r>
    </w:p>
    <w:p w14:paraId="2205ABEC" w14:textId="4D0C4A86" w:rsidR="001B4EAF" w:rsidRPr="00194049" w:rsidRDefault="00C21604" w:rsidP="001B4EAF">
      <w:pPr>
        <w:pStyle w:val="BodyText"/>
      </w:pPr>
      <w:r w:rsidRPr="00613930">
        <w:t xml:space="preserve">See </w:t>
      </w:r>
      <w:hyperlink w:anchor="_4.2_DOSE_AND_1" w:history="1">
        <w:r w:rsidRPr="00613930">
          <w:rPr>
            <w:rStyle w:val="Hyperlink"/>
          </w:rPr>
          <w:t>section 4.2 DOSE AND METHOD OF ADMINISTRATION</w:t>
        </w:r>
      </w:hyperlink>
      <w:r w:rsidR="004A1AA9" w:rsidRPr="00613930">
        <w:t>.</w:t>
      </w:r>
    </w:p>
    <w:p w14:paraId="3A66A4A5" w14:textId="77777777" w:rsidR="007903C1" w:rsidRPr="00194049" w:rsidRDefault="007903C1" w:rsidP="00B30667">
      <w:pPr>
        <w:pStyle w:val="Heading3"/>
      </w:pPr>
      <w:r w:rsidRPr="00194049">
        <w:t>Effects on laboratory tests</w:t>
      </w:r>
    </w:p>
    <w:p w14:paraId="4EA1372E" w14:textId="0CF43987" w:rsidR="001B4EAF" w:rsidRPr="00194049" w:rsidRDefault="008F7D87" w:rsidP="001B4EAF">
      <w:pPr>
        <w:pStyle w:val="BodyText"/>
      </w:pPr>
      <w:bookmarkStart w:id="7" w:name="_4.5_INTERACTIONS_WITH"/>
      <w:bookmarkEnd w:id="7"/>
      <w:r w:rsidRPr="00194049">
        <w:t>No data available.</w:t>
      </w:r>
    </w:p>
    <w:p w14:paraId="0042F57A" w14:textId="37BFDE45" w:rsidR="003D370A" w:rsidRPr="00194049" w:rsidRDefault="003D370A" w:rsidP="00762050">
      <w:pPr>
        <w:pStyle w:val="Heading2"/>
      </w:pPr>
      <w:bookmarkStart w:id="8" w:name="_4.5_INTERACTIONS_WITH_1"/>
      <w:bookmarkStart w:id="9" w:name="_INTERACTIONS_WITH_OTHER"/>
      <w:bookmarkStart w:id="10" w:name="_Hlk177304282"/>
      <w:bookmarkEnd w:id="8"/>
      <w:bookmarkEnd w:id="9"/>
      <w:r w:rsidRPr="00194049">
        <w:t>INTERACTIONS WITH OTHER MEDICINES AND OTHER FORMS OF INTERACTIONS</w:t>
      </w:r>
      <w:bookmarkEnd w:id="10"/>
    </w:p>
    <w:p w14:paraId="568C37DD" w14:textId="4DC5A43D" w:rsidR="00A62319" w:rsidRDefault="00B2069C" w:rsidP="001B4EAF">
      <w:pPr>
        <w:pStyle w:val="BodyText"/>
      </w:pPr>
      <w:r w:rsidRPr="00B2069C">
        <w:t>The major constituent of birch bark dry extract, betulin, undergoes metabolism though multiple CYP enzymes (including CYP3A4, CYP3A5, CYP2C8 and CYP2C19), with CYP3A having the greatest contribution. Non-CYP hepatic enzymes are also known to contribute to its metabolism, but they were not identified.</w:t>
      </w:r>
      <w:r>
        <w:t xml:space="preserve"> </w:t>
      </w:r>
      <w:r w:rsidR="004F4F7D" w:rsidRPr="004F4F7D">
        <w:t xml:space="preserve">No interaction studies have been performed. Since the systemic exposure of the main component betulin following cutaneous application is negligible no interaction with systemic treatments is expected. Interactions with topical products have not been investigated in clinical trials. </w:t>
      </w:r>
    </w:p>
    <w:p w14:paraId="2326584E" w14:textId="2AA26D7B" w:rsidR="00A95333" w:rsidRDefault="00A95333" w:rsidP="001B4EAF">
      <w:pPr>
        <w:pStyle w:val="BodyText"/>
      </w:pPr>
      <w:r w:rsidRPr="00A95333">
        <w:t xml:space="preserve">Based on </w:t>
      </w:r>
      <w:r w:rsidRPr="00A95333">
        <w:rPr>
          <w:i/>
          <w:iCs/>
        </w:rPr>
        <w:t>in vitro</w:t>
      </w:r>
      <w:r w:rsidRPr="00A95333">
        <w:t xml:space="preserve"> data, betulin directly inhibits CYP2C8 and CYP3A and slightly induces CYP3A4 expression. It is not known if betulin also interacts with other transporters</w:t>
      </w:r>
      <w:r>
        <w:t>.</w:t>
      </w:r>
    </w:p>
    <w:p w14:paraId="19CEAD44" w14:textId="058B92D2" w:rsidR="001B4EAF" w:rsidRPr="00194049" w:rsidRDefault="004F4F7D" w:rsidP="001B4EAF">
      <w:pPr>
        <w:pStyle w:val="BodyText"/>
      </w:pPr>
      <w:r w:rsidRPr="004F4F7D">
        <w:t xml:space="preserve">Other topical products should not be concomitantly used together with </w:t>
      </w:r>
      <w:r w:rsidR="00A62319">
        <w:t>FILSUVEZ</w:t>
      </w:r>
      <w:r w:rsidRPr="004F4F7D">
        <w:t xml:space="preserve"> but rather sequentially or alternatively depending on the clinical need.</w:t>
      </w:r>
    </w:p>
    <w:p w14:paraId="799C7809" w14:textId="04964C47" w:rsidR="000C49CD" w:rsidRPr="00194049" w:rsidRDefault="000C616B" w:rsidP="00762050">
      <w:pPr>
        <w:pStyle w:val="Heading2"/>
      </w:pPr>
      <w:r w:rsidRPr="00194049">
        <w:lastRenderedPageBreak/>
        <w:t>FERTILITY, PREGNANCY AND LACTATION</w:t>
      </w:r>
    </w:p>
    <w:p w14:paraId="02B5EC28" w14:textId="77777777" w:rsidR="000C616B" w:rsidRPr="00194049" w:rsidRDefault="000C616B" w:rsidP="00B30667">
      <w:pPr>
        <w:pStyle w:val="Heading3"/>
      </w:pPr>
      <w:r w:rsidRPr="00194049">
        <w:t>Effects on fertility</w:t>
      </w:r>
    </w:p>
    <w:p w14:paraId="44387F83" w14:textId="15DC9BF2" w:rsidR="001B4EAF" w:rsidRPr="00194049" w:rsidRDefault="004F4F7D" w:rsidP="001B4EAF">
      <w:pPr>
        <w:pStyle w:val="BodyText"/>
      </w:pPr>
      <w:r w:rsidRPr="004F4F7D">
        <w:t xml:space="preserve">No adverse effects on fertility were observed in male and female rats </w:t>
      </w:r>
      <w:r w:rsidR="00B233A8">
        <w:t xml:space="preserve">orally </w:t>
      </w:r>
      <w:r w:rsidRPr="004F4F7D">
        <w:t>administered birch bark extract</w:t>
      </w:r>
      <w:r w:rsidR="006313F0">
        <w:t xml:space="preserve"> </w:t>
      </w:r>
      <w:r w:rsidR="006313F0" w:rsidRPr="006313F0">
        <w:t>at dose levels up to 100 mg/kg/day</w:t>
      </w:r>
      <w:r w:rsidRPr="004F4F7D">
        <w:t>. No effects on human fertility are anticipated, since the systemic exposure is negligible.</w:t>
      </w:r>
    </w:p>
    <w:p w14:paraId="50F25392" w14:textId="4D6931D8" w:rsidR="000C616B" w:rsidRPr="00194049" w:rsidRDefault="000C616B" w:rsidP="00B30667">
      <w:pPr>
        <w:pStyle w:val="Heading3"/>
      </w:pPr>
      <w:r w:rsidRPr="00B831C3">
        <w:t>Use in pregnancy</w:t>
      </w:r>
      <w:r w:rsidR="00AE1B6A" w:rsidRPr="00B831C3">
        <w:t xml:space="preserve"> </w:t>
      </w:r>
      <w:r w:rsidR="004F4F7D" w:rsidRPr="00B831C3">
        <w:t>(</w:t>
      </w:r>
      <w:r w:rsidR="00AE1B6A" w:rsidRPr="00B831C3">
        <w:t xml:space="preserve">Category </w:t>
      </w:r>
      <w:r w:rsidR="00020FA8" w:rsidRPr="00B831C3">
        <w:t>B</w:t>
      </w:r>
      <w:r w:rsidR="004F4F7D" w:rsidRPr="00B831C3">
        <w:t>1)</w:t>
      </w:r>
    </w:p>
    <w:p w14:paraId="1A2FBE4B" w14:textId="46E2653B" w:rsidR="004F4F7D" w:rsidRDefault="004F4F7D" w:rsidP="001B4EAF">
      <w:pPr>
        <w:pStyle w:val="BodyText"/>
      </w:pPr>
      <w:r w:rsidRPr="004F4F7D">
        <w:t xml:space="preserve">There are no data from the use of </w:t>
      </w:r>
      <w:r>
        <w:t>FILSUVEZ</w:t>
      </w:r>
      <w:r w:rsidRPr="004F4F7D">
        <w:t xml:space="preserve"> in pregnant women. No effects during pregnancy are anticipated, since systemic exposure to </w:t>
      </w:r>
      <w:r>
        <w:t>FILSUVEZ</w:t>
      </w:r>
      <w:r w:rsidRPr="004F4F7D">
        <w:t xml:space="preserve"> is negligible. </w:t>
      </w:r>
      <w:r>
        <w:t>FILSUVEZ</w:t>
      </w:r>
      <w:r w:rsidRPr="004F4F7D">
        <w:t xml:space="preserve"> can be used during pregnancy.</w:t>
      </w:r>
    </w:p>
    <w:p w14:paraId="066137AA" w14:textId="57F36C53" w:rsidR="001B4EAF" w:rsidRPr="00194049" w:rsidRDefault="001904EC" w:rsidP="001904EC">
      <w:pPr>
        <w:pStyle w:val="BodyText"/>
      </w:pPr>
      <w:r>
        <w:t xml:space="preserve">In an embryofetal development study, birch triterpenes were orally administered to pregnant rats at doses of 10, 30, or 100 mg/kg/day during the period of organogenesis. Birch triterpenes did not cause maternal toxicity or fetal malformations at doses up to 100 mg/kg/day. In a prenatal and postnatal development study, birch triterpenes were orally administered to pregnant rats at doses of 10, 30, or 100 mg/kg/day from gestation day 5 through lactation day 20. Birch triterpenes did not affect development at doses up to 100 mg/kg/day. </w:t>
      </w:r>
      <w:r w:rsidR="004621A4" w:rsidRPr="004621A4">
        <w:t>Given that the animal studies involved oral administration, systemic exposures are expected to be substantially higher than those achieved clinically via dermal application.</w:t>
      </w:r>
    </w:p>
    <w:p w14:paraId="777063D0" w14:textId="77777777" w:rsidR="000C616B" w:rsidRPr="00194049" w:rsidRDefault="000C616B" w:rsidP="00B30667">
      <w:pPr>
        <w:pStyle w:val="Heading3"/>
      </w:pPr>
      <w:r w:rsidRPr="00194049">
        <w:t>Use in lactation</w:t>
      </w:r>
    </w:p>
    <w:p w14:paraId="2E5D3288" w14:textId="77777777" w:rsidR="004F4F7D" w:rsidRDefault="004F4F7D" w:rsidP="001B4EAF">
      <w:pPr>
        <w:pStyle w:val="BodyText"/>
      </w:pPr>
      <w:r w:rsidRPr="004F4F7D">
        <w:t xml:space="preserve">It is unknown whether birch bark extract/metabolites are excreted in human milk. </w:t>
      </w:r>
    </w:p>
    <w:p w14:paraId="4347449A" w14:textId="48684DB8" w:rsidR="001B4EAF" w:rsidRPr="00194049" w:rsidRDefault="004F4F7D" w:rsidP="001B4EAF">
      <w:pPr>
        <w:pStyle w:val="BodyText"/>
      </w:pPr>
      <w:r w:rsidRPr="004F4F7D">
        <w:t xml:space="preserve">No effects on the breastfed newborn/infant are anticipated since the systemic exposure of the breastfeeding woman to </w:t>
      </w:r>
      <w:r>
        <w:t>FILSUVEZ</w:t>
      </w:r>
      <w:r w:rsidRPr="004F4F7D">
        <w:t xml:space="preserve"> is negligible. </w:t>
      </w:r>
      <w:r>
        <w:t>FILSUVEZ</w:t>
      </w:r>
      <w:r w:rsidRPr="004F4F7D">
        <w:t xml:space="preserve"> can be used during breast-feeding, unless the chest area is subject to treatment.</w:t>
      </w:r>
    </w:p>
    <w:p w14:paraId="12AC9A2E" w14:textId="43B10112" w:rsidR="000C49CD" w:rsidRPr="00194049" w:rsidRDefault="000C616B" w:rsidP="00762050">
      <w:pPr>
        <w:pStyle w:val="Heading2"/>
      </w:pPr>
      <w:r w:rsidRPr="00194049">
        <w:t>EFFECTS ON ABILITY TO DRIVE AND USE MACHINES</w:t>
      </w:r>
    </w:p>
    <w:p w14:paraId="5E13C6C5" w14:textId="6D306AFD" w:rsidR="001B4EAF" w:rsidRPr="00194049" w:rsidRDefault="004F4F7D" w:rsidP="001B4EAF">
      <w:pPr>
        <w:pStyle w:val="BodyText"/>
      </w:pPr>
      <w:bookmarkStart w:id="11" w:name="_4.8_ADVERSE_EFFECTS"/>
      <w:bookmarkEnd w:id="11"/>
      <w:r>
        <w:t>FILSUVEZ</w:t>
      </w:r>
      <w:r w:rsidRPr="004F4F7D">
        <w:t xml:space="preserve"> has no or negligible influence on the ability to drive and use machines.</w:t>
      </w:r>
    </w:p>
    <w:p w14:paraId="48A4DD24" w14:textId="266BFE09" w:rsidR="000C49CD" w:rsidRPr="00194049" w:rsidRDefault="00B04F0E" w:rsidP="00762050">
      <w:pPr>
        <w:pStyle w:val="Heading2"/>
      </w:pPr>
      <w:bookmarkStart w:id="12" w:name="_4.8_ADVERSE_EFFECTS_1"/>
      <w:bookmarkStart w:id="13" w:name="_ADVERSE_EFFECTS_(UNDESIRABLE"/>
      <w:bookmarkEnd w:id="12"/>
      <w:bookmarkEnd w:id="13"/>
      <w:r w:rsidRPr="00194049">
        <w:t>ADVERSE EFFECTS (UNDESIRABLE EFFECTS)</w:t>
      </w:r>
    </w:p>
    <w:p w14:paraId="37BD64EF" w14:textId="0C092133" w:rsidR="001B4EAF" w:rsidRDefault="00774843" w:rsidP="00B30667">
      <w:pPr>
        <w:pStyle w:val="Heading3"/>
      </w:pPr>
      <w:r>
        <w:t>EASE clinical trial</w:t>
      </w:r>
    </w:p>
    <w:p w14:paraId="281F750E" w14:textId="6919AC1E" w:rsidR="00774843" w:rsidRDefault="00774843" w:rsidP="00774843">
      <w:pPr>
        <w:pStyle w:val="BodyText"/>
      </w:pPr>
      <w:r>
        <w:t xml:space="preserve">The safety of FILSUVEZ was evaluated in the EASE study, a randomised, double-blind, multicentre, controlled trial in 223 adult and paediatric subjects with inherited EB. During the double-blind phase of EASE, subjects received topical treatment with either FILSUVEZ or a </w:t>
      </w:r>
      <w:r w:rsidR="00C207C8">
        <w:t xml:space="preserve">control </w:t>
      </w:r>
      <w:r>
        <w:t>gel on partial-thickness wounds every 1 to 4 days for a total of 90 days.</w:t>
      </w:r>
    </w:p>
    <w:p w14:paraId="0CC007BE" w14:textId="7C1D7AFF" w:rsidR="00774843" w:rsidRPr="00774843" w:rsidRDefault="00774843" w:rsidP="00774843">
      <w:pPr>
        <w:pStyle w:val="BodyText"/>
      </w:pPr>
      <w:r w:rsidRPr="00774843">
        <w:rPr>
          <w:color w:val="0000FF"/>
        </w:rPr>
        <w:fldChar w:fldCharType="begin"/>
      </w:r>
      <w:r w:rsidRPr="00774843">
        <w:rPr>
          <w:color w:val="0000FF"/>
        </w:rPr>
        <w:instrText xml:space="preserve"> REF _Ref188536265 \h </w:instrText>
      </w:r>
      <w:r>
        <w:rPr>
          <w:color w:val="0000FF"/>
        </w:rPr>
        <w:instrText xml:space="preserve"> \* MERGEFORMAT </w:instrText>
      </w:r>
      <w:r w:rsidRPr="00774843">
        <w:rPr>
          <w:color w:val="0000FF"/>
        </w:rPr>
      </w:r>
      <w:r w:rsidRPr="00774843">
        <w:rPr>
          <w:color w:val="0000FF"/>
        </w:rPr>
        <w:fldChar w:fldCharType="separate"/>
      </w:r>
      <w:r w:rsidR="0037044B" w:rsidRPr="0037044B">
        <w:rPr>
          <w:color w:val="0000FF"/>
        </w:rPr>
        <w:t>Table 1</w:t>
      </w:r>
      <w:r w:rsidRPr="00774843">
        <w:rPr>
          <w:color w:val="0000FF"/>
        </w:rPr>
        <w:fldChar w:fldCharType="end"/>
      </w:r>
      <w:r>
        <w:t xml:space="preserve"> presents adverse events that occurred in at least 2% of subjects treated with FILSUVEZ</w:t>
      </w:r>
      <w:r w:rsidR="00833952">
        <w:t xml:space="preserve"> in the EASE study</w:t>
      </w:r>
      <w:r>
        <w:t>.</w:t>
      </w:r>
    </w:p>
    <w:p w14:paraId="1529087A" w14:textId="514E8557" w:rsidR="006177B2" w:rsidRPr="00C90829" w:rsidRDefault="00774843" w:rsidP="00774843">
      <w:pPr>
        <w:pStyle w:val="Caption"/>
      </w:pPr>
      <w:bookmarkStart w:id="14" w:name="_Ref188536265"/>
      <w:bookmarkStart w:id="15" w:name="_Toc188526078"/>
      <w:r>
        <w:t xml:space="preserve">Table </w:t>
      </w:r>
      <w:r>
        <w:fldChar w:fldCharType="begin"/>
      </w:r>
      <w:r>
        <w:instrText>SEQ Table \* ARABIC</w:instrText>
      </w:r>
      <w:r>
        <w:fldChar w:fldCharType="separate"/>
      </w:r>
      <w:r w:rsidR="0037044B">
        <w:rPr>
          <w:noProof/>
        </w:rPr>
        <w:t>1</w:t>
      </w:r>
      <w:r>
        <w:fldChar w:fldCharType="end"/>
      </w:r>
      <w:bookmarkEnd w:id="14"/>
      <w:r w:rsidR="006177B2" w:rsidRPr="00C90829">
        <w:t xml:space="preserve">. Adverse events </w:t>
      </w:r>
      <w:r w:rsidR="006177B2">
        <w:t>which occurred in</w:t>
      </w:r>
      <w:r w:rsidR="006177B2" w:rsidRPr="00C90829">
        <w:t xml:space="preserve"> &gt;2% </w:t>
      </w:r>
      <w:r>
        <w:t xml:space="preserve">FILSUVEZ-treated </w:t>
      </w:r>
      <w:r w:rsidR="006177B2" w:rsidRPr="00C90829">
        <w:t xml:space="preserve">subjects in </w:t>
      </w:r>
      <w:r>
        <w:t>the EASE s</w:t>
      </w:r>
      <w:r w:rsidR="006177B2" w:rsidRPr="00C90829">
        <w:t>tudy</w:t>
      </w:r>
      <w:bookmarkEnd w:id="15"/>
    </w:p>
    <w:tbl>
      <w:tblPr>
        <w:tblStyle w:val="TableGrid"/>
        <w:tblW w:w="0" w:type="auto"/>
        <w:tblLook w:val="04A0" w:firstRow="1" w:lastRow="0" w:firstColumn="1" w:lastColumn="0" w:noHBand="0" w:noVBand="1"/>
      </w:tblPr>
      <w:tblGrid>
        <w:gridCol w:w="4815"/>
        <w:gridCol w:w="2264"/>
        <w:gridCol w:w="2549"/>
      </w:tblGrid>
      <w:tr w:rsidR="006177B2" w:rsidRPr="00C90829" w14:paraId="082D37B1" w14:textId="77777777" w:rsidTr="008E6EE6">
        <w:trPr>
          <w:tblHeader/>
        </w:trPr>
        <w:tc>
          <w:tcPr>
            <w:tcW w:w="4815" w:type="dxa"/>
            <w:vAlign w:val="center"/>
          </w:tcPr>
          <w:p w14:paraId="6236DBED" w14:textId="77777777" w:rsidR="006177B2" w:rsidRPr="00C90829" w:rsidRDefault="006177B2" w:rsidP="008E6EE6">
            <w:pPr>
              <w:pStyle w:val="BodyText"/>
              <w:spacing w:before="20" w:after="20"/>
              <w:rPr>
                <w:b/>
                <w:bCs/>
                <w:sz w:val="20"/>
                <w:szCs w:val="20"/>
              </w:rPr>
            </w:pPr>
            <w:r w:rsidRPr="00C90829">
              <w:rPr>
                <w:b/>
                <w:bCs/>
                <w:sz w:val="20"/>
                <w:szCs w:val="20"/>
              </w:rPr>
              <w:t>Adverse Event</w:t>
            </w:r>
          </w:p>
        </w:tc>
        <w:tc>
          <w:tcPr>
            <w:tcW w:w="2264" w:type="dxa"/>
            <w:vAlign w:val="center"/>
          </w:tcPr>
          <w:p w14:paraId="6DA0085C" w14:textId="77777777" w:rsidR="006177B2" w:rsidRPr="00C90829" w:rsidRDefault="006177B2" w:rsidP="008E6EE6">
            <w:pPr>
              <w:pStyle w:val="BodyText"/>
              <w:spacing w:before="20" w:after="20"/>
              <w:jc w:val="center"/>
              <w:rPr>
                <w:b/>
                <w:bCs/>
                <w:sz w:val="20"/>
                <w:szCs w:val="20"/>
              </w:rPr>
            </w:pPr>
            <w:r w:rsidRPr="00C90829">
              <w:rPr>
                <w:b/>
                <w:bCs/>
                <w:sz w:val="20"/>
                <w:szCs w:val="20"/>
              </w:rPr>
              <w:t>FILSUVEZ (n = 109)</w:t>
            </w:r>
          </w:p>
          <w:p w14:paraId="2F6D9587" w14:textId="77777777" w:rsidR="006177B2" w:rsidRPr="00C90829" w:rsidRDefault="006177B2" w:rsidP="008E6EE6">
            <w:pPr>
              <w:pStyle w:val="BodyText"/>
              <w:spacing w:before="20" w:after="20"/>
              <w:jc w:val="center"/>
              <w:rPr>
                <w:b/>
                <w:bCs/>
                <w:sz w:val="20"/>
                <w:szCs w:val="20"/>
              </w:rPr>
            </w:pPr>
            <w:r w:rsidRPr="00C90829">
              <w:rPr>
                <w:b/>
                <w:bCs/>
                <w:sz w:val="20"/>
                <w:szCs w:val="20"/>
              </w:rPr>
              <w:t>n (%)</w:t>
            </w:r>
          </w:p>
        </w:tc>
        <w:tc>
          <w:tcPr>
            <w:tcW w:w="2549" w:type="dxa"/>
            <w:vAlign w:val="center"/>
          </w:tcPr>
          <w:p w14:paraId="1A0E294C" w14:textId="77777777" w:rsidR="006177B2" w:rsidRPr="00C90829" w:rsidRDefault="006177B2" w:rsidP="008E6EE6">
            <w:pPr>
              <w:pStyle w:val="BodyText"/>
              <w:spacing w:before="20" w:after="20"/>
              <w:jc w:val="center"/>
              <w:rPr>
                <w:b/>
                <w:bCs/>
                <w:sz w:val="20"/>
                <w:szCs w:val="20"/>
              </w:rPr>
            </w:pPr>
            <w:r w:rsidRPr="00C90829">
              <w:rPr>
                <w:b/>
                <w:bCs/>
                <w:sz w:val="20"/>
                <w:szCs w:val="20"/>
              </w:rPr>
              <w:t>Control gel (n = 114)</w:t>
            </w:r>
          </w:p>
          <w:p w14:paraId="2C530680" w14:textId="77777777" w:rsidR="006177B2" w:rsidRPr="00C90829" w:rsidRDefault="006177B2" w:rsidP="008E6EE6">
            <w:pPr>
              <w:pStyle w:val="BodyText"/>
              <w:spacing w:before="20" w:after="20"/>
              <w:jc w:val="center"/>
              <w:rPr>
                <w:b/>
                <w:bCs/>
                <w:sz w:val="20"/>
                <w:szCs w:val="20"/>
              </w:rPr>
            </w:pPr>
            <w:r w:rsidRPr="00C90829">
              <w:rPr>
                <w:b/>
                <w:bCs/>
                <w:sz w:val="20"/>
                <w:szCs w:val="20"/>
              </w:rPr>
              <w:t>n (%)</w:t>
            </w:r>
          </w:p>
        </w:tc>
      </w:tr>
      <w:tr w:rsidR="006177B2" w:rsidRPr="00C90829" w14:paraId="5C1A81A6" w14:textId="77777777" w:rsidTr="008E6EE6">
        <w:tc>
          <w:tcPr>
            <w:tcW w:w="4815" w:type="dxa"/>
          </w:tcPr>
          <w:p w14:paraId="4071DBDD" w14:textId="77777777" w:rsidR="006177B2" w:rsidRPr="00C90829" w:rsidRDefault="006177B2" w:rsidP="008E6EE6">
            <w:pPr>
              <w:pStyle w:val="BodyText"/>
              <w:spacing w:before="20" w:after="20"/>
              <w:rPr>
                <w:sz w:val="20"/>
                <w:szCs w:val="20"/>
              </w:rPr>
            </w:pPr>
            <w:r w:rsidRPr="00C90829">
              <w:rPr>
                <w:sz w:val="20"/>
                <w:szCs w:val="20"/>
              </w:rPr>
              <w:t>Wound complication</w:t>
            </w:r>
          </w:p>
        </w:tc>
        <w:tc>
          <w:tcPr>
            <w:tcW w:w="2264" w:type="dxa"/>
            <w:vAlign w:val="center"/>
          </w:tcPr>
          <w:p w14:paraId="6B0C8985" w14:textId="77777777" w:rsidR="006177B2" w:rsidRPr="00C90829" w:rsidRDefault="006177B2" w:rsidP="008E6EE6">
            <w:pPr>
              <w:pStyle w:val="BodyText"/>
              <w:spacing w:before="20" w:after="20"/>
              <w:jc w:val="center"/>
              <w:rPr>
                <w:sz w:val="20"/>
                <w:szCs w:val="20"/>
              </w:rPr>
            </w:pPr>
            <w:r w:rsidRPr="00C90829">
              <w:rPr>
                <w:sz w:val="20"/>
                <w:szCs w:val="20"/>
              </w:rPr>
              <w:t>67 (61.5)</w:t>
            </w:r>
          </w:p>
        </w:tc>
        <w:tc>
          <w:tcPr>
            <w:tcW w:w="2549" w:type="dxa"/>
            <w:vAlign w:val="center"/>
          </w:tcPr>
          <w:p w14:paraId="5B04A428" w14:textId="77777777" w:rsidR="006177B2" w:rsidRPr="00C90829" w:rsidRDefault="006177B2" w:rsidP="008E6EE6">
            <w:pPr>
              <w:pStyle w:val="BodyText"/>
              <w:spacing w:before="20" w:after="20"/>
              <w:jc w:val="center"/>
              <w:rPr>
                <w:sz w:val="20"/>
                <w:szCs w:val="20"/>
              </w:rPr>
            </w:pPr>
            <w:r w:rsidRPr="00C90829">
              <w:rPr>
                <w:sz w:val="20"/>
                <w:szCs w:val="20"/>
              </w:rPr>
              <w:t>61 (53.5)</w:t>
            </w:r>
          </w:p>
        </w:tc>
      </w:tr>
      <w:tr w:rsidR="00736783" w:rsidRPr="00C90829" w14:paraId="69A4562C" w14:textId="77777777" w:rsidTr="008E6EE6">
        <w:tc>
          <w:tcPr>
            <w:tcW w:w="4815" w:type="dxa"/>
          </w:tcPr>
          <w:p w14:paraId="0AA2FAE2" w14:textId="77777777" w:rsidR="00736783" w:rsidRPr="00C90829" w:rsidRDefault="00736783" w:rsidP="008E6EE6">
            <w:pPr>
              <w:pStyle w:val="BodyText"/>
              <w:spacing w:before="20" w:after="20"/>
              <w:rPr>
                <w:sz w:val="20"/>
                <w:szCs w:val="20"/>
              </w:rPr>
            </w:pPr>
            <w:r w:rsidRPr="00C90829">
              <w:rPr>
                <w:sz w:val="20"/>
                <w:szCs w:val="20"/>
              </w:rPr>
              <w:lastRenderedPageBreak/>
              <w:t>Pyrexia</w:t>
            </w:r>
          </w:p>
        </w:tc>
        <w:tc>
          <w:tcPr>
            <w:tcW w:w="2264" w:type="dxa"/>
            <w:vAlign w:val="center"/>
          </w:tcPr>
          <w:p w14:paraId="297F67A0" w14:textId="77777777" w:rsidR="00736783" w:rsidRPr="00C90829" w:rsidRDefault="00736783" w:rsidP="008E6EE6">
            <w:pPr>
              <w:pStyle w:val="BodyText"/>
              <w:spacing w:before="20" w:after="20"/>
              <w:jc w:val="center"/>
              <w:rPr>
                <w:sz w:val="20"/>
                <w:szCs w:val="20"/>
              </w:rPr>
            </w:pPr>
            <w:r w:rsidRPr="00C90829">
              <w:rPr>
                <w:sz w:val="20"/>
                <w:szCs w:val="20"/>
              </w:rPr>
              <w:t>9 (8.3)</w:t>
            </w:r>
          </w:p>
        </w:tc>
        <w:tc>
          <w:tcPr>
            <w:tcW w:w="2549" w:type="dxa"/>
            <w:vAlign w:val="center"/>
          </w:tcPr>
          <w:p w14:paraId="17B72F75" w14:textId="77777777" w:rsidR="00736783" w:rsidRPr="00C90829" w:rsidRDefault="00736783" w:rsidP="008E6EE6">
            <w:pPr>
              <w:pStyle w:val="BodyText"/>
              <w:spacing w:before="20" w:after="20"/>
              <w:jc w:val="center"/>
              <w:rPr>
                <w:sz w:val="20"/>
                <w:szCs w:val="20"/>
              </w:rPr>
            </w:pPr>
            <w:r w:rsidRPr="00C90829">
              <w:rPr>
                <w:sz w:val="20"/>
                <w:szCs w:val="20"/>
              </w:rPr>
              <w:t>15 (13.2)</w:t>
            </w:r>
          </w:p>
        </w:tc>
      </w:tr>
      <w:tr w:rsidR="00736783" w:rsidRPr="00C90829" w14:paraId="7E1D64DE" w14:textId="77777777" w:rsidTr="008E6EE6">
        <w:tc>
          <w:tcPr>
            <w:tcW w:w="4815" w:type="dxa"/>
          </w:tcPr>
          <w:p w14:paraId="646C7E64" w14:textId="77777777" w:rsidR="00736783" w:rsidRPr="00C90829" w:rsidRDefault="00736783" w:rsidP="008E6EE6">
            <w:pPr>
              <w:pStyle w:val="BodyText"/>
              <w:spacing w:before="20" w:after="20"/>
              <w:rPr>
                <w:sz w:val="20"/>
                <w:szCs w:val="20"/>
              </w:rPr>
            </w:pPr>
            <w:r w:rsidRPr="00C90829">
              <w:rPr>
                <w:sz w:val="20"/>
                <w:szCs w:val="20"/>
              </w:rPr>
              <w:t>Wound infection</w:t>
            </w:r>
          </w:p>
        </w:tc>
        <w:tc>
          <w:tcPr>
            <w:tcW w:w="2264" w:type="dxa"/>
            <w:vAlign w:val="center"/>
          </w:tcPr>
          <w:p w14:paraId="3139BD96" w14:textId="77777777" w:rsidR="00736783" w:rsidRPr="00C90829" w:rsidRDefault="00736783" w:rsidP="008E6EE6">
            <w:pPr>
              <w:pStyle w:val="BodyText"/>
              <w:spacing w:before="20" w:after="20"/>
              <w:jc w:val="center"/>
              <w:rPr>
                <w:sz w:val="20"/>
                <w:szCs w:val="20"/>
              </w:rPr>
            </w:pPr>
            <w:r w:rsidRPr="00C90829">
              <w:rPr>
                <w:sz w:val="20"/>
                <w:szCs w:val="20"/>
              </w:rPr>
              <w:t>8 (7.3)</w:t>
            </w:r>
          </w:p>
        </w:tc>
        <w:tc>
          <w:tcPr>
            <w:tcW w:w="2549" w:type="dxa"/>
            <w:vAlign w:val="center"/>
          </w:tcPr>
          <w:p w14:paraId="0F2AF59E" w14:textId="77777777" w:rsidR="00736783" w:rsidRPr="00C90829" w:rsidRDefault="00736783" w:rsidP="008E6EE6">
            <w:pPr>
              <w:pStyle w:val="BodyText"/>
              <w:spacing w:before="20" w:after="20"/>
              <w:jc w:val="center"/>
              <w:rPr>
                <w:sz w:val="20"/>
                <w:szCs w:val="20"/>
              </w:rPr>
            </w:pPr>
            <w:r w:rsidRPr="00C90829">
              <w:rPr>
                <w:sz w:val="20"/>
                <w:szCs w:val="20"/>
              </w:rPr>
              <w:t>10 (8.8)</w:t>
            </w:r>
          </w:p>
        </w:tc>
      </w:tr>
      <w:tr w:rsidR="00736783" w:rsidRPr="00C90829" w14:paraId="663D548F" w14:textId="77777777" w:rsidTr="008E6EE6">
        <w:tc>
          <w:tcPr>
            <w:tcW w:w="4815" w:type="dxa"/>
          </w:tcPr>
          <w:p w14:paraId="6F43261D" w14:textId="77777777" w:rsidR="00736783" w:rsidRPr="00C90829" w:rsidRDefault="00736783" w:rsidP="008E6EE6">
            <w:pPr>
              <w:pStyle w:val="BodyText"/>
              <w:spacing w:before="20" w:after="20"/>
              <w:rPr>
                <w:sz w:val="20"/>
                <w:szCs w:val="20"/>
              </w:rPr>
            </w:pPr>
            <w:r w:rsidRPr="00C90829">
              <w:rPr>
                <w:sz w:val="20"/>
                <w:szCs w:val="20"/>
              </w:rPr>
              <w:t>Pruritus</w:t>
            </w:r>
          </w:p>
        </w:tc>
        <w:tc>
          <w:tcPr>
            <w:tcW w:w="2264" w:type="dxa"/>
            <w:vAlign w:val="center"/>
          </w:tcPr>
          <w:p w14:paraId="7E1A2BFB" w14:textId="77777777" w:rsidR="00736783" w:rsidRPr="00C90829" w:rsidRDefault="00736783" w:rsidP="008E6EE6">
            <w:pPr>
              <w:pStyle w:val="BodyText"/>
              <w:spacing w:before="20" w:after="20"/>
              <w:jc w:val="center"/>
              <w:rPr>
                <w:sz w:val="20"/>
                <w:szCs w:val="20"/>
              </w:rPr>
            </w:pPr>
            <w:r w:rsidRPr="00C90829">
              <w:rPr>
                <w:sz w:val="20"/>
                <w:szCs w:val="20"/>
              </w:rPr>
              <w:t>8 (7.3)</w:t>
            </w:r>
          </w:p>
        </w:tc>
        <w:tc>
          <w:tcPr>
            <w:tcW w:w="2549" w:type="dxa"/>
            <w:vAlign w:val="center"/>
          </w:tcPr>
          <w:p w14:paraId="4D16295B" w14:textId="77777777" w:rsidR="00736783" w:rsidRPr="00C90829" w:rsidRDefault="00736783" w:rsidP="008E6EE6">
            <w:pPr>
              <w:pStyle w:val="BodyText"/>
              <w:spacing w:before="20" w:after="20"/>
              <w:jc w:val="center"/>
              <w:rPr>
                <w:sz w:val="20"/>
                <w:szCs w:val="20"/>
              </w:rPr>
            </w:pPr>
            <w:r w:rsidRPr="00C90829">
              <w:rPr>
                <w:sz w:val="20"/>
                <w:szCs w:val="20"/>
              </w:rPr>
              <w:t>6 (5.3)</w:t>
            </w:r>
          </w:p>
        </w:tc>
      </w:tr>
      <w:tr w:rsidR="00736783" w:rsidRPr="00C90829" w14:paraId="69305827" w14:textId="77777777" w:rsidTr="008E6EE6">
        <w:tc>
          <w:tcPr>
            <w:tcW w:w="4815" w:type="dxa"/>
          </w:tcPr>
          <w:p w14:paraId="314DF9AA" w14:textId="77777777" w:rsidR="00736783" w:rsidRPr="00C90829" w:rsidRDefault="00736783" w:rsidP="008E6EE6">
            <w:pPr>
              <w:pStyle w:val="BodyText"/>
              <w:spacing w:before="20" w:after="20"/>
              <w:rPr>
                <w:sz w:val="20"/>
                <w:szCs w:val="20"/>
              </w:rPr>
            </w:pPr>
            <w:r w:rsidRPr="00C90829">
              <w:rPr>
                <w:sz w:val="20"/>
                <w:szCs w:val="20"/>
              </w:rPr>
              <w:t>Anaemia</w:t>
            </w:r>
          </w:p>
        </w:tc>
        <w:tc>
          <w:tcPr>
            <w:tcW w:w="2264" w:type="dxa"/>
            <w:vAlign w:val="center"/>
          </w:tcPr>
          <w:p w14:paraId="176FBC29" w14:textId="77777777" w:rsidR="00736783" w:rsidRPr="00C90829" w:rsidRDefault="00736783" w:rsidP="008E6EE6">
            <w:pPr>
              <w:pStyle w:val="BodyText"/>
              <w:spacing w:before="20" w:after="20"/>
              <w:jc w:val="center"/>
              <w:rPr>
                <w:sz w:val="20"/>
                <w:szCs w:val="20"/>
              </w:rPr>
            </w:pPr>
            <w:r w:rsidRPr="00C90829">
              <w:rPr>
                <w:sz w:val="20"/>
                <w:szCs w:val="20"/>
              </w:rPr>
              <w:t>8 (7.3)</w:t>
            </w:r>
          </w:p>
        </w:tc>
        <w:tc>
          <w:tcPr>
            <w:tcW w:w="2549" w:type="dxa"/>
            <w:vAlign w:val="center"/>
          </w:tcPr>
          <w:p w14:paraId="34923CB9" w14:textId="77777777" w:rsidR="00736783" w:rsidRPr="00C90829" w:rsidRDefault="00736783" w:rsidP="008E6EE6">
            <w:pPr>
              <w:pStyle w:val="BodyText"/>
              <w:spacing w:before="20" w:after="20"/>
              <w:jc w:val="center"/>
              <w:rPr>
                <w:sz w:val="20"/>
                <w:szCs w:val="20"/>
              </w:rPr>
            </w:pPr>
            <w:r w:rsidRPr="00C90829">
              <w:rPr>
                <w:sz w:val="20"/>
                <w:szCs w:val="20"/>
              </w:rPr>
              <w:t>4 (3.5)</w:t>
            </w:r>
          </w:p>
        </w:tc>
      </w:tr>
      <w:tr w:rsidR="006177B2" w:rsidRPr="00C90829" w14:paraId="7152CDEB" w14:textId="77777777" w:rsidTr="008E6EE6">
        <w:tc>
          <w:tcPr>
            <w:tcW w:w="4815" w:type="dxa"/>
          </w:tcPr>
          <w:p w14:paraId="7FECA574" w14:textId="77777777" w:rsidR="006177B2" w:rsidRPr="00C90829" w:rsidRDefault="006177B2" w:rsidP="008E6EE6">
            <w:pPr>
              <w:pStyle w:val="BodyText"/>
              <w:spacing w:before="20" w:after="20"/>
              <w:rPr>
                <w:sz w:val="20"/>
                <w:szCs w:val="20"/>
              </w:rPr>
            </w:pPr>
            <w:r w:rsidRPr="00C90829">
              <w:rPr>
                <w:sz w:val="20"/>
                <w:szCs w:val="20"/>
              </w:rPr>
              <w:t>Fall</w:t>
            </w:r>
          </w:p>
        </w:tc>
        <w:tc>
          <w:tcPr>
            <w:tcW w:w="2264" w:type="dxa"/>
            <w:vAlign w:val="center"/>
          </w:tcPr>
          <w:p w14:paraId="34943F6A" w14:textId="77777777" w:rsidR="006177B2" w:rsidRPr="00C90829" w:rsidRDefault="006177B2" w:rsidP="008E6EE6">
            <w:pPr>
              <w:pStyle w:val="BodyText"/>
              <w:spacing w:before="20" w:after="20"/>
              <w:jc w:val="center"/>
              <w:rPr>
                <w:sz w:val="20"/>
                <w:szCs w:val="20"/>
              </w:rPr>
            </w:pPr>
            <w:r w:rsidRPr="00C90829">
              <w:rPr>
                <w:sz w:val="20"/>
                <w:szCs w:val="20"/>
              </w:rPr>
              <w:t>4 (3.7)</w:t>
            </w:r>
          </w:p>
        </w:tc>
        <w:tc>
          <w:tcPr>
            <w:tcW w:w="2549" w:type="dxa"/>
            <w:vAlign w:val="center"/>
          </w:tcPr>
          <w:p w14:paraId="36518B1E" w14:textId="77777777" w:rsidR="006177B2" w:rsidRPr="00C90829" w:rsidRDefault="006177B2" w:rsidP="008E6EE6">
            <w:pPr>
              <w:pStyle w:val="BodyText"/>
              <w:spacing w:before="20" w:after="20"/>
              <w:jc w:val="center"/>
              <w:rPr>
                <w:sz w:val="20"/>
                <w:szCs w:val="20"/>
              </w:rPr>
            </w:pPr>
            <w:r w:rsidRPr="00C90829">
              <w:rPr>
                <w:sz w:val="20"/>
                <w:szCs w:val="20"/>
              </w:rPr>
              <w:t>1 (0.9)</w:t>
            </w:r>
          </w:p>
        </w:tc>
      </w:tr>
      <w:tr w:rsidR="006177B2" w:rsidRPr="00C90829" w14:paraId="0F0AF18D" w14:textId="77777777" w:rsidTr="008E6EE6">
        <w:tc>
          <w:tcPr>
            <w:tcW w:w="4815" w:type="dxa"/>
          </w:tcPr>
          <w:p w14:paraId="4D1EEE9B" w14:textId="77777777" w:rsidR="006177B2" w:rsidRPr="00C90829" w:rsidRDefault="006177B2" w:rsidP="008E6EE6">
            <w:pPr>
              <w:pStyle w:val="BodyText"/>
              <w:spacing w:before="20" w:after="20"/>
              <w:rPr>
                <w:sz w:val="20"/>
                <w:szCs w:val="20"/>
              </w:rPr>
            </w:pPr>
            <w:r w:rsidRPr="00C90829">
              <w:rPr>
                <w:sz w:val="20"/>
                <w:szCs w:val="20"/>
              </w:rPr>
              <w:t>Wound infection staphylococcal</w:t>
            </w:r>
          </w:p>
        </w:tc>
        <w:tc>
          <w:tcPr>
            <w:tcW w:w="2264" w:type="dxa"/>
            <w:vAlign w:val="center"/>
          </w:tcPr>
          <w:p w14:paraId="36B4885A" w14:textId="77777777" w:rsidR="006177B2" w:rsidRPr="00C90829" w:rsidRDefault="006177B2" w:rsidP="008E6EE6">
            <w:pPr>
              <w:pStyle w:val="BodyText"/>
              <w:spacing w:before="20" w:after="20"/>
              <w:jc w:val="center"/>
              <w:rPr>
                <w:sz w:val="20"/>
                <w:szCs w:val="20"/>
              </w:rPr>
            </w:pPr>
            <w:r w:rsidRPr="00C90829">
              <w:rPr>
                <w:sz w:val="20"/>
                <w:szCs w:val="20"/>
              </w:rPr>
              <w:t>4 (3.7)</w:t>
            </w:r>
          </w:p>
        </w:tc>
        <w:tc>
          <w:tcPr>
            <w:tcW w:w="2549" w:type="dxa"/>
            <w:vAlign w:val="center"/>
          </w:tcPr>
          <w:p w14:paraId="46DFB40B" w14:textId="77777777" w:rsidR="006177B2" w:rsidRPr="00C90829" w:rsidRDefault="006177B2" w:rsidP="008E6EE6">
            <w:pPr>
              <w:pStyle w:val="BodyText"/>
              <w:spacing w:before="20" w:after="20"/>
              <w:jc w:val="center"/>
              <w:rPr>
                <w:sz w:val="20"/>
                <w:szCs w:val="20"/>
              </w:rPr>
            </w:pPr>
            <w:r w:rsidRPr="00C90829">
              <w:rPr>
                <w:sz w:val="20"/>
                <w:szCs w:val="20"/>
              </w:rPr>
              <w:t>3 (2.6)</w:t>
            </w:r>
          </w:p>
        </w:tc>
      </w:tr>
      <w:tr w:rsidR="006177B2" w:rsidRPr="00C90829" w14:paraId="7C9D5EEE" w14:textId="77777777" w:rsidTr="008E6EE6">
        <w:tc>
          <w:tcPr>
            <w:tcW w:w="4815" w:type="dxa"/>
          </w:tcPr>
          <w:p w14:paraId="31E162C0" w14:textId="77777777" w:rsidR="006177B2" w:rsidRPr="00C90829" w:rsidRDefault="006177B2" w:rsidP="008E6EE6">
            <w:pPr>
              <w:pStyle w:val="BodyText"/>
              <w:spacing w:before="20" w:after="20"/>
              <w:rPr>
                <w:sz w:val="20"/>
                <w:szCs w:val="20"/>
              </w:rPr>
            </w:pPr>
            <w:r w:rsidRPr="00C90829">
              <w:rPr>
                <w:sz w:val="20"/>
                <w:szCs w:val="20"/>
              </w:rPr>
              <w:t>Upper respiratory tract infection</w:t>
            </w:r>
          </w:p>
        </w:tc>
        <w:tc>
          <w:tcPr>
            <w:tcW w:w="2264" w:type="dxa"/>
            <w:vAlign w:val="center"/>
          </w:tcPr>
          <w:p w14:paraId="2E961FE4" w14:textId="77777777" w:rsidR="006177B2" w:rsidRPr="00C90829" w:rsidRDefault="006177B2" w:rsidP="008E6EE6">
            <w:pPr>
              <w:pStyle w:val="BodyText"/>
              <w:spacing w:before="20" w:after="20"/>
              <w:jc w:val="center"/>
              <w:rPr>
                <w:sz w:val="20"/>
                <w:szCs w:val="20"/>
              </w:rPr>
            </w:pPr>
            <w:r w:rsidRPr="00C90829">
              <w:rPr>
                <w:sz w:val="20"/>
                <w:szCs w:val="20"/>
              </w:rPr>
              <w:t>4 (3.7)</w:t>
            </w:r>
          </w:p>
        </w:tc>
        <w:tc>
          <w:tcPr>
            <w:tcW w:w="2549" w:type="dxa"/>
            <w:vAlign w:val="center"/>
          </w:tcPr>
          <w:p w14:paraId="505233E3" w14:textId="77777777" w:rsidR="006177B2" w:rsidRPr="00C90829" w:rsidRDefault="006177B2" w:rsidP="008E6EE6">
            <w:pPr>
              <w:pStyle w:val="BodyText"/>
              <w:spacing w:before="20" w:after="20"/>
              <w:jc w:val="center"/>
              <w:rPr>
                <w:sz w:val="20"/>
                <w:szCs w:val="20"/>
              </w:rPr>
            </w:pPr>
            <w:r w:rsidRPr="00C90829">
              <w:rPr>
                <w:sz w:val="20"/>
                <w:szCs w:val="20"/>
              </w:rPr>
              <w:t>1 (0.9)</w:t>
            </w:r>
          </w:p>
        </w:tc>
      </w:tr>
      <w:tr w:rsidR="00736783" w:rsidRPr="00C90829" w14:paraId="6BD8588D" w14:textId="77777777" w:rsidTr="008E6EE6">
        <w:tc>
          <w:tcPr>
            <w:tcW w:w="4815" w:type="dxa"/>
          </w:tcPr>
          <w:p w14:paraId="549F219C" w14:textId="77777777" w:rsidR="00736783" w:rsidRPr="00C90829" w:rsidRDefault="00736783" w:rsidP="008E6EE6">
            <w:pPr>
              <w:pStyle w:val="BodyText"/>
              <w:spacing w:before="20" w:after="20"/>
              <w:rPr>
                <w:sz w:val="20"/>
                <w:szCs w:val="20"/>
              </w:rPr>
            </w:pPr>
            <w:r w:rsidRPr="00C90829">
              <w:rPr>
                <w:sz w:val="20"/>
                <w:szCs w:val="20"/>
              </w:rPr>
              <w:t>Application site pruritus</w:t>
            </w:r>
          </w:p>
        </w:tc>
        <w:tc>
          <w:tcPr>
            <w:tcW w:w="2264" w:type="dxa"/>
            <w:vAlign w:val="center"/>
          </w:tcPr>
          <w:p w14:paraId="77D95268" w14:textId="77777777" w:rsidR="00736783" w:rsidRPr="00C90829" w:rsidRDefault="00736783" w:rsidP="008E6EE6">
            <w:pPr>
              <w:pStyle w:val="BodyText"/>
              <w:spacing w:before="20" w:after="20"/>
              <w:jc w:val="center"/>
              <w:rPr>
                <w:sz w:val="20"/>
                <w:szCs w:val="20"/>
              </w:rPr>
            </w:pPr>
            <w:r w:rsidRPr="00C90829">
              <w:rPr>
                <w:sz w:val="20"/>
                <w:szCs w:val="20"/>
              </w:rPr>
              <w:t>4 (3.7)</w:t>
            </w:r>
          </w:p>
        </w:tc>
        <w:tc>
          <w:tcPr>
            <w:tcW w:w="2549" w:type="dxa"/>
            <w:vAlign w:val="center"/>
          </w:tcPr>
          <w:p w14:paraId="673B5FD5" w14:textId="77777777" w:rsidR="00736783" w:rsidRPr="00C90829" w:rsidRDefault="00736783" w:rsidP="008E6EE6">
            <w:pPr>
              <w:pStyle w:val="BodyText"/>
              <w:spacing w:before="20" w:after="20"/>
              <w:jc w:val="center"/>
              <w:rPr>
                <w:sz w:val="20"/>
                <w:szCs w:val="20"/>
              </w:rPr>
            </w:pPr>
            <w:r w:rsidRPr="00C90829">
              <w:rPr>
                <w:sz w:val="20"/>
                <w:szCs w:val="20"/>
              </w:rPr>
              <w:t>1 (0.9)</w:t>
            </w:r>
          </w:p>
        </w:tc>
      </w:tr>
      <w:tr w:rsidR="00736783" w:rsidRPr="00C90829" w14:paraId="14C31C5E" w14:textId="77777777" w:rsidTr="008E6EE6">
        <w:tc>
          <w:tcPr>
            <w:tcW w:w="4815" w:type="dxa"/>
          </w:tcPr>
          <w:p w14:paraId="2EDA3484" w14:textId="77777777" w:rsidR="00736783" w:rsidRPr="00C90829" w:rsidRDefault="00736783" w:rsidP="008E6EE6">
            <w:pPr>
              <w:pStyle w:val="BodyText"/>
              <w:spacing w:before="20" w:after="20"/>
              <w:rPr>
                <w:sz w:val="20"/>
                <w:szCs w:val="20"/>
              </w:rPr>
            </w:pPr>
            <w:r w:rsidRPr="00C90829">
              <w:rPr>
                <w:sz w:val="20"/>
                <w:szCs w:val="20"/>
              </w:rPr>
              <w:t>Cough</w:t>
            </w:r>
          </w:p>
        </w:tc>
        <w:tc>
          <w:tcPr>
            <w:tcW w:w="2264" w:type="dxa"/>
          </w:tcPr>
          <w:p w14:paraId="041D7C21" w14:textId="77777777" w:rsidR="00736783" w:rsidRPr="00C90829" w:rsidRDefault="00736783" w:rsidP="008E6EE6">
            <w:pPr>
              <w:pStyle w:val="BodyText"/>
              <w:spacing w:before="20" w:after="20"/>
              <w:jc w:val="center"/>
              <w:rPr>
                <w:sz w:val="20"/>
                <w:szCs w:val="20"/>
              </w:rPr>
            </w:pPr>
            <w:r w:rsidRPr="00C90829">
              <w:rPr>
                <w:sz w:val="20"/>
                <w:szCs w:val="20"/>
              </w:rPr>
              <w:t>3 (2.8)</w:t>
            </w:r>
          </w:p>
        </w:tc>
        <w:tc>
          <w:tcPr>
            <w:tcW w:w="2549" w:type="dxa"/>
          </w:tcPr>
          <w:p w14:paraId="7A2FBF19" w14:textId="77777777" w:rsidR="00736783" w:rsidRPr="00C90829" w:rsidRDefault="00736783" w:rsidP="008E6EE6">
            <w:pPr>
              <w:pStyle w:val="BodyText"/>
              <w:spacing w:before="20" w:after="20"/>
              <w:jc w:val="center"/>
              <w:rPr>
                <w:sz w:val="20"/>
                <w:szCs w:val="20"/>
              </w:rPr>
            </w:pPr>
            <w:r w:rsidRPr="00C90829">
              <w:rPr>
                <w:sz w:val="20"/>
                <w:szCs w:val="20"/>
              </w:rPr>
              <w:t>8 (7.0)</w:t>
            </w:r>
          </w:p>
        </w:tc>
      </w:tr>
      <w:tr w:rsidR="006177B2" w:rsidRPr="00C90829" w14:paraId="0C354CE8" w14:textId="77777777" w:rsidTr="008E6EE6">
        <w:tc>
          <w:tcPr>
            <w:tcW w:w="4815" w:type="dxa"/>
          </w:tcPr>
          <w:p w14:paraId="3C4FDE00" w14:textId="77777777" w:rsidR="006177B2" w:rsidRPr="00C90829" w:rsidRDefault="006177B2" w:rsidP="008E6EE6">
            <w:pPr>
              <w:pStyle w:val="BodyText"/>
              <w:spacing w:before="20" w:after="20"/>
              <w:rPr>
                <w:sz w:val="20"/>
                <w:szCs w:val="20"/>
              </w:rPr>
            </w:pPr>
            <w:r w:rsidRPr="00C90829">
              <w:rPr>
                <w:sz w:val="20"/>
                <w:szCs w:val="20"/>
              </w:rPr>
              <w:t>Nasopharyngitis</w:t>
            </w:r>
          </w:p>
        </w:tc>
        <w:tc>
          <w:tcPr>
            <w:tcW w:w="2264" w:type="dxa"/>
            <w:vAlign w:val="center"/>
          </w:tcPr>
          <w:p w14:paraId="5F04847C" w14:textId="77777777" w:rsidR="006177B2" w:rsidRPr="00C90829" w:rsidRDefault="006177B2" w:rsidP="008E6EE6">
            <w:pPr>
              <w:pStyle w:val="BodyText"/>
              <w:spacing w:before="20" w:after="20"/>
              <w:jc w:val="center"/>
              <w:rPr>
                <w:sz w:val="20"/>
                <w:szCs w:val="20"/>
              </w:rPr>
            </w:pPr>
            <w:r w:rsidRPr="00C90829">
              <w:rPr>
                <w:sz w:val="20"/>
                <w:szCs w:val="20"/>
              </w:rPr>
              <w:t>3 (2.8)</w:t>
            </w:r>
          </w:p>
        </w:tc>
        <w:tc>
          <w:tcPr>
            <w:tcW w:w="2549" w:type="dxa"/>
            <w:vAlign w:val="center"/>
          </w:tcPr>
          <w:p w14:paraId="4B5B64C2" w14:textId="77777777" w:rsidR="006177B2" w:rsidRPr="00C90829" w:rsidRDefault="006177B2" w:rsidP="008E6EE6">
            <w:pPr>
              <w:pStyle w:val="BodyText"/>
              <w:spacing w:before="20" w:after="20"/>
              <w:jc w:val="center"/>
              <w:rPr>
                <w:sz w:val="20"/>
                <w:szCs w:val="20"/>
              </w:rPr>
            </w:pPr>
            <w:r w:rsidRPr="00C90829">
              <w:rPr>
                <w:sz w:val="20"/>
                <w:szCs w:val="20"/>
              </w:rPr>
              <w:t>7 (6.1)</w:t>
            </w:r>
          </w:p>
        </w:tc>
      </w:tr>
      <w:tr w:rsidR="006177B2" w:rsidRPr="00C90829" w14:paraId="28DE9DB1" w14:textId="77777777" w:rsidTr="008E6EE6">
        <w:tc>
          <w:tcPr>
            <w:tcW w:w="4815" w:type="dxa"/>
          </w:tcPr>
          <w:p w14:paraId="73D41F5E" w14:textId="77777777" w:rsidR="006177B2" w:rsidRPr="00C90829" w:rsidRDefault="006177B2" w:rsidP="008E6EE6">
            <w:pPr>
              <w:pStyle w:val="BodyText"/>
              <w:spacing w:before="20" w:after="20"/>
              <w:rPr>
                <w:sz w:val="20"/>
                <w:szCs w:val="20"/>
              </w:rPr>
            </w:pPr>
            <w:r w:rsidRPr="00C90829">
              <w:rPr>
                <w:sz w:val="20"/>
                <w:szCs w:val="20"/>
              </w:rPr>
              <w:t>Wound infection bacterial</w:t>
            </w:r>
          </w:p>
        </w:tc>
        <w:tc>
          <w:tcPr>
            <w:tcW w:w="2264" w:type="dxa"/>
            <w:vAlign w:val="center"/>
          </w:tcPr>
          <w:p w14:paraId="2BC4571B" w14:textId="77777777" w:rsidR="006177B2" w:rsidRPr="00C90829" w:rsidRDefault="006177B2" w:rsidP="008E6EE6">
            <w:pPr>
              <w:pStyle w:val="BodyText"/>
              <w:spacing w:before="20" w:after="20"/>
              <w:jc w:val="center"/>
              <w:rPr>
                <w:sz w:val="20"/>
                <w:szCs w:val="20"/>
              </w:rPr>
            </w:pPr>
            <w:r w:rsidRPr="00C90829">
              <w:rPr>
                <w:sz w:val="20"/>
                <w:szCs w:val="20"/>
              </w:rPr>
              <w:t>3 (2.8)</w:t>
            </w:r>
          </w:p>
        </w:tc>
        <w:tc>
          <w:tcPr>
            <w:tcW w:w="2549" w:type="dxa"/>
            <w:vAlign w:val="center"/>
          </w:tcPr>
          <w:p w14:paraId="264E6753" w14:textId="77777777" w:rsidR="006177B2" w:rsidRPr="00C90829" w:rsidRDefault="006177B2" w:rsidP="008E6EE6">
            <w:pPr>
              <w:pStyle w:val="BodyText"/>
              <w:spacing w:before="20" w:after="20"/>
              <w:jc w:val="center"/>
              <w:rPr>
                <w:sz w:val="20"/>
                <w:szCs w:val="20"/>
              </w:rPr>
            </w:pPr>
            <w:r w:rsidRPr="00C90829">
              <w:rPr>
                <w:sz w:val="20"/>
                <w:szCs w:val="20"/>
              </w:rPr>
              <w:t>5 (4.4)</w:t>
            </w:r>
          </w:p>
        </w:tc>
      </w:tr>
      <w:tr w:rsidR="00736783" w:rsidRPr="00C90829" w14:paraId="73A36B3D" w14:textId="77777777" w:rsidTr="008E6EE6">
        <w:tc>
          <w:tcPr>
            <w:tcW w:w="4815" w:type="dxa"/>
          </w:tcPr>
          <w:p w14:paraId="3A299B38" w14:textId="77777777" w:rsidR="00736783" w:rsidRPr="00C90829" w:rsidRDefault="00736783" w:rsidP="008E6EE6">
            <w:pPr>
              <w:pStyle w:val="BodyText"/>
              <w:spacing w:before="20" w:after="20"/>
              <w:rPr>
                <w:sz w:val="20"/>
                <w:szCs w:val="20"/>
              </w:rPr>
            </w:pPr>
            <w:r w:rsidRPr="00C90829">
              <w:rPr>
                <w:sz w:val="20"/>
                <w:szCs w:val="20"/>
              </w:rPr>
              <w:t>Administration site pain</w:t>
            </w:r>
          </w:p>
        </w:tc>
        <w:tc>
          <w:tcPr>
            <w:tcW w:w="2264" w:type="dxa"/>
            <w:vAlign w:val="center"/>
          </w:tcPr>
          <w:p w14:paraId="6934896F" w14:textId="77777777" w:rsidR="00736783" w:rsidRPr="00C90829" w:rsidRDefault="00736783" w:rsidP="008E6EE6">
            <w:pPr>
              <w:pStyle w:val="BodyText"/>
              <w:spacing w:before="20" w:after="20"/>
              <w:jc w:val="center"/>
              <w:rPr>
                <w:sz w:val="20"/>
                <w:szCs w:val="20"/>
              </w:rPr>
            </w:pPr>
            <w:r w:rsidRPr="00C90829">
              <w:rPr>
                <w:sz w:val="20"/>
                <w:szCs w:val="20"/>
              </w:rPr>
              <w:t>3 (2.8)</w:t>
            </w:r>
          </w:p>
        </w:tc>
        <w:tc>
          <w:tcPr>
            <w:tcW w:w="2549" w:type="dxa"/>
            <w:vAlign w:val="center"/>
          </w:tcPr>
          <w:p w14:paraId="1F895C37" w14:textId="77777777" w:rsidR="00736783" w:rsidRPr="00C90829" w:rsidRDefault="00736783" w:rsidP="008E6EE6">
            <w:pPr>
              <w:pStyle w:val="BodyText"/>
              <w:spacing w:before="20" w:after="20"/>
              <w:jc w:val="center"/>
              <w:rPr>
                <w:sz w:val="20"/>
                <w:szCs w:val="20"/>
              </w:rPr>
            </w:pPr>
            <w:r w:rsidRPr="00C90829">
              <w:rPr>
                <w:sz w:val="20"/>
                <w:szCs w:val="20"/>
              </w:rPr>
              <w:t>3 (2.6)</w:t>
            </w:r>
          </w:p>
        </w:tc>
      </w:tr>
      <w:tr w:rsidR="00736783" w:rsidRPr="00C90829" w14:paraId="498D5A97" w14:textId="77777777" w:rsidTr="008E6EE6">
        <w:tc>
          <w:tcPr>
            <w:tcW w:w="4815" w:type="dxa"/>
          </w:tcPr>
          <w:p w14:paraId="47AD5A8B" w14:textId="77777777" w:rsidR="00736783" w:rsidRPr="00C90829" w:rsidRDefault="00736783" w:rsidP="008E6EE6">
            <w:pPr>
              <w:pStyle w:val="BodyText"/>
              <w:spacing w:before="20" w:after="20"/>
              <w:rPr>
                <w:sz w:val="20"/>
                <w:szCs w:val="20"/>
              </w:rPr>
            </w:pPr>
            <w:r w:rsidRPr="00C90829">
              <w:rPr>
                <w:sz w:val="20"/>
                <w:szCs w:val="20"/>
              </w:rPr>
              <w:t>Oropharyngeal pain</w:t>
            </w:r>
          </w:p>
        </w:tc>
        <w:tc>
          <w:tcPr>
            <w:tcW w:w="2264" w:type="dxa"/>
          </w:tcPr>
          <w:p w14:paraId="6077686D" w14:textId="77777777" w:rsidR="00736783" w:rsidRPr="00C90829" w:rsidRDefault="00736783" w:rsidP="008E6EE6">
            <w:pPr>
              <w:pStyle w:val="BodyText"/>
              <w:spacing w:before="20" w:after="20"/>
              <w:jc w:val="center"/>
              <w:rPr>
                <w:sz w:val="20"/>
                <w:szCs w:val="20"/>
              </w:rPr>
            </w:pPr>
            <w:r w:rsidRPr="00C90829">
              <w:rPr>
                <w:sz w:val="20"/>
                <w:szCs w:val="20"/>
              </w:rPr>
              <w:t>3 (2.8)</w:t>
            </w:r>
          </w:p>
        </w:tc>
        <w:tc>
          <w:tcPr>
            <w:tcW w:w="2549" w:type="dxa"/>
          </w:tcPr>
          <w:p w14:paraId="5FEE06F2" w14:textId="77777777" w:rsidR="00736783" w:rsidRPr="00C90829" w:rsidRDefault="00736783" w:rsidP="008E6EE6">
            <w:pPr>
              <w:pStyle w:val="BodyText"/>
              <w:spacing w:before="20" w:after="20"/>
              <w:jc w:val="center"/>
              <w:rPr>
                <w:sz w:val="20"/>
                <w:szCs w:val="20"/>
              </w:rPr>
            </w:pPr>
            <w:r w:rsidRPr="00C90829">
              <w:rPr>
                <w:sz w:val="20"/>
                <w:szCs w:val="20"/>
              </w:rPr>
              <w:t>2 (1.8)</w:t>
            </w:r>
          </w:p>
        </w:tc>
      </w:tr>
      <w:tr w:rsidR="006177B2" w:rsidRPr="00C90829" w14:paraId="7A58600C" w14:textId="77777777" w:rsidTr="008E6EE6">
        <w:tc>
          <w:tcPr>
            <w:tcW w:w="4815" w:type="dxa"/>
          </w:tcPr>
          <w:p w14:paraId="7F544E29" w14:textId="77777777" w:rsidR="006177B2" w:rsidRPr="00C90829" w:rsidRDefault="006177B2" w:rsidP="008E6EE6">
            <w:pPr>
              <w:pStyle w:val="BodyText"/>
              <w:spacing w:before="20" w:after="20"/>
              <w:rPr>
                <w:sz w:val="20"/>
                <w:szCs w:val="20"/>
              </w:rPr>
            </w:pPr>
            <w:r w:rsidRPr="00C90829">
              <w:rPr>
                <w:sz w:val="20"/>
                <w:szCs w:val="20"/>
              </w:rPr>
              <w:t>Pharyngitis</w:t>
            </w:r>
          </w:p>
        </w:tc>
        <w:tc>
          <w:tcPr>
            <w:tcW w:w="2264" w:type="dxa"/>
            <w:vAlign w:val="center"/>
          </w:tcPr>
          <w:p w14:paraId="60478A4E" w14:textId="77777777" w:rsidR="006177B2" w:rsidRPr="00C90829" w:rsidRDefault="006177B2" w:rsidP="008E6EE6">
            <w:pPr>
              <w:pStyle w:val="BodyText"/>
              <w:spacing w:before="20" w:after="20"/>
              <w:jc w:val="center"/>
              <w:rPr>
                <w:sz w:val="20"/>
                <w:szCs w:val="20"/>
              </w:rPr>
            </w:pPr>
            <w:r w:rsidRPr="00C90829">
              <w:rPr>
                <w:sz w:val="20"/>
                <w:szCs w:val="20"/>
              </w:rPr>
              <w:t>3 (2.8)</w:t>
            </w:r>
          </w:p>
        </w:tc>
        <w:tc>
          <w:tcPr>
            <w:tcW w:w="2549" w:type="dxa"/>
            <w:vAlign w:val="center"/>
          </w:tcPr>
          <w:p w14:paraId="3391C5A7" w14:textId="77777777" w:rsidR="006177B2" w:rsidRPr="00C90829" w:rsidRDefault="006177B2" w:rsidP="008E6EE6">
            <w:pPr>
              <w:pStyle w:val="BodyText"/>
              <w:spacing w:before="20" w:after="20"/>
              <w:jc w:val="center"/>
              <w:rPr>
                <w:sz w:val="20"/>
                <w:szCs w:val="20"/>
              </w:rPr>
            </w:pPr>
            <w:r w:rsidRPr="00C90829">
              <w:rPr>
                <w:sz w:val="20"/>
                <w:szCs w:val="20"/>
              </w:rPr>
              <w:t>0</w:t>
            </w:r>
          </w:p>
        </w:tc>
      </w:tr>
      <w:tr w:rsidR="006177B2" w:rsidRPr="00C90829" w14:paraId="6937329D" w14:textId="77777777" w:rsidTr="00D81A81">
        <w:tc>
          <w:tcPr>
            <w:tcW w:w="4815" w:type="dxa"/>
            <w:tcBorders>
              <w:bottom w:val="single" w:sz="4" w:space="0" w:color="auto"/>
            </w:tcBorders>
          </w:tcPr>
          <w:p w14:paraId="76F29300" w14:textId="77777777" w:rsidR="006177B2" w:rsidRPr="00C90829" w:rsidRDefault="006177B2" w:rsidP="008E6EE6">
            <w:pPr>
              <w:pStyle w:val="BodyText"/>
              <w:spacing w:before="20" w:after="20"/>
              <w:rPr>
                <w:sz w:val="20"/>
                <w:szCs w:val="20"/>
              </w:rPr>
            </w:pPr>
            <w:r w:rsidRPr="00C90829">
              <w:rPr>
                <w:sz w:val="20"/>
                <w:szCs w:val="20"/>
              </w:rPr>
              <w:t>Toothache</w:t>
            </w:r>
          </w:p>
        </w:tc>
        <w:tc>
          <w:tcPr>
            <w:tcW w:w="2264" w:type="dxa"/>
            <w:tcBorders>
              <w:bottom w:val="single" w:sz="4" w:space="0" w:color="auto"/>
            </w:tcBorders>
            <w:vAlign w:val="center"/>
          </w:tcPr>
          <w:p w14:paraId="52FE69D3" w14:textId="77777777" w:rsidR="006177B2" w:rsidRPr="00C90829" w:rsidRDefault="006177B2" w:rsidP="008E6EE6">
            <w:pPr>
              <w:pStyle w:val="BodyText"/>
              <w:spacing w:before="20" w:after="20"/>
              <w:jc w:val="center"/>
              <w:rPr>
                <w:sz w:val="20"/>
                <w:szCs w:val="20"/>
              </w:rPr>
            </w:pPr>
            <w:r w:rsidRPr="00C90829">
              <w:rPr>
                <w:sz w:val="20"/>
                <w:szCs w:val="20"/>
              </w:rPr>
              <w:t>3 (2.8)</w:t>
            </w:r>
          </w:p>
        </w:tc>
        <w:tc>
          <w:tcPr>
            <w:tcW w:w="2549" w:type="dxa"/>
            <w:tcBorders>
              <w:bottom w:val="single" w:sz="4" w:space="0" w:color="auto"/>
            </w:tcBorders>
            <w:vAlign w:val="center"/>
          </w:tcPr>
          <w:p w14:paraId="052EA331" w14:textId="77777777" w:rsidR="006177B2" w:rsidRPr="00C90829" w:rsidRDefault="006177B2" w:rsidP="008E6EE6">
            <w:pPr>
              <w:pStyle w:val="BodyText"/>
              <w:spacing w:before="20" w:after="20"/>
              <w:jc w:val="center"/>
              <w:rPr>
                <w:sz w:val="20"/>
                <w:szCs w:val="20"/>
              </w:rPr>
            </w:pPr>
            <w:r w:rsidRPr="00C90829">
              <w:rPr>
                <w:sz w:val="20"/>
                <w:szCs w:val="20"/>
              </w:rPr>
              <w:t>0</w:t>
            </w:r>
          </w:p>
        </w:tc>
      </w:tr>
      <w:tr w:rsidR="006177B2" w:rsidRPr="00C90829" w14:paraId="62A530DD" w14:textId="77777777" w:rsidTr="00D81A81">
        <w:tc>
          <w:tcPr>
            <w:tcW w:w="4815" w:type="dxa"/>
            <w:tcBorders>
              <w:bottom w:val="single" w:sz="4" w:space="0" w:color="auto"/>
            </w:tcBorders>
          </w:tcPr>
          <w:p w14:paraId="3720A712" w14:textId="77777777" w:rsidR="006177B2" w:rsidRPr="00C90829" w:rsidRDefault="006177B2" w:rsidP="008E6EE6">
            <w:pPr>
              <w:pStyle w:val="BodyText"/>
              <w:spacing w:before="20" w:after="20"/>
              <w:rPr>
                <w:sz w:val="20"/>
                <w:szCs w:val="20"/>
              </w:rPr>
            </w:pPr>
            <w:r w:rsidRPr="00C90829">
              <w:rPr>
                <w:sz w:val="20"/>
                <w:szCs w:val="20"/>
              </w:rPr>
              <w:t>Ulcerative keratitis</w:t>
            </w:r>
          </w:p>
        </w:tc>
        <w:tc>
          <w:tcPr>
            <w:tcW w:w="2264" w:type="dxa"/>
            <w:tcBorders>
              <w:bottom w:val="single" w:sz="4" w:space="0" w:color="auto"/>
            </w:tcBorders>
            <w:vAlign w:val="center"/>
          </w:tcPr>
          <w:p w14:paraId="7AB629E3" w14:textId="77777777" w:rsidR="006177B2" w:rsidRPr="00C90829" w:rsidRDefault="006177B2" w:rsidP="008E6EE6">
            <w:pPr>
              <w:pStyle w:val="BodyText"/>
              <w:spacing w:before="20" w:after="20"/>
              <w:jc w:val="center"/>
              <w:rPr>
                <w:sz w:val="20"/>
                <w:szCs w:val="20"/>
              </w:rPr>
            </w:pPr>
            <w:r w:rsidRPr="00C90829">
              <w:rPr>
                <w:sz w:val="20"/>
                <w:szCs w:val="20"/>
              </w:rPr>
              <w:t>3 (2.8)</w:t>
            </w:r>
          </w:p>
        </w:tc>
        <w:tc>
          <w:tcPr>
            <w:tcW w:w="2549" w:type="dxa"/>
            <w:tcBorders>
              <w:bottom w:val="single" w:sz="4" w:space="0" w:color="auto"/>
            </w:tcBorders>
            <w:vAlign w:val="center"/>
          </w:tcPr>
          <w:p w14:paraId="3971ED31" w14:textId="77777777" w:rsidR="006177B2" w:rsidRPr="00C90829" w:rsidRDefault="006177B2" w:rsidP="008E6EE6">
            <w:pPr>
              <w:pStyle w:val="BodyText"/>
              <w:spacing w:before="20" w:after="20"/>
              <w:jc w:val="center"/>
              <w:rPr>
                <w:sz w:val="20"/>
                <w:szCs w:val="20"/>
              </w:rPr>
            </w:pPr>
            <w:r>
              <w:rPr>
                <w:sz w:val="20"/>
                <w:szCs w:val="20"/>
              </w:rPr>
              <w:t>0</w:t>
            </w:r>
          </w:p>
        </w:tc>
      </w:tr>
    </w:tbl>
    <w:p w14:paraId="36C04ACC" w14:textId="624D4594" w:rsidR="00476700" w:rsidRPr="00194049" w:rsidRDefault="00476700" w:rsidP="00B30667">
      <w:pPr>
        <w:pStyle w:val="Heading3"/>
      </w:pPr>
      <w:r w:rsidRPr="00194049">
        <w:t>Tabulated list of adverse reactions</w:t>
      </w:r>
    </w:p>
    <w:p w14:paraId="142F6CE5" w14:textId="053F3E53" w:rsidR="004F4F7D" w:rsidRDefault="004F4F7D" w:rsidP="004F4F7D">
      <w:pPr>
        <w:pStyle w:val="BodyText"/>
      </w:pPr>
      <w:r w:rsidRPr="00CE261E">
        <w:rPr>
          <w:color w:val="0000FF"/>
        </w:rPr>
        <w:fldChar w:fldCharType="begin"/>
      </w:r>
      <w:r w:rsidRPr="00CE261E">
        <w:rPr>
          <w:color w:val="0000FF"/>
        </w:rPr>
        <w:instrText xml:space="preserve"> REF _Ref145420884 \h </w:instrText>
      </w:r>
      <w:r w:rsidR="00774843">
        <w:rPr>
          <w:color w:val="0000FF"/>
        </w:rPr>
        <w:instrText xml:space="preserve"> \* MERGEFORMAT </w:instrText>
      </w:r>
      <w:r w:rsidRPr="00CE261E">
        <w:rPr>
          <w:color w:val="0000FF"/>
        </w:rPr>
      </w:r>
      <w:r w:rsidRPr="00CE261E">
        <w:rPr>
          <w:color w:val="0000FF"/>
        </w:rPr>
        <w:fldChar w:fldCharType="separate"/>
      </w:r>
      <w:r w:rsidR="0037044B" w:rsidRPr="0037044B">
        <w:rPr>
          <w:color w:val="0000FF"/>
        </w:rPr>
        <w:t>Table 2</w:t>
      </w:r>
      <w:r w:rsidRPr="00CE261E">
        <w:rPr>
          <w:color w:val="0000FF"/>
        </w:rPr>
        <w:fldChar w:fldCharType="end"/>
      </w:r>
      <w:r>
        <w:t xml:space="preserve"> lists all adverse reactions reported across clinical studies. Adverse reactions are listed by MedDRA system organ class and preferred term. Within each frequency grouping, adverse reactions are presented in order of decreasing seriousness.</w:t>
      </w:r>
    </w:p>
    <w:p w14:paraId="7A713E0B" w14:textId="5D060AFB" w:rsidR="004F4F7D" w:rsidRDefault="004F4F7D" w:rsidP="004F4F7D">
      <w:pPr>
        <w:pStyle w:val="BodyText"/>
      </w:pPr>
      <w:r>
        <w:t>The frequency of adverse reactions is defined as follows: very common (≥1/10); common (≥1/100 to &lt;1/10); uncommon (≥1/1,000 to &lt;1/100); rare (≥1/10,000 to &lt;1/1,000); very rare (&lt;1/10,000), not known (cannot be estimated from the available data).</w:t>
      </w:r>
    </w:p>
    <w:p w14:paraId="0D975710" w14:textId="4D09AE25" w:rsidR="0062324E" w:rsidRPr="00194049" w:rsidRDefault="00C041F8" w:rsidP="00DE7A8B">
      <w:pPr>
        <w:pStyle w:val="Caption"/>
        <w:keepNext/>
        <w:keepLines/>
        <w:rPr>
          <w:szCs w:val="24"/>
        </w:rPr>
      </w:pPr>
      <w:bookmarkStart w:id="16" w:name="_Ref145420884"/>
      <w:r w:rsidRPr="00194049">
        <w:t xml:space="preserve">Table </w:t>
      </w:r>
      <w:r w:rsidR="00A63162" w:rsidRPr="00194049">
        <w:fldChar w:fldCharType="begin"/>
      </w:r>
      <w:r w:rsidRPr="00194049">
        <w:instrText xml:space="preserve"> SEQ Table \* ARABIC </w:instrText>
      </w:r>
      <w:r w:rsidR="00A63162" w:rsidRPr="00194049">
        <w:fldChar w:fldCharType="separate"/>
      </w:r>
      <w:r w:rsidR="0037044B">
        <w:rPr>
          <w:noProof/>
        </w:rPr>
        <w:t>2</w:t>
      </w:r>
      <w:r w:rsidR="00A63162" w:rsidRPr="00194049">
        <w:fldChar w:fldCharType="end"/>
      </w:r>
      <w:bookmarkEnd w:id="16"/>
      <w:r w:rsidR="00CC374F" w:rsidRPr="00194049">
        <w:t>.</w:t>
      </w:r>
      <w:r w:rsidR="000C3248" w:rsidRPr="00194049">
        <w:t xml:space="preserve"> </w:t>
      </w:r>
      <w:r w:rsidR="00476700" w:rsidRPr="00194049">
        <w:t>Adverse reactions</w:t>
      </w:r>
      <w:r w:rsidR="00A50CBD">
        <w:t xml:space="preserve"> reported during treatment with FILSUVEZ</w:t>
      </w:r>
    </w:p>
    <w:tbl>
      <w:tblPr>
        <w:tblStyle w:val="TableGrid"/>
        <w:tblW w:w="0" w:type="auto"/>
        <w:tblLook w:val="04A0" w:firstRow="1" w:lastRow="0" w:firstColumn="1" w:lastColumn="0" w:noHBand="0" w:noVBand="1"/>
      </w:tblPr>
      <w:tblGrid>
        <w:gridCol w:w="3823"/>
        <w:gridCol w:w="2551"/>
        <w:gridCol w:w="3254"/>
      </w:tblGrid>
      <w:tr w:rsidR="004314A7" w:rsidRPr="00194049" w14:paraId="4581C9B8" w14:textId="77777777" w:rsidTr="00014105">
        <w:trPr>
          <w:tblHeader/>
        </w:trPr>
        <w:tc>
          <w:tcPr>
            <w:tcW w:w="3823" w:type="dxa"/>
          </w:tcPr>
          <w:p w14:paraId="625A5FF9" w14:textId="7938064F" w:rsidR="004314A7" w:rsidRPr="00194049" w:rsidRDefault="00F92B29" w:rsidP="00DE7A8B">
            <w:pPr>
              <w:pStyle w:val="BodyText"/>
              <w:keepNext/>
              <w:keepLines/>
              <w:spacing w:before="20" w:after="20"/>
              <w:rPr>
                <w:b/>
                <w:bCs/>
                <w:sz w:val="20"/>
                <w:szCs w:val="20"/>
              </w:rPr>
            </w:pPr>
            <w:r w:rsidRPr="00194049">
              <w:rPr>
                <w:b/>
                <w:bCs/>
                <w:sz w:val="20"/>
                <w:szCs w:val="20"/>
              </w:rPr>
              <w:t>System organ class</w:t>
            </w:r>
          </w:p>
        </w:tc>
        <w:tc>
          <w:tcPr>
            <w:tcW w:w="2551" w:type="dxa"/>
          </w:tcPr>
          <w:p w14:paraId="4020D0D0" w14:textId="36A9E5B7" w:rsidR="004314A7" w:rsidRPr="00194049" w:rsidRDefault="00F92B29" w:rsidP="00DE7A8B">
            <w:pPr>
              <w:pStyle w:val="BodyText"/>
              <w:keepNext/>
              <w:keepLines/>
              <w:spacing w:before="20" w:after="20"/>
              <w:rPr>
                <w:b/>
                <w:bCs/>
                <w:sz w:val="20"/>
                <w:szCs w:val="20"/>
              </w:rPr>
            </w:pPr>
            <w:r w:rsidRPr="00194049">
              <w:rPr>
                <w:b/>
                <w:bCs/>
                <w:sz w:val="20"/>
                <w:szCs w:val="20"/>
              </w:rPr>
              <w:t>Frequency</w:t>
            </w:r>
          </w:p>
        </w:tc>
        <w:tc>
          <w:tcPr>
            <w:tcW w:w="3254" w:type="dxa"/>
          </w:tcPr>
          <w:p w14:paraId="45F790FB" w14:textId="364C2B48" w:rsidR="004314A7" w:rsidRPr="00194049" w:rsidRDefault="00F92B29" w:rsidP="00DE7A8B">
            <w:pPr>
              <w:pStyle w:val="BodyText"/>
              <w:keepNext/>
              <w:keepLines/>
              <w:spacing w:before="20" w:after="20"/>
              <w:rPr>
                <w:b/>
                <w:bCs/>
                <w:sz w:val="20"/>
                <w:szCs w:val="20"/>
              </w:rPr>
            </w:pPr>
            <w:r w:rsidRPr="00194049">
              <w:rPr>
                <w:b/>
                <w:bCs/>
                <w:sz w:val="20"/>
                <w:szCs w:val="20"/>
              </w:rPr>
              <w:t>Adverse reaction</w:t>
            </w:r>
          </w:p>
        </w:tc>
      </w:tr>
      <w:tr w:rsidR="004314A7" w:rsidRPr="00194049" w14:paraId="78B97DE1" w14:textId="77777777" w:rsidTr="006F6B30">
        <w:tc>
          <w:tcPr>
            <w:tcW w:w="3823" w:type="dxa"/>
          </w:tcPr>
          <w:p w14:paraId="1F247E33" w14:textId="747284B8" w:rsidR="004314A7" w:rsidRPr="00194049" w:rsidRDefault="00CF43B9" w:rsidP="00DE7A8B">
            <w:pPr>
              <w:pStyle w:val="BodyText"/>
              <w:keepNext/>
              <w:keepLines/>
              <w:spacing w:before="20" w:after="20"/>
              <w:rPr>
                <w:sz w:val="20"/>
                <w:szCs w:val="20"/>
              </w:rPr>
            </w:pPr>
            <w:r w:rsidRPr="00194049">
              <w:rPr>
                <w:sz w:val="20"/>
                <w:szCs w:val="20"/>
              </w:rPr>
              <w:t>Infections and infestations</w:t>
            </w:r>
          </w:p>
        </w:tc>
        <w:tc>
          <w:tcPr>
            <w:tcW w:w="2551" w:type="dxa"/>
          </w:tcPr>
          <w:p w14:paraId="560A22A6" w14:textId="1AF25DB6" w:rsidR="004314A7" w:rsidRPr="006F6B30" w:rsidRDefault="00014105" w:rsidP="00DE7A8B">
            <w:pPr>
              <w:pStyle w:val="BodyText"/>
              <w:keepNext/>
              <w:keepLines/>
              <w:spacing w:before="20" w:after="20"/>
              <w:rPr>
                <w:sz w:val="20"/>
                <w:szCs w:val="20"/>
              </w:rPr>
            </w:pPr>
            <w:r w:rsidRPr="006F6B30">
              <w:rPr>
                <w:sz w:val="20"/>
                <w:szCs w:val="20"/>
              </w:rPr>
              <w:t>Common</w:t>
            </w:r>
          </w:p>
        </w:tc>
        <w:tc>
          <w:tcPr>
            <w:tcW w:w="3254" w:type="dxa"/>
          </w:tcPr>
          <w:p w14:paraId="5DE01604" w14:textId="3501C151" w:rsidR="00CF43B9" w:rsidRPr="00194049" w:rsidRDefault="00014105" w:rsidP="00DE7A8B">
            <w:pPr>
              <w:pStyle w:val="BodyText"/>
              <w:keepNext/>
              <w:keepLines/>
              <w:spacing w:before="20" w:after="20"/>
              <w:rPr>
                <w:sz w:val="20"/>
                <w:szCs w:val="20"/>
              </w:rPr>
            </w:pPr>
            <w:r w:rsidRPr="00014105">
              <w:rPr>
                <w:sz w:val="20"/>
                <w:szCs w:val="20"/>
              </w:rPr>
              <w:t>Wound infections</w:t>
            </w:r>
          </w:p>
        </w:tc>
      </w:tr>
      <w:tr w:rsidR="00014105" w:rsidRPr="00194049" w14:paraId="594C0392" w14:textId="77777777" w:rsidTr="006F6B30">
        <w:tc>
          <w:tcPr>
            <w:tcW w:w="3823" w:type="dxa"/>
            <w:tcBorders>
              <w:bottom w:val="single" w:sz="4" w:space="0" w:color="auto"/>
            </w:tcBorders>
          </w:tcPr>
          <w:p w14:paraId="7F1F0630" w14:textId="43123F06" w:rsidR="00014105" w:rsidRPr="00194049" w:rsidRDefault="00014105" w:rsidP="00014105">
            <w:pPr>
              <w:pStyle w:val="BodyText"/>
              <w:keepNext/>
              <w:keepLines/>
              <w:spacing w:before="20" w:after="20"/>
              <w:rPr>
                <w:sz w:val="20"/>
                <w:szCs w:val="20"/>
              </w:rPr>
            </w:pPr>
            <w:r w:rsidRPr="00194049">
              <w:rPr>
                <w:sz w:val="20"/>
                <w:szCs w:val="20"/>
              </w:rPr>
              <w:t>Immune system disorders</w:t>
            </w:r>
          </w:p>
        </w:tc>
        <w:tc>
          <w:tcPr>
            <w:tcW w:w="2551" w:type="dxa"/>
            <w:tcBorders>
              <w:bottom w:val="single" w:sz="4" w:space="0" w:color="auto"/>
            </w:tcBorders>
          </w:tcPr>
          <w:p w14:paraId="643D5D8A" w14:textId="04473148" w:rsidR="00014105" w:rsidRPr="006F6B30" w:rsidRDefault="00014105" w:rsidP="00014105">
            <w:pPr>
              <w:pStyle w:val="BodyText"/>
              <w:keepNext/>
              <w:keepLines/>
              <w:spacing w:before="20" w:after="20"/>
              <w:rPr>
                <w:sz w:val="20"/>
                <w:szCs w:val="20"/>
              </w:rPr>
            </w:pPr>
            <w:r w:rsidRPr="006F6B30">
              <w:rPr>
                <w:sz w:val="20"/>
                <w:szCs w:val="20"/>
              </w:rPr>
              <w:t>Common</w:t>
            </w:r>
          </w:p>
        </w:tc>
        <w:tc>
          <w:tcPr>
            <w:tcW w:w="3254" w:type="dxa"/>
            <w:tcBorders>
              <w:bottom w:val="single" w:sz="4" w:space="0" w:color="auto"/>
            </w:tcBorders>
          </w:tcPr>
          <w:p w14:paraId="213A6BF3" w14:textId="7FF1FA20" w:rsidR="00014105" w:rsidRPr="00194049" w:rsidRDefault="00014105" w:rsidP="00014105">
            <w:pPr>
              <w:pStyle w:val="BodyText"/>
              <w:keepNext/>
              <w:keepLines/>
              <w:spacing w:before="20" w:after="20"/>
              <w:rPr>
                <w:sz w:val="20"/>
                <w:szCs w:val="20"/>
              </w:rPr>
            </w:pPr>
            <w:r w:rsidRPr="00014105">
              <w:rPr>
                <w:sz w:val="20"/>
                <w:szCs w:val="20"/>
              </w:rPr>
              <w:t>Hypersensitivity reactions*</w:t>
            </w:r>
          </w:p>
        </w:tc>
      </w:tr>
      <w:tr w:rsidR="00014105" w:rsidRPr="00194049" w14:paraId="0311E56C" w14:textId="77777777" w:rsidTr="006F6B30">
        <w:tc>
          <w:tcPr>
            <w:tcW w:w="3823" w:type="dxa"/>
            <w:tcBorders>
              <w:top w:val="single" w:sz="4" w:space="0" w:color="auto"/>
              <w:left w:val="single" w:sz="4" w:space="0" w:color="auto"/>
              <w:bottom w:val="nil"/>
              <w:right w:val="single" w:sz="4" w:space="0" w:color="auto"/>
            </w:tcBorders>
          </w:tcPr>
          <w:p w14:paraId="5B8321A4" w14:textId="2B7443C3" w:rsidR="00014105" w:rsidRPr="00194049" w:rsidRDefault="00014105" w:rsidP="00014105">
            <w:pPr>
              <w:pStyle w:val="BodyText"/>
              <w:keepNext/>
              <w:keepLines/>
              <w:spacing w:before="20" w:after="20"/>
              <w:rPr>
                <w:sz w:val="20"/>
                <w:szCs w:val="20"/>
              </w:rPr>
            </w:pPr>
            <w:r w:rsidRPr="00194049">
              <w:rPr>
                <w:sz w:val="20"/>
                <w:szCs w:val="20"/>
              </w:rPr>
              <w:t>Skin and subcutaneous tissue disorders</w:t>
            </w:r>
          </w:p>
        </w:tc>
        <w:tc>
          <w:tcPr>
            <w:tcW w:w="2551" w:type="dxa"/>
            <w:tcBorders>
              <w:left w:val="single" w:sz="4" w:space="0" w:color="auto"/>
            </w:tcBorders>
          </w:tcPr>
          <w:p w14:paraId="50AE8A43" w14:textId="749F150B" w:rsidR="00014105" w:rsidRPr="006F6B30" w:rsidRDefault="00014105" w:rsidP="00014105">
            <w:pPr>
              <w:pStyle w:val="BodyText"/>
              <w:keepNext/>
              <w:keepLines/>
              <w:spacing w:before="20" w:after="20"/>
              <w:rPr>
                <w:sz w:val="20"/>
                <w:szCs w:val="20"/>
              </w:rPr>
            </w:pPr>
            <w:r w:rsidRPr="006F6B30">
              <w:rPr>
                <w:sz w:val="20"/>
                <w:szCs w:val="20"/>
              </w:rPr>
              <w:t>Very common</w:t>
            </w:r>
          </w:p>
        </w:tc>
        <w:tc>
          <w:tcPr>
            <w:tcW w:w="3254" w:type="dxa"/>
          </w:tcPr>
          <w:p w14:paraId="52FB0594" w14:textId="05409D7A" w:rsidR="00014105" w:rsidRPr="00194049" w:rsidRDefault="00014105" w:rsidP="00014105">
            <w:pPr>
              <w:pStyle w:val="BodyText"/>
              <w:keepNext/>
              <w:keepLines/>
              <w:spacing w:before="20" w:after="20"/>
              <w:rPr>
                <w:sz w:val="20"/>
                <w:szCs w:val="20"/>
              </w:rPr>
            </w:pPr>
            <w:r w:rsidRPr="00014105">
              <w:rPr>
                <w:sz w:val="20"/>
                <w:szCs w:val="20"/>
              </w:rPr>
              <w:t>Wound complication*</w:t>
            </w:r>
          </w:p>
        </w:tc>
      </w:tr>
      <w:tr w:rsidR="00014105" w:rsidRPr="00194049" w14:paraId="608B577D" w14:textId="77777777" w:rsidTr="006F6B30">
        <w:tc>
          <w:tcPr>
            <w:tcW w:w="3823" w:type="dxa"/>
            <w:tcBorders>
              <w:top w:val="nil"/>
              <w:left w:val="single" w:sz="4" w:space="0" w:color="auto"/>
              <w:bottom w:val="nil"/>
              <w:right w:val="single" w:sz="4" w:space="0" w:color="auto"/>
            </w:tcBorders>
          </w:tcPr>
          <w:p w14:paraId="09787279" w14:textId="77777777" w:rsidR="00014105" w:rsidRPr="00194049" w:rsidRDefault="00014105" w:rsidP="00014105">
            <w:pPr>
              <w:pStyle w:val="BodyText"/>
              <w:keepNext/>
              <w:keepLines/>
              <w:spacing w:before="20" w:after="20"/>
              <w:rPr>
                <w:sz w:val="20"/>
                <w:szCs w:val="20"/>
              </w:rPr>
            </w:pPr>
          </w:p>
        </w:tc>
        <w:tc>
          <w:tcPr>
            <w:tcW w:w="2551" w:type="dxa"/>
            <w:tcBorders>
              <w:left w:val="single" w:sz="4" w:space="0" w:color="auto"/>
              <w:bottom w:val="single" w:sz="4" w:space="0" w:color="auto"/>
            </w:tcBorders>
          </w:tcPr>
          <w:p w14:paraId="6CCC3E88" w14:textId="4B115A3C" w:rsidR="00014105" w:rsidRPr="006F6B30" w:rsidRDefault="00014105" w:rsidP="00014105">
            <w:pPr>
              <w:pStyle w:val="BodyText"/>
              <w:keepNext/>
              <w:keepLines/>
              <w:spacing w:before="20" w:after="20"/>
              <w:rPr>
                <w:sz w:val="20"/>
                <w:szCs w:val="20"/>
              </w:rPr>
            </w:pPr>
            <w:r w:rsidRPr="006F6B30">
              <w:rPr>
                <w:sz w:val="20"/>
                <w:szCs w:val="20"/>
              </w:rPr>
              <w:t>Common</w:t>
            </w:r>
          </w:p>
        </w:tc>
        <w:tc>
          <w:tcPr>
            <w:tcW w:w="3254" w:type="dxa"/>
            <w:tcBorders>
              <w:bottom w:val="single" w:sz="4" w:space="0" w:color="auto"/>
            </w:tcBorders>
          </w:tcPr>
          <w:p w14:paraId="7287D88C" w14:textId="09484BDE" w:rsidR="00014105" w:rsidRPr="00194049" w:rsidRDefault="00014105" w:rsidP="00014105">
            <w:pPr>
              <w:pStyle w:val="BodyText"/>
              <w:keepNext/>
              <w:keepLines/>
              <w:spacing w:before="20" w:after="20"/>
              <w:rPr>
                <w:sz w:val="20"/>
                <w:szCs w:val="20"/>
              </w:rPr>
            </w:pPr>
            <w:r w:rsidRPr="00014105">
              <w:rPr>
                <w:sz w:val="20"/>
                <w:szCs w:val="20"/>
              </w:rPr>
              <w:t>Pruritis</w:t>
            </w:r>
          </w:p>
        </w:tc>
      </w:tr>
      <w:tr w:rsidR="00014105" w:rsidRPr="00194049" w14:paraId="7DBDD194" w14:textId="77777777" w:rsidTr="004F4F7D">
        <w:tc>
          <w:tcPr>
            <w:tcW w:w="3823" w:type="dxa"/>
            <w:tcBorders>
              <w:top w:val="nil"/>
              <w:left w:val="single" w:sz="4" w:space="0" w:color="auto"/>
              <w:bottom w:val="single" w:sz="4" w:space="0" w:color="auto"/>
              <w:right w:val="single" w:sz="4" w:space="0" w:color="auto"/>
            </w:tcBorders>
          </w:tcPr>
          <w:p w14:paraId="1A705F69" w14:textId="77777777" w:rsidR="00014105" w:rsidRPr="00194049" w:rsidRDefault="00014105" w:rsidP="00014105">
            <w:pPr>
              <w:pStyle w:val="BodyText"/>
              <w:keepNext/>
              <w:keepLines/>
              <w:spacing w:before="20" w:after="20"/>
              <w:rPr>
                <w:sz w:val="20"/>
                <w:szCs w:val="20"/>
              </w:rPr>
            </w:pPr>
          </w:p>
        </w:tc>
        <w:tc>
          <w:tcPr>
            <w:tcW w:w="2551" w:type="dxa"/>
            <w:tcBorders>
              <w:left w:val="single" w:sz="4" w:space="0" w:color="auto"/>
              <w:bottom w:val="single" w:sz="4" w:space="0" w:color="auto"/>
            </w:tcBorders>
          </w:tcPr>
          <w:p w14:paraId="6408FFBB" w14:textId="30396D8F" w:rsidR="00014105" w:rsidRDefault="00014105" w:rsidP="00014105">
            <w:pPr>
              <w:pStyle w:val="BodyText"/>
              <w:keepNext/>
              <w:keepLines/>
              <w:spacing w:before="20" w:after="20"/>
              <w:rPr>
                <w:sz w:val="20"/>
                <w:szCs w:val="20"/>
              </w:rPr>
            </w:pPr>
            <w:r>
              <w:rPr>
                <w:sz w:val="20"/>
                <w:szCs w:val="20"/>
              </w:rPr>
              <w:t>Uncommon</w:t>
            </w:r>
          </w:p>
        </w:tc>
        <w:tc>
          <w:tcPr>
            <w:tcW w:w="3254" w:type="dxa"/>
            <w:tcBorders>
              <w:bottom w:val="single" w:sz="4" w:space="0" w:color="auto"/>
            </w:tcBorders>
          </w:tcPr>
          <w:p w14:paraId="484798CD" w14:textId="6F95A0AF" w:rsidR="00014105" w:rsidRPr="00014105" w:rsidRDefault="00014105" w:rsidP="00014105">
            <w:pPr>
              <w:pStyle w:val="BodyText"/>
              <w:keepNext/>
              <w:keepLines/>
              <w:spacing w:before="20" w:after="20"/>
              <w:rPr>
                <w:sz w:val="20"/>
                <w:szCs w:val="20"/>
              </w:rPr>
            </w:pPr>
            <w:r w:rsidRPr="00014105">
              <w:rPr>
                <w:sz w:val="20"/>
                <w:szCs w:val="20"/>
              </w:rPr>
              <w:t>Dermatitis</w:t>
            </w:r>
            <w:r w:rsidRPr="00014105">
              <w:rPr>
                <w:sz w:val="20"/>
                <w:szCs w:val="20"/>
                <w:vertAlign w:val="superscript"/>
              </w:rPr>
              <w:t>a</w:t>
            </w:r>
            <w:r>
              <w:rPr>
                <w:sz w:val="20"/>
                <w:szCs w:val="20"/>
              </w:rPr>
              <w:t>, r</w:t>
            </w:r>
            <w:r w:rsidRPr="00014105">
              <w:rPr>
                <w:sz w:val="20"/>
                <w:szCs w:val="20"/>
              </w:rPr>
              <w:t>ash pruritic</w:t>
            </w:r>
            <w:r w:rsidRPr="00014105">
              <w:rPr>
                <w:sz w:val="20"/>
                <w:szCs w:val="20"/>
                <w:vertAlign w:val="superscript"/>
              </w:rPr>
              <w:t>a</w:t>
            </w:r>
            <w:r>
              <w:rPr>
                <w:sz w:val="20"/>
                <w:szCs w:val="20"/>
              </w:rPr>
              <w:t>, p</w:t>
            </w:r>
            <w:r w:rsidRPr="00014105">
              <w:rPr>
                <w:sz w:val="20"/>
                <w:szCs w:val="20"/>
              </w:rPr>
              <w:t>urpura</w:t>
            </w:r>
            <w:r w:rsidRPr="00014105">
              <w:rPr>
                <w:sz w:val="20"/>
                <w:szCs w:val="20"/>
                <w:vertAlign w:val="superscript"/>
              </w:rPr>
              <w:t>a</w:t>
            </w:r>
          </w:p>
        </w:tc>
      </w:tr>
      <w:tr w:rsidR="00014105" w:rsidRPr="00194049" w14:paraId="48FAEABE" w14:textId="77777777" w:rsidTr="004F4F7D">
        <w:tc>
          <w:tcPr>
            <w:tcW w:w="3823" w:type="dxa"/>
            <w:tcBorders>
              <w:top w:val="single" w:sz="4" w:space="0" w:color="auto"/>
              <w:bottom w:val="nil"/>
            </w:tcBorders>
          </w:tcPr>
          <w:p w14:paraId="73F1FFCA" w14:textId="63F366FF" w:rsidR="00014105" w:rsidRPr="00194049" w:rsidRDefault="00014105" w:rsidP="00014105">
            <w:pPr>
              <w:pStyle w:val="BodyText"/>
              <w:keepNext/>
              <w:keepLines/>
              <w:spacing w:before="20" w:after="20"/>
              <w:rPr>
                <w:sz w:val="20"/>
                <w:szCs w:val="20"/>
              </w:rPr>
            </w:pPr>
            <w:r w:rsidRPr="00194049">
              <w:rPr>
                <w:sz w:val="20"/>
                <w:szCs w:val="20"/>
              </w:rPr>
              <w:t>General disorder and administration site conditions</w:t>
            </w:r>
          </w:p>
        </w:tc>
        <w:tc>
          <w:tcPr>
            <w:tcW w:w="2551" w:type="dxa"/>
            <w:tcBorders>
              <w:bottom w:val="single" w:sz="4" w:space="0" w:color="auto"/>
            </w:tcBorders>
          </w:tcPr>
          <w:p w14:paraId="25EEE01F" w14:textId="79815FAD" w:rsidR="00014105" w:rsidRPr="00194049" w:rsidRDefault="00014105" w:rsidP="00014105">
            <w:pPr>
              <w:pStyle w:val="BodyText"/>
              <w:keepNext/>
              <w:keepLines/>
              <w:spacing w:before="20" w:after="20"/>
              <w:rPr>
                <w:sz w:val="20"/>
                <w:szCs w:val="20"/>
              </w:rPr>
            </w:pPr>
            <w:r>
              <w:rPr>
                <w:sz w:val="20"/>
                <w:szCs w:val="20"/>
              </w:rPr>
              <w:t>Common</w:t>
            </w:r>
          </w:p>
        </w:tc>
        <w:tc>
          <w:tcPr>
            <w:tcW w:w="3254" w:type="dxa"/>
            <w:tcBorders>
              <w:bottom w:val="single" w:sz="4" w:space="0" w:color="auto"/>
            </w:tcBorders>
          </w:tcPr>
          <w:p w14:paraId="5818C2ED" w14:textId="4D84B2E3" w:rsidR="00014105" w:rsidRPr="00194049" w:rsidRDefault="00014105" w:rsidP="00014105">
            <w:pPr>
              <w:pStyle w:val="BodyText"/>
              <w:keepNext/>
              <w:keepLines/>
              <w:spacing w:before="20" w:after="20"/>
              <w:rPr>
                <w:sz w:val="20"/>
                <w:szCs w:val="20"/>
              </w:rPr>
            </w:pPr>
            <w:r w:rsidRPr="00014105">
              <w:rPr>
                <w:sz w:val="20"/>
                <w:szCs w:val="20"/>
              </w:rPr>
              <w:t>Application site reactions* (e.g.</w:t>
            </w:r>
            <w:r w:rsidR="004F4F7D">
              <w:rPr>
                <w:sz w:val="20"/>
                <w:szCs w:val="20"/>
              </w:rPr>
              <w:t> </w:t>
            </w:r>
            <w:r w:rsidRPr="00014105">
              <w:rPr>
                <w:sz w:val="20"/>
                <w:szCs w:val="20"/>
              </w:rPr>
              <w:t>application site pain and application site pruritis)</w:t>
            </w:r>
          </w:p>
        </w:tc>
      </w:tr>
      <w:tr w:rsidR="00014105" w:rsidRPr="00194049" w14:paraId="3A36D87C" w14:textId="77777777" w:rsidTr="008E6EE6">
        <w:tc>
          <w:tcPr>
            <w:tcW w:w="3823" w:type="dxa"/>
            <w:vMerge w:val="restart"/>
          </w:tcPr>
          <w:p w14:paraId="6B5F1814" w14:textId="6B97ECC3" w:rsidR="00014105" w:rsidRPr="00194049" w:rsidRDefault="00014105" w:rsidP="00014105">
            <w:pPr>
              <w:pStyle w:val="BodyText"/>
              <w:keepNext/>
              <w:keepLines/>
              <w:spacing w:before="20" w:after="20"/>
              <w:rPr>
                <w:sz w:val="20"/>
                <w:szCs w:val="20"/>
              </w:rPr>
            </w:pPr>
            <w:r w:rsidRPr="00194049">
              <w:rPr>
                <w:sz w:val="20"/>
                <w:szCs w:val="20"/>
              </w:rPr>
              <w:t>Injury, poisoning and procedural complications</w:t>
            </w:r>
          </w:p>
        </w:tc>
        <w:tc>
          <w:tcPr>
            <w:tcW w:w="2551" w:type="dxa"/>
            <w:tcBorders>
              <w:bottom w:val="single" w:sz="4" w:space="0" w:color="auto"/>
            </w:tcBorders>
          </w:tcPr>
          <w:p w14:paraId="3A2BB9F1" w14:textId="5002DFC0" w:rsidR="00014105" w:rsidRPr="00194049" w:rsidRDefault="00014105" w:rsidP="00014105">
            <w:pPr>
              <w:pStyle w:val="BodyText"/>
              <w:keepNext/>
              <w:keepLines/>
              <w:spacing w:before="20" w:after="20"/>
              <w:rPr>
                <w:sz w:val="20"/>
                <w:szCs w:val="20"/>
              </w:rPr>
            </w:pPr>
            <w:r>
              <w:rPr>
                <w:sz w:val="20"/>
                <w:szCs w:val="20"/>
              </w:rPr>
              <w:t>Common</w:t>
            </w:r>
          </w:p>
        </w:tc>
        <w:tc>
          <w:tcPr>
            <w:tcW w:w="3254" w:type="dxa"/>
            <w:tcBorders>
              <w:bottom w:val="single" w:sz="4" w:space="0" w:color="auto"/>
            </w:tcBorders>
          </w:tcPr>
          <w:p w14:paraId="3A892400" w14:textId="648D90C1" w:rsidR="00014105" w:rsidRPr="00194049" w:rsidRDefault="00014105" w:rsidP="00014105">
            <w:pPr>
              <w:pStyle w:val="BodyText"/>
              <w:keepNext/>
              <w:keepLines/>
              <w:spacing w:before="20" w:after="20"/>
              <w:rPr>
                <w:sz w:val="20"/>
                <w:szCs w:val="20"/>
              </w:rPr>
            </w:pPr>
            <w:r w:rsidRPr="00014105">
              <w:rPr>
                <w:sz w:val="20"/>
                <w:szCs w:val="20"/>
              </w:rPr>
              <w:t>Wound complication*</w:t>
            </w:r>
            <w:r w:rsidRPr="00014105">
              <w:rPr>
                <w:sz w:val="20"/>
                <w:szCs w:val="20"/>
                <w:vertAlign w:val="superscript"/>
              </w:rPr>
              <w:t>a</w:t>
            </w:r>
          </w:p>
        </w:tc>
      </w:tr>
      <w:tr w:rsidR="00014105" w:rsidRPr="00194049" w14:paraId="494E701D" w14:textId="77777777" w:rsidTr="008E6EE6">
        <w:tc>
          <w:tcPr>
            <w:tcW w:w="3823" w:type="dxa"/>
            <w:vMerge/>
            <w:tcBorders>
              <w:bottom w:val="single" w:sz="4" w:space="0" w:color="auto"/>
            </w:tcBorders>
          </w:tcPr>
          <w:p w14:paraId="534F8F03" w14:textId="77777777" w:rsidR="00014105" w:rsidRPr="00194049" w:rsidRDefault="00014105" w:rsidP="00014105">
            <w:pPr>
              <w:pStyle w:val="BodyText"/>
              <w:keepNext/>
              <w:keepLines/>
              <w:spacing w:before="20" w:after="20"/>
              <w:rPr>
                <w:sz w:val="20"/>
                <w:szCs w:val="20"/>
              </w:rPr>
            </w:pPr>
          </w:p>
        </w:tc>
        <w:tc>
          <w:tcPr>
            <w:tcW w:w="2551" w:type="dxa"/>
            <w:tcBorders>
              <w:bottom w:val="single" w:sz="4" w:space="0" w:color="auto"/>
            </w:tcBorders>
          </w:tcPr>
          <w:p w14:paraId="2E2E3823" w14:textId="194EAE81" w:rsidR="00014105" w:rsidRPr="00194049" w:rsidRDefault="00014105" w:rsidP="00014105">
            <w:pPr>
              <w:pStyle w:val="BodyText"/>
              <w:keepNext/>
              <w:keepLines/>
              <w:spacing w:before="20" w:after="20"/>
              <w:rPr>
                <w:sz w:val="20"/>
                <w:szCs w:val="20"/>
              </w:rPr>
            </w:pPr>
            <w:r>
              <w:rPr>
                <w:sz w:val="20"/>
                <w:szCs w:val="20"/>
              </w:rPr>
              <w:t>Uncommon</w:t>
            </w:r>
          </w:p>
        </w:tc>
        <w:tc>
          <w:tcPr>
            <w:tcW w:w="3254" w:type="dxa"/>
            <w:tcBorders>
              <w:bottom w:val="single" w:sz="4" w:space="0" w:color="auto"/>
            </w:tcBorders>
          </w:tcPr>
          <w:p w14:paraId="3E2C6C95" w14:textId="064EC9F3" w:rsidR="00014105" w:rsidRPr="00194049" w:rsidRDefault="00014105" w:rsidP="00014105">
            <w:pPr>
              <w:pStyle w:val="BodyText"/>
              <w:keepNext/>
              <w:keepLines/>
              <w:spacing w:before="20" w:after="20"/>
              <w:rPr>
                <w:sz w:val="20"/>
                <w:szCs w:val="20"/>
              </w:rPr>
            </w:pPr>
            <w:r w:rsidRPr="00014105">
              <w:rPr>
                <w:sz w:val="20"/>
                <w:szCs w:val="20"/>
              </w:rPr>
              <w:t>Wound secretion</w:t>
            </w:r>
          </w:p>
        </w:tc>
      </w:tr>
      <w:tr w:rsidR="00014105" w:rsidRPr="00014105" w14:paraId="4B940F48" w14:textId="77777777" w:rsidTr="00014105">
        <w:trPr>
          <w:trHeight w:val="404"/>
        </w:trPr>
        <w:tc>
          <w:tcPr>
            <w:tcW w:w="9628" w:type="dxa"/>
            <w:gridSpan w:val="3"/>
            <w:tcBorders>
              <w:top w:val="single" w:sz="4" w:space="0" w:color="auto"/>
              <w:left w:val="nil"/>
              <w:bottom w:val="nil"/>
              <w:right w:val="nil"/>
            </w:tcBorders>
          </w:tcPr>
          <w:p w14:paraId="1D89378D" w14:textId="2FC9E741" w:rsidR="00014105" w:rsidRPr="00014105" w:rsidRDefault="00014105" w:rsidP="00014105">
            <w:pPr>
              <w:pStyle w:val="BodyText"/>
              <w:spacing w:before="20" w:after="20"/>
              <w:rPr>
                <w:sz w:val="20"/>
                <w:szCs w:val="20"/>
              </w:rPr>
            </w:pPr>
            <w:r w:rsidRPr="00014105">
              <w:rPr>
                <w:sz w:val="20"/>
                <w:szCs w:val="20"/>
              </w:rPr>
              <w:t>*</w:t>
            </w:r>
            <w:r>
              <w:rPr>
                <w:sz w:val="20"/>
                <w:szCs w:val="20"/>
              </w:rPr>
              <w:t>S</w:t>
            </w:r>
            <w:r w:rsidRPr="00014105">
              <w:rPr>
                <w:sz w:val="20"/>
                <w:szCs w:val="20"/>
              </w:rPr>
              <w:t xml:space="preserve">ee </w:t>
            </w:r>
            <w:hyperlink w:anchor="_Description_of_selected" w:history="1">
              <w:r w:rsidRPr="00774843">
                <w:rPr>
                  <w:rStyle w:val="Hyperlink"/>
                  <w:sz w:val="20"/>
                  <w:szCs w:val="20"/>
                </w:rPr>
                <w:t>Description of selected adverse reactions</w:t>
              </w:r>
            </w:hyperlink>
          </w:p>
          <w:p w14:paraId="2269B010" w14:textId="6F5F40A1" w:rsidR="00014105" w:rsidRPr="00014105" w:rsidRDefault="00014105" w:rsidP="00014105">
            <w:pPr>
              <w:pStyle w:val="BodyText"/>
              <w:spacing w:before="20" w:after="20"/>
              <w:rPr>
                <w:sz w:val="20"/>
                <w:szCs w:val="20"/>
              </w:rPr>
            </w:pPr>
            <w:r w:rsidRPr="00014105">
              <w:rPr>
                <w:sz w:val="20"/>
                <w:szCs w:val="20"/>
                <w:vertAlign w:val="superscript"/>
              </w:rPr>
              <w:t xml:space="preserve">a </w:t>
            </w:r>
            <w:r w:rsidRPr="00736783">
              <w:rPr>
                <w:sz w:val="20"/>
                <w:szCs w:val="20"/>
              </w:rPr>
              <w:t>A</w:t>
            </w:r>
            <w:r w:rsidRPr="00014105">
              <w:rPr>
                <w:sz w:val="20"/>
                <w:szCs w:val="20"/>
              </w:rPr>
              <w:t>dverse reactions observed in studies of patients with grade 2a burn wounds or split-thickness skin grafts</w:t>
            </w:r>
          </w:p>
        </w:tc>
      </w:tr>
    </w:tbl>
    <w:p w14:paraId="77347FB5" w14:textId="213266D6" w:rsidR="00476700" w:rsidRPr="00194049" w:rsidRDefault="00476700" w:rsidP="00B30667">
      <w:pPr>
        <w:pStyle w:val="Heading3"/>
      </w:pPr>
      <w:bookmarkStart w:id="17" w:name="_Description_of_selected"/>
      <w:bookmarkEnd w:id="17"/>
      <w:r w:rsidRPr="00194049">
        <w:t>Description of selected adverse reactions</w:t>
      </w:r>
    </w:p>
    <w:p w14:paraId="080F9024" w14:textId="0843C790" w:rsidR="002A7C23" w:rsidRPr="00194049" w:rsidRDefault="00014105" w:rsidP="00856EE9">
      <w:pPr>
        <w:pStyle w:val="Heading4"/>
      </w:pPr>
      <w:bookmarkStart w:id="18" w:name="_Hlk145422568"/>
      <w:r>
        <w:t>Hypersensitivity</w:t>
      </w:r>
    </w:p>
    <w:bookmarkEnd w:id="18"/>
    <w:p w14:paraId="58196029" w14:textId="13802CF4" w:rsidR="002A7C23" w:rsidRPr="00194049" w:rsidRDefault="00763304" w:rsidP="002A7C23">
      <w:pPr>
        <w:pStyle w:val="BodyText"/>
      </w:pPr>
      <w:r>
        <w:t>H</w:t>
      </w:r>
      <w:r w:rsidR="00014105" w:rsidRPr="00014105">
        <w:t xml:space="preserve">ypersensitivity-like reactions </w:t>
      </w:r>
      <w:r w:rsidR="008A0F3B">
        <w:t xml:space="preserve">were common </w:t>
      </w:r>
      <w:r w:rsidR="00013EE1">
        <w:t xml:space="preserve"> in</w:t>
      </w:r>
      <w:r w:rsidR="00014105" w:rsidRPr="00014105">
        <w:t xml:space="preserve"> clinical trials in EB patients. These reactions include rash, urticaria and eczema which were mild in 1.3% of patients and severe in 0.4% of </w:t>
      </w:r>
      <w:r w:rsidR="00014105" w:rsidRPr="00014105">
        <w:lastRenderedPageBreak/>
        <w:t xml:space="preserve">patients. </w:t>
      </w:r>
      <w:r w:rsidR="00A62319" w:rsidRPr="00014105">
        <w:t xml:space="preserve">For specific recommendations, </w:t>
      </w:r>
      <w:r w:rsidR="00A62319">
        <w:t xml:space="preserve">see </w:t>
      </w:r>
      <w:r w:rsidR="00A62319" w:rsidRPr="00CE261E">
        <w:rPr>
          <w:color w:val="0000FF"/>
        </w:rPr>
        <w:t>section</w:t>
      </w:r>
      <w:r w:rsidR="00A62319" w:rsidRPr="00613930">
        <w:rPr>
          <w:color w:val="0000FF"/>
        </w:rPr>
        <w:t xml:space="preserve"> </w:t>
      </w:r>
      <w:hyperlink w:anchor="_4.4_SPECIAL_WARNINGS" w:history="1">
        <w:r w:rsidR="00A62319" w:rsidRPr="00A62319">
          <w:rPr>
            <w:rStyle w:val="Hyperlink"/>
          </w:rPr>
          <w:t>4.4 SPECIAL WARNINGS AND PRECAUTIONS FOR USE</w:t>
        </w:r>
      </w:hyperlink>
      <w:r w:rsidR="002A7C23" w:rsidRPr="00194049">
        <w:t>.</w:t>
      </w:r>
    </w:p>
    <w:p w14:paraId="608AEFBE" w14:textId="4FC58719" w:rsidR="002A7C23" w:rsidRPr="00194049" w:rsidRDefault="00014105" w:rsidP="00856EE9">
      <w:pPr>
        <w:pStyle w:val="Heading4"/>
      </w:pPr>
      <w:r w:rsidRPr="00014105">
        <w:t>Application site reactions</w:t>
      </w:r>
    </w:p>
    <w:p w14:paraId="4D1C269C" w14:textId="2941FD6C" w:rsidR="002A7C23" w:rsidRPr="00194049" w:rsidRDefault="00014105" w:rsidP="002A7C23">
      <w:pPr>
        <w:pStyle w:val="BodyText"/>
      </w:pPr>
      <w:r w:rsidRPr="00014105">
        <w:t>Mild or moderate application site reactions are common and include application site pain and application site pruritis.</w:t>
      </w:r>
    </w:p>
    <w:p w14:paraId="4C021FAA" w14:textId="3F2AE149" w:rsidR="002A7C23" w:rsidRPr="00194049" w:rsidRDefault="00014105" w:rsidP="00856EE9">
      <w:pPr>
        <w:pStyle w:val="Heading4"/>
      </w:pPr>
      <w:r w:rsidRPr="00014105">
        <w:t>Wound complication</w:t>
      </w:r>
    </w:p>
    <w:p w14:paraId="66C993E9" w14:textId="77777777" w:rsidR="00014105" w:rsidRDefault="00014105" w:rsidP="00014105">
      <w:pPr>
        <w:pStyle w:val="BodyText"/>
      </w:pPr>
      <w:r>
        <w:t>In studies with EB patients, wound complication comprised different kinds of local complications such as increase in wound size, wound re-opening, wound pain and wound haemorrhage.</w:t>
      </w:r>
    </w:p>
    <w:p w14:paraId="0770C2F3" w14:textId="02D22FA6" w:rsidR="002A7C23" w:rsidRPr="00194049" w:rsidRDefault="00014105" w:rsidP="00014105">
      <w:pPr>
        <w:pStyle w:val="BodyText"/>
      </w:pPr>
      <w:r>
        <w:t>In studies in patients with burn wounds or split-thickness skin grafts, wound complications comprised different kinds of local complications such as post-procedural complications, wound necrosis, wound secretion, impaired healing or inflammation of wound.</w:t>
      </w:r>
    </w:p>
    <w:p w14:paraId="0BF38CD1" w14:textId="77777777" w:rsidR="002A7C23" w:rsidRPr="00014105" w:rsidRDefault="002A7C23" w:rsidP="00E52C08">
      <w:pPr>
        <w:pStyle w:val="Heading3"/>
      </w:pPr>
      <w:r w:rsidRPr="00014105">
        <w:t>Paediatric population</w:t>
      </w:r>
    </w:p>
    <w:p w14:paraId="3414402F" w14:textId="02CA1643" w:rsidR="00476700" w:rsidRPr="00194049" w:rsidRDefault="00014105" w:rsidP="002A7C23">
      <w:pPr>
        <w:pStyle w:val="BodyText"/>
      </w:pPr>
      <w:r>
        <w:t>O</w:t>
      </w:r>
      <w:r w:rsidRPr="00014105">
        <w:t>f patients randomised in the pivotal study</w:t>
      </w:r>
      <w:r>
        <w:t>,</w:t>
      </w:r>
      <w:r w:rsidRPr="00014105">
        <w:t xml:space="preserve"> 70% (n = 156) were under the age of 18</w:t>
      </w:r>
      <w:r>
        <w:t xml:space="preserve"> years </w:t>
      </w:r>
      <w:r w:rsidRPr="00014105">
        <w:t>with a median age of 12</w:t>
      </w:r>
      <w:r>
        <w:t> </w:t>
      </w:r>
      <w:r w:rsidRPr="00014105">
        <w:t>years</w:t>
      </w:r>
      <w:r>
        <w:t xml:space="preserve">, </w:t>
      </w:r>
      <w:r w:rsidRPr="00014105">
        <w:t>8% (n = 17) of patients were below 4</w:t>
      </w:r>
      <w:r>
        <w:t> </w:t>
      </w:r>
      <w:r w:rsidRPr="00014105">
        <w:t>years of age and 2</w:t>
      </w:r>
      <w:r>
        <w:t> </w:t>
      </w:r>
      <w:r w:rsidRPr="00014105">
        <w:t>patients were under 1</w:t>
      </w:r>
      <w:r>
        <w:t> </w:t>
      </w:r>
      <w:r w:rsidRPr="00014105">
        <w:t>year of age. The adverse reactions observed in the overall population were similar to those observed in the paediatric population.</w:t>
      </w:r>
    </w:p>
    <w:p w14:paraId="01F72226" w14:textId="77777777" w:rsidR="00792C0E" w:rsidRPr="00194049" w:rsidRDefault="00792C0E" w:rsidP="00B30667">
      <w:pPr>
        <w:pStyle w:val="Heading3"/>
      </w:pPr>
      <w:r w:rsidRPr="00194049">
        <w:t xml:space="preserve">Reporting suspected adverse </w:t>
      </w:r>
      <w:r w:rsidR="007A39B8" w:rsidRPr="00194049">
        <w:t>effects</w:t>
      </w:r>
      <w:r w:rsidRPr="00194049">
        <w:t xml:space="preserve"> </w:t>
      </w:r>
    </w:p>
    <w:p w14:paraId="00E5AC07" w14:textId="77777777" w:rsidR="007A39B8" w:rsidRPr="00194049" w:rsidRDefault="007A39B8" w:rsidP="00C041F8">
      <w:pPr>
        <w:pStyle w:val="BodyText"/>
      </w:pPr>
      <w:r w:rsidRPr="00194049">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194049">
          <w:rPr>
            <w:rStyle w:val="Hyperlink"/>
          </w:rPr>
          <w:t>www.tga.gov.au/reporting-problems</w:t>
        </w:r>
      </w:hyperlink>
      <w:r w:rsidRPr="00194049">
        <w:t>.</w:t>
      </w:r>
    </w:p>
    <w:p w14:paraId="06054012" w14:textId="4238AEA4" w:rsidR="000C49CD" w:rsidRPr="00194049" w:rsidRDefault="007A39B8" w:rsidP="00762050">
      <w:pPr>
        <w:pStyle w:val="Heading2"/>
      </w:pPr>
      <w:r w:rsidRPr="00194049">
        <w:t>OVERDOSE</w:t>
      </w:r>
    </w:p>
    <w:p w14:paraId="7AD4876B" w14:textId="1CB63065" w:rsidR="001B4EAF" w:rsidRDefault="005D413F" w:rsidP="001B4EAF">
      <w:pPr>
        <w:pStyle w:val="BodyText"/>
      </w:pPr>
      <w:bookmarkStart w:id="19" w:name="OLE_LINK3"/>
      <w:r w:rsidRPr="005D413F">
        <w:t xml:space="preserve">Overdosing with </w:t>
      </w:r>
      <w:r>
        <w:t>FILSUVEZ</w:t>
      </w:r>
      <w:r w:rsidRPr="005D413F">
        <w:t xml:space="preserve"> is unlikely. No case of overdose has been reported when a maximum amount of 69</w:t>
      </w:r>
      <w:r>
        <w:t> </w:t>
      </w:r>
      <w:r w:rsidRPr="005D413F">
        <w:t>g was used on a daily basis for more than 90</w:t>
      </w:r>
      <w:r>
        <w:t> </w:t>
      </w:r>
      <w:r w:rsidRPr="005D413F">
        <w:t>days.</w:t>
      </w:r>
    </w:p>
    <w:p w14:paraId="76410552" w14:textId="19AECBFA" w:rsidR="005D413F" w:rsidRPr="00194049" w:rsidRDefault="005D413F" w:rsidP="001B4EAF">
      <w:pPr>
        <w:pStyle w:val="BodyText"/>
      </w:pPr>
      <w:r w:rsidRPr="005D413F">
        <w:t xml:space="preserve">No data have been generated to establish the effect of accidental ingestion of </w:t>
      </w:r>
      <w:r>
        <w:t>FILSUVEZ</w:t>
      </w:r>
      <w:r w:rsidRPr="005D413F">
        <w:t>. Further management should be as clinically indicated.</w:t>
      </w:r>
    </w:p>
    <w:p w14:paraId="5928F788" w14:textId="5A66886F" w:rsidR="000C49CD" w:rsidRPr="00194049" w:rsidRDefault="0012238B" w:rsidP="00C041F8">
      <w:pPr>
        <w:pStyle w:val="BodyText"/>
      </w:pPr>
      <w:r w:rsidRPr="00194049">
        <w:t>For information on the management of overdose, contact the Poisons Information Centre on 13</w:t>
      </w:r>
      <w:r w:rsidR="00072E3E" w:rsidRPr="00194049">
        <w:t> </w:t>
      </w:r>
      <w:r w:rsidRPr="00194049">
        <w:t>11</w:t>
      </w:r>
      <w:r w:rsidR="00072E3E" w:rsidRPr="00194049">
        <w:t> </w:t>
      </w:r>
      <w:r w:rsidRPr="00194049">
        <w:t>26 (Australia).</w:t>
      </w:r>
      <w:bookmarkEnd w:id="19"/>
    </w:p>
    <w:p w14:paraId="13AD0276" w14:textId="77777777" w:rsidR="000C49CD" w:rsidRPr="00106855" w:rsidRDefault="000C49CD" w:rsidP="00106855">
      <w:pPr>
        <w:pStyle w:val="Heading1"/>
      </w:pPr>
      <w:r w:rsidRPr="00106855">
        <w:t>PHARMACOLOGICAL PROPERTIES</w:t>
      </w:r>
    </w:p>
    <w:p w14:paraId="6F442B7A" w14:textId="07DFBE39" w:rsidR="000C49CD" w:rsidRPr="00194049" w:rsidRDefault="00A62F07" w:rsidP="00762050">
      <w:pPr>
        <w:pStyle w:val="Heading2"/>
      </w:pPr>
      <w:bookmarkStart w:id="20" w:name="_5.1_PHARMACODYNAMIC_PROPERTIES"/>
      <w:bookmarkStart w:id="21" w:name="_PHARMACODYNAMIC_PROPERTIES"/>
      <w:bookmarkEnd w:id="20"/>
      <w:bookmarkEnd w:id="21"/>
      <w:r w:rsidRPr="00194049">
        <w:t>PHARMACODYNAMIC PROPERTIES</w:t>
      </w:r>
    </w:p>
    <w:p w14:paraId="5C7353E1" w14:textId="72499699" w:rsidR="000C49CD" w:rsidRPr="00194049" w:rsidRDefault="005D413F" w:rsidP="00E11A53">
      <w:pPr>
        <w:pStyle w:val="BodyText"/>
      </w:pPr>
      <w:r w:rsidRPr="005D413F">
        <w:t>Pharmacotherapeutic group: Preparations for treatment of wounds and ulcers, other cicatrizants; ATC code: D03AX13.</w:t>
      </w:r>
    </w:p>
    <w:p w14:paraId="4F65D247" w14:textId="77777777" w:rsidR="000C49CD" w:rsidRPr="00194049" w:rsidRDefault="00BA1633" w:rsidP="00B30667">
      <w:pPr>
        <w:pStyle w:val="Heading3"/>
      </w:pPr>
      <w:bookmarkStart w:id="22" w:name="OLE_LINK2"/>
      <w:r w:rsidRPr="00194049">
        <w:t>M</w:t>
      </w:r>
      <w:r w:rsidR="00A57AE1" w:rsidRPr="00194049">
        <w:t>echanism of action</w:t>
      </w:r>
    </w:p>
    <w:p w14:paraId="375DCC43" w14:textId="1F28DFF8" w:rsidR="00062BB4" w:rsidRPr="00062BB4" w:rsidRDefault="00062BB4" w:rsidP="00062BB4">
      <w:pPr>
        <w:pStyle w:val="BodyText"/>
      </w:pPr>
      <w:r>
        <w:t>The mechanism of action of FILSUVEZ in the treatment of wounds associated with EB is unknown.</w:t>
      </w:r>
    </w:p>
    <w:p w14:paraId="7F332AFE" w14:textId="115B61AD" w:rsidR="00476700" w:rsidRPr="00194049" w:rsidRDefault="00843E72" w:rsidP="00910627">
      <w:pPr>
        <w:pStyle w:val="BodyText"/>
      </w:pPr>
      <w:r w:rsidRPr="00843E72">
        <w:rPr>
          <w:i/>
          <w:iCs/>
        </w:rPr>
        <w:lastRenderedPageBreak/>
        <w:t>In vitro</w:t>
      </w:r>
      <w:r>
        <w:t xml:space="preserve"> c</w:t>
      </w:r>
      <w:r w:rsidR="005D413F" w:rsidRPr="005D413F">
        <w:t xml:space="preserve">ell culture assays with human primary keratinocytes and fibroblasts and </w:t>
      </w:r>
      <w:r w:rsidR="005D413F" w:rsidRPr="005D413F">
        <w:rPr>
          <w:i/>
          <w:iCs/>
        </w:rPr>
        <w:t>ex vivo</w:t>
      </w:r>
      <w:r w:rsidR="005D413F" w:rsidRPr="005D413F">
        <w:t xml:space="preserve"> studies with porcine skin show that the </w:t>
      </w:r>
      <w:r w:rsidR="002D3059">
        <w:t>bir</w:t>
      </w:r>
      <w:r w:rsidR="00D6662E">
        <w:t xml:space="preserve">ch bark dry </w:t>
      </w:r>
      <w:r w:rsidR="005D413F" w:rsidRPr="005D413F">
        <w:t>extract</w:t>
      </w:r>
      <w:r w:rsidR="00D6662E">
        <w:t>, which</w:t>
      </w:r>
      <w:r w:rsidR="005D413F" w:rsidRPr="005D413F">
        <w:t xml:space="preserve"> includ</w:t>
      </w:r>
      <w:r w:rsidR="00D6662E">
        <w:t>es</w:t>
      </w:r>
      <w:r w:rsidR="005D413F" w:rsidRPr="005D413F">
        <w:t xml:space="preserve"> the main component betulin</w:t>
      </w:r>
      <w:r w:rsidR="00D6662E">
        <w:t>,</w:t>
      </w:r>
      <w:r w:rsidR="005D413F" w:rsidRPr="005D413F">
        <w:t xml:space="preserve"> modulate</w:t>
      </w:r>
      <w:r w:rsidR="0007641A">
        <w:t>s</w:t>
      </w:r>
      <w:r w:rsidR="005D413F" w:rsidRPr="005D413F">
        <w:t xml:space="preserve"> inflammatory mediators and </w:t>
      </w:r>
      <w:r w:rsidR="003C6BA5">
        <w:t>is</w:t>
      </w:r>
      <w:r w:rsidR="005D413F" w:rsidRPr="005D413F">
        <w:t xml:space="preserve"> associated with activation of intracellular pathways known to be involved in keratinocyte differentiation and migration, wound healing and closure.</w:t>
      </w:r>
    </w:p>
    <w:p w14:paraId="506BC3C0" w14:textId="4F804233" w:rsidR="00A62F07" w:rsidRPr="00194049" w:rsidRDefault="00BA1633" w:rsidP="00B30667">
      <w:pPr>
        <w:pStyle w:val="Heading3"/>
      </w:pPr>
      <w:r w:rsidRPr="00194049">
        <w:t>C</w:t>
      </w:r>
      <w:r w:rsidR="00C041F8" w:rsidRPr="00194049">
        <w:t>linical trials</w:t>
      </w:r>
    </w:p>
    <w:p w14:paraId="6D5EFDF9" w14:textId="5AFF7F77" w:rsidR="005D413F" w:rsidRDefault="005D413F" w:rsidP="005D413F">
      <w:pPr>
        <w:pStyle w:val="Caption"/>
        <w:rPr>
          <w:b w:val="0"/>
          <w:iCs w:val="0"/>
          <w:noProof/>
          <w:szCs w:val="24"/>
        </w:rPr>
      </w:pPr>
      <w:bookmarkStart w:id="23" w:name="_5.2_PHARMACOKINETIC_PROPERTIES"/>
      <w:bookmarkStart w:id="24" w:name="_Ref145430550"/>
      <w:bookmarkEnd w:id="22"/>
      <w:bookmarkEnd w:id="23"/>
      <w:r w:rsidRPr="005D413F">
        <w:rPr>
          <w:b w:val="0"/>
          <w:iCs w:val="0"/>
          <w:noProof/>
          <w:szCs w:val="24"/>
        </w:rPr>
        <w:t xml:space="preserve">The efficacy and safety of </w:t>
      </w:r>
      <w:r>
        <w:rPr>
          <w:b w:val="0"/>
          <w:iCs w:val="0"/>
          <w:noProof/>
          <w:szCs w:val="24"/>
        </w:rPr>
        <w:t>FILSUVEZ</w:t>
      </w:r>
      <w:r w:rsidRPr="005D413F">
        <w:rPr>
          <w:b w:val="0"/>
          <w:iCs w:val="0"/>
          <w:noProof/>
          <w:szCs w:val="24"/>
        </w:rPr>
        <w:t xml:space="preserve"> in the treatment of partial thickness wounds associated with inherited EB were evaluated in a pivotal global Phase 3, randomised, double</w:t>
      </w:r>
      <w:r>
        <w:rPr>
          <w:b w:val="0"/>
          <w:iCs w:val="0"/>
          <w:noProof/>
          <w:szCs w:val="24"/>
        </w:rPr>
        <w:t>-</w:t>
      </w:r>
      <w:r w:rsidRPr="005D413F">
        <w:rPr>
          <w:b w:val="0"/>
          <w:iCs w:val="0"/>
          <w:noProof/>
          <w:szCs w:val="24"/>
        </w:rPr>
        <w:t>blind, controlled study in adults and children (EASE</w:t>
      </w:r>
      <w:r w:rsidR="00736783">
        <w:rPr>
          <w:b w:val="0"/>
          <w:iCs w:val="0"/>
          <w:noProof/>
          <w:szCs w:val="24"/>
        </w:rPr>
        <w:t xml:space="preserve"> study</w:t>
      </w:r>
      <w:r w:rsidRPr="005D413F">
        <w:rPr>
          <w:b w:val="0"/>
          <w:iCs w:val="0"/>
          <w:noProof/>
          <w:szCs w:val="24"/>
        </w:rPr>
        <w:t xml:space="preserve">). Patients with DEB and JEB were randomised 1:1 to receive </w:t>
      </w:r>
      <w:r>
        <w:rPr>
          <w:b w:val="0"/>
          <w:iCs w:val="0"/>
          <w:noProof/>
          <w:szCs w:val="24"/>
        </w:rPr>
        <w:t>FILSUVEZ</w:t>
      </w:r>
      <w:r w:rsidRPr="005D413F">
        <w:rPr>
          <w:b w:val="0"/>
          <w:iCs w:val="0"/>
          <w:noProof/>
          <w:szCs w:val="24"/>
        </w:rPr>
        <w:t xml:space="preserve"> (n = 109) or a blinded control gel (consisting of sunflower oil, refined; beeswax, yellow and carnauba wax) (n = 114) and instructed to apply the investigational product at a thickness of approximately 1</w:t>
      </w:r>
      <w:r>
        <w:rPr>
          <w:b w:val="0"/>
          <w:iCs w:val="0"/>
          <w:noProof/>
          <w:szCs w:val="24"/>
        </w:rPr>
        <w:t> </w:t>
      </w:r>
      <w:r w:rsidRPr="005D413F">
        <w:rPr>
          <w:b w:val="0"/>
          <w:iCs w:val="0"/>
          <w:noProof/>
          <w:szCs w:val="24"/>
        </w:rPr>
        <w:t>mm to all their wounds at each dressing change (every 1</w:t>
      </w:r>
      <w:r>
        <w:rPr>
          <w:b w:val="0"/>
          <w:iCs w:val="0"/>
          <w:noProof/>
          <w:szCs w:val="24"/>
        </w:rPr>
        <w:t>-</w:t>
      </w:r>
      <w:r w:rsidRPr="005D413F">
        <w:rPr>
          <w:b w:val="0"/>
          <w:iCs w:val="0"/>
          <w:noProof/>
          <w:szCs w:val="24"/>
        </w:rPr>
        <w:t xml:space="preserve">4 days) for 90 days. </w:t>
      </w:r>
    </w:p>
    <w:p w14:paraId="30BEEC2B" w14:textId="240CCDB7" w:rsidR="005D413F" w:rsidRPr="005D413F" w:rsidRDefault="005D413F" w:rsidP="005D413F">
      <w:pPr>
        <w:pStyle w:val="Caption"/>
        <w:rPr>
          <w:b w:val="0"/>
          <w:iCs w:val="0"/>
          <w:noProof/>
          <w:szCs w:val="24"/>
        </w:rPr>
      </w:pPr>
      <w:r w:rsidRPr="005D413F">
        <w:rPr>
          <w:b w:val="0"/>
          <w:iCs w:val="0"/>
          <w:noProof/>
          <w:szCs w:val="24"/>
        </w:rPr>
        <w:t>At randomisation, one wound was selected by the investigator as the target wound for the evaluation of the primary efficacy endpoint. The target wound was defined as a partial thickness wound of 10-50</w:t>
      </w:r>
      <w:r>
        <w:rPr>
          <w:b w:val="0"/>
          <w:iCs w:val="0"/>
          <w:noProof/>
          <w:szCs w:val="24"/>
        </w:rPr>
        <w:t> </w:t>
      </w:r>
      <w:r w:rsidRPr="005D413F">
        <w:rPr>
          <w:b w:val="0"/>
          <w:iCs w:val="0"/>
          <w:noProof/>
          <w:szCs w:val="24"/>
        </w:rPr>
        <w:t>cm</w:t>
      </w:r>
      <w:r w:rsidR="00833952">
        <w:rPr>
          <w:b w:val="0"/>
          <w:iCs w:val="0"/>
          <w:noProof/>
          <w:szCs w:val="24"/>
        </w:rPr>
        <w:t>²</w:t>
      </w:r>
      <w:r w:rsidRPr="005D413F">
        <w:rPr>
          <w:b w:val="0"/>
          <w:iCs w:val="0"/>
          <w:noProof/>
          <w:szCs w:val="24"/>
        </w:rPr>
        <w:t xml:space="preserve"> in surface area and present for 21</w:t>
      </w:r>
      <w:r>
        <w:rPr>
          <w:b w:val="0"/>
          <w:iCs w:val="0"/>
          <w:noProof/>
          <w:szCs w:val="24"/>
        </w:rPr>
        <w:t> </w:t>
      </w:r>
      <w:r w:rsidRPr="005D413F">
        <w:rPr>
          <w:b w:val="0"/>
          <w:iCs w:val="0"/>
          <w:noProof/>
          <w:szCs w:val="24"/>
        </w:rPr>
        <w:t>days to 9</w:t>
      </w:r>
      <w:r>
        <w:rPr>
          <w:b w:val="0"/>
          <w:iCs w:val="0"/>
          <w:noProof/>
          <w:szCs w:val="24"/>
        </w:rPr>
        <w:t> </w:t>
      </w:r>
      <w:r w:rsidRPr="005D413F">
        <w:rPr>
          <w:b w:val="0"/>
          <w:iCs w:val="0"/>
          <w:noProof/>
          <w:szCs w:val="24"/>
        </w:rPr>
        <w:t>months prior to screening. The primary endpoint was the proportion of patients with first complete closure of the target wound by day</w:t>
      </w:r>
      <w:r>
        <w:rPr>
          <w:b w:val="0"/>
          <w:iCs w:val="0"/>
          <w:noProof/>
          <w:szCs w:val="24"/>
        </w:rPr>
        <w:t> </w:t>
      </w:r>
      <w:r w:rsidRPr="005D413F">
        <w:rPr>
          <w:b w:val="0"/>
          <w:iCs w:val="0"/>
          <w:noProof/>
          <w:szCs w:val="24"/>
        </w:rPr>
        <w:t>45 of the 90</w:t>
      </w:r>
      <w:r>
        <w:rPr>
          <w:b w:val="0"/>
          <w:iCs w:val="0"/>
          <w:noProof/>
          <w:szCs w:val="24"/>
        </w:rPr>
        <w:t> </w:t>
      </w:r>
      <w:r w:rsidRPr="005D413F">
        <w:rPr>
          <w:b w:val="0"/>
          <w:iCs w:val="0"/>
          <w:noProof/>
          <w:szCs w:val="24"/>
        </w:rPr>
        <w:t>day double</w:t>
      </w:r>
      <w:r>
        <w:rPr>
          <w:b w:val="0"/>
          <w:iCs w:val="0"/>
          <w:noProof/>
          <w:szCs w:val="24"/>
        </w:rPr>
        <w:t>-</w:t>
      </w:r>
      <w:r w:rsidRPr="005D413F">
        <w:rPr>
          <w:b w:val="0"/>
          <w:iCs w:val="0"/>
          <w:noProof/>
          <w:szCs w:val="24"/>
        </w:rPr>
        <w:t>blind phase (DBP) of the study. Following completion of the DBP, patients entered a 24</w:t>
      </w:r>
      <w:r>
        <w:rPr>
          <w:b w:val="0"/>
          <w:iCs w:val="0"/>
          <w:noProof/>
          <w:szCs w:val="24"/>
        </w:rPr>
        <w:t> </w:t>
      </w:r>
      <w:r w:rsidRPr="005D413F">
        <w:rPr>
          <w:b w:val="0"/>
          <w:iCs w:val="0"/>
          <w:noProof/>
          <w:szCs w:val="24"/>
        </w:rPr>
        <w:t>month open</w:t>
      </w:r>
      <w:r>
        <w:rPr>
          <w:b w:val="0"/>
          <w:iCs w:val="0"/>
          <w:noProof/>
          <w:szCs w:val="24"/>
        </w:rPr>
        <w:t>-</w:t>
      </w:r>
      <w:r w:rsidRPr="005D413F">
        <w:rPr>
          <w:b w:val="0"/>
          <w:iCs w:val="0"/>
          <w:noProof/>
          <w:szCs w:val="24"/>
        </w:rPr>
        <w:t xml:space="preserve">label phase (OLP) of the study during which all wounds were treated with </w:t>
      </w:r>
      <w:r>
        <w:rPr>
          <w:b w:val="0"/>
          <w:iCs w:val="0"/>
          <w:noProof/>
          <w:szCs w:val="24"/>
        </w:rPr>
        <w:t>FILSUVEZ</w:t>
      </w:r>
      <w:r w:rsidRPr="005D413F">
        <w:rPr>
          <w:b w:val="0"/>
          <w:iCs w:val="0"/>
          <w:noProof/>
          <w:szCs w:val="24"/>
        </w:rPr>
        <w:t>.</w:t>
      </w:r>
    </w:p>
    <w:p w14:paraId="310F767F" w14:textId="21A13942" w:rsidR="005D413F" w:rsidRDefault="005D413F" w:rsidP="005D413F">
      <w:pPr>
        <w:pStyle w:val="Caption"/>
        <w:rPr>
          <w:b w:val="0"/>
          <w:iCs w:val="0"/>
          <w:noProof/>
          <w:szCs w:val="24"/>
        </w:rPr>
      </w:pPr>
      <w:r w:rsidRPr="005D413F">
        <w:rPr>
          <w:b w:val="0"/>
          <w:iCs w:val="0"/>
          <w:noProof/>
          <w:szCs w:val="24"/>
        </w:rPr>
        <w:t>Of the 223</w:t>
      </w:r>
      <w:r>
        <w:rPr>
          <w:b w:val="0"/>
          <w:iCs w:val="0"/>
          <w:noProof/>
          <w:szCs w:val="24"/>
        </w:rPr>
        <w:t> </w:t>
      </w:r>
      <w:r w:rsidRPr="005D413F">
        <w:rPr>
          <w:b w:val="0"/>
          <w:iCs w:val="0"/>
          <w:noProof/>
          <w:szCs w:val="24"/>
        </w:rPr>
        <w:t>patients randomised, (range: 6</w:t>
      </w:r>
      <w:r>
        <w:rPr>
          <w:b w:val="0"/>
          <w:iCs w:val="0"/>
          <w:noProof/>
          <w:szCs w:val="24"/>
        </w:rPr>
        <w:t> </w:t>
      </w:r>
      <w:r w:rsidRPr="005D413F">
        <w:rPr>
          <w:b w:val="0"/>
          <w:iCs w:val="0"/>
          <w:noProof/>
          <w:szCs w:val="24"/>
        </w:rPr>
        <w:t>months to 81</w:t>
      </w:r>
      <w:r>
        <w:rPr>
          <w:b w:val="0"/>
          <w:iCs w:val="0"/>
          <w:noProof/>
          <w:szCs w:val="24"/>
        </w:rPr>
        <w:t> </w:t>
      </w:r>
      <w:r w:rsidRPr="005D413F">
        <w:rPr>
          <w:b w:val="0"/>
          <w:iCs w:val="0"/>
          <w:noProof/>
          <w:szCs w:val="24"/>
        </w:rPr>
        <w:t>years), 70% were under 18</w:t>
      </w:r>
      <w:r>
        <w:rPr>
          <w:b w:val="0"/>
          <w:iCs w:val="0"/>
          <w:noProof/>
          <w:szCs w:val="24"/>
        </w:rPr>
        <w:t> </w:t>
      </w:r>
      <w:r w:rsidRPr="005D413F">
        <w:rPr>
          <w:b w:val="0"/>
          <w:iCs w:val="0"/>
          <w:noProof/>
          <w:szCs w:val="24"/>
        </w:rPr>
        <w:t>years of age</w:t>
      </w:r>
      <w:r w:rsidR="00A71FD1">
        <w:rPr>
          <w:b w:val="0"/>
          <w:iCs w:val="0"/>
          <w:noProof/>
          <w:szCs w:val="24"/>
        </w:rPr>
        <w:t xml:space="preserve">, </w:t>
      </w:r>
      <w:r w:rsidRPr="005D413F">
        <w:rPr>
          <w:b w:val="0"/>
          <w:iCs w:val="0"/>
          <w:noProof/>
          <w:szCs w:val="24"/>
        </w:rPr>
        <w:t>8% of patients were below 4</w:t>
      </w:r>
      <w:r>
        <w:rPr>
          <w:b w:val="0"/>
          <w:iCs w:val="0"/>
          <w:noProof/>
          <w:szCs w:val="24"/>
        </w:rPr>
        <w:t> </w:t>
      </w:r>
      <w:r w:rsidRPr="005D413F">
        <w:rPr>
          <w:b w:val="0"/>
          <w:iCs w:val="0"/>
          <w:noProof/>
          <w:szCs w:val="24"/>
        </w:rPr>
        <w:t>years of age</w:t>
      </w:r>
      <w:r w:rsidR="00A71FD1">
        <w:rPr>
          <w:b w:val="0"/>
          <w:iCs w:val="0"/>
          <w:noProof/>
          <w:szCs w:val="24"/>
        </w:rPr>
        <w:t xml:space="preserve"> and</w:t>
      </w:r>
      <w:r w:rsidRPr="005D413F">
        <w:rPr>
          <w:b w:val="0"/>
          <w:iCs w:val="0"/>
          <w:noProof/>
          <w:szCs w:val="24"/>
        </w:rPr>
        <w:t xml:space="preserve"> 60% of patients were male. Of these 223</w:t>
      </w:r>
      <w:r>
        <w:rPr>
          <w:b w:val="0"/>
          <w:iCs w:val="0"/>
          <w:noProof/>
          <w:szCs w:val="24"/>
        </w:rPr>
        <w:t> </w:t>
      </w:r>
      <w:r w:rsidRPr="005D413F">
        <w:rPr>
          <w:b w:val="0"/>
          <w:iCs w:val="0"/>
          <w:noProof/>
          <w:szCs w:val="24"/>
        </w:rPr>
        <w:t>patients, 195 had DEB of which 175 patients had recessive DEB (RDEB), 20 had dominant DEB (DDEB); in addition, there were 26 patients with JEB. In the DBP the majority of patients applied the study treatment to all wounds either daily or every 2</w:t>
      </w:r>
      <w:r>
        <w:rPr>
          <w:b w:val="0"/>
          <w:iCs w:val="0"/>
          <w:noProof/>
          <w:szCs w:val="24"/>
        </w:rPr>
        <w:t> </w:t>
      </w:r>
      <w:r w:rsidRPr="005D413F">
        <w:rPr>
          <w:b w:val="0"/>
          <w:iCs w:val="0"/>
          <w:noProof/>
          <w:szCs w:val="24"/>
        </w:rPr>
        <w:t xml:space="preserve">days (between 70% and 78%). </w:t>
      </w:r>
      <w:r w:rsidRPr="00CE619D">
        <w:rPr>
          <w:b w:val="0"/>
          <w:iCs w:val="0"/>
          <w:noProof/>
          <w:szCs w:val="24"/>
        </w:rPr>
        <w:t>The results including the primary endpoint,</w:t>
      </w:r>
      <w:r w:rsidRPr="005D413F">
        <w:rPr>
          <w:b w:val="0"/>
          <w:iCs w:val="0"/>
          <w:noProof/>
          <w:szCs w:val="24"/>
        </w:rPr>
        <w:t xml:space="preserve"> are presented in </w:t>
      </w:r>
      <w:r w:rsidRPr="00CE261E">
        <w:rPr>
          <w:b w:val="0"/>
          <w:iCs w:val="0"/>
          <w:noProof/>
          <w:color w:val="0000FF"/>
          <w:szCs w:val="24"/>
        </w:rPr>
        <w:fldChar w:fldCharType="begin"/>
      </w:r>
      <w:r w:rsidRPr="00CE261E">
        <w:rPr>
          <w:b w:val="0"/>
          <w:iCs w:val="0"/>
          <w:noProof/>
          <w:color w:val="0000FF"/>
          <w:szCs w:val="24"/>
        </w:rPr>
        <w:instrText xml:space="preserve"> REF _Ref177301148 \h  \* MERGEFORMAT </w:instrText>
      </w:r>
      <w:r w:rsidRPr="00CE261E">
        <w:rPr>
          <w:b w:val="0"/>
          <w:iCs w:val="0"/>
          <w:noProof/>
          <w:color w:val="0000FF"/>
          <w:szCs w:val="24"/>
        </w:rPr>
      </w:r>
      <w:r w:rsidRPr="00CE261E">
        <w:rPr>
          <w:b w:val="0"/>
          <w:iCs w:val="0"/>
          <w:noProof/>
          <w:color w:val="0000FF"/>
          <w:szCs w:val="24"/>
        </w:rPr>
        <w:fldChar w:fldCharType="separate"/>
      </w:r>
      <w:r w:rsidR="0037044B" w:rsidRPr="0037044B">
        <w:rPr>
          <w:b w:val="0"/>
          <w:color w:val="0000FF"/>
        </w:rPr>
        <w:t xml:space="preserve">Table </w:t>
      </w:r>
      <w:r w:rsidR="0037044B" w:rsidRPr="0037044B">
        <w:rPr>
          <w:b w:val="0"/>
          <w:noProof/>
          <w:color w:val="0000FF"/>
        </w:rPr>
        <w:t>3</w:t>
      </w:r>
      <w:r w:rsidRPr="00CE261E">
        <w:rPr>
          <w:b w:val="0"/>
          <w:iCs w:val="0"/>
          <w:noProof/>
          <w:color w:val="0000FF"/>
          <w:szCs w:val="24"/>
        </w:rPr>
        <w:fldChar w:fldCharType="end"/>
      </w:r>
      <w:r w:rsidRPr="005D413F">
        <w:rPr>
          <w:b w:val="0"/>
          <w:iCs w:val="0"/>
          <w:noProof/>
          <w:szCs w:val="24"/>
        </w:rPr>
        <w:t>.</w:t>
      </w:r>
    </w:p>
    <w:p w14:paraId="3F7772AF" w14:textId="3B8A22ED" w:rsidR="00541EE2" w:rsidRDefault="00541EE2" w:rsidP="005D413F">
      <w:pPr>
        <w:pStyle w:val="Caption"/>
        <w:keepNext/>
        <w:keepLines/>
      </w:pPr>
      <w:bookmarkStart w:id="25" w:name="_Ref177301148"/>
      <w:r w:rsidRPr="00194049">
        <w:t xml:space="preserve">Table </w:t>
      </w:r>
      <w:r>
        <w:fldChar w:fldCharType="begin"/>
      </w:r>
      <w:r>
        <w:instrText>SEQ Table \* ARABIC</w:instrText>
      </w:r>
      <w:r>
        <w:fldChar w:fldCharType="separate"/>
      </w:r>
      <w:r w:rsidR="0037044B">
        <w:rPr>
          <w:noProof/>
        </w:rPr>
        <w:t>3</w:t>
      </w:r>
      <w:r>
        <w:fldChar w:fldCharType="end"/>
      </w:r>
      <w:bookmarkEnd w:id="24"/>
      <w:bookmarkEnd w:id="25"/>
      <w:r w:rsidR="00CC374F" w:rsidRPr="00194049">
        <w:t>.</w:t>
      </w:r>
      <w:r w:rsidRPr="00194049">
        <w:t xml:space="preserve"> </w:t>
      </w:r>
      <w:r w:rsidR="00656F59" w:rsidRPr="00656F59">
        <w:t xml:space="preserve">Efficacy results </w:t>
      </w:r>
      <w:r w:rsidR="00736783">
        <w:t xml:space="preserve">for the EASE </w:t>
      </w:r>
      <w:r w:rsidR="00656F59" w:rsidRPr="00656F59">
        <w:t xml:space="preserve">study </w:t>
      </w:r>
    </w:p>
    <w:tbl>
      <w:tblPr>
        <w:tblStyle w:val="TableGrid"/>
        <w:tblW w:w="0" w:type="auto"/>
        <w:tblLook w:val="04A0" w:firstRow="1" w:lastRow="0" w:firstColumn="1" w:lastColumn="0" w:noHBand="0" w:noVBand="1"/>
      </w:tblPr>
      <w:tblGrid>
        <w:gridCol w:w="3964"/>
        <w:gridCol w:w="1888"/>
        <w:gridCol w:w="1888"/>
        <w:gridCol w:w="1888"/>
      </w:tblGrid>
      <w:tr w:rsidR="00656F59" w:rsidRPr="00656F59" w14:paraId="0C16ECD1" w14:textId="77777777" w:rsidTr="00A35B12">
        <w:tc>
          <w:tcPr>
            <w:tcW w:w="3964" w:type="dxa"/>
            <w:tcBorders>
              <w:bottom w:val="single" w:sz="4" w:space="0" w:color="auto"/>
            </w:tcBorders>
            <w:vAlign w:val="center"/>
          </w:tcPr>
          <w:p w14:paraId="7D7175A9" w14:textId="39C9BBD2" w:rsidR="00656F59" w:rsidRPr="00656F59" w:rsidRDefault="00656F59" w:rsidP="00CE619D">
            <w:pPr>
              <w:keepNext/>
              <w:keepLines/>
              <w:spacing w:before="20" w:after="20"/>
              <w:rPr>
                <w:b/>
                <w:bCs/>
              </w:rPr>
            </w:pPr>
            <w:r w:rsidRPr="00656F59">
              <w:rPr>
                <w:b/>
                <w:bCs/>
              </w:rPr>
              <w:t>Efficacy parameter</w:t>
            </w:r>
          </w:p>
        </w:tc>
        <w:tc>
          <w:tcPr>
            <w:tcW w:w="1888" w:type="dxa"/>
            <w:tcBorders>
              <w:bottom w:val="single" w:sz="4" w:space="0" w:color="auto"/>
            </w:tcBorders>
          </w:tcPr>
          <w:p w14:paraId="04BBDD98" w14:textId="75B04A1C" w:rsidR="00656F59" w:rsidRPr="00656F59" w:rsidRDefault="00656F59" w:rsidP="00656F59">
            <w:pPr>
              <w:keepNext/>
              <w:keepLines/>
              <w:spacing w:before="20" w:after="20"/>
              <w:jc w:val="center"/>
              <w:rPr>
                <w:b/>
                <w:bCs/>
              </w:rPr>
            </w:pPr>
            <w:r w:rsidRPr="00656F59">
              <w:rPr>
                <w:b/>
                <w:bCs/>
              </w:rPr>
              <w:t>FILSUVEZ</w:t>
            </w:r>
            <w:r w:rsidRPr="00656F59">
              <w:rPr>
                <w:b/>
                <w:bCs/>
              </w:rPr>
              <w:br/>
              <w:t>n = 109</w:t>
            </w:r>
          </w:p>
        </w:tc>
        <w:tc>
          <w:tcPr>
            <w:tcW w:w="1888" w:type="dxa"/>
            <w:tcBorders>
              <w:bottom w:val="single" w:sz="4" w:space="0" w:color="auto"/>
            </w:tcBorders>
          </w:tcPr>
          <w:p w14:paraId="3630B3D0" w14:textId="1BF7919C" w:rsidR="00656F59" w:rsidRPr="00656F59" w:rsidRDefault="00656F59" w:rsidP="00656F59">
            <w:pPr>
              <w:keepNext/>
              <w:keepLines/>
              <w:spacing w:before="20" w:after="20"/>
              <w:jc w:val="center"/>
              <w:rPr>
                <w:b/>
                <w:bCs/>
              </w:rPr>
            </w:pPr>
            <w:r w:rsidRPr="00656F59">
              <w:rPr>
                <w:b/>
                <w:bCs/>
              </w:rPr>
              <w:t>Control gel</w:t>
            </w:r>
            <w:r>
              <w:rPr>
                <w:b/>
                <w:bCs/>
              </w:rPr>
              <w:br/>
            </w:r>
            <w:r w:rsidRPr="00656F59">
              <w:rPr>
                <w:b/>
                <w:bCs/>
              </w:rPr>
              <w:t>n = 114</w:t>
            </w:r>
          </w:p>
        </w:tc>
        <w:tc>
          <w:tcPr>
            <w:tcW w:w="1888" w:type="dxa"/>
            <w:tcBorders>
              <w:bottom w:val="single" w:sz="4" w:space="0" w:color="auto"/>
            </w:tcBorders>
          </w:tcPr>
          <w:p w14:paraId="056EF0C2" w14:textId="6F2D4E4B" w:rsidR="00656F59" w:rsidRPr="00656F59" w:rsidRDefault="00656F59" w:rsidP="00656F59">
            <w:pPr>
              <w:keepNext/>
              <w:keepLines/>
              <w:spacing w:before="20" w:after="20"/>
              <w:jc w:val="center"/>
              <w:rPr>
                <w:b/>
                <w:bCs/>
              </w:rPr>
            </w:pPr>
            <w:r w:rsidRPr="00656F59">
              <w:rPr>
                <w:b/>
                <w:bCs/>
              </w:rPr>
              <w:t>p-value</w:t>
            </w:r>
          </w:p>
        </w:tc>
      </w:tr>
      <w:tr w:rsidR="00833952" w14:paraId="5AAADA2C" w14:textId="77777777" w:rsidTr="00A35B12">
        <w:tc>
          <w:tcPr>
            <w:tcW w:w="3964" w:type="dxa"/>
            <w:tcBorders>
              <w:right w:val="nil"/>
            </w:tcBorders>
          </w:tcPr>
          <w:p w14:paraId="0ECF0045" w14:textId="09214189" w:rsidR="00833952" w:rsidRPr="00656F59" w:rsidRDefault="00833952" w:rsidP="00656F59">
            <w:pPr>
              <w:keepNext/>
              <w:keepLines/>
              <w:spacing w:before="20" w:after="20"/>
              <w:rPr>
                <w:b/>
                <w:bCs/>
              </w:rPr>
            </w:pPr>
            <w:r>
              <w:rPr>
                <w:b/>
                <w:bCs/>
              </w:rPr>
              <w:t>Primary endpoint</w:t>
            </w:r>
          </w:p>
        </w:tc>
        <w:tc>
          <w:tcPr>
            <w:tcW w:w="1888" w:type="dxa"/>
            <w:tcBorders>
              <w:left w:val="nil"/>
              <w:right w:val="nil"/>
            </w:tcBorders>
            <w:vAlign w:val="center"/>
          </w:tcPr>
          <w:p w14:paraId="364A1DA7" w14:textId="77777777" w:rsidR="00833952" w:rsidRDefault="00833952" w:rsidP="00656F59">
            <w:pPr>
              <w:keepNext/>
              <w:keepLines/>
              <w:spacing w:before="20" w:after="20"/>
              <w:jc w:val="center"/>
            </w:pPr>
          </w:p>
        </w:tc>
        <w:tc>
          <w:tcPr>
            <w:tcW w:w="1888" w:type="dxa"/>
            <w:tcBorders>
              <w:left w:val="nil"/>
              <w:right w:val="nil"/>
            </w:tcBorders>
            <w:vAlign w:val="center"/>
          </w:tcPr>
          <w:p w14:paraId="546052B1" w14:textId="77777777" w:rsidR="00833952" w:rsidRPr="00656F59" w:rsidRDefault="00833952" w:rsidP="00656F59">
            <w:pPr>
              <w:keepNext/>
              <w:keepLines/>
              <w:spacing w:before="20" w:after="20"/>
              <w:jc w:val="center"/>
            </w:pPr>
          </w:p>
        </w:tc>
        <w:tc>
          <w:tcPr>
            <w:tcW w:w="1888" w:type="dxa"/>
            <w:tcBorders>
              <w:left w:val="nil"/>
            </w:tcBorders>
            <w:vAlign w:val="center"/>
          </w:tcPr>
          <w:p w14:paraId="0E512952" w14:textId="77777777" w:rsidR="00833952" w:rsidRPr="00656F59" w:rsidRDefault="00833952" w:rsidP="00656F59">
            <w:pPr>
              <w:keepNext/>
              <w:keepLines/>
              <w:spacing w:before="20" w:after="20"/>
              <w:jc w:val="center"/>
            </w:pPr>
          </w:p>
        </w:tc>
      </w:tr>
      <w:tr w:rsidR="00656F59" w14:paraId="0A5EB50E" w14:textId="77777777" w:rsidTr="00656F59">
        <w:tc>
          <w:tcPr>
            <w:tcW w:w="3964" w:type="dxa"/>
          </w:tcPr>
          <w:p w14:paraId="6687B317" w14:textId="30885F84" w:rsidR="00656F59" w:rsidRPr="00833952" w:rsidRDefault="00656F59" w:rsidP="00656F59">
            <w:pPr>
              <w:keepNext/>
              <w:keepLines/>
              <w:spacing w:before="20" w:after="20"/>
            </w:pPr>
            <w:r w:rsidRPr="00833952">
              <w:t>Proportion of patients with first complete closure of target wound within 45 days</w:t>
            </w:r>
          </w:p>
        </w:tc>
        <w:tc>
          <w:tcPr>
            <w:tcW w:w="1888" w:type="dxa"/>
            <w:vAlign w:val="center"/>
          </w:tcPr>
          <w:p w14:paraId="7EEE56CA" w14:textId="74173653" w:rsidR="00656F59" w:rsidRDefault="00656F59" w:rsidP="00656F59">
            <w:pPr>
              <w:keepNext/>
              <w:keepLines/>
              <w:spacing w:before="20" w:after="20"/>
              <w:jc w:val="center"/>
            </w:pPr>
            <w:r>
              <w:t>41.3%</w:t>
            </w:r>
          </w:p>
        </w:tc>
        <w:tc>
          <w:tcPr>
            <w:tcW w:w="1888" w:type="dxa"/>
            <w:vAlign w:val="center"/>
          </w:tcPr>
          <w:p w14:paraId="188470A2" w14:textId="21FB882C" w:rsidR="00656F59" w:rsidRDefault="00656F59" w:rsidP="00656F59">
            <w:pPr>
              <w:keepNext/>
              <w:keepLines/>
              <w:spacing w:before="20" w:after="20"/>
              <w:jc w:val="center"/>
            </w:pPr>
            <w:r w:rsidRPr="00656F59">
              <w:t>28.9%</w:t>
            </w:r>
          </w:p>
        </w:tc>
        <w:tc>
          <w:tcPr>
            <w:tcW w:w="1888" w:type="dxa"/>
            <w:vAlign w:val="center"/>
          </w:tcPr>
          <w:p w14:paraId="2BE1A409" w14:textId="11D3C223" w:rsidR="00656F59" w:rsidRDefault="00656F59" w:rsidP="00656F59">
            <w:pPr>
              <w:keepNext/>
              <w:keepLines/>
              <w:spacing w:before="20" w:after="20"/>
              <w:jc w:val="center"/>
            </w:pPr>
            <w:r w:rsidRPr="00656F59">
              <w:t>0.013</w:t>
            </w:r>
          </w:p>
        </w:tc>
      </w:tr>
      <w:tr w:rsidR="00656F59" w14:paraId="5A15DD79" w14:textId="77777777" w:rsidTr="00656F59">
        <w:tc>
          <w:tcPr>
            <w:tcW w:w="3964" w:type="dxa"/>
          </w:tcPr>
          <w:p w14:paraId="6E548E02" w14:textId="269A4CFD" w:rsidR="00656F59" w:rsidRPr="00833952" w:rsidRDefault="00656F59" w:rsidP="00656F59">
            <w:pPr>
              <w:keepNext/>
              <w:keepLines/>
              <w:spacing w:before="20" w:after="20"/>
            </w:pPr>
            <w:r w:rsidRPr="00833952">
              <w:t>By EB subtype</w:t>
            </w:r>
          </w:p>
        </w:tc>
        <w:tc>
          <w:tcPr>
            <w:tcW w:w="1888" w:type="dxa"/>
            <w:vAlign w:val="center"/>
          </w:tcPr>
          <w:p w14:paraId="3CD8DE35" w14:textId="754A1F94" w:rsidR="00656F59" w:rsidRDefault="00656F59" w:rsidP="00656F59">
            <w:pPr>
              <w:keepNext/>
              <w:keepLines/>
              <w:spacing w:before="20" w:after="20"/>
              <w:jc w:val="center"/>
            </w:pPr>
          </w:p>
        </w:tc>
        <w:tc>
          <w:tcPr>
            <w:tcW w:w="1888" w:type="dxa"/>
            <w:vAlign w:val="center"/>
          </w:tcPr>
          <w:p w14:paraId="66D17E47" w14:textId="77777777" w:rsidR="00656F59" w:rsidRDefault="00656F59" w:rsidP="00656F59">
            <w:pPr>
              <w:keepNext/>
              <w:keepLines/>
              <w:spacing w:before="20" w:after="20"/>
              <w:jc w:val="center"/>
            </w:pPr>
          </w:p>
        </w:tc>
        <w:tc>
          <w:tcPr>
            <w:tcW w:w="1888" w:type="dxa"/>
            <w:vAlign w:val="center"/>
          </w:tcPr>
          <w:p w14:paraId="0DE660A2" w14:textId="77777777" w:rsidR="00656F59" w:rsidRDefault="00656F59" w:rsidP="00656F59">
            <w:pPr>
              <w:keepNext/>
              <w:keepLines/>
              <w:spacing w:before="20" w:after="20"/>
              <w:jc w:val="center"/>
            </w:pPr>
          </w:p>
        </w:tc>
      </w:tr>
      <w:tr w:rsidR="00656F59" w14:paraId="69CBBED7" w14:textId="77777777" w:rsidTr="00656F59">
        <w:tc>
          <w:tcPr>
            <w:tcW w:w="3964" w:type="dxa"/>
          </w:tcPr>
          <w:p w14:paraId="13DE54C2" w14:textId="79FFB6DD" w:rsidR="00656F59" w:rsidRDefault="00656F59" w:rsidP="00656F59">
            <w:pPr>
              <w:keepNext/>
              <w:keepLines/>
              <w:spacing w:before="20" w:after="20"/>
              <w:ind w:left="170"/>
            </w:pPr>
            <w:r w:rsidRPr="00656F59">
              <w:t>RDEB (n = 175)</w:t>
            </w:r>
          </w:p>
        </w:tc>
        <w:tc>
          <w:tcPr>
            <w:tcW w:w="1888" w:type="dxa"/>
            <w:vAlign w:val="center"/>
          </w:tcPr>
          <w:p w14:paraId="53665C3C" w14:textId="50E71C5D" w:rsidR="00656F59" w:rsidRDefault="00656F59" w:rsidP="00656F59">
            <w:pPr>
              <w:keepNext/>
              <w:keepLines/>
              <w:spacing w:before="20" w:after="20"/>
              <w:jc w:val="center"/>
            </w:pPr>
            <w:r>
              <w:t>44.0%</w:t>
            </w:r>
          </w:p>
        </w:tc>
        <w:tc>
          <w:tcPr>
            <w:tcW w:w="1888" w:type="dxa"/>
            <w:vAlign w:val="center"/>
          </w:tcPr>
          <w:p w14:paraId="18ED47C2" w14:textId="07B7599D" w:rsidR="00656F59" w:rsidRDefault="00656F59" w:rsidP="00656F59">
            <w:pPr>
              <w:keepNext/>
              <w:keepLines/>
              <w:spacing w:before="20" w:after="20"/>
              <w:jc w:val="center"/>
            </w:pPr>
            <w:r w:rsidRPr="00656F59">
              <w:t>26.2%</w:t>
            </w:r>
          </w:p>
        </w:tc>
        <w:tc>
          <w:tcPr>
            <w:tcW w:w="1888" w:type="dxa"/>
            <w:vAlign w:val="center"/>
          </w:tcPr>
          <w:p w14:paraId="61E6AEC6" w14:textId="77394A52" w:rsidR="00656F59" w:rsidRDefault="00656F59" w:rsidP="00656F59">
            <w:pPr>
              <w:keepNext/>
              <w:keepLines/>
              <w:spacing w:before="20" w:after="20"/>
              <w:jc w:val="center"/>
            </w:pPr>
            <w:r w:rsidRPr="00656F59">
              <w:t>0.008</w:t>
            </w:r>
          </w:p>
        </w:tc>
      </w:tr>
      <w:tr w:rsidR="00656F59" w14:paraId="2A242D8D" w14:textId="77777777" w:rsidTr="00656F59">
        <w:tc>
          <w:tcPr>
            <w:tcW w:w="3964" w:type="dxa"/>
          </w:tcPr>
          <w:p w14:paraId="486520F0" w14:textId="1E8D2A29" w:rsidR="00656F59" w:rsidRDefault="00656F59" w:rsidP="00656F59">
            <w:pPr>
              <w:keepNext/>
              <w:keepLines/>
              <w:spacing w:before="20" w:after="20"/>
              <w:ind w:left="170"/>
            </w:pPr>
            <w:r w:rsidRPr="00656F59">
              <w:t>DDEB (n = 20)</w:t>
            </w:r>
          </w:p>
        </w:tc>
        <w:tc>
          <w:tcPr>
            <w:tcW w:w="1888" w:type="dxa"/>
            <w:vAlign w:val="center"/>
          </w:tcPr>
          <w:p w14:paraId="6AAD6111" w14:textId="4D3803C9" w:rsidR="00656F59" w:rsidRDefault="00656F59" w:rsidP="00656F59">
            <w:pPr>
              <w:keepNext/>
              <w:keepLines/>
              <w:spacing w:before="20" w:after="20"/>
              <w:jc w:val="center"/>
            </w:pPr>
            <w:r>
              <w:t>50.0%</w:t>
            </w:r>
          </w:p>
        </w:tc>
        <w:tc>
          <w:tcPr>
            <w:tcW w:w="1888" w:type="dxa"/>
            <w:vAlign w:val="center"/>
          </w:tcPr>
          <w:p w14:paraId="1871A6C4" w14:textId="1ABD9271" w:rsidR="00656F59" w:rsidRDefault="00656F59" w:rsidP="00656F59">
            <w:pPr>
              <w:keepNext/>
              <w:keepLines/>
              <w:spacing w:before="20" w:after="20"/>
              <w:jc w:val="center"/>
            </w:pPr>
            <w:r w:rsidRPr="00656F59">
              <w:t>50.0%</w:t>
            </w:r>
          </w:p>
        </w:tc>
        <w:tc>
          <w:tcPr>
            <w:tcW w:w="1888" w:type="dxa"/>
            <w:vAlign w:val="center"/>
          </w:tcPr>
          <w:p w14:paraId="5B175BA8" w14:textId="7EDAFF5F" w:rsidR="00656F59" w:rsidRDefault="00656F59" w:rsidP="00656F59">
            <w:pPr>
              <w:keepNext/>
              <w:keepLines/>
              <w:spacing w:before="20" w:after="20"/>
              <w:jc w:val="center"/>
            </w:pPr>
            <w:r w:rsidRPr="00656F59">
              <w:t>0.844</w:t>
            </w:r>
          </w:p>
        </w:tc>
      </w:tr>
      <w:tr w:rsidR="00656F59" w14:paraId="3BA08EE4" w14:textId="77777777" w:rsidTr="00A35B12">
        <w:tc>
          <w:tcPr>
            <w:tcW w:w="3964" w:type="dxa"/>
            <w:tcBorders>
              <w:bottom w:val="single" w:sz="4" w:space="0" w:color="auto"/>
            </w:tcBorders>
          </w:tcPr>
          <w:p w14:paraId="48F434D1" w14:textId="2937EC27" w:rsidR="00656F59" w:rsidRDefault="00656F59" w:rsidP="00656F59">
            <w:pPr>
              <w:keepNext/>
              <w:keepLines/>
              <w:spacing w:before="20" w:after="20"/>
              <w:ind w:left="170"/>
            </w:pPr>
            <w:r w:rsidRPr="00656F59">
              <w:t>JEB (n = 26)</w:t>
            </w:r>
          </w:p>
        </w:tc>
        <w:tc>
          <w:tcPr>
            <w:tcW w:w="1888" w:type="dxa"/>
            <w:tcBorders>
              <w:bottom w:val="single" w:sz="4" w:space="0" w:color="auto"/>
            </w:tcBorders>
            <w:vAlign w:val="center"/>
          </w:tcPr>
          <w:p w14:paraId="5B9B1169" w14:textId="78F6145A" w:rsidR="00656F59" w:rsidRDefault="00656F59" w:rsidP="00656F59">
            <w:pPr>
              <w:keepNext/>
              <w:keepLines/>
              <w:spacing w:before="20" w:after="20"/>
              <w:jc w:val="center"/>
            </w:pPr>
            <w:r>
              <w:t>18.2%</w:t>
            </w:r>
          </w:p>
        </w:tc>
        <w:tc>
          <w:tcPr>
            <w:tcW w:w="1888" w:type="dxa"/>
            <w:tcBorders>
              <w:bottom w:val="single" w:sz="4" w:space="0" w:color="auto"/>
            </w:tcBorders>
            <w:vAlign w:val="center"/>
          </w:tcPr>
          <w:p w14:paraId="66F7E107" w14:textId="574CA63E" w:rsidR="00656F59" w:rsidRDefault="00656F59" w:rsidP="00656F59">
            <w:pPr>
              <w:keepNext/>
              <w:keepLines/>
              <w:spacing w:before="20" w:after="20"/>
              <w:jc w:val="center"/>
            </w:pPr>
            <w:r w:rsidRPr="00656F59">
              <w:t>26.7%</w:t>
            </w:r>
          </w:p>
        </w:tc>
        <w:tc>
          <w:tcPr>
            <w:tcW w:w="1888" w:type="dxa"/>
            <w:tcBorders>
              <w:bottom w:val="single" w:sz="4" w:space="0" w:color="auto"/>
            </w:tcBorders>
            <w:vAlign w:val="center"/>
          </w:tcPr>
          <w:p w14:paraId="4E80BB5C" w14:textId="48587314" w:rsidR="00656F59" w:rsidRDefault="00656F59" w:rsidP="00656F59">
            <w:pPr>
              <w:keepNext/>
              <w:keepLines/>
              <w:spacing w:before="20" w:after="20"/>
              <w:jc w:val="center"/>
            </w:pPr>
            <w:r w:rsidRPr="00656F59">
              <w:t>0.522</w:t>
            </w:r>
          </w:p>
        </w:tc>
      </w:tr>
      <w:tr w:rsidR="00833952" w14:paraId="02AF91B8" w14:textId="77777777" w:rsidTr="00A35B12">
        <w:tc>
          <w:tcPr>
            <w:tcW w:w="3964" w:type="dxa"/>
            <w:tcBorders>
              <w:bottom w:val="single" w:sz="4" w:space="0" w:color="auto"/>
              <w:right w:val="nil"/>
            </w:tcBorders>
          </w:tcPr>
          <w:p w14:paraId="4D182F46" w14:textId="30BC3A0A" w:rsidR="00833952" w:rsidRPr="00833952" w:rsidRDefault="00833952" w:rsidP="00656F59">
            <w:pPr>
              <w:keepNext/>
              <w:keepLines/>
              <w:spacing w:before="20" w:after="20"/>
              <w:rPr>
                <w:b/>
                <w:bCs/>
              </w:rPr>
            </w:pPr>
            <w:r w:rsidRPr="00833952">
              <w:rPr>
                <w:b/>
                <w:bCs/>
              </w:rPr>
              <w:t>Key secondary endpoint</w:t>
            </w:r>
          </w:p>
        </w:tc>
        <w:tc>
          <w:tcPr>
            <w:tcW w:w="1888" w:type="dxa"/>
            <w:tcBorders>
              <w:left w:val="nil"/>
              <w:bottom w:val="single" w:sz="4" w:space="0" w:color="auto"/>
              <w:right w:val="nil"/>
            </w:tcBorders>
            <w:vAlign w:val="center"/>
          </w:tcPr>
          <w:p w14:paraId="33DA7429" w14:textId="77777777" w:rsidR="00833952" w:rsidRDefault="00833952" w:rsidP="00656F59">
            <w:pPr>
              <w:keepNext/>
              <w:keepLines/>
              <w:spacing w:before="20" w:after="20"/>
              <w:jc w:val="center"/>
            </w:pPr>
          </w:p>
        </w:tc>
        <w:tc>
          <w:tcPr>
            <w:tcW w:w="1888" w:type="dxa"/>
            <w:tcBorders>
              <w:left w:val="nil"/>
              <w:bottom w:val="single" w:sz="4" w:space="0" w:color="auto"/>
              <w:right w:val="nil"/>
            </w:tcBorders>
            <w:vAlign w:val="center"/>
          </w:tcPr>
          <w:p w14:paraId="5EA719AA" w14:textId="77777777" w:rsidR="00833952" w:rsidRPr="00656F59" w:rsidRDefault="00833952" w:rsidP="00656F59">
            <w:pPr>
              <w:keepNext/>
              <w:keepLines/>
              <w:spacing w:before="20" w:after="20"/>
              <w:jc w:val="center"/>
            </w:pPr>
          </w:p>
        </w:tc>
        <w:tc>
          <w:tcPr>
            <w:tcW w:w="1888" w:type="dxa"/>
            <w:tcBorders>
              <w:left w:val="nil"/>
              <w:bottom w:val="single" w:sz="4" w:space="0" w:color="auto"/>
            </w:tcBorders>
            <w:vAlign w:val="center"/>
          </w:tcPr>
          <w:p w14:paraId="4B90879E" w14:textId="77777777" w:rsidR="00833952" w:rsidRPr="00656F59" w:rsidRDefault="00833952" w:rsidP="00656F59">
            <w:pPr>
              <w:keepNext/>
              <w:keepLines/>
              <w:spacing w:before="20" w:after="20"/>
              <w:jc w:val="center"/>
            </w:pPr>
          </w:p>
        </w:tc>
      </w:tr>
      <w:tr w:rsidR="00656F59" w:rsidRPr="00833952" w14:paraId="2EFCCE3E" w14:textId="77777777" w:rsidTr="00656F59">
        <w:tc>
          <w:tcPr>
            <w:tcW w:w="3964" w:type="dxa"/>
            <w:tcBorders>
              <w:bottom w:val="single" w:sz="4" w:space="0" w:color="auto"/>
            </w:tcBorders>
          </w:tcPr>
          <w:p w14:paraId="19968BD6" w14:textId="67813548" w:rsidR="00656F59" w:rsidRPr="00833952" w:rsidRDefault="00656F59" w:rsidP="00656F59">
            <w:pPr>
              <w:keepNext/>
              <w:keepLines/>
              <w:spacing w:before="20" w:after="20"/>
            </w:pPr>
            <w:r w:rsidRPr="00833952">
              <w:t>Proportion of patients with first complete closure of target wound within 90 days</w:t>
            </w:r>
          </w:p>
        </w:tc>
        <w:tc>
          <w:tcPr>
            <w:tcW w:w="1888" w:type="dxa"/>
            <w:tcBorders>
              <w:bottom w:val="single" w:sz="4" w:space="0" w:color="auto"/>
            </w:tcBorders>
            <w:vAlign w:val="center"/>
          </w:tcPr>
          <w:p w14:paraId="3F7F3D66" w14:textId="2EEC4236" w:rsidR="00656F59" w:rsidRPr="00833952" w:rsidRDefault="00656F59" w:rsidP="00656F59">
            <w:pPr>
              <w:keepNext/>
              <w:keepLines/>
              <w:spacing w:before="20" w:after="20"/>
              <w:jc w:val="center"/>
            </w:pPr>
            <w:r w:rsidRPr="00833952">
              <w:t>50.5%</w:t>
            </w:r>
          </w:p>
        </w:tc>
        <w:tc>
          <w:tcPr>
            <w:tcW w:w="1888" w:type="dxa"/>
            <w:tcBorders>
              <w:bottom w:val="single" w:sz="4" w:space="0" w:color="auto"/>
            </w:tcBorders>
            <w:vAlign w:val="center"/>
          </w:tcPr>
          <w:p w14:paraId="0F6355CA" w14:textId="6E5147B6" w:rsidR="00656F59" w:rsidRPr="00833952" w:rsidRDefault="00656F59" w:rsidP="00656F59">
            <w:pPr>
              <w:keepNext/>
              <w:keepLines/>
              <w:spacing w:before="20" w:after="20"/>
              <w:jc w:val="center"/>
            </w:pPr>
            <w:r w:rsidRPr="00833952">
              <w:t>43.9%</w:t>
            </w:r>
          </w:p>
        </w:tc>
        <w:tc>
          <w:tcPr>
            <w:tcW w:w="1888" w:type="dxa"/>
            <w:tcBorders>
              <w:bottom w:val="single" w:sz="4" w:space="0" w:color="auto"/>
            </w:tcBorders>
            <w:vAlign w:val="center"/>
          </w:tcPr>
          <w:p w14:paraId="70DED0CA" w14:textId="15B5AE14" w:rsidR="00656F59" w:rsidRPr="00833952" w:rsidRDefault="00656F59" w:rsidP="00656F59">
            <w:pPr>
              <w:keepNext/>
              <w:keepLines/>
              <w:spacing w:before="20" w:after="20"/>
              <w:jc w:val="center"/>
            </w:pPr>
            <w:r w:rsidRPr="00833952">
              <w:t>0.296</w:t>
            </w:r>
          </w:p>
        </w:tc>
      </w:tr>
    </w:tbl>
    <w:p w14:paraId="22D3C042" w14:textId="09A7CDCC" w:rsidR="006D6E26" w:rsidRDefault="004C4325" w:rsidP="006D6E26">
      <w:pPr>
        <w:pStyle w:val="BodyText"/>
      </w:pPr>
      <w:bookmarkStart w:id="26" w:name="_Hlk12286263"/>
      <w:r w:rsidRPr="004C4325">
        <w:t>The median duration of FILSUVEZ treatment for all patients in the DBP and OLP is 733 days with a maximum of 931 days.</w:t>
      </w:r>
    </w:p>
    <w:p w14:paraId="193EBF03" w14:textId="6DC111C6" w:rsidR="000C49CD" w:rsidRPr="00194049" w:rsidRDefault="00A62F07" w:rsidP="00762050">
      <w:pPr>
        <w:pStyle w:val="Heading2"/>
      </w:pPr>
      <w:bookmarkStart w:id="27" w:name="_PHARMACOKINETIC_PROPERTIES"/>
      <w:bookmarkEnd w:id="27"/>
      <w:r w:rsidRPr="00194049">
        <w:lastRenderedPageBreak/>
        <w:t>PHARMACOKINETIC PROPERTIES</w:t>
      </w:r>
      <w:bookmarkEnd w:id="26"/>
    </w:p>
    <w:p w14:paraId="576DDA34" w14:textId="2AB18AAA" w:rsidR="000C49CD" w:rsidRPr="00194049" w:rsidRDefault="00BD2FBB" w:rsidP="00B30667">
      <w:pPr>
        <w:pStyle w:val="Heading3"/>
      </w:pPr>
      <w:r w:rsidRPr="00194049">
        <w:t xml:space="preserve">Absorption </w:t>
      </w:r>
    </w:p>
    <w:p w14:paraId="1C9E87A4" w14:textId="72B2A844" w:rsidR="00865F79" w:rsidRDefault="00865F79" w:rsidP="00865F79">
      <w:pPr>
        <w:pStyle w:val="BodyText"/>
      </w:pPr>
      <w:r>
        <w:t xml:space="preserve">Systemic exposure </w:t>
      </w:r>
      <w:r w:rsidR="005708FD">
        <w:t>of</w:t>
      </w:r>
      <w:r>
        <w:t xml:space="preserve"> betulin was assessed in the 66 evaluable subjects aged ≥13</w:t>
      </w:r>
      <w:r w:rsidR="00A35B12">
        <w:t> </w:t>
      </w:r>
      <w:r>
        <w:t>months to ≤52</w:t>
      </w:r>
      <w:r w:rsidR="00A35B12">
        <w:t> </w:t>
      </w:r>
      <w:r>
        <w:t xml:space="preserve">years in the EASE </w:t>
      </w:r>
      <w:r w:rsidR="005708FD">
        <w:t xml:space="preserve">study </w:t>
      </w:r>
      <w:r>
        <w:t>using venous blood sampling and validated liquid chromatography with tandem mass spectrometry assay.</w:t>
      </w:r>
    </w:p>
    <w:p w14:paraId="04D6A8C7" w14:textId="4AEE1AC9" w:rsidR="00A35B12" w:rsidRPr="00A35B12" w:rsidRDefault="00865F79" w:rsidP="00A35B12">
      <w:pPr>
        <w:pStyle w:val="BodyText"/>
      </w:pPr>
      <w:r>
        <w:t>Following treatment with FILSUVEZ once daily (n=27), every 2 (n=33) or 3 days (n=4) or once weekly (n=2) for 90 days with a mean treatment area of 12% body surface area or affected wound surface area of 0.11 m</w:t>
      </w:r>
      <w:r w:rsidR="003C2BD2">
        <w:t>²</w:t>
      </w:r>
      <w:r>
        <w:t xml:space="preserve"> at baseline, betulin blood concentrations in 68% subjects (n=45) were below the lower limit of quantification of 10 ng/mL on Day 90. The highest concentrations of betulin in adult and pediatric subjects with a median age of 10 years (range: ≥13 months to &lt;18 years) were 33</w:t>
      </w:r>
      <w:r w:rsidR="00A35B12">
        <w:t> </w:t>
      </w:r>
      <w:r>
        <w:t>ng/mL and 207</w:t>
      </w:r>
      <w:r w:rsidR="00A35B12">
        <w:t> </w:t>
      </w:r>
      <w:r>
        <w:t>ng/mL, respectively, which were observed on Day 90.</w:t>
      </w:r>
    </w:p>
    <w:p w14:paraId="2F8451C7" w14:textId="77777777" w:rsidR="004348FA" w:rsidRPr="00194049" w:rsidRDefault="004348FA" w:rsidP="00B30667">
      <w:pPr>
        <w:pStyle w:val="Heading3"/>
      </w:pPr>
      <w:r w:rsidRPr="00194049">
        <w:t>Distribution</w:t>
      </w:r>
    </w:p>
    <w:p w14:paraId="1226F09C" w14:textId="3EC1D12D" w:rsidR="004348FA" w:rsidRPr="00194049" w:rsidRDefault="00EB779E" w:rsidP="004348FA">
      <w:pPr>
        <w:pStyle w:val="BodyText"/>
      </w:pPr>
      <w:r w:rsidRPr="00EB779E">
        <w:t xml:space="preserve">The </w:t>
      </w:r>
      <w:r w:rsidR="00C60494" w:rsidRPr="00EB779E">
        <w:rPr>
          <w:i/>
          <w:iCs/>
        </w:rPr>
        <w:t>in vitro</w:t>
      </w:r>
      <w:r w:rsidR="00C60494" w:rsidRPr="00EB779E">
        <w:t xml:space="preserve"> </w:t>
      </w:r>
      <w:r w:rsidRPr="00EB779E">
        <w:t>plasma protein binding of betulin is &gt;99.9%.</w:t>
      </w:r>
    </w:p>
    <w:p w14:paraId="02421BAF" w14:textId="44430729" w:rsidR="004348FA" w:rsidRPr="00194049" w:rsidRDefault="004348FA" w:rsidP="00B30667">
      <w:pPr>
        <w:pStyle w:val="Heading3"/>
      </w:pPr>
      <w:r w:rsidRPr="00194049">
        <w:t>Metabolism</w:t>
      </w:r>
    </w:p>
    <w:p w14:paraId="69EB09B6" w14:textId="62876C55" w:rsidR="00EB779E" w:rsidRPr="00194049" w:rsidRDefault="00EB779E" w:rsidP="004348FA">
      <w:pPr>
        <w:pStyle w:val="BodyText"/>
      </w:pPr>
      <w:r w:rsidRPr="00EB779E">
        <w:t xml:space="preserve">The </w:t>
      </w:r>
      <w:r w:rsidRPr="00EB779E">
        <w:rPr>
          <w:i/>
          <w:iCs/>
        </w:rPr>
        <w:t>in vitro</w:t>
      </w:r>
      <w:r w:rsidRPr="00EB779E">
        <w:t xml:space="preserve"> metabolism of betulin was assessed in a suspension of human hepatocytes where 99% were completely metabolised in five hours. The most abundant metabolite </w:t>
      </w:r>
      <w:r w:rsidRPr="00EB779E">
        <w:rPr>
          <w:i/>
          <w:iCs/>
        </w:rPr>
        <w:t>in vitro</w:t>
      </w:r>
      <w:r w:rsidRPr="00EB779E">
        <w:t xml:space="preserve"> was formed through </w:t>
      </w:r>
      <w:r w:rsidR="00D53B3A">
        <w:t>oxygenation</w:t>
      </w:r>
      <w:r w:rsidRPr="00EB779E">
        <w:t>, methylation and sulfation. Three other metabolites were formed by sulfation or glucuronidation. Non-CYP enzymatic pathways are expected to play the predominant role in the overall hepatic metabolism of betulin (7</w:t>
      </w:r>
      <w:r w:rsidR="00D53B3A">
        <w:t>4</w:t>
      </w:r>
      <w:r w:rsidRPr="00EB779E">
        <w:t>%), while the CYP mediated pathways (2</w:t>
      </w:r>
      <w:r w:rsidR="006D6A89">
        <w:t>6</w:t>
      </w:r>
      <w:r w:rsidRPr="00EB779E">
        <w:t>%) are mainly driven by CYP3A4/5 isoenzyme</w:t>
      </w:r>
      <w:r w:rsidR="00C34CD5" w:rsidRPr="00194049">
        <w:t>.</w:t>
      </w:r>
    </w:p>
    <w:p w14:paraId="5EEDCFA1" w14:textId="1706879A" w:rsidR="004348FA" w:rsidRPr="00194049" w:rsidRDefault="004348FA" w:rsidP="00B30667">
      <w:pPr>
        <w:pStyle w:val="Heading3"/>
      </w:pPr>
      <w:r w:rsidRPr="00194049">
        <w:t>Excretion</w:t>
      </w:r>
    </w:p>
    <w:p w14:paraId="64433DA9" w14:textId="56D4BFEE" w:rsidR="004348FA" w:rsidRPr="00194049" w:rsidRDefault="008D6959" w:rsidP="004348FA">
      <w:pPr>
        <w:pStyle w:val="BodyText"/>
      </w:pPr>
      <w:r w:rsidRPr="008D6959">
        <w:t xml:space="preserve">No </w:t>
      </w:r>
      <w:r w:rsidRPr="008D6959">
        <w:rPr>
          <w:i/>
          <w:iCs/>
        </w:rPr>
        <w:t>in vivo</w:t>
      </w:r>
      <w:r w:rsidRPr="008D6959">
        <w:t xml:space="preserve"> elimination studes have been performed</w:t>
      </w:r>
      <w:r w:rsidR="00C34CD5" w:rsidRPr="00194049">
        <w:t>.</w:t>
      </w:r>
    </w:p>
    <w:p w14:paraId="7E94ACCE" w14:textId="546060BA" w:rsidR="000C49CD" w:rsidRPr="00194049" w:rsidRDefault="00B7024F" w:rsidP="00762050">
      <w:pPr>
        <w:pStyle w:val="Heading2"/>
      </w:pPr>
      <w:bookmarkStart w:id="28" w:name="_5.3_PRECLINICAL_SAFETY"/>
      <w:bookmarkEnd w:id="28"/>
      <w:r w:rsidRPr="00194049">
        <w:t>PRECLINICAL SAFETY DATA</w:t>
      </w:r>
    </w:p>
    <w:p w14:paraId="28B66561" w14:textId="2AB1C4E8" w:rsidR="00C0044F" w:rsidRPr="00194049" w:rsidRDefault="00C041F8" w:rsidP="00B30667">
      <w:pPr>
        <w:pStyle w:val="Heading3"/>
      </w:pPr>
      <w:r w:rsidRPr="00194049">
        <w:t>Genotoxicity</w:t>
      </w:r>
    </w:p>
    <w:p w14:paraId="520AA552" w14:textId="2AC1EEC7" w:rsidR="004348FA" w:rsidRPr="00194049" w:rsidRDefault="00121C22" w:rsidP="004348FA">
      <w:pPr>
        <w:pStyle w:val="BodyText"/>
      </w:pPr>
      <w:r>
        <w:t xml:space="preserve">Birch bark dry extract was not mutagenic in the Ames reverse mutation assay and was not clastogenic in the </w:t>
      </w:r>
      <w:r w:rsidRPr="0E846323">
        <w:rPr>
          <w:i/>
          <w:iCs/>
        </w:rPr>
        <w:t>in vitro</w:t>
      </w:r>
      <w:r>
        <w:t xml:space="preserve"> human lymphocyte chromosomal aberration assay. Birch bark dry extract was not clastogenic in the </w:t>
      </w:r>
      <w:r w:rsidRPr="0E846323">
        <w:rPr>
          <w:i/>
          <w:iCs/>
        </w:rPr>
        <w:t>in vivo</w:t>
      </w:r>
      <w:r>
        <w:t xml:space="preserve"> micronucleus assay in mice, however systemic exposure was not demonstrated and these results are considered inconclusive. Overall, the weight of evidence indicates that birch bark dry extract does not represent a genotoxic risk.</w:t>
      </w:r>
      <w:r w:rsidR="008D6959">
        <w:t xml:space="preserve"> </w:t>
      </w:r>
    </w:p>
    <w:p w14:paraId="7EA65E81" w14:textId="290F079D" w:rsidR="00C0044F" w:rsidRPr="00194049" w:rsidRDefault="00C041F8" w:rsidP="00B30667">
      <w:pPr>
        <w:pStyle w:val="Heading3"/>
      </w:pPr>
      <w:r w:rsidRPr="00194049">
        <w:t>Carcinogenicity</w:t>
      </w:r>
    </w:p>
    <w:p w14:paraId="0C01E05F" w14:textId="72E52C83" w:rsidR="00330152" w:rsidRPr="00194049" w:rsidRDefault="002A5196" w:rsidP="004348FA">
      <w:pPr>
        <w:pStyle w:val="BodyText"/>
      </w:pPr>
      <w:r w:rsidRPr="000C6A69">
        <w:t xml:space="preserve">No studies </w:t>
      </w:r>
      <w:r w:rsidR="00A61E60">
        <w:t xml:space="preserve">have been </w:t>
      </w:r>
      <w:r w:rsidRPr="000C6A69">
        <w:t>conducted to evaluate carcinogenicity</w:t>
      </w:r>
      <w:r w:rsidR="00E264C9" w:rsidRPr="000C6A69">
        <w:t>.</w:t>
      </w:r>
    </w:p>
    <w:p w14:paraId="35CBB9FA" w14:textId="77777777" w:rsidR="000C49CD" w:rsidRPr="00106855" w:rsidRDefault="000C49CD" w:rsidP="00106855">
      <w:pPr>
        <w:pStyle w:val="Heading1"/>
      </w:pPr>
      <w:r w:rsidRPr="00106855">
        <w:t>PHARMACEUTICAL PARTICULARS</w:t>
      </w:r>
    </w:p>
    <w:p w14:paraId="63AA84C2" w14:textId="0D07C1DD" w:rsidR="000C49CD" w:rsidRPr="00194049" w:rsidRDefault="003649D5" w:rsidP="00762050">
      <w:pPr>
        <w:pStyle w:val="Heading2"/>
      </w:pPr>
      <w:bookmarkStart w:id="29" w:name="_6.1_LIST_OF"/>
      <w:bookmarkEnd w:id="29"/>
      <w:r w:rsidRPr="00194049">
        <w:t>LIST OF EXCIPIENTS</w:t>
      </w:r>
    </w:p>
    <w:p w14:paraId="6FA51D77" w14:textId="74FE61EA" w:rsidR="000C49CD" w:rsidRPr="00194049" w:rsidRDefault="003F2C7E" w:rsidP="00C33402">
      <w:pPr>
        <w:pStyle w:val="BodyText"/>
        <w:contextualSpacing/>
      </w:pPr>
      <w:r w:rsidRPr="003F2C7E">
        <w:t>Sunflower oil.</w:t>
      </w:r>
    </w:p>
    <w:p w14:paraId="2C68543E" w14:textId="6D84E332" w:rsidR="000C49CD" w:rsidRPr="00194049" w:rsidRDefault="003649D5" w:rsidP="00762050">
      <w:pPr>
        <w:pStyle w:val="Heading2"/>
      </w:pPr>
      <w:r w:rsidRPr="00194049">
        <w:lastRenderedPageBreak/>
        <w:t>INCOMPATIBILITIES</w:t>
      </w:r>
    </w:p>
    <w:p w14:paraId="3974ABA9" w14:textId="1B7F872D" w:rsidR="000C49CD" w:rsidRPr="00194049" w:rsidRDefault="00A62319" w:rsidP="00C041F8">
      <w:pPr>
        <w:pStyle w:val="BodyText"/>
      </w:pPr>
      <w:r>
        <w:t xml:space="preserve">See also </w:t>
      </w:r>
      <w:hyperlink w:anchor="_INTERACTIONS_WITH_OTHER" w:history="1">
        <w:r w:rsidRPr="002E0DC9">
          <w:rPr>
            <w:rStyle w:val="Hyperlink"/>
          </w:rPr>
          <w:t>section 4.5 INTERACTIONS WITH OTHER MEDICINES AND OTHER FORMS OF INTERACTIONS</w:t>
        </w:r>
      </w:hyperlink>
      <w:r>
        <w:t>.</w:t>
      </w:r>
    </w:p>
    <w:p w14:paraId="4BEA43C4" w14:textId="21E269F3" w:rsidR="000C49CD" w:rsidRPr="00194049" w:rsidRDefault="003649D5" w:rsidP="00762050">
      <w:pPr>
        <w:pStyle w:val="Heading2"/>
      </w:pPr>
      <w:bookmarkStart w:id="30" w:name="_6.3_SHELF_LIFE"/>
      <w:bookmarkEnd w:id="30"/>
      <w:r w:rsidRPr="00194049">
        <w:t>SHELF LIFE</w:t>
      </w:r>
    </w:p>
    <w:p w14:paraId="75369A14" w14:textId="1DA64FB3" w:rsidR="000C49CD" w:rsidRPr="00194049" w:rsidRDefault="0052162B" w:rsidP="00C041F8">
      <w:pPr>
        <w:pStyle w:val="BodyText"/>
      </w:pPr>
      <w:r w:rsidRPr="00194049">
        <w:t>In Australia, information on the shelf life can be found on the public summary of the Australian Register of Therapeutic Goods (ARTG). The expiry date can be found on the packaging.</w:t>
      </w:r>
    </w:p>
    <w:p w14:paraId="0E1431DD" w14:textId="20B74F08" w:rsidR="000C49CD" w:rsidRPr="00194049" w:rsidRDefault="003649D5" w:rsidP="00762050">
      <w:pPr>
        <w:pStyle w:val="Heading2"/>
      </w:pPr>
      <w:r w:rsidRPr="00194049">
        <w:t>SPECIAL PRECAUTIONS FOR STORAGE</w:t>
      </w:r>
    </w:p>
    <w:p w14:paraId="1D9875DB" w14:textId="67FDED05" w:rsidR="007C6476" w:rsidRDefault="008D6959" w:rsidP="007C6476">
      <w:pPr>
        <w:pStyle w:val="BodyText"/>
      </w:pPr>
      <w:r w:rsidRPr="008D6959">
        <w:t>Store below 30°C.</w:t>
      </w:r>
    </w:p>
    <w:p w14:paraId="31E87E2A" w14:textId="486F969E" w:rsidR="008D6959" w:rsidRDefault="002E0DC9" w:rsidP="007C6476">
      <w:pPr>
        <w:pStyle w:val="BodyText"/>
        <w:rPr>
          <w:snapToGrid w:val="0"/>
        </w:rPr>
      </w:pPr>
      <w:r w:rsidRPr="002E0DC9">
        <w:rPr>
          <w:snapToGrid w:val="0"/>
        </w:rPr>
        <w:t>Use immediately after opening</w:t>
      </w:r>
      <w:r>
        <w:rPr>
          <w:snapToGrid w:val="0"/>
        </w:rPr>
        <w:t>.</w:t>
      </w:r>
    </w:p>
    <w:p w14:paraId="5ED50ED6" w14:textId="7B98D9CD" w:rsidR="008D6959" w:rsidRPr="008D6959" w:rsidRDefault="008D6959" w:rsidP="007C6476">
      <w:pPr>
        <w:pStyle w:val="BodyText"/>
        <w:rPr>
          <w:snapToGrid w:val="0"/>
        </w:rPr>
      </w:pPr>
      <w:r>
        <w:rPr>
          <w:snapToGrid w:val="0"/>
        </w:rPr>
        <w:t>Single u</w:t>
      </w:r>
      <w:r w:rsidRPr="00194049">
        <w:rPr>
          <w:snapToGrid w:val="0"/>
        </w:rPr>
        <w:t>se</w:t>
      </w:r>
      <w:r w:rsidRPr="00194049" w:rsidDel="00303C1F">
        <w:rPr>
          <w:snapToGrid w:val="0"/>
        </w:rPr>
        <w:t xml:space="preserve"> in one patient only. </w:t>
      </w:r>
      <w:r w:rsidRPr="00194049">
        <w:rPr>
          <w:snapToGrid w:val="0"/>
        </w:rPr>
        <w:t>Contains no antimicrobial preservative. Discard any residue.</w:t>
      </w:r>
    </w:p>
    <w:p w14:paraId="7C2029E6" w14:textId="2F623C11" w:rsidR="000C49CD" w:rsidRPr="00194049" w:rsidRDefault="003649D5" w:rsidP="00762050">
      <w:pPr>
        <w:pStyle w:val="Heading2"/>
      </w:pPr>
      <w:r w:rsidRPr="00194049">
        <w:t>NATURE AND CONTENTS OF CONTAINER</w:t>
      </w:r>
    </w:p>
    <w:p w14:paraId="47980CF2" w14:textId="70A6DE35" w:rsidR="003F2C7E" w:rsidRDefault="003F2C7E" w:rsidP="003F2C7E">
      <w:pPr>
        <w:pStyle w:val="BodyText"/>
      </w:pPr>
      <w:r>
        <w:t xml:space="preserve">White collapsible aluminium tube, interior lacquered with epoxy phenolic coating with a sealing compound in the fold. The tube is closed with a tamper-evident aluminium membrane and a white polypropylene screw cap. </w:t>
      </w:r>
    </w:p>
    <w:p w14:paraId="4034CB2D" w14:textId="5F8A2859" w:rsidR="00EB3393" w:rsidRPr="00194049" w:rsidRDefault="003F2C7E" w:rsidP="003F2C7E">
      <w:pPr>
        <w:pStyle w:val="BodyText"/>
      </w:pPr>
      <w:r>
        <w:t>Each tube contains 23.4 g gel and are supplied in cartons of 1, 10 and 30 tubes.</w:t>
      </w:r>
    </w:p>
    <w:p w14:paraId="66915066" w14:textId="311D0D38" w:rsidR="004348FA" w:rsidRPr="00194049" w:rsidRDefault="00EB3393" w:rsidP="00EB3393">
      <w:pPr>
        <w:pStyle w:val="BodyText"/>
      </w:pPr>
      <w:r w:rsidRPr="00194049">
        <w:t>Not all pack sizes may be marketed.</w:t>
      </w:r>
    </w:p>
    <w:p w14:paraId="668F225B" w14:textId="05AEA90E" w:rsidR="000C49CD" w:rsidRPr="00762050" w:rsidRDefault="003649D5" w:rsidP="00762050">
      <w:pPr>
        <w:pStyle w:val="Heading2"/>
      </w:pPr>
      <w:r w:rsidRPr="00762050">
        <w:t>SPECIAL PRECAUTIONS FOR DISPOSAL</w:t>
      </w:r>
    </w:p>
    <w:p w14:paraId="58F475B0" w14:textId="59115F2B" w:rsidR="000C49CD" w:rsidRPr="00194049" w:rsidRDefault="004348FA" w:rsidP="00DF185E">
      <w:pPr>
        <w:pStyle w:val="BodyText"/>
      </w:pPr>
      <w:r w:rsidRPr="00194049">
        <w:t>In Australia, any unused medicine or waste material should be disposed of in accordance with local requirements.</w:t>
      </w:r>
    </w:p>
    <w:p w14:paraId="3553C125" w14:textId="5C13DBED" w:rsidR="003649D5" w:rsidRPr="00762050" w:rsidRDefault="003649D5" w:rsidP="00762050">
      <w:pPr>
        <w:pStyle w:val="Heading2"/>
      </w:pPr>
      <w:r w:rsidRPr="00762050">
        <w:t>PHYSICOCHEMICAL PROPERTIES</w:t>
      </w:r>
    </w:p>
    <w:p w14:paraId="2280867E" w14:textId="6F0C652B" w:rsidR="000C6A69" w:rsidRDefault="00163B2D" w:rsidP="009543A5">
      <w:pPr>
        <w:pStyle w:val="BodyText"/>
      </w:pPr>
      <w:r w:rsidRPr="00163B2D">
        <w:t>Bir</w:t>
      </w:r>
      <w:r>
        <w:t>ch</w:t>
      </w:r>
      <w:r w:rsidRPr="00163B2D">
        <w:t xml:space="preserve"> triterpenes are a botanical drug substance composed of a mixture of pentacyclic triterpenes</w:t>
      </w:r>
      <w:r>
        <w:t xml:space="preserve"> extracted </w:t>
      </w:r>
      <w:r w:rsidR="000C6A69" w:rsidRPr="000C6A69">
        <w:t xml:space="preserve">from birch bark from </w:t>
      </w:r>
      <w:r w:rsidR="000C6A69" w:rsidRPr="000C6A69">
        <w:rPr>
          <w:i/>
          <w:iCs/>
        </w:rPr>
        <w:t>Betula pendula</w:t>
      </w:r>
      <w:r w:rsidR="000C6A69" w:rsidRPr="000C6A69">
        <w:t xml:space="preserve"> Roth, </w:t>
      </w:r>
      <w:r w:rsidR="000C6A69" w:rsidRPr="000C6A69">
        <w:rPr>
          <w:i/>
          <w:iCs/>
        </w:rPr>
        <w:t>Betula pubescens</w:t>
      </w:r>
      <w:r w:rsidR="000C6A69" w:rsidRPr="000C6A69">
        <w:t xml:space="preserve"> Ehrh.</w:t>
      </w:r>
      <w:r w:rsidRPr="00163B2D">
        <w:t xml:space="preserve"> </w:t>
      </w:r>
      <w:r>
        <w:t xml:space="preserve">The </w:t>
      </w:r>
      <w:r w:rsidRPr="00163B2D">
        <w:t xml:space="preserve">triterpenes </w:t>
      </w:r>
      <w:r>
        <w:t xml:space="preserve">content is </w:t>
      </w:r>
      <w:r w:rsidRPr="00163B2D">
        <w:t>calculated as the sum of betulin, betulinic acid, erythrodiol, lupeol and oleanolic acid</w:t>
      </w:r>
      <w:r>
        <w:t>.</w:t>
      </w:r>
    </w:p>
    <w:p w14:paraId="719D5E86" w14:textId="1EC112A4" w:rsidR="003649D5" w:rsidRPr="00194049" w:rsidRDefault="003649D5" w:rsidP="00B30667">
      <w:pPr>
        <w:pStyle w:val="Heading3"/>
      </w:pPr>
      <w:r w:rsidRPr="00194049">
        <w:t>CAS number</w:t>
      </w:r>
    </w:p>
    <w:p w14:paraId="1589EC5F" w14:textId="5FDD828E" w:rsidR="004348FA" w:rsidRPr="008D6959" w:rsidRDefault="008D6959" w:rsidP="004348FA">
      <w:pPr>
        <w:pStyle w:val="BodyText"/>
      </w:pPr>
      <w:r w:rsidRPr="008D6959">
        <w:t>1640971-03-4</w:t>
      </w:r>
    </w:p>
    <w:p w14:paraId="3F293311" w14:textId="77777777" w:rsidR="00013146" w:rsidRPr="00106855" w:rsidRDefault="00013146" w:rsidP="00106855">
      <w:pPr>
        <w:pStyle w:val="Heading1"/>
      </w:pPr>
      <w:r w:rsidRPr="00106855">
        <w:t>MEDICINE SCHEDULE (POISONS STANDARD)</w:t>
      </w:r>
    </w:p>
    <w:p w14:paraId="2A98DA49" w14:textId="640A7AA1" w:rsidR="00013146" w:rsidRPr="00194049" w:rsidRDefault="00D46AD9" w:rsidP="00DF185E">
      <w:pPr>
        <w:pStyle w:val="BodyText"/>
      </w:pPr>
      <w:r w:rsidRPr="00194049">
        <w:t>Prescription Only Medicine (Schedule 4)</w:t>
      </w:r>
    </w:p>
    <w:p w14:paraId="44FAE475" w14:textId="77777777" w:rsidR="000C49CD" w:rsidRPr="00106855" w:rsidRDefault="00013146" w:rsidP="00106855">
      <w:pPr>
        <w:pStyle w:val="Heading1"/>
      </w:pPr>
      <w:r w:rsidRPr="00106855">
        <w:t>SPONSOR</w:t>
      </w:r>
    </w:p>
    <w:p w14:paraId="681B3059" w14:textId="77777777" w:rsidR="000C49CD" w:rsidRPr="00194049" w:rsidRDefault="008801AF" w:rsidP="006039BF">
      <w:pPr>
        <w:pStyle w:val="BodyText"/>
        <w:spacing w:before="120"/>
        <w:contextualSpacing/>
      </w:pPr>
      <w:r w:rsidRPr="00194049">
        <w:t>Chiesi Australia Pty Ltd</w:t>
      </w:r>
    </w:p>
    <w:p w14:paraId="761AA9FC" w14:textId="0A36F73F" w:rsidR="00013146" w:rsidRPr="00194049" w:rsidRDefault="00163B2D" w:rsidP="006039BF">
      <w:pPr>
        <w:pStyle w:val="BodyText"/>
        <w:spacing w:before="120"/>
        <w:contextualSpacing/>
      </w:pPr>
      <w:r w:rsidRPr="00DD32A3">
        <w:t xml:space="preserve">Level </w:t>
      </w:r>
      <w:r w:rsidR="00DD32A3" w:rsidRPr="00DD32A3">
        <w:t>7, Suite 1</w:t>
      </w:r>
      <w:r w:rsidRPr="00DD32A3">
        <w:t>, 500 Bourke Street</w:t>
      </w:r>
      <w:r w:rsidR="00013146" w:rsidRPr="00DD32A3">
        <w:t>,</w:t>
      </w:r>
    </w:p>
    <w:p w14:paraId="77F818B6" w14:textId="52265835" w:rsidR="00013146" w:rsidRPr="00194049" w:rsidRDefault="00163B2D" w:rsidP="006039BF">
      <w:pPr>
        <w:pStyle w:val="BodyText"/>
        <w:spacing w:before="120"/>
        <w:contextualSpacing/>
      </w:pPr>
      <w:r>
        <w:t>Melbourne</w:t>
      </w:r>
      <w:r w:rsidR="00013146" w:rsidRPr="00194049">
        <w:t xml:space="preserve">, VIC </w:t>
      </w:r>
      <w:r>
        <w:t>3000</w:t>
      </w:r>
      <w:r w:rsidR="00041E91" w:rsidRPr="00194049">
        <w:t>.</w:t>
      </w:r>
    </w:p>
    <w:p w14:paraId="03D8FB2D" w14:textId="684C018E" w:rsidR="006504A5" w:rsidRPr="00194049" w:rsidRDefault="00EC1120" w:rsidP="006039BF">
      <w:pPr>
        <w:pStyle w:val="BodyText"/>
        <w:spacing w:before="120"/>
      </w:pPr>
      <w:r w:rsidRPr="00194049">
        <w:t>Email:</w:t>
      </w:r>
      <w:r w:rsidR="00837CC6" w:rsidRPr="00194049">
        <w:t xml:space="preserve"> </w:t>
      </w:r>
      <w:hyperlink r:id="rId14" w:history="1">
        <w:r w:rsidR="00D46AD9" w:rsidRPr="00194049">
          <w:rPr>
            <w:rStyle w:val="Hyperlink"/>
          </w:rPr>
          <w:t>medinfo.au@chiesi.com</w:t>
        </w:r>
      </w:hyperlink>
    </w:p>
    <w:p w14:paraId="3628A6F8" w14:textId="77777777" w:rsidR="00B96F15" w:rsidRPr="00194049" w:rsidRDefault="00013146" w:rsidP="00106855">
      <w:pPr>
        <w:pStyle w:val="Heading1"/>
      </w:pPr>
      <w:r w:rsidRPr="00194049">
        <w:lastRenderedPageBreak/>
        <w:t>DATE OF FIRST APPROVAL</w:t>
      </w:r>
    </w:p>
    <w:p w14:paraId="509A45B8" w14:textId="07CBFD26" w:rsidR="0052162B" w:rsidRPr="00194049" w:rsidRDefault="004348FA" w:rsidP="00DF185E">
      <w:pPr>
        <w:pStyle w:val="BodyText"/>
      </w:pPr>
      <w:r w:rsidRPr="00194049">
        <w:t>TBC</w:t>
      </w:r>
    </w:p>
    <w:p w14:paraId="49718493" w14:textId="77777777" w:rsidR="0052162B" w:rsidRPr="00106855" w:rsidRDefault="0052162B" w:rsidP="00106855">
      <w:pPr>
        <w:pStyle w:val="Heading1"/>
      </w:pPr>
      <w:r w:rsidRPr="00106855">
        <w:t>DATE OF REVISION</w:t>
      </w:r>
    </w:p>
    <w:p w14:paraId="22F7E85A" w14:textId="2C82FAEF" w:rsidR="0052162B" w:rsidRPr="00194049" w:rsidRDefault="004348FA" w:rsidP="00DF185E">
      <w:pPr>
        <w:pStyle w:val="BodyText"/>
      </w:pPr>
      <w:r w:rsidRPr="00194049">
        <w:t>TBC</w:t>
      </w:r>
    </w:p>
    <w:p w14:paraId="1B997C38" w14:textId="35477C13" w:rsidR="0052162B" w:rsidRPr="00194049" w:rsidRDefault="00DF185E" w:rsidP="00163B2D">
      <w:pPr>
        <w:pStyle w:val="Heading3"/>
        <w:spacing w:after="120"/>
      </w:pPr>
      <w:r w:rsidRPr="00194049">
        <w:t>Summary table of changes</w:t>
      </w:r>
    </w:p>
    <w:tbl>
      <w:tblPr>
        <w:tblStyle w:val="TableGrid"/>
        <w:tblW w:w="0" w:type="auto"/>
        <w:tblLook w:val="04A0" w:firstRow="1" w:lastRow="0" w:firstColumn="1" w:lastColumn="0" w:noHBand="0" w:noVBand="1"/>
      </w:tblPr>
      <w:tblGrid>
        <w:gridCol w:w="1951"/>
        <w:gridCol w:w="7187"/>
      </w:tblGrid>
      <w:tr w:rsidR="0052162B" w:rsidRPr="00194049" w14:paraId="146BDF69" w14:textId="77777777" w:rsidTr="004348FA">
        <w:tc>
          <w:tcPr>
            <w:tcW w:w="1951" w:type="dxa"/>
          </w:tcPr>
          <w:p w14:paraId="6A3F3AAC" w14:textId="77777777" w:rsidR="0052162B" w:rsidRPr="00194049" w:rsidRDefault="0052162B" w:rsidP="00106855">
            <w:pPr>
              <w:spacing w:before="20" w:after="20"/>
              <w:rPr>
                <w:b/>
                <w:bCs/>
              </w:rPr>
            </w:pPr>
            <w:r w:rsidRPr="00194049">
              <w:rPr>
                <w:b/>
                <w:bCs/>
              </w:rPr>
              <w:t>Section changed</w:t>
            </w:r>
          </w:p>
        </w:tc>
        <w:tc>
          <w:tcPr>
            <w:tcW w:w="7187" w:type="dxa"/>
          </w:tcPr>
          <w:p w14:paraId="16BAB985" w14:textId="77777777" w:rsidR="0052162B" w:rsidRPr="00194049" w:rsidRDefault="0052162B" w:rsidP="00106855">
            <w:pPr>
              <w:spacing w:before="20" w:after="20"/>
              <w:rPr>
                <w:b/>
                <w:bCs/>
              </w:rPr>
            </w:pPr>
            <w:r w:rsidRPr="00194049">
              <w:rPr>
                <w:b/>
                <w:bCs/>
              </w:rPr>
              <w:t>Summary of new information</w:t>
            </w:r>
          </w:p>
        </w:tc>
      </w:tr>
      <w:tr w:rsidR="00BB6986" w:rsidRPr="00194049" w14:paraId="04B00CE3" w14:textId="77777777" w:rsidTr="002F69C5">
        <w:tc>
          <w:tcPr>
            <w:tcW w:w="1951" w:type="dxa"/>
          </w:tcPr>
          <w:p w14:paraId="09668C8D" w14:textId="7EAF863C" w:rsidR="00D97A55" w:rsidRPr="00194049" w:rsidRDefault="004348FA" w:rsidP="00106855">
            <w:pPr>
              <w:spacing w:before="20" w:after="20"/>
            </w:pPr>
            <w:r w:rsidRPr="00194049">
              <w:t>All</w:t>
            </w:r>
          </w:p>
        </w:tc>
        <w:tc>
          <w:tcPr>
            <w:tcW w:w="7187" w:type="dxa"/>
          </w:tcPr>
          <w:p w14:paraId="3E2AA2B0" w14:textId="69162E8D" w:rsidR="00D97A55" w:rsidRPr="00194049" w:rsidRDefault="004348FA" w:rsidP="00106855">
            <w:pPr>
              <w:spacing w:before="20" w:after="20"/>
            </w:pPr>
            <w:r w:rsidRPr="00194049">
              <w:t>New Product Information</w:t>
            </w:r>
          </w:p>
        </w:tc>
      </w:tr>
    </w:tbl>
    <w:p w14:paraId="64647286" w14:textId="77777777" w:rsidR="0052162B" w:rsidRPr="00194049" w:rsidRDefault="0052162B" w:rsidP="00C33402"/>
    <w:sectPr w:rsidR="0052162B" w:rsidRPr="00194049" w:rsidSect="00F73DBE">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0"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F8E3" w14:textId="77777777" w:rsidR="00D44383" w:rsidRPr="00194049" w:rsidRDefault="00D44383">
      <w:r w:rsidRPr="00194049">
        <w:separator/>
      </w:r>
    </w:p>
  </w:endnote>
  <w:endnote w:type="continuationSeparator" w:id="0">
    <w:p w14:paraId="6E6EE119" w14:textId="77777777" w:rsidR="00D44383" w:rsidRPr="00194049" w:rsidRDefault="00D44383">
      <w:r w:rsidRPr="00194049">
        <w:continuationSeparator/>
      </w:r>
    </w:p>
  </w:endnote>
  <w:endnote w:type="continuationNotice" w:id="1">
    <w:p w14:paraId="58C1DB95" w14:textId="77777777" w:rsidR="00D44383" w:rsidRDefault="00D44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61F3" w14:textId="20C22C59" w:rsidR="00770073" w:rsidRDefault="00770073">
    <w:pPr>
      <w:pStyle w:val="Footer"/>
    </w:pPr>
    <w:r>
      <w:rPr>
        <w:noProof/>
      </w:rPr>
      <mc:AlternateContent>
        <mc:Choice Requires="wps">
          <w:drawing>
            <wp:anchor distT="0" distB="0" distL="0" distR="0" simplePos="0" relativeHeight="251662336" behindDoc="0" locked="0" layoutInCell="1" allowOverlap="1" wp14:anchorId="542C1FBB" wp14:editId="05162FF6">
              <wp:simplePos x="635" y="635"/>
              <wp:positionH relativeFrom="page">
                <wp:align>center</wp:align>
              </wp:positionH>
              <wp:positionV relativeFrom="page">
                <wp:align>bottom</wp:align>
              </wp:positionV>
              <wp:extent cx="622300" cy="376555"/>
              <wp:effectExtent l="0" t="0" r="6350" b="0"/>
              <wp:wrapNone/>
              <wp:docPr id="7316035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5476CD" w14:textId="0D5E6B5F"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C1FBB"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525476CD" w14:textId="0D5E6B5F"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B54" w14:textId="4816D959" w:rsidR="0035075E" w:rsidRPr="00194049" w:rsidRDefault="00770073" w:rsidP="00AF0424">
    <w:pPr>
      <w:pStyle w:val="Footer"/>
      <w:pBdr>
        <w:top w:val="single" w:sz="4" w:space="1" w:color="auto"/>
      </w:pBdr>
      <w:rPr>
        <w:rFonts w:ascii="Times New Roman" w:hAnsi="Times New Roman"/>
        <w:sz w:val="20"/>
        <w:lang w:val="en-AU"/>
      </w:rPr>
    </w:pPr>
    <w:r>
      <w:rPr>
        <w:rFonts w:ascii="Times New Roman" w:hAnsi="Times New Roman"/>
        <w:noProof/>
        <w:sz w:val="20"/>
        <w:lang w:val="en-AU"/>
      </w:rPr>
      <mc:AlternateContent>
        <mc:Choice Requires="wps">
          <w:drawing>
            <wp:anchor distT="0" distB="0" distL="0" distR="0" simplePos="0" relativeHeight="251663360" behindDoc="0" locked="0" layoutInCell="1" allowOverlap="1" wp14:anchorId="2F9D13B5" wp14:editId="21262163">
              <wp:simplePos x="723900" y="9982200"/>
              <wp:positionH relativeFrom="page">
                <wp:align>center</wp:align>
              </wp:positionH>
              <wp:positionV relativeFrom="page">
                <wp:align>bottom</wp:align>
              </wp:positionV>
              <wp:extent cx="622300" cy="376555"/>
              <wp:effectExtent l="0" t="0" r="6350" b="0"/>
              <wp:wrapNone/>
              <wp:docPr id="65484961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617CCC" w14:textId="0DFD715C"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9D13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3617CCC" w14:textId="0DFD715C"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v:textbox>
              <w10:wrap anchorx="page" anchory="page"/>
            </v:shape>
          </w:pict>
        </mc:Fallback>
      </mc:AlternateContent>
    </w:r>
    <w:r w:rsidR="003F2C7E" w:rsidRPr="006D6E26">
      <w:rPr>
        <w:rFonts w:ascii="Times New Roman" w:hAnsi="Times New Roman"/>
        <w:sz w:val="20"/>
        <w:lang w:val="en-AU"/>
      </w:rPr>
      <w:t>FILSUVEZ</w:t>
    </w:r>
    <w:r w:rsidR="001B4EAF" w:rsidRPr="006D6E26">
      <w:rPr>
        <w:rFonts w:ascii="Times New Roman" w:hAnsi="Times New Roman"/>
        <w:sz w:val="20"/>
        <w:lang w:val="en-AU"/>
      </w:rPr>
      <w:t xml:space="preserve"> </w:t>
    </w:r>
    <w:r w:rsidR="008544D5" w:rsidRPr="006D6E26">
      <w:rPr>
        <w:rFonts w:ascii="Times New Roman" w:hAnsi="Times New Roman"/>
        <w:sz w:val="20"/>
        <w:lang w:val="en-AU"/>
      </w:rPr>
      <w:t>v</w:t>
    </w:r>
    <w:r w:rsidR="00437296" w:rsidRPr="006D6E26">
      <w:rPr>
        <w:rFonts w:ascii="Times New Roman" w:hAnsi="Times New Roman"/>
        <w:sz w:val="20"/>
        <w:lang w:val="en-AU"/>
      </w:rPr>
      <w:t>0.</w:t>
    </w:r>
    <w:r w:rsidR="00971E4E">
      <w:rPr>
        <w:rFonts w:ascii="Times New Roman" w:hAnsi="Times New Roman"/>
        <w:sz w:val="20"/>
        <w:lang w:val="en-AU"/>
      </w:rPr>
      <w:t>4</w:t>
    </w:r>
    <w:r w:rsidR="001B4EAF" w:rsidRPr="006D6E26">
      <w:rPr>
        <w:rFonts w:ascii="Times New Roman" w:hAnsi="Times New Roman"/>
        <w:sz w:val="20"/>
        <w:lang w:val="en-AU"/>
      </w:rPr>
      <w:t xml:space="preserve"> </w:t>
    </w:r>
    <w:r w:rsidR="00193F71" w:rsidRPr="006D6E26">
      <w:rPr>
        <w:rFonts w:ascii="Times New Roman" w:hAnsi="Times New Roman"/>
        <w:sz w:val="20"/>
        <w:lang w:val="en-AU"/>
      </w:rPr>
      <w:t>[</w:t>
    </w:r>
    <w:r w:rsidR="00D4730B">
      <w:rPr>
        <w:rFonts w:ascii="Times New Roman" w:hAnsi="Times New Roman"/>
        <w:sz w:val="20"/>
        <w:lang w:val="en-AU"/>
      </w:rPr>
      <w:t>15</w:t>
    </w:r>
    <w:r w:rsidR="003C6BA5">
      <w:rPr>
        <w:rFonts w:ascii="Times New Roman" w:hAnsi="Times New Roman"/>
        <w:sz w:val="20"/>
        <w:lang w:val="en-AU"/>
      </w:rPr>
      <w:t xml:space="preserve"> April 2026</w:t>
    </w:r>
    <w:r w:rsidR="00193F71" w:rsidRPr="006D6E26">
      <w:rPr>
        <w:rFonts w:ascii="Times New Roman" w:hAnsi="Times New Roman"/>
        <w:sz w:val="20"/>
        <w:lang w:val="en-AU"/>
      </w:rPr>
      <w:t>]</w:t>
    </w:r>
    <w:r w:rsidR="008544D5" w:rsidRPr="006D6E26">
      <w:rPr>
        <w:rFonts w:ascii="Times New Roman" w:hAnsi="Times New Roman"/>
        <w:sz w:val="20"/>
        <w:lang w:val="en-AU"/>
      </w:rPr>
      <w:ptab w:relativeTo="margin" w:alignment="center" w:leader="none"/>
    </w:r>
    <w:r w:rsidR="008544D5" w:rsidRPr="006D6E26">
      <w:rPr>
        <w:rFonts w:ascii="Times New Roman" w:hAnsi="Times New Roman"/>
        <w:sz w:val="20"/>
        <w:lang w:val="en-AU"/>
      </w:rPr>
      <w:ptab w:relativeTo="margin" w:alignment="right" w:leader="none"/>
    </w:r>
    <w:r w:rsidR="00A63162" w:rsidRPr="006D6E26">
      <w:rPr>
        <w:rFonts w:ascii="Times New Roman" w:hAnsi="Times New Roman"/>
        <w:sz w:val="20"/>
        <w:lang w:val="en-AU"/>
      </w:rPr>
      <w:fldChar w:fldCharType="begin"/>
    </w:r>
    <w:r w:rsidR="008544D5" w:rsidRPr="006D6E26">
      <w:rPr>
        <w:rFonts w:ascii="Times New Roman" w:hAnsi="Times New Roman"/>
        <w:sz w:val="20"/>
        <w:lang w:val="en-AU"/>
      </w:rPr>
      <w:instrText xml:space="preserve"> PAGE   \* MERGEFORMAT </w:instrText>
    </w:r>
    <w:r w:rsidR="00A63162" w:rsidRPr="006D6E26">
      <w:rPr>
        <w:rFonts w:ascii="Times New Roman" w:hAnsi="Times New Roman"/>
        <w:sz w:val="20"/>
        <w:lang w:val="en-AU"/>
      </w:rPr>
      <w:fldChar w:fldCharType="separate"/>
    </w:r>
    <w:r w:rsidR="001A2BC4" w:rsidRPr="006D6E26">
      <w:rPr>
        <w:rFonts w:ascii="Times New Roman" w:hAnsi="Times New Roman"/>
        <w:noProof/>
        <w:sz w:val="20"/>
        <w:lang w:val="en-AU"/>
      </w:rPr>
      <w:t>22</w:t>
    </w:r>
    <w:r w:rsidR="00A63162" w:rsidRPr="006D6E26">
      <w:rPr>
        <w:rFonts w:ascii="Times New Roman" w:hAnsi="Times New Roman"/>
        <w:noProof/>
        <w:sz w:val="20"/>
        <w:lang w:val="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4B42" w14:textId="42C2EB21" w:rsidR="00770073" w:rsidRDefault="00770073">
    <w:pPr>
      <w:pStyle w:val="Footer"/>
    </w:pPr>
    <w:r>
      <w:rPr>
        <w:noProof/>
      </w:rPr>
      <mc:AlternateContent>
        <mc:Choice Requires="wps">
          <w:drawing>
            <wp:anchor distT="0" distB="0" distL="0" distR="0" simplePos="0" relativeHeight="251661312" behindDoc="0" locked="0" layoutInCell="1" allowOverlap="1" wp14:anchorId="4AC33AF0" wp14:editId="2E56D81D">
              <wp:simplePos x="635" y="635"/>
              <wp:positionH relativeFrom="page">
                <wp:align>center</wp:align>
              </wp:positionH>
              <wp:positionV relativeFrom="page">
                <wp:align>bottom</wp:align>
              </wp:positionV>
              <wp:extent cx="622300" cy="376555"/>
              <wp:effectExtent l="0" t="0" r="6350" b="0"/>
              <wp:wrapNone/>
              <wp:docPr id="620558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60D56" w14:textId="657A721C"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C33AF0" id="_x0000_t202" coordsize="21600,21600" o:spt="202" path="m,l,21600r21600,l21600,xe">
              <v:stroke joinstyle="miter"/>
              <v:path gradientshapeok="t" o:connecttype="rect"/>
            </v:shapetype>
            <v:shape id="Text Box 5"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47460D56" w14:textId="657A721C"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107C" w14:textId="77777777" w:rsidR="00D44383" w:rsidRPr="00194049" w:rsidRDefault="00D44383">
      <w:r w:rsidRPr="00194049">
        <w:separator/>
      </w:r>
    </w:p>
  </w:footnote>
  <w:footnote w:type="continuationSeparator" w:id="0">
    <w:p w14:paraId="028BDDA3" w14:textId="77777777" w:rsidR="00D44383" w:rsidRPr="00194049" w:rsidRDefault="00D44383">
      <w:r w:rsidRPr="00194049">
        <w:continuationSeparator/>
      </w:r>
    </w:p>
  </w:footnote>
  <w:footnote w:type="continuationNotice" w:id="1">
    <w:p w14:paraId="1E498965" w14:textId="77777777" w:rsidR="00D44383" w:rsidRDefault="00D44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8ED6" w14:textId="414BBFC5" w:rsidR="00770073" w:rsidRDefault="00770073">
    <w:pPr>
      <w:pStyle w:val="Header"/>
    </w:pPr>
    <w:r>
      <w:rPr>
        <w:noProof/>
      </w:rPr>
      <mc:AlternateContent>
        <mc:Choice Requires="wps">
          <w:drawing>
            <wp:anchor distT="0" distB="0" distL="0" distR="0" simplePos="0" relativeHeight="251659264" behindDoc="0" locked="0" layoutInCell="1" allowOverlap="1" wp14:anchorId="1208C4BB" wp14:editId="1E5F3DED">
              <wp:simplePos x="635" y="635"/>
              <wp:positionH relativeFrom="page">
                <wp:align>center</wp:align>
              </wp:positionH>
              <wp:positionV relativeFrom="page">
                <wp:align>top</wp:align>
              </wp:positionV>
              <wp:extent cx="622300" cy="376555"/>
              <wp:effectExtent l="0" t="0" r="6350" b="4445"/>
              <wp:wrapNone/>
              <wp:docPr id="21010639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2FFDEC" w14:textId="6E2CF20A"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8C4B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A2FFDEC" w14:textId="6E2CF20A"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2D2" w14:textId="35875681" w:rsidR="00770073" w:rsidRDefault="00770073" w:rsidP="00F73DBE">
    <w:pPr>
      <w:pStyle w:val="Header"/>
      <w:spacing w:before="120"/>
      <w:jc w:val="left"/>
      <w:rPr>
        <w:sz w:val="16"/>
        <w:szCs w:val="16"/>
      </w:rPr>
    </w:pPr>
  </w:p>
  <w:tbl>
    <w:tblPr>
      <w:tblStyle w:val="TableGrid"/>
      <w:tblW w:w="0" w:type="auto"/>
      <w:shd w:val="clear" w:color="auto" w:fill="E4F2E0"/>
      <w:tblLook w:val="04A0" w:firstRow="1" w:lastRow="0" w:firstColumn="1" w:lastColumn="0" w:noHBand="0" w:noVBand="1"/>
    </w:tblPr>
    <w:tblGrid>
      <w:gridCol w:w="9606"/>
    </w:tblGrid>
    <w:tr w:rsidR="00F73DBE" w:rsidRPr="00F73DBE" w14:paraId="453F9611" w14:textId="77777777" w:rsidTr="00A00FCC">
      <w:trPr>
        <w:trHeight w:val="1012"/>
      </w:trPr>
      <w:tc>
        <w:tcPr>
          <w:tcW w:w="9606" w:type="dxa"/>
          <w:shd w:val="clear" w:color="auto" w:fill="E4F2E0"/>
        </w:tcPr>
        <w:p w14:paraId="6D61351D" w14:textId="77777777" w:rsidR="00F73DBE" w:rsidRPr="00F73DBE" w:rsidRDefault="00F73DBE" w:rsidP="00F73DBE">
          <w:pPr>
            <w:pStyle w:val="Footer"/>
            <w:rPr>
              <w:rFonts w:ascii="Cambria" w:hAnsi="Cambria" w:cs="Arial"/>
              <w:b/>
              <w:sz w:val="16"/>
              <w:szCs w:val="16"/>
            </w:rPr>
          </w:pPr>
          <w:bookmarkStart w:id="31" w:name="_Hlk109054010"/>
          <w:r w:rsidRPr="00F73DBE">
            <w:rPr>
              <w:rFonts w:ascii="Cambria" w:hAnsi="Cambria" w:cs="Arial"/>
              <w:b/>
              <w:bCs/>
              <w:sz w:val="16"/>
              <w:szCs w:val="16"/>
            </w:rPr>
            <w:t xml:space="preserve">AusPAR – Filsuvez (birch bark dry extract - 84-95% triterpenes) Chiesi Australia Pty Ltd - Type A PM-2025-01059-1-1 Date 2 June 2026. </w:t>
          </w:r>
          <w:r w:rsidRPr="00F73DBE">
            <w:rPr>
              <w:rFonts w:ascii="Cambria" w:hAnsi="Cambria" w:cs="Arial"/>
              <w:b/>
              <w:sz w:val="16"/>
              <w:szCs w:val="16"/>
            </w:rPr>
            <w:t>This is the Product Information that was approved with the submission described in this AusPAR. It may have been superseded. For the most recent PI, please refer to the TGA website at &lt;</w:t>
          </w:r>
          <w:r w:rsidRPr="00F73DBE">
            <w:rPr>
              <w:rFonts w:ascii="Cambria" w:hAnsi="Cambria" w:cs="Arial"/>
              <w:sz w:val="16"/>
              <w:szCs w:val="16"/>
            </w:rPr>
            <w:t xml:space="preserve"> </w:t>
          </w:r>
          <w:hyperlink r:id="rId1" w:history="1">
            <w:r w:rsidRPr="00F73DBE">
              <w:rPr>
                <w:rStyle w:val="Hyperlink"/>
                <w:rFonts w:ascii="Cambria" w:hAnsi="Cambria" w:cs="Arial"/>
                <w:sz w:val="16"/>
                <w:szCs w:val="16"/>
              </w:rPr>
              <w:t>https://www.tga.gov.au/products/australian-register-therapeutic-goods-artg/product-information-pi</w:t>
            </w:r>
          </w:hyperlink>
          <w:r w:rsidRPr="00F73DBE">
            <w:rPr>
              <w:rFonts w:ascii="Cambria" w:hAnsi="Cambria" w:cs="Arial"/>
              <w:b/>
              <w:sz w:val="16"/>
              <w:szCs w:val="16"/>
              <w:u w:val="single"/>
            </w:rPr>
            <w:t>&gt;</w:t>
          </w:r>
        </w:p>
      </w:tc>
    </w:tr>
    <w:bookmarkEnd w:id="31"/>
  </w:tbl>
  <w:p w14:paraId="51DF6065" w14:textId="77777777" w:rsidR="00F73DBE" w:rsidRPr="00F73DBE" w:rsidRDefault="00F73DBE" w:rsidP="00F73DBE">
    <w:pPr>
      <w:pStyle w:val="Header"/>
      <w:spacing w:before="0"/>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E37" w14:textId="7A3F2A3D" w:rsidR="00770073" w:rsidRDefault="00770073">
    <w:pPr>
      <w:pStyle w:val="Header"/>
    </w:pPr>
    <w:r>
      <w:rPr>
        <w:noProof/>
      </w:rPr>
      <mc:AlternateContent>
        <mc:Choice Requires="wps">
          <w:drawing>
            <wp:anchor distT="0" distB="0" distL="0" distR="0" simplePos="0" relativeHeight="251658240" behindDoc="0" locked="0" layoutInCell="1" allowOverlap="1" wp14:anchorId="64444E3C" wp14:editId="0159667C">
              <wp:simplePos x="635" y="635"/>
              <wp:positionH relativeFrom="page">
                <wp:align>center</wp:align>
              </wp:positionH>
              <wp:positionV relativeFrom="page">
                <wp:align>top</wp:align>
              </wp:positionV>
              <wp:extent cx="622300" cy="376555"/>
              <wp:effectExtent l="0" t="0" r="6350" b="4445"/>
              <wp:wrapNone/>
              <wp:docPr id="7380180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E6C6C04" w14:textId="6078B702"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44E3C" id="_x0000_t202" coordsize="21600,21600" o:spt="202" path="m,l,21600r21600,l21600,xe">
              <v:stroke joinstyle="miter"/>
              <v:path gradientshapeok="t" o:connecttype="rect"/>
            </v:shapetype>
            <v:shape id="Text Box 2"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textbox style="mso-fit-shape-to-text:t" inset="0,15pt,0,0">
                <w:txbxContent>
                  <w:p w14:paraId="3E6C6C04" w14:textId="6078B702" w:rsidR="00770073" w:rsidRPr="00770073" w:rsidRDefault="00770073" w:rsidP="00770073">
                    <w:pPr>
                      <w:rPr>
                        <w:rFonts w:ascii="Aptos" w:eastAsia="Aptos" w:hAnsi="Aptos" w:cs="Aptos"/>
                        <w:noProof/>
                        <w:color w:val="FF0000"/>
                        <w:sz w:val="24"/>
                        <w:szCs w:val="24"/>
                      </w:rPr>
                    </w:pPr>
                    <w:r w:rsidRPr="0077007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E634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264A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408B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AD9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C68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320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5095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4B1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DEAE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3ECA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064A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3A3737"/>
    <w:multiLevelType w:val="hybridMultilevel"/>
    <w:tmpl w:val="C99AD1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5D133B"/>
    <w:multiLevelType w:val="hybridMultilevel"/>
    <w:tmpl w:val="434C31B0"/>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6C372B7"/>
    <w:multiLevelType w:val="hybridMultilevel"/>
    <w:tmpl w:val="D29AD84C"/>
    <w:lvl w:ilvl="0" w:tplc="3B5A473A">
      <w:start w:val="5"/>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194D4444"/>
    <w:multiLevelType w:val="hybridMultilevel"/>
    <w:tmpl w:val="4258B09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CE22FBA"/>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22927109"/>
    <w:multiLevelType w:val="hybridMultilevel"/>
    <w:tmpl w:val="F01E2F1E"/>
    <w:lvl w:ilvl="0" w:tplc="9586A732">
      <w:start w:val="1"/>
      <w:numFmt w:val="upperLetter"/>
      <w:lvlText w:val="%1."/>
      <w:lvlJc w:val="left"/>
      <w:pPr>
        <w:ind w:left="360" w:hanging="360"/>
      </w:pPr>
      <w:rPr>
        <w:b w:val="0"/>
      </w:rPr>
    </w:lvl>
    <w:lvl w:ilvl="1" w:tplc="0E228C2E">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56C5ECB"/>
    <w:multiLevelType w:val="hybridMultilevel"/>
    <w:tmpl w:val="0C2C5804"/>
    <w:lvl w:ilvl="0" w:tplc="931AF15C">
      <w:start w:val="2"/>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5CE116C"/>
    <w:multiLevelType w:val="hybridMultilevel"/>
    <w:tmpl w:val="84006E1A"/>
    <w:lvl w:ilvl="0" w:tplc="03C60622">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74825DF"/>
    <w:multiLevelType w:val="hybridMultilevel"/>
    <w:tmpl w:val="498CD270"/>
    <w:lvl w:ilvl="0" w:tplc="A972F848">
      <w:start w:val="1"/>
      <w:numFmt w:val="lowerLetter"/>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B0191F"/>
    <w:multiLevelType w:val="multilevel"/>
    <w:tmpl w:val="C1E272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0150FE"/>
    <w:multiLevelType w:val="hybridMultilevel"/>
    <w:tmpl w:val="DE4831D6"/>
    <w:lvl w:ilvl="0" w:tplc="A3B87652">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8739AC"/>
    <w:multiLevelType w:val="hybridMultilevel"/>
    <w:tmpl w:val="5EA8D4D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37185505"/>
    <w:multiLevelType w:val="hybridMultilevel"/>
    <w:tmpl w:val="EE8CFCCC"/>
    <w:lvl w:ilvl="0" w:tplc="3B5A473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0E58DF"/>
    <w:multiLevelType w:val="hybridMultilevel"/>
    <w:tmpl w:val="EA08D5CC"/>
    <w:lvl w:ilvl="0" w:tplc="7C20637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DA38EA"/>
    <w:multiLevelType w:val="hybridMultilevel"/>
    <w:tmpl w:val="2BEA392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A0A1D7E"/>
    <w:multiLevelType w:val="hybridMultilevel"/>
    <w:tmpl w:val="64826D36"/>
    <w:lvl w:ilvl="0" w:tplc="03C60622">
      <w:start w:val="4"/>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4D1016"/>
    <w:multiLevelType w:val="hybridMultilevel"/>
    <w:tmpl w:val="04382644"/>
    <w:lvl w:ilvl="0" w:tplc="0BF61B1A">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15:restartNumberingAfterBreak="0">
    <w:nsid w:val="5E1F267D"/>
    <w:multiLevelType w:val="multilevel"/>
    <w:tmpl w:val="70062124"/>
    <w:lvl w:ilvl="0">
      <w:start w:val="5"/>
      <w:numFmt w:val="decimal"/>
      <w:lvlText w:val="%1"/>
      <w:lvlJc w:val="left"/>
      <w:pPr>
        <w:tabs>
          <w:tab w:val="num" w:pos="360"/>
        </w:tabs>
        <w:ind w:left="360" w:hanging="360"/>
      </w:pPr>
      <w:rPr>
        <w:rFonts w:hint="default"/>
      </w:rPr>
    </w:lvl>
    <w:lvl w:ilvl="1">
      <w:start w:val="1"/>
      <w:numFmt w:val="decimal"/>
      <w:lvlText w:val="%1%24"/>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624E89"/>
    <w:multiLevelType w:val="hybridMultilevel"/>
    <w:tmpl w:val="42DC544E"/>
    <w:lvl w:ilvl="0" w:tplc="A9EAEEBA">
      <w:start w:val="1"/>
      <w:numFmt w:val="decimal"/>
      <w:pStyle w:val="ListParagraph"/>
      <w:lvlText w:val="%1."/>
      <w:lvlJc w:val="left"/>
      <w:pPr>
        <w:ind w:left="720" w:hanging="360"/>
      </w:pPr>
      <w:rPr>
        <w:b w:val="0"/>
      </w:rPr>
    </w:lvl>
    <w:lvl w:ilvl="1" w:tplc="0E228C2E">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0275C5"/>
    <w:multiLevelType w:val="multilevel"/>
    <w:tmpl w:val="FF840D9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A33A6D"/>
    <w:multiLevelType w:val="hybridMultilevel"/>
    <w:tmpl w:val="8048C992"/>
    <w:lvl w:ilvl="0" w:tplc="C9380F40">
      <w:start w:val="1"/>
      <w:numFmt w:val="upperLetter"/>
      <w:lvlText w:val="%1."/>
      <w:lvlJc w:val="left"/>
      <w:pPr>
        <w:tabs>
          <w:tab w:val="num" w:pos="644"/>
        </w:tabs>
        <w:ind w:left="644" w:hanging="360"/>
      </w:pPr>
      <w:rPr>
        <w:rFonts w:ascii="Times New Roman" w:hAnsi="Times New Roman" w:cs="Times New Roman" w:hint="default"/>
        <w:b/>
        <w:i/>
        <w:color w:val="FF0000"/>
        <w:sz w:val="22"/>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32" w15:restartNumberingAfterBreak="0">
    <w:nsid w:val="74D97B5F"/>
    <w:multiLevelType w:val="hybridMultilevel"/>
    <w:tmpl w:val="94CCD302"/>
    <w:lvl w:ilvl="0" w:tplc="9586A732">
      <w:start w:val="1"/>
      <w:numFmt w:val="upperLetter"/>
      <w:lvlText w:val="%1."/>
      <w:lvlJc w:val="left"/>
      <w:pPr>
        <w:ind w:left="1077" w:hanging="360"/>
      </w:pPr>
      <w:rPr>
        <w:b w: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3" w15:restartNumberingAfterBreak="0">
    <w:nsid w:val="7A8353BB"/>
    <w:multiLevelType w:val="hybridMultilevel"/>
    <w:tmpl w:val="FD0A06B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4" w15:restartNumberingAfterBreak="0">
    <w:nsid w:val="7BA41AE6"/>
    <w:multiLevelType w:val="hybridMultilevel"/>
    <w:tmpl w:val="81A40032"/>
    <w:lvl w:ilvl="0" w:tplc="1BECB4BE">
      <w:start w:val="1"/>
      <w:numFmt w:val="upperLetter"/>
      <w:lvlText w:val="%1."/>
      <w:lvlJc w:val="left"/>
      <w:pPr>
        <w:tabs>
          <w:tab w:val="num" w:pos="644"/>
        </w:tabs>
        <w:ind w:left="644" w:hanging="360"/>
      </w:pPr>
      <w:rPr>
        <w:rFonts w:hint="default"/>
        <w:b/>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num w:numId="1" w16cid:durableId="919220980">
    <w:abstractNumId w:val="15"/>
  </w:num>
  <w:num w:numId="2" w16cid:durableId="522984983">
    <w:abstractNumId w:val="28"/>
  </w:num>
  <w:num w:numId="3" w16cid:durableId="1971861743">
    <w:abstractNumId w:val="33"/>
  </w:num>
  <w:num w:numId="4" w16cid:durableId="1659264895">
    <w:abstractNumId w:val="34"/>
  </w:num>
  <w:num w:numId="5" w16cid:durableId="991101449">
    <w:abstractNumId w:val="31"/>
  </w:num>
  <w:num w:numId="6" w16cid:durableId="1742481910">
    <w:abstractNumId w:val="25"/>
  </w:num>
  <w:num w:numId="7" w16cid:durableId="1479497790">
    <w:abstractNumId w:val="27"/>
  </w:num>
  <w:num w:numId="8" w16cid:durableId="1907566645">
    <w:abstractNumId w:val="13"/>
  </w:num>
  <w:num w:numId="9" w16cid:durableId="189491996">
    <w:abstractNumId w:val="10"/>
  </w:num>
  <w:num w:numId="10" w16cid:durableId="183640785">
    <w:abstractNumId w:val="20"/>
  </w:num>
  <w:num w:numId="11" w16cid:durableId="1704939596">
    <w:abstractNumId w:val="18"/>
  </w:num>
  <w:num w:numId="12" w16cid:durableId="1635714172">
    <w:abstractNumId w:val="16"/>
  </w:num>
  <w:num w:numId="13" w16cid:durableId="2136438501">
    <w:abstractNumId w:val="12"/>
  </w:num>
  <w:num w:numId="14" w16cid:durableId="26294116">
    <w:abstractNumId w:val="26"/>
  </w:num>
  <w:num w:numId="15" w16cid:durableId="1247112461">
    <w:abstractNumId w:val="17"/>
  </w:num>
  <w:num w:numId="16" w16cid:durableId="1215509578">
    <w:abstractNumId w:val="14"/>
  </w:num>
  <w:num w:numId="17" w16cid:durableId="1726106160">
    <w:abstractNumId w:val="29"/>
  </w:num>
  <w:num w:numId="18" w16cid:durableId="797916822">
    <w:abstractNumId w:val="23"/>
  </w:num>
  <w:num w:numId="19" w16cid:durableId="2098207576">
    <w:abstractNumId w:val="11"/>
  </w:num>
  <w:num w:numId="20" w16cid:durableId="605045935">
    <w:abstractNumId w:val="9"/>
  </w:num>
  <w:num w:numId="21" w16cid:durableId="933711725">
    <w:abstractNumId w:val="7"/>
  </w:num>
  <w:num w:numId="22" w16cid:durableId="311755659">
    <w:abstractNumId w:val="6"/>
  </w:num>
  <w:num w:numId="23" w16cid:durableId="157114401">
    <w:abstractNumId w:val="5"/>
  </w:num>
  <w:num w:numId="24" w16cid:durableId="230585117">
    <w:abstractNumId w:val="4"/>
  </w:num>
  <w:num w:numId="25" w16cid:durableId="453863714">
    <w:abstractNumId w:val="8"/>
  </w:num>
  <w:num w:numId="26" w16cid:durableId="5134700">
    <w:abstractNumId w:val="3"/>
  </w:num>
  <w:num w:numId="27" w16cid:durableId="1581258847">
    <w:abstractNumId w:val="2"/>
  </w:num>
  <w:num w:numId="28" w16cid:durableId="1437017599">
    <w:abstractNumId w:val="1"/>
  </w:num>
  <w:num w:numId="29" w16cid:durableId="1938058420">
    <w:abstractNumId w:val="0"/>
  </w:num>
  <w:num w:numId="30" w16cid:durableId="955671840">
    <w:abstractNumId w:val="32"/>
  </w:num>
  <w:num w:numId="31" w16cid:durableId="853685101">
    <w:abstractNumId w:val="22"/>
  </w:num>
  <w:num w:numId="32" w16cid:durableId="1085762241">
    <w:abstractNumId w:val="24"/>
  </w:num>
  <w:num w:numId="33" w16cid:durableId="192575692">
    <w:abstractNumId w:val="9"/>
  </w:num>
  <w:num w:numId="34" w16cid:durableId="1985352565">
    <w:abstractNumId w:val="19"/>
  </w:num>
  <w:num w:numId="35" w16cid:durableId="1936013329">
    <w:abstractNumId w:val="21"/>
  </w:num>
  <w:num w:numId="36" w16cid:durableId="835926336">
    <w:abstractNumId w:val="21"/>
  </w:num>
  <w:num w:numId="37" w16cid:durableId="1881823919">
    <w:abstractNumId w:val="21"/>
  </w:num>
  <w:num w:numId="38" w16cid:durableId="2049179858">
    <w:abstractNumId w:val="21"/>
  </w:num>
  <w:num w:numId="39" w16cid:durableId="377781432">
    <w:abstractNumId w:val="21"/>
  </w:num>
  <w:num w:numId="40" w16cid:durableId="16668619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oNotTrackFormatting/>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AE"/>
    <w:rsid w:val="000010BD"/>
    <w:rsid w:val="0000217C"/>
    <w:rsid w:val="00002A30"/>
    <w:rsid w:val="000036EA"/>
    <w:rsid w:val="0000638E"/>
    <w:rsid w:val="00006602"/>
    <w:rsid w:val="00007EA6"/>
    <w:rsid w:val="00010E82"/>
    <w:rsid w:val="00011FAC"/>
    <w:rsid w:val="00013146"/>
    <w:rsid w:val="00013E00"/>
    <w:rsid w:val="00013EE1"/>
    <w:rsid w:val="00014105"/>
    <w:rsid w:val="00015016"/>
    <w:rsid w:val="00015648"/>
    <w:rsid w:val="00015955"/>
    <w:rsid w:val="0001687A"/>
    <w:rsid w:val="0002010C"/>
    <w:rsid w:val="000205A1"/>
    <w:rsid w:val="00020FA8"/>
    <w:rsid w:val="00022F63"/>
    <w:rsid w:val="00023F1C"/>
    <w:rsid w:val="00025D0B"/>
    <w:rsid w:val="00026474"/>
    <w:rsid w:val="00027BDF"/>
    <w:rsid w:val="00030BC6"/>
    <w:rsid w:val="00031A65"/>
    <w:rsid w:val="00032561"/>
    <w:rsid w:val="000336AF"/>
    <w:rsid w:val="0003444F"/>
    <w:rsid w:val="0003760E"/>
    <w:rsid w:val="000411B9"/>
    <w:rsid w:val="00041E91"/>
    <w:rsid w:val="000432E8"/>
    <w:rsid w:val="00043CD2"/>
    <w:rsid w:val="00045408"/>
    <w:rsid w:val="00045A05"/>
    <w:rsid w:val="00046A35"/>
    <w:rsid w:val="0004758E"/>
    <w:rsid w:val="0005085B"/>
    <w:rsid w:val="000521F4"/>
    <w:rsid w:val="00052458"/>
    <w:rsid w:val="000524D2"/>
    <w:rsid w:val="0005316D"/>
    <w:rsid w:val="00053C79"/>
    <w:rsid w:val="0005472F"/>
    <w:rsid w:val="000561A7"/>
    <w:rsid w:val="00056915"/>
    <w:rsid w:val="000603A0"/>
    <w:rsid w:val="00062BB4"/>
    <w:rsid w:val="00063994"/>
    <w:rsid w:val="000665F9"/>
    <w:rsid w:val="00066662"/>
    <w:rsid w:val="0006669E"/>
    <w:rsid w:val="00066DFC"/>
    <w:rsid w:val="00067D1E"/>
    <w:rsid w:val="00070B68"/>
    <w:rsid w:val="00071011"/>
    <w:rsid w:val="00072E3E"/>
    <w:rsid w:val="00073DE1"/>
    <w:rsid w:val="00074CD6"/>
    <w:rsid w:val="000756CB"/>
    <w:rsid w:val="00076330"/>
    <w:rsid w:val="0007641A"/>
    <w:rsid w:val="00077EFB"/>
    <w:rsid w:val="00080B36"/>
    <w:rsid w:val="00080E07"/>
    <w:rsid w:val="000812C6"/>
    <w:rsid w:val="00085662"/>
    <w:rsid w:val="00086496"/>
    <w:rsid w:val="00090091"/>
    <w:rsid w:val="0009049E"/>
    <w:rsid w:val="0009491A"/>
    <w:rsid w:val="00097208"/>
    <w:rsid w:val="000979F5"/>
    <w:rsid w:val="000A01E6"/>
    <w:rsid w:val="000A07D5"/>
    <w:rsid w:val="000A1113"/>
    <w:rsid w:val="000A3E99"/>
    <w:rsid w:val="000A3F1D"/>
    <w:rsid w:val="000A40E9"/>
    <w:rsid w:val="000A4384"/>
    <w:rsid w:val="000A61DC"/>
    <w:rsid w:val="000A7D21"/>
    <w:rsid w:val="000B11FE"/>
    <w:rsid w:val="000B17AD"/>
    <w:rsid w:val="000B1919"/>
    <w:rsid w:val="000B1B61"/>
    <w:rsid w:val="000B2BB3"/>
    <w:rsid w:val="000B2F44"/>
    <w:rsid w:val="000B4B6D"/>
    <w:rsid w:val="000B4F1A"/>
    <w:rsid w:val="000B54C1"/>
    <w:rsid w:val="000B5A55"/>
    <w:rsid w:val="000B605F"/>
    <w:rsid w:val="000B61B2"/>
    <w:rsid w:val="000C2483"/>
    <w:rsid w:val="000C262B"/>
    <w:rsid w:val="000C2F30"/>
    <w:rsid w:val="000C312A"/>
    <w:rsid w:val="000C3238"/>
    <w:rsid w:val="000C3248"/>
    <w:rsid w:val="000C49CD"/>
    <w:rsid w:val="000C616B"/>
    <w:rsid w:val="000C6A69"/>
    <w:rsid w:val="000D06CD"/>
    <w:rsid w:val="000D18F3"/>
    <w:rsid w:val="000D1B22"/>
    <w:rsid w:val="000D234B"/>
    <w:rsid w:val="000D2597"/>
    <w:rsid w:val="000D2611"/>
    <w:rsid w:val="000D2F54"/>
    <w:rsid w:val="000D31F5"/>
    <w:rsid w:val="000D34D0"/>
    <w:rsid w:val="000D4898"/>
    <w:rsid w:val="000D77EF"/>
    <w:rsid w:val="000E0550"/>
    <w:rsid w:val="000E0EDE"/>
    <w:rsid w:val="000E1ED1"/>
    <w:rsid w:val="000E2348"/>
    <w:rsid w:val="000E264A"/>
    <w:rsid w:val="000E290A"/>
    <w:rsid w:val="000E29C9"/>
    <w:rsid w:val="000E35AC"/>
    <w:rsid w:val="000E407D"/>
    <w:rsid w:val="000E5B8A"/>
    <w:rsid w:val="000E6543"/>
    <w:rsid w:val="000E71E1"/>
    <w:rsid w:val="000E78E7"/>
    <w:rsid w:val="000F3135"/>
    <w:rsid w:val="000F33BD"/>
    <w:rsid w:val="000F587A"/>
    <w:rsid w:val="000F6FE1"/>
    <w:rsid w:val="000F7DAE"/>
    <w:rsid w:val="0010077D"/>
    <w:rsid w:val="00100DC5"/>
    <w:rsid w:val="00103A58"/>
    <w:rsid w:val="00105E34"/>
    <w:rsid w:val="00106855"/>
    <w:rsid w:val="00107A58"/>
    <w:rsid w:val="001107AC"/>
    <w:rsid w:val="001116BB"/>
    <w:rsid w:val="0011189B"/>
    <w:rsid w:val="00112CCD"/>
    <w:rsid w:val="00112E46"/>
    <w:rsid w:val="00113427"/>
    <w:rsid w:val="0011344E"/>
    <w:rsid w:val="001148D4"/>
    <w:rsid w:val="0011748F"/>
    <w:rsid w:val="001205A3"/>
    <w:rsid w:val="001217A1"/>
    <w:rsid w:val="00121C22"/>
    <w:rsid w:val="0012238B"/>
    <w:rsid w:val="00123C41"/>
    <w:rsid w:val="00123CCF"/>
    <w:rsid w:val="00125A85"/>
    <w:rsid w:val="00126755"/>
    <w:rsid w:val="00126B36"/>
    <w:rsid w:val="00127784"/>
    <w:rsid w:val="00131957"/>
    <w:rsid w:val="00131DF9"/>
    <w:rsid w:val="00133B91"/>
    <w:rsid w:val="001340FE"/>
    <w:rsid w:val="0013543E"/>
    <w:rsid w:val="00136484"/>
    <w:rsid w:val="001375F5"/>
    <w:rsid w:val="00137646"/>
    <w:rsid w:val="00137743"/>
    <w:rsid w:val="00137876"/>
    <w:rsid w:val="001414C7"/>
    <w:rsid w:val="00141F20"/>
    <w:rsid w:val="001420BE"/>
    <w:rsid w:val="0014214B"/>
    <w:rsid w:val="00144DB5"/>
    <w:rsid w:val="0014738D"/>
    <w:rsid w:val="00150986"/>
    <w:rsid w:val="001519E9"/>
    <w:rsid w:val="00152F9A"/>
    <w:rsid w:val="00153406"/>
    <w:rsid w:val="0015373B"/>
    <w:rsid w:val="001549F2"/>
    <w:rsid w:val="00154CED"/>
    <w:rsid w:val="00155734"/>
    <w:rsid w:val="00156AFA"/>
    <w:rsid w:val="0015780D"/>
    <w:rsid w:val="00161D1E"/>
    <w:rsid w:val="00162055"/>
    <w:rsid w:val="00162E8D"/>
    <w:rsid w:val="001634D2"/>
    <w:rsid w:val="00163B2D"/>
    <w:rsid w:val="00163DF3"/>
    <w:rsid w:val="00164408"/>
    <w:rsid w:val="001646D8"/>
    <w:rsid w:val="001664DC"/>
    <w:rsid w:val="0017133E"/>
    <w:rsid w:val="00173CF9"/>
    <w:rsid w:val="001751D7"/>
    <w:rsid w:val="00175255"/>
    <w:rsid w:val="00176A7F"/>
    <w:rsid w:val="00176BE3"/>
    <w:rsid w:val="00180095"/>
    <w:rsid w:val="001803CF"/>
    <w:rsid w:val="00182E62"/>
    <w:rsid w:val="00184332"/>
    <w:rsid w:val="00186FE7"/>
    <w:rsid w:val="00190231"/>
    <w:rsid w:val="001904EC"/>
    <w:rsid w:val="001913E0"/>
    <w:rsid w:val="00192110"/>
    <w:rsid w:val="001923B6"/>
    <w:rsid w:val="00192635"/>
    <w:rsid w:val="00193F71"/>
    <w:rsid w:val="00194049"/>
    <w:rsid w:val="00194EC2"/>
    <w:rsid w:val="001972C3"/>
    <w:rsid w:val="001A0C5C"/>
    <w:rsid w:val="001A1F44"/>
    <w:rsid w:val="001A2BC4"/>
    <w:rsid w:val="001A34C8"/>
    <w:rsid w:val="001A3C1F"/>
    <w:rsid w:val="001A3C25"/>
    <w:rsid w:val="001A500C"/>
    <w:rsid w:val="001A5471"/>
    <w:rsid w:val="001A5A0A"/>
    <w:rsid w:val="001A65DD"/>
    <w:rsid w:val="001B0BA9"/>
    <w:rsid w:val="001B22C3"/>
    <w:rsid w:val="001B4221"/>
    <w:rsid w:val="001B4EAF"/>
    <w:rsid w:val="001B71D3"/>
    <w:rsid w:val="001B7EFE"/>
    <w:rsid w:val="001C2031"/>
    <w:rsid w:val="001C24E5"/>
    <w:rsid w:val="001C48E2"/>
    <w:rsid w:val="001D15CD"/>
    <w:rsid w:val="001D15E5"/>
    <w:rsid w:val="001D18F8"/>
    <w:rsid w:val="001D2158"/>
    <w:rsid w:val="001D31DF"/>
    <w:rsid w:val="001D51FE"/>
    <w:rsid w:val="001D5914"/>
    <w:rsid w:val="001D5964"/>
    <w:rsid w:val="001D5A39"/>
    <w:rsid w:val="001D5A99"/>
    <w:rsid w:val="001D63AA"/>
    <w:rsid w:val="001D742D"/>
    <w:rsid w:val="001D7B37"/>
    <w:rsid w:val="001E129B"/>
    <w:rsid w:val="001E1CFF"/>
    <w:rsid w:val="001E1FBD"/>
    <w:rsid w:val="001E27D5"/>
    <w:rsid w:val="001E31D5"/>
    <w:rsid w:val="001E75F8"/>
    <w:rsid w:val="001F26DC"/>
    <w:rsid w:val="001F29D6"/>
    <w:rsid w:val="001F2C1D"/>
    <w:rsid w:val="001F4B0C"/>
    <w:rsid w:val="001F6221"/>
    <w:rsid w:val="001F75DC"/>
    <w:rsid w:val="0020075A"/>
    <w:rsid w:val="002009DA"/>
    <w:rsid w:val="00200CBF"/>
    <w:rsid w:val="002021EA"/>
    <w:rsid w:val="00206056"/>
    <w:rsid w:val="00206A17"/>
    <w:rsid w:val="0020727E"/>
    <w:rsid w:val="002108F6"/>
    <w:rsid w:val="00211ADC"/>
    <w:rsid w:val="00214912"/>
    <w:rsid w:val="00215DEE"/>
    <w:rsid w:val="002176E1"/>
    <w:rsid w:val="00217992"/>
    <w:rsid w:val="00220DE1"/>
    <w:rsid w:val="00222634"/>
    <w:rsid w:val="002241AD"/>
    <w:rsid w:val="00224B5A"/>
    <w:rsid w:val="00226DA2"/>
    <w:rsid w:val="002273C1"/>
    <w:rsid w:val="00230C3E"/>
    <w:rsid w:val="002340E5"/>
    <w:rsid w:val="002354E7"/>
    <w:rsid w:val="00235B6F"/>
    <w:rsid w:val="00235C5F"/>
    <w:rsid w:val="00237625"/>
    <w:rsid w:val="00237C09"/>
    <w:rsid w:val="00240C17"/>
    <w:rsid w:val="002417F0"/>
    <w:rsid w:val="00242FAE"/>
    <w:rsid w:val="00245A43"/>
    <w:rsid w:val="00247725"/>
    <w:rsid w:val="00250494"/>
    <w:rsid w:val="00251C98"/>
    <w:rsid w:val="002537F7"/>
    <w:rsid w:val="00253E68"/>
    <w:rsid w:val="00254899"/>
    <w:rsid w:val="002548AB"/>
    <w:rsid w:val="00254E63"/>
    <w:rsid w:val="00255893"/>
    <w:rsid w:val="00255B3C"/>
    <w:rsid w:val="00255D85"/>
    <w:rsid w:val="00257BF2"/>
    <w:rsid w:val="00264285"/>
    <w:rsid w:val="002642AD"/>
    <w:rsid w:val="00264A50"/>
    <w:rsid w:val="00264AE0"/>
    <w:rsid w:val="00265806"/>
    <w:rsid w:val="00265D59"/>
    <w:rsid w:val="00265FFC"/>
    <w:rsid w:val="00266264"/>
    <w:rsid w:val="00266DE6"/>
    <w:rsid w:val="00267F69"/>
    <w:rsid w:val="00274396"/>
    <w:rsid w:val="00275BD8"/>
    <w:rsid w:val="00276C7A"/>
    <w:rsid w:val="002773DE"/>
    <w:rsid w:val="00277C92"/>
    <w:rsid w:val="00277E08"/>
    <w:rsid w:val="00277E37"/>
    <w:rsid w:val="0028206A"/>
    <w:rsid w:val="002820A1"/>
    <w:rsid w:val="00282CA8"/>
    <w:rsid w:val="0028304F"/>
    <w:rsid w:val="002836C1"/>
    <w:rsid w:val="00283D7F"/>
    <w:rsid w:val="00284140"/>
    <w:rsid w:val="00284EE9"/>
    <w:rsid w:val="00285C50"/>
    <w:rsid w:val="00291F9B"/>
    <w:rsid w:val="00294E39"/>
    <w:rsid w:val="00295A1A"/>
    <w:rsid w:val="002965AD"/>
    <w:rsid w:val="00296816"/>
    <w:rsid w:val="002973D1"/>
    <w:rsid w:val="00297C31"/>
    <w:rsid w:val="002A0E58"/>
    <w:rsid w:val="002A2A57"/>
    <w:rsid w:val="002A3094"/>
    <w:rsid w:val="002A3E29"/>
    <w:rsid w:val="002A4A3F"/>
    <w:rsid w:val="002A5196"/>
    <w:rsid w:val="002A532F"/>
    <w:rsid w:val="002A5FE4"/>
    <w:rsid w:val="002A6BDC"/>
    <w:rsid w:val="002A71DA"/>
    <w:rsid w:val="002A7C23"/>
    <w:rsid w:val="002A7D86"/>
    <w:rsid w:val="002B5F8F"/>
    <w:rsid w:val="002B6908"/>
    <w:rsid w:val="002B7873"/>
    <w:rsid w:val="002C0B45"/>
    <w:rsid w:val="002C167A"/>
    <w:rsid w:val="002C286A"/>
    <w:rsid w:val="002C374F"/>
    <w:rsid w:val="002C6036"/>
    <w:rsid w:val="002C6225"/>
    <w:rsid w:val="002D0895"/>
    <w:rsid w:val="002D0A45"/>
    <w:rsid w:val="002D1610"/>
    <w:rsid w:val="002D18B1"/>
    <w:rsid w:val="002D2594"/>
    <w:rsid w:val="002D3059"/>
    <w:rsid w:val="002D32D3"/>
    <w:rsid w:val="002D3C83"/>
    <w:rsid w:val="002D3DF9"/>
    <w:rsid w:val="002D7B0B"/>
    <w:rsid w:val="002E0DC9"/>
    <w:rsid w:val="002E3B72"/>
    <w:rsid w:val="002E44E5"/>
    <w:rsid w:val="002E4E6E"/>
    <w:rsid w:val="002E631C"/>
    <w:rsid w:val="002E6708"/>
    <w:rsid w:val="002E7348"/>
    <w:rsid w:val="002F26EF"/>
    <w:rsid w:val="002F38A1"/>
    <w:rsid w:val="002F44F0"/>
    <w:rsid w:val="002F69C5"/>
    <w:rsid w:val="002F6EC3"/>
    <w:rsid w:val="002F7E27"/>
    <w:rsid w:val="0030350D"/>
    <w:rsid w:val="00303C1F"/>
    <w:rsid w:val="003050AD"/>
    <w:rsid w:val="0030559C"/>
    <w:rsid w:val="0030579F"/>
    <w:rsid w:val="00306BF9"/>
    <w:rsid w:val="00307AA9"/>
    <w:rsid w:val="00312B04"/>
    <w:rsid w:val="00312F84"/>
    <w:rsid w:val="003162AC"/>
    <w:rsid w:val="0031737E"/>
    <w:rsid w:val="00320C5E"/>
    <w:rsid w:val="00321FAA"/>
    <w:rsid w:val="00322AB9"/>
    <w:rsid w:val="00322BB7"/>
    <w:rsid w:val="003253C6"/>
    <w:rsid w:val="0032582E"/>
    <w:rsid w:val="0032651F"/>
    <w:rsid w:val="00326CD1"/>
    <w:rsid w:val="00330152"/>
    <w:rsid w:val="003311EF"/>
    <w:rsid w:val="003327AB"/>
    <w:rsid w:val="0033430E"/>
    <w:rsid w:val="00334FFE"/>
    <w:rsid w:val="003352C8"/>
    <w:rsid w:val="0033539D"/>
    <w:rsid w:val="00336492"/>
    <w:rsid w:val="00336A88"/>
    <w:rsid w:val="00337C57"/>
    <w:rsid w:val="003406FB"/>
    <w:rsid w:val="003413F9"/>
    <w:rsid w:val="003455E7"/>
    <w:rsid w:val="0034611E"/>
    <w:rsid w:val="0034627E"/>
    <w:rsid w:val="003471FD"/>
    <w:rsid w:val="00347331"/>
    <w:rsid w:val="00347D0B"/>
    <w:rsid w:val="00347F67"/>
    <w:rsid w:val="0035075E"/>
    <w:rsid w:val="00351188"/>
    <w:rsid w:val="00354786"/>
    <w:rsid w:val="003560E1"/>
    <w:rsid w:val="003614DA"/>
    <w:rsid w:val="00362083"/>
    <w:rsid w:val="00362409"/>
    <w:rsid w:val="00362865"/>
    <w:rsid w:val="00362D53"/>
    <w:rsid w:val="00363500"/>
    <w:rsid w:val="0036371D"/>
    <w:rsid w:val="00363E78"/>
    <w:rsid w:val="00364027"/>
    <w:rsid w:val="003640EE"/>
    <w:rsid w:val="0036434D"/>
    <w:rsid w:val="003649D5"/>
    <w:rsid w:val="003651BA"/>
    <w:rsid w:val="0036596E"/>
    <w:rsid w:val="00367085"/>
    <w:rsid w:val="00367D7A"/>
    <w:rsid w:val="0037044B"/>
    <w:rsid w:val="00371177"/>
    <w:rsid w:val="0037245C"/>
    <w:rsid w:val="00372A45"/>
    <w:rsid w:val="00372A63"/>
    <w:rsid w:val="00372FB0"/>
    <w:rsid w:val="00373DA2"/>
    <w:rsid w:val="00375A6D"/>
    <w:rsid w:val="00375FF1"/>
    <w:rsid w:val="0038248A"/>
    <w:rsid w:val="00383399"/>
    <w:rsid w:val="0038362D"/>
    <w:rsid w:val="003838CC"/>
    <w:rsid w:val="0038591D"/>
    <w:rsid w:val="003868B0"/>
    <w:rsid w:val="00386CE1"/>
    <w:rsid w:val="00386F61"/>
    <w:rsid w:val="00390267"/>
    <w:rsid w:val="00391D34"/>
    <w:rsid w:val="003927EA"/>
    <w:rsid w:val="0039283A"/>
    <w:rsid w:val="00393D68"/>
    <w:rsid w:val="0039613A"/>
    <w:rsid w:val="0039648E"/>
    <w:rsid w:val="003A1645"/>
    <w:rsid w:val="003A3A0E"/>
    <w:rsid w:val="003A43D8"/>
    <w:rsid w:val="003A472D"/>
    <w:rsid w:val="003A63EA"/>
    <w:rsid w:val="003A7FA3"/>
    <w:rsid w:val="003B16ED"/>
    <w:rsid w:val="003B1BC1"/>
    <w:rsid w:val="003B2A24"/>
    <w:rsid w:val="003B2FA6"/>
    <w:rsid w:val="003C17A6"/>
    <w:rsid w:val="003C1C4C"/>
    <w:rsid w:val="003C27C2"/>
    <w:rsid w:val="003C2BD2"/>
    <w:rsid w:val="003C3F95"/>
    <w:rsid w:val="003C4DF0"/>
    <w:rsid w:val="003C5658"/>
    <w:rsid w:val="003C5B27"/>
    <w:rsid w:val="003C6BA5"/>
    <w:rsid w:val="003D059F"/>
    <w:rsid w:val="003D0D06"/>
    <w:rsid w:val="003D1D85"/>
    <w:rsid w:val="003D279C"/>
    <w:rsid w:val="003D370A"/>
    <w:rsid w:val="003D4067"/>
    <w:rsid w:val="003D4CDF"/>
    <w:rsid w:val="003D526E"/>
    <w:rsid w:val="003D67AE"/>
    <w:rsid w:val="003E01D5"/>
    <w:rsid w:val="003E09A7"/>
    <w:rsid w:val="003E2D36"/>
    <w:rsid w:val="003E44A9"/>
    <w:rsid w:val="003E5EB7"/>
    <w:rsid w:val="003F0D02"/>
    <w:rsid w:val="003F12EE"/>
    <w:rsid w:val="003F2B8E"/>
    <w:rsid w:val="003F2C7E"/>
    <w:rsid w:val="003F40A8"/>
    <w:rsid w:val="003F4A45"/>
    <w:rsid w:val="003F6497"/>
    <w:rsid w:val="003F78C0"/>
    <w:rsid w:val="00402AD2"/>
    <w:rsid w:val="00404520"/>
    <w:rsid w:val="00405D05"/>
    <w:rsid w:val="00407CC6"/>
    <w:rsid w:val="0041263C"/>
    <w:rsid w:val="0041418C"/>
    <w:rsid w:val="00414876"/>
    <w:rsid w:val="00415526"/>
    <w:rsid w:val="004164F1"/>
    <w:rsid w:val="00416B31"/>
    <w:rsid w:val="00417B0B"/>
    <w:rsid w:val="00417FE2"/>
    <w:rsid w:val="00420FAE"/>
    <w:rsid w:val="00422A6D"/>
    <w:rsid w:val="004233D7"/>
    <w:rsid w:val="00424BDA"/>
    <w:rsid w:val="0042530A"/>
    <w:rsid w:val="00425E1E"/>
    <w:rsid w:val="00430202"/>
    <w:rsid w:val="00430F78"/>
    <w:rsid w:val="004314A7"/>
    <w:rsid w:val="00432C0C"/>
    <w:rsid w:val="00433496"/>
    <w:rsid w:val="004334E6"/>
    <w:rsid w:val="004348FA"/>
    <w:rsid w:val="0043516B"/>
    <w:rsid w:val="00436209"/>
    <w:rsid w:val="00437296"/>
    <w:rsid w:val="004374DB"/>
    <w:rsid w:val="00437F43"/>
    <w:rsid w:val="00440944"/>
    <w:rsid w:val="0044286C"/>
    <w:rsid w:val="00443F50"/>
    <w:rsid w:val="004444E7"/>
    <w:rsid w:val="00445DCB"/>
    <w:rsid w:val="004465A5"/>
    <w:rsid w:val="0045065F"/>
    <w:rsid w:val="00451D2C"/>
    <w:rsid w:val="0045236F"/>
    <w:rsid w:val="0045391B"/>
    <w:rsid w:val="00454415"/>
    <w:rsid w:val="00454713"/>
    <w:rsid w:val="00454DFF"/>
    <w:rsid w:val="00455D4F"/>
    <w:rsid w:val="00456B03"/>
    <w:rsid w:val="00457A8D"/>
    <w:rsid w:val="0046036B"/>
    <w:rsid w:val="0046068A"/>
    <w:rsid w:val="004609C9"/>
    <w:rsid w:val="004610DC"/>
    <w:rsid w:val="00461677"/>
    <w:rsid w:val="004621A4"/>
    <w:rsid w:val="00463016"/>
    <w:rsid w:val="00467418"/>
    <w:rsid w:val="004709DA"/>
    <w:rsid w:val="004713B2"/>
    <w:rsid w:val="004726D2"/>
    <w:rsid w:val="00472AFF"/>
    <w:rsid w:val="00473A0F"/>
    <w:rsid w:val="004750A9"/>
    <w:rsid w:val="00476700"/>
    <w:rsid w:val="004768C7"/>
    <w:rsid w:val="00477A28"/>
    <w:rsid w:val="00477C14"/>
    <w:rsid w:val="004802AF"/>
    <w:rsid w:val="004811BE"/>
    <w:rsid w:val="004819DD"/>
    <w:rsid w:val="00481F08"/>
    <w:rsid w:val="0048200F"/>
    <w:rsid w:val="00482609"/>
    <w:rsid w:val="004828B5"/>
    <w:rsid w:val="00483407"/>
    <w:rsid w:val="004838F1"/>
    <w:rsid w:val="00484474"/>
    <w:rsid w:val="00484EF6"/>
    <w:rsid w:val="00484FE5"/>
    <w:rsid w:val="00485D60"/>
    <w:rsid w:val="00485D6A"/>
    <w:rsid w:val="00486D2B"/>
    <w:rsid w:val="00491F36"/>
    <w:rsid w:val="00492705"/>
    <w:rsid w:val="00492A65"/>
    <w:rsid w:val="004959C0"/>
    <w:rsid w:val="004A1AA9"/>
    <w:rsid w:val="004A1E86"/>
    <w:rsid w:val="004A1F50"/>
    <w:rsid w:val="004A2DDB"/>
    <w:rsid w:val="004A31ED"/>
    <w:rsid w:val="004A34A7"/>
    <w:rsid w:val="004A4477"/>
    <w:rsid w:val="004A695E"/>
    <w:rsid w:val="004A70FE"/>
    <w:rsid w:val="004B0929"/>
    <w:rsid w:val="004B0C12"/>
    <w:rsid w:val="004B15B4"/>
    <w:rsid w:val="004B1DF7"/>
    <w:rsid w:val="004B26A9"/>
    <w:rsid w:val="004B303C"/>
    <w:rsid w:val="004B6A1C"/>
    <w:rsid w:val="004B7E54"/>
    <w:rsid w:val="004C23E0"/>
    <w:rsid w:val="004C2AD5"/>
    <w:rsid w:val="004C3030"/>
    <w:rsid w:val="004C370E"/>
    <w:rsid w:val="004C3A97"/>
    <w:rsid w:val="004C4325"/>
    <w:rsid w:val="004C556B"/>
    <w:rsid w:val="004C6339"/>
    <w:rsid w:val="004C6F41"/>
    <w:rsid w:val="004C70FA"/>
    <w:rsid w:val="004D2210"/>
    <w:rsid w:val="004D2B08"/>
    <w:rsid w:val="004D35BE"/>
    <w:rsid w:val="004D47D2"/>
    <w:rsid w:val="004D533A"/>
    <w:rsid w:val="004D5B69"/>
    <w:rsid w:val="004D7675"/>
    <w:rsid w:val="004D7ABF"/>
    <w:rsid w:val="004E1024"/>
    <w:rsid w:val="004E2AED"/>
    <w:rsid w:val="004E6416"/>
    <w:rsid w:val="004E7180"/>
    <w:rsid w:val="004E7DA3"/>
    <w:rsid w:val="004F0867"/>
    <w:rsid w:val="004F4774"/>
    <w:rsid w:val="004F4F7D"/>
    <w:rsid w:val="004F541E"/>
    <w:rsid w:val="004F657B"/>
    <w:rsid w:val="005004B5"/>
    <w:rsid w:val="00500D96"/>
    <w:rsid w:val="0050117B"/>
    <w:rsid w:val="005012E3"/>
    <w:rsid w:val="0050137D"/>
    <w:rsid w:val="00501C68"/>
    <w:rsid w:val="00503107"/>
    <w:rsid w:val="00503C0D"/>
    <w:rsid w:val="00503EBF"/>
    <w:rsid w:val="005040F9"/>
    <w:rsid w:val="0050603B"/>
    <w:rsid w:val="00506F3D"/>
    <w:rsid w:val="00506F81"/>
    <w:rsid w:val="005072FD"/>
    <w:rsid w:val="005105CD"/>
    <w:rsid w:val="00510765"/>
    <w:rsid w:val="00510ECC"/>
    <w:rsid w:val="005115DD"/>
    <w:rsid w:val="00511911"/>
    <w:rsid w:val="005122BF"/>
    <w:rsid w:val="00512F58"/>
    <w:rsid w:val="00513B37"/>
    <w:rsid w:val="005145C4"/>
    <w:rsid w:val="005145EE"/>
    <w:rsid w:val="00514824"/>
    <w:rsid w:val="00514DF5"/>
    <w:rsid w:val="005201BB"/>
    <w:rsid w:val="0052162B"/>
    <w:rsid w:val="005229EA"/>
    <w:rsid w:val="00523F5C"/>
    <w:rsid w:val="0052712C"/>
    <w:rsid w:val="00527BB0"/>
    <w:rsid w:val="00533BF0"/>
    <w:rsid w:val="00533C25"/>
    <w:rsid w:val="00533D20"/>
    <w:rsid w:val="00535109"/>
    <w:rsid w:val="005405AA"/>
    <w:rsid w:val="00540C8C"/>
    <w:rsid w:val="005415C3"/>
    <w:rsid w:val="00541EE2"/>
    <w:rsid w:val="005428AD"/>
    <w:rsid w:val="00543A27"/>
    <w:rsid w:val="005453FC"/>
    <w:rsid w:val="005455E2"/>
    <w:rsid w:val="00546DD6"/>
    <w:rsid w:val="00547339"/>
    <w:rsid w:val="0054792A"/>
    <w:rsid w:val="00552F83"/>
    <w:rsid w:val="00552FE4"/>
    <w:rsid w:val="00553A0F"/>
    <w:rsid w:val="00553B47"/>
    <w:rsid w:val="005567C1"/>
    <w:rsid w:val="005577B3"/>
    <w:rsid w:val="00557A34"/>
    <w:rsid w:val="005635BB"/>
    <w:rsid w:val="00564302"/>
    <w:rsid w:val="005659C4"/>
    <w:rsid w:val="00565B32"/>
    <w:rsid w:val="00566503"/>
    <w:rsid w:val="005703E3"/>
    <w:rsid w:val="005707A2"/>
    <w:rsid w:val="005708FD"/>
    <w:rsid w:val="00570B90"/>
    <w:rsid w:val="005739D2"/>
    <w:rsid w:val="00573AA4"/>
    <w:rsid w:val="00573ED3"/>
    <w:rsid w:val="00575721"/>
    <w:rsid w:val="00580CC8"/>
    <w:rsid w:val="0058163F"/>
    <w:rsid w:val="005835D0"/>
    <w:rsid w:val="00583A4E"/>
    <w:rsid w:val="005843E4"/>
    <w:rsid w:val="00584E0A"/>
    <w:rsid w:val="00585D99"/>
    <w:rsid w:val="00586010"/>
    <w:rsid w:val="005863DC"/>
    <w:rsid w:val="00586571"/>
    <w:rsid w:val="005900B3"/>
    <w:rsid w:val="00590E03"/>
    <w:rsid w:val="00591C26"/>
    <w:rsid w:val="00591DBA"/>
    <w:rsid w:val="00592206"/>
    <w:rsid w:val="0059306F"/>
    <w:rsid w:val="00594C86"/>
    <w:rsid w:val="005958F5"/>
    <w:rsid w:val="00596C3C"/>
    <w:rsid w:val="00597550"/>
    <w:rsid w:val="005A1BFB"/>
    <w:rsid w:val="005A4183"/>
    <w:rsid w:val="005A48FE"/>
    <w:rsid w:val="005A5360"/>
    <w:rsid w:val="005A5BB2"/>
    <w:rsid w:val="005A60C2"/>
    <w:rsid w:val="005A775A"/>
    <w:rsid w:val="005B0B78"/>
    <w:rsid w:val="005B133D"/>
    <w:rsid w:val="005B21AB"/>
    <w:rsid w:val="005B248A"/>
    <w:rsid w:val="005B4BB8"/>
    <w:rsid w:val="005B569B"/>
    <w:rsid w:val="005C0126"/>
    <w:rsid w:val="005C03DC"/>
    <w:rsid w:val="005C099A"/>
    <w:rsid w:val="005C34EE"/>
    <w:rsid w:val="005C40E8"/>
    <w:rsid w:val="005C568E"/>
    <w:rsid w:val="005D0D25"/>
    <w:rsid w:val="005D11FA"/>
    <w:rsid w:val="005D387E"/>
    <w:rsid w:val="005D3C32"/>
    <w:rsid w:val="005D3DDD"/>
    <w:rsid w:val="005D3FD0"/>
    <w:rsid w:val="005D413F"/>
    <w:rsid w:val="005D4514"/>
    <w:rsid w:val="005D56E3"/>
    <w:rsid w:val="005D586E"/>
    <w:rsid w:val="005D6856"/>
    <w:rsid w:val="005D778D"/>
    <w:rsid w:val="005E1626"/>
    <w:rsid w:val="005E307A"/>
    <w:rsid w:val="005E3493"/>
    <w:rsid w:val="005E3C06"/>
    <w:rsid w:val="005E4E30"/>
    <w:rsid w:val="005E64B4"/>
    <w:rsid w:val="005E6C51"/>
    <w:rsid w:val="005E76D5"/>
    <w:rsid w:val="005F0EFC"/>
    <w:rsid w:val="005F16FF"/>
    <w:rsid w:val="005F284D"/>
    <w:rsid w:val="005F37B6"/>
    <w:rsid w:val="005F3E47"/>
    <w:rsid w:val="005F4A7A"/>
    <w:rsid w:val="005F6393"/>
    <w:rsid w:val="006001CA"/>
    <w:rsid w:val="00600EEE"/>
    <w:rsid w:val="0060181F"/>
    <w:rsid w:val="006039BF"/>
    <w:rsid w:val="00607239"/>
    <w:rsid w:val="0060748B"/>
    <w:rsid w:val="006074C8"/>
    <w:rsid w:val="00611AFF"/>
    <w:rsid w:val="00613930"/>
    <w:rsid w:val="00614E09"/>
    <w:rsid w:val="00614FC2"/>
    <w:rsid w:val="00615F5F"/>
    <w:rsid w:val="0061738C"/>
    <w:rsid w:val="006177B2"/>
    <w:rsid w:val="00617CEF"/>
    <w:rsid w:val="00620797"/>
    <w:rsid w:val="006218AD"/>
    <w:rsid w:val="006222F0"/>
    <w:rsid w:val="0062324E"/>
    <w:rsid w:val="006232E9"/>
    <w:rsid w:val="006236B2"/>
    <w:rsid w:val="00625B3C"/>
    <w:rsid w:val="006313F0"/>
    <w:rsid w:val="0063325B"/>
    <w:rsid w:val="006357CE"/>
    <w:rsid w:val="00635906"/>
    <w:rsid w:val="00641E9D"/>
    <w:rsid w:val="00642B7E"/>
    <w:rsid w:val="00642D51"/>
    <w:rsid w:val="006433B1"/>
    <w:rsid w:val="00643D0A"/>
    <w:rsid w:val="00643F69"/>
    <w:rsid w:val="006441C4"/>
    <w:rsid w:val="00647A38"/>
    <w:rsid w:val="006504A5"/>
    <w:rsid w:val="006516EF"/>
    <w:rsid w:val="006518EC"/>
    <w:rsid w:val="00651ECC"/>
    <w:rsid w:val="0065328D"/>
    <w:rsid w:val="0065349F"/>
    <w:rsid w:val="00653C7E"/>
    <w:rsid w:val="0065418C"/>
    <w:rsid w:val="00654E0C"/>
    <w:rsid w:val="00655728"/>
    <w:rsid w:val="00656F59"/>
    <w:rsid w:val="00657D92"/>
    <w:rsid w:val="0066056D"/>
    <w:rsid w:val="0066122D"/>
    <w:rsid w:val="006628AE"/>
    <w:rsid w:val="0066545F"/>
    <w:rsid w:val="006676A9"/>
    <w:rsid w:val="00670E58"/>
    <w:rsid w:val="00670EAC"/>
    <w:rsid w:val="0067140C"/>
    <w:rsid w:val="006744DA"/>
    <w:rsid w:val="00676FF3"/>
    <w:rsid w:val="0067783B"/>
    <w:rsid w:val="006807E1"/>
    <w:rsid w:val="00681361"/>
    <w:rsid w:val="006816CE"/>
    <w:rsid w:val="00681882"/>
    <w:rsid w:val="0068211A"/>
    <w:rsid w:val="00682F42"/>
    <w:rsid w:val="00684D54"/>
    <w:rsid w:val="006850AB"/>
    <w:rsid w:val="00685277"/>
    <w:rsid w:val="006871BD"/>
    <w:rsid w:val="00690C71"/>
    <w:rsid w:val="006919D9"/>
    <w:rsid w:val="006925DC"/>
    <w:rsid w:val="0069454A"/>
    <w:rsid w:val="00694737"/>
    <w:rsid w:val="0069610A"/>
    <w:rsid w:val="00696349"/>
    <w:rsid w:val="00697233"/>
    <w:rsid w:val="00697B19"/>
    <w:rsid w:val="006A0C46"/>
    <w:rsid w:val="006A141D"/>
    <w:rsid w:val="006A19AC"/>
    <w:rsid w:val="006A61C7"/>
    <w:rsid w:val="006B1592"/>
    <w:rsid w:val="006B3F14"/>
    <w:rsid w:val="006B576B"/>
    <w:rsid w:val="006B59B2"/>
    <w:rsid w:val="006B61F6"/>
    <w:rsid w:val="006C0B4B"/>
    <w:rsid w:val="006C389F"/>
    <w:rsid w:val="006C3B31"/>
    <w:rsid w:val="006D0358"/>
    <w:rsid w:val="006D1A7B"/>
    <w:rsid w:val="006D2E22"/>
    <w:rsid w:val="006D3FC4"/>
    <w:rsid w:val="006D5286"/>
    <w:rsid w:val="006D624A"/>
    <w:rsid w:val="006D67DC"/>
    <w:rsid w:val="006D6A89"/>
    <w:rsid w:val="006D6E26"/>
    <w:rsid w:val="006D7A12"/>
    <w:rsid w:val="006E00D8"/>
    <w:rsid w:val="006E087F"/>
    <w:rsid w:val="006E2044"/>
    <w:rsid w:val="006E2B88"/>
    <w:rsid w:val="006E2C0D"/>
    <w:rsid w:val="006E37C8"/>
    <w:rsid w:val="006E41E3"/>
    <w:rsid w:val="006E4592"/>
    <w:rsid w:val="006E7818"/>
    <w:rsid w:val="006F0B94"/>
    <w:rsid w:val="006F11E0"/>
    <w:rsid w:val="006F145E"/>
    <w:rsid w:val="006F67E9"/>
    <w:rsid w:val="006F687C"/>
    <w:rsid w:val="006F6B30"/>
    <w:rsid w:val="006F7AF6"/>
    <w:rsid w:val="00700A50"/>
    <w:rsid w:val="0070314A"/>
    <w:rsid w:val="0070483D"/>
    <w:rsid w:val="00705D21"/>
    <w:rsid w:val="007063AB"/>
    <w:rsid w:val="007064CB"/>
    <w:rsid w:val="007065A6"/>
    <w:rsid w:val="0071037F"/>
    <w:rsid w:val="00710451"/>
    <w:rsid w:val="007122C9"/>
    <w:rsid w:val="0071280F"/>
    <w:rsid w:val="007149D5"/>
    <w:rsid w:val="00714B83"/>
    <w:rsid w:val="007162CC"/>
    <w:rsid w:val="00721445"/>
    <w:rsid w:val="007225D0"/>
    <w:rsid w:val="00723B47"/>
    <w:rsid w:val="0072472D"/>
    <w:rsid w:val="00724C67"/>
    <w:rsid w:val="00725411"/>
    <w:rsid w:val="007273CE"/>
    <w:rsid w:val="00727AC5"/>
    <w:rsid w:val="00730667"/>
    <w:rsid w:val="00731966"/>
    <w:rsid w:val="00733B6E"/>
    <w:rsid w:val="007344BA"/>
    <w:rsid w:val="00734749"/>
    <w:rsid w:val="007355C6"/>
    <w:rsid w:val="00735C5B"/>
    <w:rsid w:val="00736783"/>
    <w:rsid w:val="00736C93"/>
    <w:rsid w:val="00736D62"/>
    <w:rsid w:val="007378F7"/>
    <w:rsid w:val="007408A8"/>
    <w:rsid w:val="00742921"/>
    <w:rsid w:val="007443FC"/>
    <w:rsid w:val="00746A73"/>
    <w:rsid w:val="00750190"/>
    <w:rsid w:val="007502CC"/>
    <w:rsid w:val="00751CA8"/>
    <w:rsid w:val="007520D5"/>
    <w:rsid w:val="00752AF8"/>
    <w:rsid w:val="00752FE8"/>
    <w:rsid w:val="00753313"/>
    <w:rsid w:val="0075336D"/>
    <w:rsid w:val="00754BD6"/>
    <w:rsid w:val="0075510D"/>
    <w:rsid w:val="00755B31"/>
    <w:rsid w:val="007561EE"/>
    <w:rsid w:val="00756884"/>
    <w:rsid w:val="00756EBA"/>
    <w:rsid w:val="0075742E"/>
    <w:rsid w:val="00757E76"/>
    <w:rsid w:val="007602CA"/>
    <w:rsid w:val="00760C9F"/>
    <w:rsid w:val="00762050"/>
    <w:rsid w:val="0076261F"/>
    <w:rsid w:val="00762E23"/>
    <w:rsid w:val="00763304"/>
    <w:rsid w:val="007634F0"/>
    <w:rsid w:val="007657A2"/>
    <w:rsid w:val="00766126"/>
    <w:rsid w:val="00766BC0"/>
    <w:rsid w:val="00767D7D"/>
    <w:rsid w:val="0077005D"/>
    <w:rsid w:val="00770073"/>
    <w:rsid w:val="0077019B"/>
    <w:rsid w:val="00770C9E"/>
    <w:rsid w:val="00770D81"/>
    <w:rsid w:val="00772D6B"/>
    <w:rsid w:val="00774843"/>
    <w:rsid w:val="00776515"/>
    <w:rsid w:val="00780011"/>
    <w:rsid w:val="007812FE"/>
    <w:rsid w:val="00782D4D"/>
    <w:rsid w:val="00784D21"/>
    <w:rsid w:val="007851FF"/>
    <w:rsid w:val="007854A2"/>
    <w:rsid w:val="0078577B"/>
    <w:rsid w:val="007857B2"/>
    <w:rsid w:val="00785A97"/>
    <w:rsid w:val="00785AC0"/>
    <w:rsid w:val="00786C38"/>
    <w:rsid w:val="00787639"/>
    <w:rsid w:val="007903C1"/>
    <w:rsid w:val="007908FB"/>
    <w:rsid w:val="00790B40"/>
    <w:rsid w:val="00791640"/>
    <w:rsid w:val="00792725"/>
    <w:rsid w:val="00792C0E"/>
    <w:rsid w:val="00793F4D"/>
    <w:rsid w:val="007940C7"/>
    <w:rsid w:val="007948C0"/>
    <w:rsid w:val="007977BE"/>
    <w:rsid w:val="007A0B70"/>
    <w:rsid w:val="007A1FB8"/>
    <w:rsid w:val="007A2B52"/>
    <w:rsid w:val="007A39B8"/>
    <w:rsid w:val="007A5887"/>
    <w:rsid w:val="007A5D30"/>
    <w:rsid w:val="007B008E"/>
    <w:rsid w:val="007B0EAF"/>
    <w:rsid w:val="007B177E"/>
    <w:rsid w:val="007B2677"/>
    <w:rsid w:val="007B2813"/>
    <w:rsid w:val="007B5F5A"/>
    <w:rsid w:val="007C0A63"/>
    <w:rsid w:val="007C21D4"/>
    <w:rsid w:val="007C24CC"/>
    <w:rsid w:val="007C2AD2"/>
    <w:rsid w:val="007C2C75"/>
    <w:rsid w:val="007C2DAF"/>
    <w:rsid w:val="007C34C3"/>
    <w:rsid w:val="007C4CD1"/>
    <w:rsid w:val="007C6476"/>
    <w:rsid w:val="007C675E"/>
    <w:rsid w:val="007D06D6"/>
    <w:rsid w:val="007D129A"/>
    <w:rsid w:val="007D2DE6"/>
    <w:rsid w:val="007D3081"/>
    <w:rsid w:val="007D3FDB"/>
    <w:rsid w:val="007D4676"/>
    <w:rsid w:val="007D46AC"/>
    <w:rsid w:val="007D4C65"/>
    <w:rsid w:val="007D5728"/>
    <w:rsid w:val="007D661A"/>
    <w:rsid w:val="007E193D"/>
    <w:rsid w:val="007E2108"/>
    <w:rsid w:val="007E2CA8"/>
    <w:rsid w:val="007E4F81"/>
    <w:rsid w:val="007E5223"/>
    <w:rsid w:val="007F1D71"/>
    <w:rsid w:val="007F2758"/>
    <w:rsid w:val="007F3164"/>
    <w:rsid w:val="007F3859"/>
    <w:rsid w:val="007F3868"/>
    <w:rsid w:val="007F3A6B"/>
    <w:rsid w:val="007F3CAD"/>
    <w:rsid w:val="007F3D16"/>
    <w:rsid w:val="007F5FA1"/>
    <w:rsid w:val="007F628B"/>
    <w:rsid w:val="007F66B0"/>
    <w:rsid w:val="007F7E20"/>
    <w:rsid w:val="0080034D"/>
    <w:rsid w:val="0080096A"/>
    <w:rsid w:val="008012A7"/>
    <w:rsid w:val="008059ED"/>
    <w:rsid w:val="008060C8"/>
    <w:rsid w:val="00806338"/>
    <w:rsid w:val="00806A20"/>
    <w:rsid w:val="00807D32"/>
    <w:rsid w:val="00815A75"/>
    <w:rsid w:val="008162AD"/>
    <w:rsid w:val="008162DB"/>
    <w:rsid w:val="0081774C"/>
    <w:rsid w:val="00820C8D"/>
    <w:rsid w:val="0082176F"/>
    <w:rsid w:val="00821D06"/>
    <w:rsid w:val="008228D7"/>
    <w:rsid w:val="00823830"/>
    <w:rsid w:val="008247AA"/>
    <w:rsid w:val="008268EE"/>
    <w:rsid w:val="00826ACD"/>
    <w:rsid w:val="008305FE"/>
    <w:rsid w:val="00830FDD"/>
    <w:rsid w:val="008320F5"/>
    <w:rsid w:val="00833577"/>
    <w:rsid w:val="00833952"/>
    <w:rsid w:val="008347F3"/>
    <w:rsid w:val="00834C94"/>
    <w:rsid w:val="008353AF"/>
    <w:rsid w:val="00837BD5"/>
    <w:rsid w:val="00837CC6"/>
    <w:rsid w:val="0084001B"/>
    <w:rsid w:val="0084178F"/>
    <w:rsid w:val="00841F28"/>
    <w:rsid w:val="00842DCA"/>
    <w:rsid w:val="00843E72"/>
    <w:rsid w:val="008458F8"/>
    <w:rsid w:val="00847155"/>
    <w:rsid w:val="008472B6"/>
    <w:rsid w:val="00847D84"/>
    <w:rsid w:val="00847E21"/>
    <w:rsid w:val="008536AF"/>
    <w:rsid w:val="008538FD"/>
    <w:rsid w:val="008544D5"/>
    <w:rsid w:val="00855067"/>
    <w:rsid w:val="00855656"/>
    <w:rsid w:val="00856EE9"/>
    <w:rsid w:val="0085769C"/>
    <w:rsid w:val="00860386"/>
    <w:rsid w:val="0086177A"/>
    <w:rsid w:val="00861EFA"/>
    <w:rsid w:val="00863DC5"/>
    <w:rsid w:val="008648B6"/>
    <w:rsid w:val="008652B1"/>
    <w:rsid w:val="008653D9"/>
    <w:rsid w:val="00865F79"/>
    <w:rsid w:val="00865FA7"/>
    <w:rsid w:val="0086603B"/>
    <w:rsid w:val="008662A9"/>
    <w:rsid w:val="008665FC"/>
    <w:rsid w:val="008670BD"/>
    <w:rsid w:val="00870C93"/>
    <w:rsid w:val="00871818"/>
    <w:rsid w:val="008718D8"/>
    <w:rsid w:val="00872151"/>
    <w:rsid w:val="00873C3B"/>
    <w:rsid w:val="00875FC3"/>
    <w:rsid w:val="008764AE"/>
    <w:rsid w:val="00876530"/>
    <w:rsid w:val="00877D24"/>
    <w:rsid w:val="008801AF"/>
    <w:rsid w:val="00881252"/>
    <w:rsid w:val="00882692"/>
    <w:rsid w:val="00883274"/>
    <w:rsid w:val="00883573"/>
    <w:rsid w:val="00886D58"/>
    <w:rsid w:val="00893398"/>
    <w:rsid w:val="00893C86"/>
    <w:rsid w:val="0089430E"/>
    <w:rsid w:val="008945E6"/>
    <w:rsid w:val="008972FD"/>
    <w:rsid w:val="008A0A4F"/>
    <w:rsid w:val="008A0A6B"/>
    <w:rsid w:val="008A0F3B"/>
    <w:rsid w:val="008A1F6A"/>
    <w:rsid w:val="008A343B"/>
    <w:rsid w:val="008A3BD0"/>
    <w:rsid w:val="008A44FA"/>
    <w:rsid w:val="008A49C3"/>
    <w:rsid w:val="008A4FC7"/>
    <w:rsid w:val="008A5042"/>
    <w:rsid w:val="008A587D"/>
    <w:rsid w:val="008B046F"/>
    <w:rsid w:val="008B096B"/>
    <w:rsid w:val="008B09C9"/>
    <w:rsid w:val="008B0E13"/>
    <w:rsid w:val="008B149E"/>
    <w:rsid w:val="008B3309"/>
    <w:rsid w:val="008B486A"/>
    <w:rsid w:val="008B4B41"/>
    <w:rsid w:val="008B78C3"/>
    <w:rsid w:val="008B7F5D"/>
    <w:rsid w:val="008C0D85"/>
    <w:rsid w:val="008C3160"/>
    <w:rsid w:val="008C3C47"/>
    <w:rsid w:val="008C3FA9"/>
    <w:rsid w:val="008C46AD"/>
    <w:rsid w:val="008C5729"/>
    <w:rsid w:val="008C6C59"/>
    <w:rsid w:val="008C7A62"/>
    <w:rsid w:val="008C7C3A"/>
    <w:rsid w:val="008D067E"/>
    <w:rsid w:val="008D1536"/>
    <w:rsid w:val="008D15E2"/>
    <w:rsid w:val="008D26A7"/>
    <w:rsid w:val="008D29FD"/>
    <w:rsid w:val="008D2FA3"/>
    <w:rsid w:val="008D4731"/>
    <w:rsid w:val="008D50E9"/>
    <w:rsid w:val="008D6959"/>
    <w:rsid w:val="008D6CB3"/>
    <w:rsid w:val="008D7A55"/>
    <w:rsid w:val="008E046D"/>
    <w:rsid w:val="008E04A1"/>
    <w:rsid w:val="008E0E84"/>
    <w:rsid w:val="008E1D32"/>
    <w:rsid w:val="008E294B"/>
    <w:rsid w:val="008E29F9"/>
    <w:rsid w:val="008E2D50"/>
    <w:rsid w:val="008E3642"/>
    <w:rsid w:val="008E4402"/>
    <w:rsid w:val="008E4661"/>
    <w:rsid w:val="008E5265"/>
    <w:rsid w:val="008E589A"/>
    <w:rsid w:val="008E6EE6"/>
    <w:rsid w:val="008E7B05"/>
    <w:rsid w:val="008F0A5C"/>
    <w:rsid w:val="008F0BF7"/>
    <w:rsid w:val="008F138F"/>
    <w:rsid w:val="008F1EA4"/>
    <w:rsid w:val="008F2B3B"/>
    <w:rsid w:val="008F41E2"/>
    <w:rsid w:val="008F505E"/>
    <w:rsid w:val="008F5A6F"/>
    <w:rsid w:val="008F7D87"/>
    <w:rsid w:val="009003FC"/>
    <w:rsid w:val="00900455"/>
    <w:rsid w:val="00901592"/>
    <w:rsid w:val="00901E02"/>
    <w:rsid w:val="009039F1"/>
    <w:rsid w:val="00906AF1"/>
    <w:rsid w:val="00907420"/>
    <w:rsid w:val="00907D2C"/>
    <w:rsid w:val="00907E48"/>
    <w:rsid w:val="00910627"/>
    <w:rsid w:val="009115F6"/>
    <w:rsid w:val="00912379"/>
    <w:rsid w:val="00916EC2"/>
    <w:rsid w:val="00917053"/>
    <w:rsid w:val="00917EC7"/>
    <w:rsid w:val="00920E83"/>
    <w:rsid w:val="009230E7"/>
    <w:rsid w:val="0092332E"/>
    <w:rsid w:val="009246F0"/>
    <w:rsid w:val="009260C5"/>
    <w:rsid w:val="00926994"/>
    <w:rsid w:val="009270E8"/>
    <w:rsid w:val="0092790D"/>
    <w:rsid w:val="00927B27"/>
    <w:rsid w:val="00927B54"/>
    <w:rsid w:val="00927C60"/>
    <w:rsid w:val="00927F46"/>
    <w:rsid w:val="00930E4B"/>
    <w:rsid w:val="00931D9A"/>
    <w:rsid w:val="0093244F"/>
    <w:rsid w:val="009327C6"/>
    <w:rsid w:val="009331E3"/>
    <w:rsid w:val="009345B6"/>
    <w:rsid w:val="009355E4"/>
    <w:rsid w:val="00935EC0"/>
    <w:rsid w:val="0093701F"/>
    <w:rsid w:val="00937467"/>
    <w:rsid w:val="00937CB2"/>
    <w:rsid w:val="009437F4"/>
    <w:rsid w:val="00943ADC"/>
    <w:rsid w:val="00944895"/>
    <w:rsid w:val="00945FE9"/>
    <w:rsid w:val="00946ED8"/>
    <w:rsid w:val="009470D6"/>
    <w:rsid w:val="0094775A"/>
    <w:rsid w:val="00950273"/>
    <w:rsid w:val="009531FD"/>
    <w:rsid w:val="009533DA"/>
    <w:rsid w:val="00954188"/>
    <w:rsid w:val="009543A5"/>
    <w:rsid w:val="009551B7"/>
    <w:rsid w:val="00955937"/>
    <w:rsid w:val="00955B7D"/>
    <w:rsid w:val="00955F80"/>
    <w:rsid w:val="009565C0"/>
    <w:rsid w:val="009569BB"/>
    <w:rsid w:val="00957EB0"/>
    <w:rsid w:val="0096001E"/>
    <w:rsid w:val="00962910"/>
    <w:rsid w:val="009669FD"/>
    <w:rsid w:val="00966CC8"/>
    <w:rsid w:val="00971E4E"/>
    <w:rsid w:val="00973C07"/>
    <w:rsid w:val="009746A7"/>
    <w:rsid w:val="00974B10"/>
    <w:rsid w:val="009752BE"/>
    <w:rsid w:val="009754C3"/>
    <w:rsid w:val="00976F49"/>
    <w:rsid w:val="00980837"/>
    <w:rsid w:val="00981791"/>
    <w:rsid w:val="00982BE1"/>
    <w:rsid w:val="009851CB"/>
    <w:rsid w:val="0098753F"/>
    <w:rsid w:val="00990219"/>
    <w:rsid w:val="00990761"/>
    <w:rsid w:val="0099251C"/>
    <w:rsid w:val="00995501"/>
    <w:rsid w:val="009957B2"/>
    <w:rsid w:val="009964D0"/>
    <w:rsid w:val="00996DCF"/>
    <w:rsid w:val="00997223"/>
    <w:rsid w:val="00997258"/>
    <w:rsid w:val="009A0FB8"/>
    <w:rsid w:val="009A206E"/>
    <w:rsid w:val="009A2B2B"/>
    <w:rsid w:val="009A3811"/>
    <w:rsid w:val="009A621C"/>
    <w:rsid w:val="009A6878"/>
    <w:rsid w:val="009A6C3F"/>
    <w:rsid w:val="009B01CE"/>
    <w:rsid w:val="009B1A94"/>
    <w:rsid w:val="009B28A2"/>
    <w:rsid w:val="009B5C18"/>
    <w:rsid w:val="009B627B"/>
    <w:rsid w:val="009B72D9"/>
    <w:rsid w:val="009C19F9"/>
    <w:rsid w:val="009C25C6"/>
    <w:rsid w:val="009C3064"/>
    <w:rsid w:val="009C543F"/>
    <w:rsid w:val="009C5628"/>
    <w:rsid w:val="009C5C3A"/>
    <w:rsid w:val="009C755A"/>
    <w:rsid w:val="009D0A27"/>
    <w:rsid w:val="009D116F"/>
    <w:rsid w:val="009D1803"/>
    <w:rsid w:val="009D1B60"/>
    <w:rsid w:val="009D1DE6"/>
    <w:rsid w:val="009D464F"/>
    <w:rsid w:val="009D47A9"/>
    <w:rsid w:val="009D54E2"/>
    <w:rsid w:val="009D6BD5"/>
    <w:rsid w:val="009D7DFC"/>
    <w:rsid w:val="009E30CB"/>
    <w:rsid w:val="009E3EF6"/>
    <w:rsid w:val="009E494A"/>
    <w:rsid w:val="009E756B"/>
    <w:rsid w:val="009E7683"/>
    <w:rsid w:val="009E7DC0"/>
    <w:rsid w:val="009F0317"/>
    <w:rsid w:val="009F06FC"/>
    <w:rsid w:val="009F3BE5"/>
    <w:rsid w:val="009F4948"/>
    <w:rsid w:val="009F56A3"/>
    <w:rsid w:val="009F57E8"/>
    <w:rsid w:val="009F621C"/>
    <w:rsid w:val="009F7596"/>
    <w:rsid w:val="009F7AA2"/>
    <w:rsid w:val="00A023D2"/>
    <w:rsid w:val="00A02959"/>
    <w:rsid w:val="00A04B14"/>
    <w:rsid w:val="00A05325"/>
    <w:rsid w:val="00A05F41"/>
    <w:rsid w:val="00A06469"/>
    <w:rsid w:val="00A105FF"/>
    <w:rsid w:val="00A11306"/>
    <w:rsid w:val="00A11B9D"/>
    <w:rsid w:val="00A12E2C"/>
    <w:rsid w:val="00A14F53"/>
    <w:rsid w:val="00A170EE"/>
    <w:rsid w:val="00A17A2B"/>
    <w:rsid w:val="00A21077"/>
    <w:rsid w:val="00A210C1"/>
    <w:rsid w:val="00A23660"/>
    <w:rsid w:val="00A24B6F"/>
    <w:rsid w:val="00A25102"/>
    <w:rsid w:val="00A2540E"/>
    <w:rsid w:val="00A26653"/>
    <w:rsid w:val="00A26D9D"/>
    <w:rsid w:val="00A312BA"/>
    <w:rsid w:val="00A32872"/>
    <w:rsid w:val="00A32AB8"/>
    <w:rsid w:val="00A33CA2"/>
    <w:rsid w:val="00A33F6F"/>
    <w:rsid w:val="00A34BC5"/>
    <w:rsid w:val="00A35B12"/>
    <w:rsid w:val="00A36624"/>
    <w:rsid w:val="00A37953"/>
    <w:rsid w:val="00A40587"/>
    <w:rsid w:val="00A40F55"/>
    <w:rsid w:val="00A417A8"/>
    <w:rsid w:val="00A4441C"/>
    <w:rsid w:val="00A4552F"/>
    <w:rsid w:val="00A4623B"/>
    <w:rsid w:val="00A467CD"/>
    <w:rsid w:val="00A46C56"/>
    <w:rsid w:val="00A47704"/>
    <w:rsid w:val="00A47BCE"/>
    <w:rsid w:val="00A47FA3"/>
    <w:rsid w:val="00A503BF"/>
    <w:rsid w:val="00A50CBD"/>
    <w:rsid w:val="00A53D1C"/>
    <w:rsid w:val="00A54086"/>
    <w:rsid w:val="00A56D1B"/>
    <w:rsid w:val="00A57AE1"/>
    <w:rsid w:val="00A60544"/>
    <w:rsid w:val="00A61E60"/>
    <w:rsid w:val="00A62319"/>
    <w:rsid w:val="00A625F6"/>
    <w:rsid w:val="00A62F07"/>
    <w:rsid w:val="00A63162"/>
    <w:rsid w:val="00A660C0"/>
    <w:rsid w:val="00A6648B"/>
    <w:rsid w:val="00A704FD"/>
    <w:rsid w:val="00A71FD1"/>
    <w:rsid w:val="00A74997"/>
    <w:rsid w:val="00A76E74"/>
    <w:rsid w:val="00A77549"/>
    <w:rsid w:val="00A779F3"/>
    <w:rsid w:val="00A8187C"/>
    <w:rsid w:val="00A858D5"/>
    <w:rsid w:val="00A85DE4"/>
    <w:rsid w:val="00A87161"/>
    <w:rsid w:val="00A90279"/>
    <w:rsid w:val="00A93CA8"/>
    <w:rsid w:val="00A9452C"/>
    <w:rsid w:val="00A95333"/>
    <w:rsid w:val="00AA15E7"/>
    <w:rsid w:val="00AA1DA4"/>
    <w:rsid w:val="00AA2268"/>
    <w:rsid w:val="00AA3CE8"/>
    <w:rsid w:val="00AA42A3"/>
    <w:rsid w:val="00AA6134"/>
    <w:rsid w:val="00AA6245"/>
    <w:rsid w:val="00AA7A61"/>
    <w:rsid w:val="00AB03EE"/>
    <w:rsid w:val="00AB0F02"/>
    <w:rsid w:val="00AB42D7"/>
    <w:rsid w:val="00AB445F"/>
    <w:rsid w:val="00AB5FE1"/>
    <w:rsid w:val="00AB675C"/>
    <w:rsid w:val="00AC06B8"/>
    <w:rsid w:val="00AC0CF6"/>
    <w:rsid w:val="00AC10DB"/>
    <w:rsid w:val="00AC10E8"/>
    <w:rsid w:val="00AC12EC"/>
    <w:rsid w:val="00AC184B"/>
    <w:rsid w:val="00AC223A"/>
    <w:rsid w:val="00AC2353"/>
    <w:rsid w:val="00AC495D"/>
    <w:rsid w:val="00AC51AD"/>
    <w:rsid w:val="00AC6384"/>
    <w:rsid w:val="00AC6C95"/>
    <w:rsid w:val="00AC6F7F"/>
    <w:rsid w:val="00AC740C"/>
    <w:rsid w:val="00AD1DF9"/>
    <w:rsid w:val="00AD25AC"/>
    <w:rsid w:val="00AD441A"/>
    <w:rsid w:val="00AD481D"/>
    <w:rsid w:val="00AD4973"/>
    <w:rsid w:val="00AD6C02"/>
    <w:rsid w:val="00AD77EB"/>
    <w:rsid w:val="00AD7C51"/>
    <w:rsid w:val="00AE1B6A"/>
    <w:rsid w:val="00AE45CA"/>
    <w:rsid w:val="00AE6E16"/>
    <w:rsid w:val="00AF0424"/>
    <w:rsid w:val="00AF09B1"/>
    <w:rsid w:val="00AF14BD"/>
    <w:rsid w:val="00AF3750"/>
    <w:rsid w:val="00AF530B"/>
    <w:rsid w:val="00AF5DEE"/>
    <w:rsid w:val="00AF66EC"/>
    <w:rsid w:val="00AF68F2"/>
    <w:rsid w:val="00AF7243"/>
    <w:rsid w:val="00AF72C2"/>
    <w:rsid w:val="00AF7777"/>
    <w:rsid w:val="00B0052A"/>
    <w:rsid w:val="00B0174C"/>
    <w:rsid w:val="00B02A4C"/>
    <w:rsid w:val="00B04F0E"/>
    <w:rsid w:val="00B05649"/>
    <w:rsid w:val="00B1022F"/>
    <w:rsid w:val="00B1215F"/>
    <w:rsid w:val="00B12263"/>
    <w:rsid w:val="00B129D0"/>
    <w:rsid w:val="00B147AE"/>
    <w:rsid w:val="00B151DB"/>
    <w:rsid w:val="00B15995"/>
    <w:rsid w:val="00B2069C"/>
    <w:rsid w:val="00B22169"/>
    <w:rsid w:val="00B2326F"/>
    <w:rsid w:val="00B233A8"/>
    <w:rsid w:val="00B26765"/>
    <w:rsid w:val="00B30667"/>
    <w:rsid w:val="00B318D2"/>
    <w:rsid w:val="00B31DDD"/>
    <w:rsid w:val="00B334DF"/>
    <w:rsid w:val="00B34489"/>
    <w:rsid w:val="00B34980"/>
    <w:rsid w:val="00B34AB7"/>
    <w:rsid w:val="00B358B5"/>
    <w:rsid w:val="00B35E29"/>
    <w:rsid w:val="00B36298"/>
    <w:rsid w:val="00B36C63"/>
    <w:rsid w:val="00B42BBF"/>
    <w:rsid w:val="00B437A1"/>
    <w:rsid w:val="00B43FC5"/>
    <w:rsid w:val="00B44263"/>
    <w:rsid w:val="00B449CA"/>
    <w:rsid w:val="00B44CCA"/>
    <w:rsid w:val="00B44E76"/>
    <w:rsid w:val="00B45C08"/>
    <w:rsid w:val="00B462AE"/>
    <w:rsid w:val="00B50AAB"/>
    <w:rsid w:val="00B51F81"/>
    <w:rsid w:val="00B52DB7"/>
    <w:rsid w:val="00B53692"/>
    <w:rsid w:val="00B57958"/>
    <w:rsid w:val="00B57ED3"/>
    <w:rsid w:val="00B61245"/>
    <w:rsid w:val="00B61733"/>
    <w:rsid w:val="00B61A89"/>
    <w:rsid w:val="00B63391"/>
    <w:rsid w:val="00B63C25"/>
    <w:rsid w:val="00B63F0D"/>
    <w:rsid w:val="00B658BB"/>
    <w:rsid w:val="00B66052"/>
    <w:rsid w:val="00B6645C"/>
    <w:rsid w:val="00B6764E"/>
    <w:rsid w:val="00B7024F"/>
    <w:rsid w:val="00B71A5D"/>
    <w:rsid w:val="00B72281"/>
    <w:rsid w:val="00B73C8D"/>
    <w:rsid w:val="00B77262"/>
    <w:rsid w:val="00B779F0"/>
    <w:rsid w:val="00B80C98"/>
    <w:rsid w:val="00B81805"/>
    <w:rsid w:val="00B831C3"/>
    <w:rsid w:val="00B85FF5"/>
    <w:rsid w:val="00B862B8"/>
    <w:rsid w:val="00B8698D"/>
    <w:rsid w:val="00B87D3B"/>
    <w:rsid w:val="00B921ED"/>
    <w:rsid w:val="00B9301B"/>
    <w:rsid w:val="00B9307A"/>
    <w:rsid w:val="00B93C16"/>
    <w:rsid w:val="00B944DF"/>
    <w:rsid w:val="00B95A12"/>
    <w:rsid w:val="00B95E59"/>
    <w:rsid w:val="00B96F15"/>
    <w:rsid w:val="00BA0747"/>
    <w:rsid w:val="00BA1633"/>
    <w:rsid w:val="00BA2503"/>
    <w:rsid w:val="00BA260B"/>
    <w:rsid w:val="00BA2DCB"/>
    <w:rsid w:val="00BA36CB"/>
    <w:rsid w:val="00BA5B49"/>
    <w:rsid w:val="00BA759E"/>
    <w:rsid w:val="00BA7BA1"/>
    <w:rsid w:val="00BB2A30"/>
    <w:rsid w:val="00BB2B32"/>
    <w:rsid w:val="00BB407B"/>
    <w:rsid w:val="00BB4790"/>
    <w:rsid w:val="00BB47A6"/>
    <w:rsid w:val="00BB604B"/>
    <w:rsid w:val="00BB6986"/>
    <w:rsid w:val="00BB7BA3"/>
    <w:rsid w:val="00BC0602"/>
    <w:rsid w:val="00BC0BA4"/>
    <w:rsid w:val="00BC1160"/>
    <w:rsid w:val="00BC2722"/>
    <w:rsid w:val="00BC43D5"/>
    <w:rsid w:val="00BC4ADC"/>
    <w:rsid w:val="00BC54F3"/>
    <w:rsid w:val="00BC583C"/>
    <w:rsid w:val="00BD15BD"/>
    <w:rsid w:val="00BD1B7F"/>
    <w:rsid w:val="00BD1E7C"/>
    <w:rsid w:val="00BD23D9"/>
    <w:rsid w:val="00BD2DC4"/>
    <w:rsid w:val="00BD2FBB"/>
    <w:rsid w:val="00BD3A6D"/>
    <w:rsid w:val="00BE0F3C"/>
    <w:rsid w:val="00BE6D83"/>
    <w:rsid w:val="00BE705B"/>
    <w:rsid w:val="00BE7533"/>
    <w:rsid w:val="00BF0A72"/>
    <w:rsid w:val="00BF2144"/>
    <w:rsid w:val="00BF3E7D"/>
    <w:rsid w:val="00BF4778"/>
    <w:rsid w:val="00BF52A1"/>
    <w:rsid w:val="00BF5F60"/>
    <w:rsid w:val="00BF76D2"/>
    <w:rsid w:val="00C0044F"/>
    <w:rsid w:val="00C00826"/>
    <w:rsid w:val="00C01343"/>
    <w:rsid w:val="00C0413D"/>
    <w:rsid w:val="00C041F8"/>
    <w:rsid w:val="00C05C95"/>
    <w:rsid w:val="00C0640C"/>
    <w:rsid w:val="00C06930"/>
    <w:rsid w:val="00C072C0"/>
    <w:rsid w:val="00C100E4"/>
    <w:rsid w:val="00C10F54"/>
    <w:rsid w:val="00C117E5"/>
    <w:rsid w:val="00C14237"/>
    <w:rsid w:val="00C17B75"/>
    <w:rsid w:val="00C207C8"/>
    <w:rsid w:val="00C21604"/>
    <w:rsid w:val="00C220B2"/>
    <w:rsid w:val="00C22F4F"/>
    <w:rsid w:val="00C23C09"/>
    <w:rsid w:val="00C257BC"/>
    <w:rsid w:val="00C25B97"/>
    <w:rsid w:val="00C277D5"/>
    <w:rsid w:val="00C3008D"/>
    <w:rsid w:val="00C30FDC"/>
    <w:rsid w:val="00C3138E"/>
    <w:rsid w:val="00C33402"/>
    <w:rsid w:val="00C3356D"/>
    <w:rsid w:val="00C33F9D"/>
    <w:rsid w:val="00C34090"/>
    <w:rsid w:val="00C34CD5"/>
    <w:rsid w:val="00C35A6E"/>
    <w:rsid w:val="00C36142"/>
    <w:rsid w:val="00C36AD7"/>
    <w:rsid w:val="00C40AA4"/>
    <w:rsid w:val="00C410AF"/>
    <w:rsid w:val="00C4140C"/>
    <w:rsid w:val="00C4635D"/>
    <w:rsid w:val="00C502AB"/>
    <w:rsid w:val="00C50617"/>
    <w:rsid w:val="00C50B07"/>
    <w:rsid w:val="00C52243"/>
    <w:rsid w:val="00C533F3"/>
    <w:rsid w:val="00C548DF"/>
    <w:rsid w:val="00C54F44"/>
    <w:rsid w:val="00C5560D"/>
    <w:rsid w:val="00C60494"/>
    <w:rsid w:val="00C60A3E"/>
    <w:rsid w:val="00C63B73"/>
    <w:rsid w:val="00C657B7"/>
    <w:rsid w:val="00C66EB5"/>
    <w:rsid w:val="00C67D41"/>
    <w:rsid w:val="00C70176"/>
    <w:rsid w:val="00C70B38"/>
    <w:rsid w:val="00C71D13"/>
    <w:rsid w:val="00C7314D"/>
    <w:rsid w:val="00C73F3D"/>
    <w:rsid w:val="00C746E4"/>
    <w:rsid w:val="00C7527C"/>
    <w:rsid w:val="00C7551D"/>
    <w:rsid w:val="00C75BE5"/>
    <w:rsid w:val="00C76DCD"/>
    <w:rsid w:val="00C773E6"/>
    <w:rsid w:val="00C80815"/>
    <w:rsid w:val="00C812B2"/>
    <w:rsid w:val="00C82323"/>
    <w:rsid w:val="00C863ED"/>
    <w:rsid w:val="00C86AA6"/>
    <w:rsid w:val="00C8769E"/>
    <w:rsid w:val="00C87E43"/>
    <w:rsid w:val="00C90779"/>
    <w:rsid w:val="00C90D07"/>
    <w:rsid w:val="00C92491"/>
    <w:rsid w:val="00C92F81"/>
    <w:rsid w:val="00C9328A"/>
    <w:rsid w:val="00C9336B"/>
    <w:rsid w:val="00C93D23"/>
    <w:rsid w:val="00C93FB1"/>
    <w:rsid w:val="00C9443E"/>
    <w:rsid w:val="00C948F2"/>
    <w:rsid w:val="00C95A11"/>
    <w:rsid w:val="00CA1C4E"/>
    <w:rsid w:val="00CA1F5F"/>
    <w:rsid w:val="00CA3565"/>
    <w:rsid w:val="00CA5163"/>
    <w:rsid w:val="00CA57DB"/>
    <w:rsid w:val="00CA6E86"/>
    <w:rsid w:val="00CA79F3"/>
    <w:rsid w:val="00CB058B"/>
    <w:rsid w:val="00CB13CB"/>
    <w:rsid w:val="00CB1E3C"/>
    <w:rsid w:val="00CB468F"/>
    <w:rsid w:val="00CB4C28"/>
    <w:rsid w:val="00CB66E7"/>
    <w:rsid w:val="00CB68E0"/>
    <w:rsid w:val="00CB6A00"/>
    <w:rsid w:val="00CB733F"/>
    <w:rsid w:val="00CB740F"/>
    <w:rsid w:val="00CB7B4B"/>
    <w:rsid w:val="00CC374F"/>
    <w:rsid w:val="00CC4420"/>
    <w:rsid w:val="00CC53F7"/>
    <w:rsid w:val="00CC5A7F"/>
    <w:rsid w:val="00CD1502"/>
    <w:rsid w:val="00CD1BAE"/>
    <w:rsid w:val="00CD272F"/>
    <w:rsid w:val="00CD2957"/>
    <w:rsid w:val="00CD494E"/>
    <w:rsid w:val="00CD54DD"/>
    <w:rsid w:val="00CD5E78"/>
    <w:rsid w:val="00CD6031"/>
    <w:rsid w:val="00CD6A4B"/>
    <w:rsid w:val="00CD7BED"/>
    <w:rsid w:val="00CE18DB"/>
    <w:rsid w:val="00CE261E"/>
    <w:rsid w:val="00CE280A"/>
    <w:rsid w:val="00CE2982"/>
    <w:rsid w:val="00CE3524"/>
    <w:rsid w:val="00CE4F0C"/>
    <w:rsid w:val="00CE5550"/>
    <w:rsid w:val="00CE5994"/>
    <w:rsid w:val="00CE619D"/>
    <w:rsid w:val="00CE6B92"/>
    <w:rsid w:val="00CE6E36"/>
    <w:rsid w:val="00CE700C"/>
    <w:rsid w:val="00CE748B"/>
    <w:rsid w:val="00CE7F34"/>
    <w:rsid w:val="00CF04D4"/>
    <w:rsid w:val="00CF0CFE"/>
    <w:rsid w:val="00CF43B9"/>
    <w:rsid w:val="00CF4812"/>
    <w:rsid w:val="00CF48BB"/>
    <w:rsid w:val="00CF79A1"/>
    <w:rsid w:val="00D006E3"/>
    <w:rsid w:val="00D00E20"/>
    <w:rsid w:val="00D017E4"/>
    <w:rsid w:val="00D01AF0"/>
    <w:rsid w:val="00D01C15"/>
    <w:rsid w:val="00D0270B"/>
    <w:rsid w:val="00D045BE"/>
    <w:rsid w:val="00D06763"/>
    <w:rsid w:val="00D101A2"/>
    <w:rsid w:val="00D1135B"/>
    <w:rsid w:val="00D1159E"/>
    <w:rsid w:val="00D142D2"/>
    <w:rsid w:val="00D148D9"/>
    <w:rsid w:val="00D1588F"/>
    <w:rsid w:val="00D20788"/>
    <w:rsid w:val="00D20E3F"/>
    <w:rsid w:val="00D21087"/>
    <w:rsid w:val="00D21E82"/>
    <w:rsid w:val="00D22256"/>
    <w:rsid w:val="00D22F15"/>
    <w:rsid w:val="00D23A32"/>
    <w:rsid w:val="00D25360"/>
    <w:rsid w:val="00D265CB"/>
    <w:rsid w:val="00D312BF"/>
    <w:rsid w:val="00D327FC"/>
    <w:rsid w:val="00D328BD"/>
    <w:rsid w:val="00D33A68"/>
    <w:rsid w:val="00D35993"/>
    <w:rsid w:val="00D35E4F"/>
    <w:rsid w:val="00D36234"/>
    <w:rsid w:val="00D36489"/>
    <w:rsid w:val="00D40AFE"/>
    <w:rsid w:val="00D434B4"/>
    <w:rsid w:val="00D44383"/>
    <w:rsid w:val="00D44C56"/>
    <w:rsid w:val="00D45D75"/>
    <w:rsid w:val="00D46AD9"/>
    <w:rsid w:val="00D46F88"/>
    <w:rsid w:val="00D4730B"/>
    <w:rsid w:val="00D504F2"/>
    <w:rsid w:val="00D53B3A"/>
    <w:rsid w:val="00D54329"/>
    <w:rsid w:val="00D54435"/>
    <w:rsid w:val="00D54B0E"/>
    <w:rsid w:val="00D569F5"/>
    <w:rsid w:val="00D578D8"/>
    <w:rsid w:val="00D60FFE"/>
    <w:rsid w:val="00D62B28"/>
    <w:rsid w:val="00D62ED3"/>
    <w:rsid w:val="00D652CD"/>
    <w:rsid w:val="00D65381"/>
    <w:rsid w:val="00D6662E"/>
    <w:rsid w:val="00D70A48"/>
    <w:rsid w:val="00D73782"/>
    <w:rsid w:val="00D74330"/>
    <w:rsid w:val="00D76DA3"/>
    <w:rsid w:val="00D80F4B"/>
    <w:rsid w:val="00D81781"/>
    <w:rsid w:val="00D81A81"/>
    <w:rsid w:val="00D823A0"/>
    <w:rsid w:val="00D82821"/>
    <w:rsid w:val="00D82E2C"/>
    <w:rsid w:val="00D832A8"/>
    <w:rsid w:val="00D83930"/>
    <w:rsid w:val="00D85F39"/>
    <w:rsid w:val="00D86478"/>
    <w:rsid w:val="00D90D7E"/>
    <w:rsid w:val="00D92378"/>
    <w:rsid w:val="00D92CE0"/>
    <w:rsid w:val="00D94063"/>
    <w:rsid w:val="00D9596F"/>
    <w:rsid w:val="00D959DE"/>
    <w:rsid w:val="00D97081"/>
    <w:rsid w:val="00D975DA"/>
    <w:rsid w:val="00D97A55"/>
    <w:rsid w:val="00DA1732"/>
    <w:rsid w:val="00DA366C"/>
    <w:rsid w:val="00DA43BF"/>
    <w:rsid w:val="00DA528E"/>
    <w:rsid w:val="00DA578A"/>
    <w:rsid w:val="00DA5A5E"/>
    <w:rsid w:val="00DA729C"/>
    <w:rsid w:val="00DA7E50"/>
    <w:rsid w:val="00DB1313"/>
    <w:rsid w:val="00DB2DD1"/>
    <w:rsid w:val="00DB2DD8"/>
    <w:rsid w:val="00DB2EE3"/>
    <w:rsid w:val="00DB30C7"/>
    <w:rsid w:val="00DB56CE"/>
    <w:rsid w:val="00DB7EB4"/>
    <w:rsid w:val="00DC1774"/>
    <w:rsid w:val="00DC1A4F"/>
    <w:rsid w:val="00DC22C0"/>
    <w:rsid w:val="00DC23AE"/>
    <w:rsid w:val="00DC2BB2"/>
    <w:rsid w:val="00DC3C8A"/>
    <w:rsid w:val="00DC7C97"/>
    <w:rsid w:val="00DD32A3"/>
    <w:rsid w:val="00DD3A36"/>
    <w:rsid w:val="00DD4FCF"/>
    <w:rsid w:val="00DD597B"/>
    <w:rsid w:val="00DD70E9"/>
    <w:rsid w:val="00DE061F"/>
    <w:rsid w:val="00DE1FC4"/>
    <w:rsid w:val="00DE2F33"/>
    <w:rsid w:val="00DE5909"/>
    <w:rsid w:val="00DE627A"/>
    <w:rsid w:val="00DE6931"/>
    <w:rsid w:val="00DE698B"/>
    <w:rsid w:val="00DE6C5E"/>
    <w:rsid w:val="00DE6FE6"/>
    <w:rsid w:val="00DE7A8B"/>
    <w:rsid w:val="00DE7C96"/>
    <w:rsid w:val="00DF1198"/>
    <w:rsid w:val="00DF185E"/>
    <w:rsid w:val="00DF290B"/>
    <w:rsid w:val="00DF4443"/>
    <w:rsid w:val="00DF4539"/>
    <w:rsid w:val="00DF4E51"/>
    <w:rsid w:val="00DF5A2A"/>
    <w:rsid w:val="00DF650B"/>
    <w:rsid w:val="00DF7D9A"/>
    <w:rsid w:val="00E01D84"/>
    <w:rsid w:val="00E02361"/>
    <w:rsid w:val="00E0471E"/>
    <w:rsid w:val="00E052E7"/>
    <w:rsid w:val="00E06DAC"/>
    <w:rsid w:val="00E10255"/>
    <w:rsid w:val="00E10CBB"/>
    <w:rsid w:val="00E10EF3"/>
    <w:rsid w:val="00E1138C"/>
    <w:rsid w:val="00E11A53"/>
    <w:rsid w:val="00E1419C"/>
    <w:rsid w:val="00E143E4"/>
    <w:rsid w:val="00E14E51"/>
    <w:rsid w:val="00E15303"/>
    <w:rsid w:val="00E15461"/>
    <w:rsid w:val="00E15A31"/>
    <w:rsid w:val="00E17150"/>
    <w:rsid w:val="00E236E9"/>
    <w:rsid w:val="00E23EBE"/>
    <w:rsid w:val="00E245A9"/>
    <w:rsid w:val="00E246CD"/>
    <w:rsid w:val="00E25306"/>
    <w:rsid w:val="00E264C9"/>
    <w:rsid w:val="00E27AA3"/>
    <w:rsid w:val="00E306CD"/>
    <w:rsid w:val="00E3070C"/>
    <w:rsid w:val="00E30BC2"/>
    <w:rsid w:val="00E318C1"/>
    <w:rsid w:val="00E31E63"/>
    <w:rsid w:val="00E32C47"/>
    <w:rsid w:val="00E33C47"/>
    <w:rsid w:val="00E3404E"/>
    <w:rsid w:val="00E34E92"/>
    <w:rsid w:val="00E35A62"/>
    <w:rsid w:val="00E36E44"/>
    <w:rsid w:val="00E36E9C"/>
    <w:rsid w:val="00E378F7"/>
    <w:rsid w:val="00E403D2"/>
    <w:rsid w:val="00E40D30"/>
    <w:rsid w:val="00E40E32"/>
    <w:rsid w:val="00E411A4"/>
    <w:rsid w:val="00E41254"/>
    <w:rsid w:val="00E416C9"/>
    <w:rsid w:val="00E41D83"/>
    <w:rsid w:val="00E42520"/>
    <w:rsid w:val="00E42DF3"/>
    <w:rsid w:val="00E42E2D"/>
    <w:rsid w:val="00E432FD"/>
    <w:rsid w:val="00E43BFA"/>
    <w:rsid w:val="00E448EC"/>
    <w:rsid w:val="00E44A65"/>
    <w:rsid w:val="00E44DD3"/>
    <w:rsid w:val="00E44FAF"/>
    <w:rsid w:val="00E50F59"/>
    <w:rsid w:val="00E5189E"/>
    <w:rsid w:val="00E520B3"/>
    <w:rsid w:val="00E5293E"/>
    <w:rsid w:val="00E52A06"/>
    <w:rsid w:val="00E52C08"/>
    <w:rsid w:val="00E558D1"/>
    <w:rsid w:val="00E56284"/>
    <w:rsid w:val="00E56C76"/>
    <w:rsid w:val="00E57400"/>
    <w:rsid w:val="00E600FD"/>
    <w:rsid w:val="00E60339"/>
    <w:rsid w:val="00E60DD1"/>
    <w:rsid w:val="00E6247E"/>
    <w:rsid w:val="00E62A4B"/>
    <w:rsid w:val="00E63113"/>
    <w:rsid w:val="00E66A80"/>
    <w:rsid w:val="00E73131"/>
    <w:rsid w:val="00E73A44"/>
    <w:rsid w:val="00E73B24"/>
    <w:rsid w:val="00E73EF1"/>
    <w:rsid w:val="00E74CC2"/>
    <w:rsid w:val="00E7616E"/>
    <w:rsid w:val="00E767E0"/>
    <w:rsid w:val="00E76803"/>
    <w:rsid w:val="00E81FB5"/>
    <w:rsid w:val="00E8313F"/>
    <w:rsid w:val="00E84555"/>
    <w:rsid w:val="00E8503D"/>
    <w:rsid w:val="00E8566E"/>
    <w:rsid w:val="00E8708B"/>
    <w:rsid w:val="00E9005B"/>
    <w:rsid w:val="00E90237"/>
    <w:rsid w:val="00E90836"/>
    <w:rsid w:val="00E917D5"/>
    <w:rsid w:val="00E91B45"/>
    <w:rsid w:val="00EA114A"/>
    <w:rsid w:val="00EA148D"/>
    <w:rsid w:val="00EA2E0C"/>
    <w:rsid w:val="00EA43D1"/>
    <w:rsid w:val="00EA47E6"/>
    <w:rsid w:val="00EA4C9E"/>
    <w:rsid w:val="00EA549F"/>
    <w:rsid w:val="00EA54AF"/>
    <w:rsid w:val="00EA7578"/>
    <w:rsid w:val="00EB091E"/>
    <w:rsid w:val="00EB2362"/>
    <w:rsid w:val="00EB3393"/>
    <w:rsid w:val="00EB3AA5"/>
    <w:rsid w:val="00EB5FB1"/>
    <w:rsid w:val="00EB779E"/>
    <w:rsid w:val="00EC0DB4"/>
    <w:rsid w:val="00EC110F"/>
    <w:rsid w:val="00EC1120"/>
    <w:rsid w:val="00EC2487"/>
    <w:rsid w:val="00EC2D3F"/>
    <w:rsid w:val="00EC4488"/>
    <w:rsid w:val="00EC519C"/>
    <w:rsid w:val="00EC523D"/>
    <w:rsid w:val="00EC5828"/>
    <w:rsid w:val="00EC5A10"/>
    <w:rsid w:val="00EC66F8"/>
    <w:rsid w:val="00EC792D"/>
    <w:rsid w:val="00ED1DB8"/>
    <w:rsid w:val="00ED338F"/>
    <w:rsid w:val="00ED428B"/>
    <w:rsid w:val="00ED4435"/>
    <w:rsid w:val="00ED446D"/>
    <w:rsid w:val="00ED4C79"/>
    <w:rsid w:val="00ED6439"/>
    <w:rsid w:val="00ED7232"/>
    <w:rsid w:val="00ED7C19"/>
    <w:rsid w:val="00EE16CC"/>
    <w:rsid w:val="00EE30AF"/>
    <w:rsid w:val="00EE34E7"/>
    <w:rsid w:val="00EE34F5"/>
    <w:rsid w:val="00EE55DF"/>
    <w:rsid w:val="00EF01B4"/>
    <w:rsid w:val="00EF43C9"/>
    <w:rsid w:val="00EF4FE5"/>
    <w:rsid w:val="00EF533A"/>
    <w:rsid w:val="00EF6DC9"/>
    <w:rsid w:val="00F00559"/>
    <w:rsid w:val="00F01260"/>
    <w:rsid w:val="00F0327F"/>
    <w:rsid w:val="00F03EC8"/>
    <w:rsid w:val="00F047E8"/>
    <w:rsid w:val="00F057AC"/>
    <w:rsid w:val="00F06D8B"/>
    <w:rsid w:val="00F12E8B"/>
    <w:rsid w:val="00F14064"/>
    <w:rsid w:val="00F14068"/>
    <w:rsid w:val="00F154CA"/>
    <w:rsid w:val="00F16D09"/>
    <w:rsid w:val="00F178CC"/>
    <w:rsid w:val="00F20B2D"/>
    <w:rsid w:val="00F20EF7"/>
    <w:rsid w:val="00F213F5"/>
    <w:rsid w:val="00F2181E"/>
    <w:rsid w:val="00F223F7"/>
    <w:rsid w:val="00F2282F"/>
    <w:rsid w:val="00F22DAD"/>
    <w:rsid w:val="00F22EBC"/>
    <w:rsid w:val="00F24390"/>
    <w:rsid w:val="00F26719"/>
    <w:rsid w:val="00F26CAE"/>
    <w:rsid w:val="00F26E83"/>
    <w:rsid w:val="00F27AAF"/>
    <w:rsid w:val="00F30966"/>
    <w:rsid w:val="00F34C9B"/>
    <w:rsid w:val="00F3665C"/>
    <w:rsid w:val="00F37514"/>
    <w:rsid w:val="00F37FC6"/>
    <w:rsid w:val="00F408BD"/>
    <w:rsid w:val="00F414EF"/>
    <w:rsid w:val="00F43EF2"/>
    <w:rsid w:val="00F4533C"/>
    <w:rsid w:val="00F454D6"/>
    <w:rsid w:val="00F517D7"/>
    <w:rsid w:val="00F5240A"/>
    <w:rsid w:val="00F544C1"/>
    <w:rsid w:val="00F54834"/>
    <w:rsid w:val="00F54A78"/>
    <w:rsid w:val="00F55497"/>
    <w:rsid w:val="00F5556D"/>
    <w:rsid w:val="00F60509"/>
    <w:rsid w:val="00F60D14"/>
    <w:rsid w:val="00F61854"/>
    <w:rsid w:val="00F626F1"/>
    <w:rsid w:val="00F62DC1"/>
    <w:rsid w:val="00F63B02"/>
    <w:rsid w:val="00F64024"/>
    <w:rsid w:val="00F64E35"/>
    <w:rsid w:val="00F65AC8"/>
    <w:rsid w:val="00F66366"/>
    <w:rsid w:val="00F7007E"/>
    <w:rsid w:val="00F70C22"/>
    <w:rsid w:val="00F71278"/>
    <w:rsid w:val="00F71BF5"/>
    <w:rsid w:val="00F72201"/>
    <w:rsid w:val="00F72E20"/>
    <w:rsid w:val="00F73D40"/>
    <w:rsid w:val="00F73DBE"/>
    <w:rsid w:val="00F747F8"/>
    <w:rsid w:val="00F75F21"/>
    <w:rsid w:val="00F766FB"/>
    <w:rsid w:val="00F8082F"/>
    <w:rsid w:val="00F81402"/>
    <w:rsid w:val="00F81688"/>
    <w:rsid w:val="00F826AE"/>
    <w:rsid w:val="00F83605"/>
    <w:rsid w:val="00F84170"/>
    <w:rsid w:val="00F85D8E"/>
    <w:rsid w:val="00F8639E"/>
    <w:rsid w:val="00F86DB7"/>
    <w:rsid w:val="00F9013F"/>
    <w:rsid w:val="00F91ECA"/>
    <w:rsid w:val="00F91EEC"/>
    <w:rsid w:val="00F92436"/>
    <w:rsid w:val="00F92B29"/>
    <w:rsid w:val="00F93160"/>
    <w:rsid w:val="00F94051"/>
    <w:rsid w:val="00F94298"/>
    <w:rsid w:val="00F9489A"/>
    <w:rsid w:val="00F94FE5"/>
    <w:rsid w:val="00F97460"/>
    <w:rsid w:val="00FA0166"/>
    <w:rsid w:val="00FA03CA"/>
    <w:rsid w:val="00FA13BB"/>
    <w:rsid w:val="00FA1DA4"/>
    <w:rsid w:val="00FA387C"/>
    <w:rsid w:val="00FA3C1A"/>
    <w:rsid w:val="00FA3FCA"/>
    <w:rsid w:val="00FA50E6"/>
    <w:rsid w:val="00FA534A"/>
    <w:rsid w:val="00FA5964"/>
    <w:rsid w:val="00FA7C3E"/>
    <w:rsid w:val="00FA7DF5"/>
    <w:rsid w:val="00FA7FA6"/>
    <w:rsid w:val="00FB148F"/>
    <w:rsid w:val="00FB1F55"/>
    <w:rsid w:val="00FB2DD3"/>
    <w:rsid w:val="00FB2EC2"/>
    <w:rsid w:val="00FB45B1"/>
    <w:rsid w:val="00FB70EC"/>
    <w:rsid w:val="00FC20E8"/>
    <w:rsid w:val="00FC24B8"/>
    <w:rsid w:val="00FC270C"/>
    <w:rsid w:val="00FC3F8E"/>
    <w:rsid w:val="00FC4A82"/>
    <w:rsid w:val="00FC4DC1"/>
    <w:rsid w:val="00FC52DE"/>
    <w:rsid w:val="00FC5C27"/>
    <w:rsid w:val="00FC75D1"/>
    <w:rsid w:val="00FC7FA2"/>
    <w:rsid w:val="00FD14E1"/>
    <w:rsid w:val="00FD376B"/>
    <w:rsid w:val="00FD532C"/>
    <w:rsid w:val="00FD6042"/>
    <w:rsid w:val="00FD64CD"/>
    <w:rsid w:val="00FD6A2F"/>
    <w:rsid w:val="00FD7B64"/>
    <w:rsid w:val="00FD7D20"/>
    <w:rsid w:val="00FE0085"/>
    <w:rsid w:val="00FE0504"/>
    <w:rsid w:val="00FE1947"/>
    <w:rsid w:val="00FE1C24"/>
    <w:rsid w:val="00FE1E95"/>
    <w:rsid w:val="00FE269F"/>
    <w:rsid w:val="00FE5250"/>
    <w:rsid w:val="00FE703E"/>
    <w:rsid w:val="00FF0124"/>
    <w:rsid w:val="00FF038F"/>
    <w:rsid w:val="00FF6E24"/>
    <w:rsid w:val="00FF717F"/>
    <w:rsid w:val="00FF784C"/>
    <w:rsid w:val="02B8393E"/>
    <w:rsid w:val="0507CA53"/>
    <w:rsid w:val="0AEB4B8C"/>
    <w:rsid w:val="0E846323"/>
    <w:rsid w:val="11F52758"/>
    <w:rsid w:val="1307EC04"/>
    <w:rsid w:val="18C30CE3"/>
    <w:rsid w:val="197232F5"/>
    <w:rsid w:val="1AC20BF6"/>
    <w:rsid w:val="1D3B4648"/>
    <w:rsid w:val="1E3FE79D"/>
    <w:rsid w:val="2872870E"/>
    <w:rsid w:val="2B1A8BE4"/>
    <w:rsid w:val="33CFFE28"/>
    <w:rsid w:val="34FFBD55"/>
    <w:rsid w:val="3D100DF0"/>
    <w:rsid w:val="4696C01E"/>
    <w:rsid w:val="472CF4AB"/>
    <w:rsid w:val="47D3661D"/>
    <w:rsid w:val="48C3D3CC"/>
    <w:rsid w:val="4D2BA7F5"/>
    <w:rsid w:val="4FD11EFB"/>
    <w:rsid w:val="4FF9C85B"/>
    <w:rsid w:val="503F42F0"/>
    <w:rsid w:val="520275D4"/>
    <w:rsid w:val="524C42A9"/>
    <w:rsid w:val="537EF9B1"/>
    <w:rsid w:val="58CD67F7"/>
    <w:rsid w:val="61790A6D"/>
    <w:rsid w:val="63A96253"/>
    <w:rsid w:val="64DBF0AA"/>
    <w:rsid w:val="67F3BFD3"/>
    <w:rsid w:val="688C70A5"/>
    <w:rsid w:val="68F31B39"/>
    <w:rsid w:val="693F5618"/>
    <w:rsid w:val="696D4A4F"/>
    <w:rsid w:val="6A24F579"/>
    <w:rsid w:val="6A5466DA"/>
    <w:rsid w:val="6D2D0D18"/>
    <w:rsid w:val="751A42CD"/>
    <w:rsid w:val="7BF418DF"/>
    <w:rsid w:val="7D010E0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91158"/>
  <w15:docId w15:val="{384D4DC1-EE34-4624-A2E7-575FB4FC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105"/>
    <w:rPr>
      <w:lang w:eastAsia="it-IT"/>
    </w:rPr>
  </w:style>
  <w:style w:type="paragraph" w:styleId="Heading1">
    <w:name w:val="heading 1"/>
    <w:basedOn w:val="Normal"/>
    <w:next w:val="Normal"/>
    <w:qFormat/>
    <w:rsid w:val="00106855"/>
    <w:pPr>
      <w:keepNext/>
      <w:numPr>
        <w:numId w:val="40"/>
      </w:numPr>
      <w:spacing w:before="240"/>
      <w:outlineLvl w:val="0"/>
    </w:pPr>
    <w:rPr>
      <w:b/>
      <w:noProof/>
      <w:kern w:val="28"/>
      <w:sz w:val="24"/>
      <w:szCs w:val="24"/>
    </w:rPr>
  </w:style>
  <w:style w:type="paragraph" w:styleId="Heading2">
    <w:name w:val="heading 2"/>
    <w:basedOn w:val="Normal"/>
    <w:next w:val="Normal"/>
    <w:qFormat/>
    <w:rsid w:val="00762050"/>
    <w:pPr>
      <w:keepNext/>
      <w:numPr>
        <w:ilvl w:val="1"/>
        <w:numId w:val="40"/>
      </w:numPr>
      <w:spacing w:before="240"/>
      <w:outlineLvl w:val="1"/>
    </w:pPr>
    <w:rPr>
      <w:b/>
      <w:caps/>
      <w:noProof/>
      <w:sz w:val="24"/>
      <w:lang w:val="en-GB"/>
    </w:rPr>
  </w:style>
  <w:style w:type="paragraph" w:styleId="Heading3">
    <w:name w:val="heading 3"/>
    <w:basedOn w:val="subheading4-nocaps"/>
    <w:next w:val="Normal"/>
    <w:link w:val="Heading3Char"/>
    <w:unhideWhenUsed/>
    <w:qFormat/>
    <w:rsid w:val="00B30667"/>
    <w:pPr>
      <w:keepNext/>
      <w:spacing w:before="240" w:after="0"/>
      <w:ind w:left="720" w:hanging="720"/>
      <w:outlineLvl w:val="2"/>
    </w:pPr>
  </w:style>
  <w:style w:type="paragraph" w:styleId="Heading4">
    <w:name w:val="heading 4"/>
    <w:basedOn w:val="BodyText"/>
    <w:next w:val="Normal"/>
    <w:qFormat/>
    <w:rsid w:val="00B30667"/>
    <w:pPr>
      <w:keepNext/>
      <w:ind w:left="864" w:hanging="864"/>
      <w:outlineLvl w:val="3"/>
    </w:pPr>
    <w:rPr>
      <w:b/>
      <w:bCs/>
      <w:i/>
      <w:iCs/>
    </w:rPr>
  </w:style>
  <w:style w:type="paragraph" w:styleId="Heading5">
    <w:name w:val="heading 5"/>
    <w:basedOn w:val="Normal"/>
    <w:next w:val="Normal"/>
    <w:link w:val="Heading5Char"/>
    <w:uiPriority w:val="9"/>
    <w:qFormat/>
    <w:rsid w:val="004E1024"/>
    <w:pPr>
      <w:keepNext/>
      <w:numPr>
        <w:ilvl w:val="4"/>
        <w:numId w:val="40"/>
      </w:numPr>
      <w:autoSpaceDE w:val="0"/>
      <w:autoSpaceDN w:val="0"/>
      <w:spacing w:before="240"/>
      <w:outlineLvl w:val="4"/>
    </w:pPr>
    <w:rPr>
      <w:sz w:val="24"/>
      <w:szCs w:val="24"/>
      <w:u w:val="single"/>
      <w:lang w:eastAsia="en-US"/>
    </w:rPr>
  </w:style>
  <w:style w:type="paragraph" w:styleId="Heading6">
    <w:name w:val="heading 6"/>
    <w:basedOn w:val="Normal"/>
    <w:next w:val="Normal"/>
    <w:link w:val="Heading6Char"/>
    <w:semiHidden/>
    <w:unhideWhenUsed/>
    <w:qFormat/>
    <w:rsid w:val="0075336D"/>
    <w:pPr>
      <w:numPr>
        <w:ilvl w:val="5"/>
        <w:numId w:val="40"/>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B30667"/>
    <w:pPr>
      <w:keepNext/>
      <w:keepLines/>
      <w:numPr>
        <w:ilvl w:val="6"/>
        <w:numId w:val="4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B30667"/>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30667"/>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rsid w:val="00E11A53"/>
    <w:pPr>
      <w:spacing w:before="240"/>
    </w:pPr>
    <w:rPr>
      <w:noProof/>
      <w:sz w:val="24"/>
      <w:szCs w:val="24"/>
      <w:lang w:val="en-AU"/>
    </w:rPr>
  </w:style>
  <w:style w:type="character" w:styleId="Emphasis">
    <w:name w:val="Emphasis"/>
    <w:qFormat/>
    <w:rsid w:val="00DE698B"/>
    <w:rPr>
      <w:i/>
      <w:iCs/>
    </w:rPr>
  </w:style>
  <w:style w:type="character" w:styleId="PageNumber">
    <w:name w:val="page number"/>
    <w:basedOn w:val="DefaultParagraphFont"/>
    <w:rsid w:val="00DE698B"/>
  </w:style>
  <w:style w:type="paragraph" w:customStyle="1" w:styleId="hd">
    <w:name w:val="hd"/>
    <w:basedOn w:val="Normal"/>
    <w:rsid w:val="00DE698B"/>
    <w:pPr>
      <w:tabs>
        <w:tab w:val="left" w:pos="737"/>
      </w:tabs>
      <w:spacing w:before="120" w:after="60"/>
      <w:jc w:val="center"/>
    </w:pPr>
    <w:rPr>
      <w:rFonts w:ascii="Century Schoolbook" w:hAnsi="Century Schoolbook"/>
      <w:b/>
      <w:smallCaps/>
      <w:sz w:val="28"/>
      <w:lang w:val="en-GB"/>
    </w:rPr>
  </w:style>
  <w:style w:type="paragraph" w:styleId="Header">
    <w:name w:val="header"/>
    <w:basedOn w:val="Normal"/>
    <w:rsid w:val="009F57E8"/>
    <w:pPr>
      <w:spacing w:before="360"/>
      <w:jc w:val="center"/>
    </w:pPr>
    <w:rPr>
      <w:rFonts w:ascii="Times New Roman Bold" w:hAnsi="Times New Roman Bold"/>
      <w:b/>
      <w:bCs/>
      <w:caps/>
      <w:sz w:val="28"/>
      <w:szCs w:val="28"/>
    </w:rPr>
  </w:style>
  <w:style w:type="paragraph" w:styleId="Footer">
    <w:name w:val="footer"/>
    <w:basedOn w:val="Normal"/>
    <w:link w:val="FooterChar"/>
    <w:rsid w:val="00DE698B"/>
    <w:pPr>
      <w:tabs>
        <w:tab w:val="left" w:pos="709"/>
        <w:tab w:val="left" w:pos="737"/>
        <w:tab w:val="left" w:pos="1134"/>
        <w:tab w:val="center" w:pos="4320"/>
        <w:tab w:val="right" w:pos="8640"/>
      </w:tabs>
      <w:spacing w:before="120"/>
      <w:jc w:val="both"/>
    </w:pPr>
    <w:rPr>
      <w:rFonts w:ascii="Century Schoolbook" w:hAnsi="Century Schoolbook"/>
      <w:sz w:val="22"/>
      <w:lang w:val="en-GB"/>
    </w:rPr>
  </w:style>
  <w:style w:type="paragraph" w:styleId="BodyText2">
    <w:name w:val="Body Text 2"/>
    <w:basedOn w:val="Normal"/>
    <w:rsid w:val="00DE698B"/>
    <w:pPr>
      <w:jc w:val="center"/>
    </w:pPr>
    <w:rPr>
      <w:b/>
      <w:caps/>
      <w:sz w:val="40"/>
      <w:lang w:val="en-GB"/>
    </w:rPr>
  </w:style>
  <w:style w:type="paragraph" w:styleId="BodyText3">
    <w:name w:val="Body Text 3"/>
    <w:basedOn w:val="Normal"/>
    <w:rsid w:val="00DE698B"/>
    <w:rPr>
      <w:b/>
      <w:sz w:val="40"/>
    </w:rPr>
  </w:style>
  <w:style w:type="paragraph" w:styleId="NormalWeb">
    <w:name w:val="Normal (Web)"/>
    <w:basedOn w:val="Normal"/>
    <w:rsid w:val="00DE698B"/>
    <w:pPr>
      <w:spacing w:before="100" w:beforeAutospacing="1" w:after="100" w:afterAutospacing="1"/>
    </w:pPr>
    <w:rPr>
      <w:sz w:val="24"/>
      <w:szCs w:val="24"/>
      <w:lang w:val="it-IT"/>
    </w:rPr>
  </w:style>
  <w:style w:type="character" w:styleId="Hyperlink">
    <w:name w:val="Hyperlink"/>
    <w:rsid w:val="008544D5"/>
    <w:rPr>
      <w:color w:val="0000FF"/>
    </w:rPr>
  </w:style>
  <w:style w:type="paragraph" w:styleId="BodyTextIndent">
    <w:name w:val="Body Text Indent"/>
    <w:basedOn w:val="Normal"/>
    <w:link w:val="BodyTextIndentChar"/>
    <w:rsid w:val="00DE698B"/>
    <w:pPr>
      <w:spacing w:after="60"/>
      <w:ind w:left="567"/>
      <w:jc w:val="both"/>
    </w:pPr>
    <w:rPr>
      <w:i/>
      <w:sz w:val="24"/>
      <w:lang w:val="en-GB"/>
    </w:rPr>
  </w:style>
  <w:style w:type="paragraph" w:styleId="BodyTextIndent2">
    <w:name w:val="Body Text Indent 2"/>
    <w:basedOn w:val="Normal"/>
    <w:rsid w:val="00DE698B"/>
    <w:pPr>
      <w:ind w:left="284"/>
      <w:jc w:val="both"/>
    </w:pPr>
    <w:rPr>
      <w:color w:val="FF0000"/>
      <w:sz w:val="22"/>
    </w:rPr>
  </w:style>
  <w:style w:type="paragraph" w:styleId="BodyTextIndent3">
    <w:name w:val="Body Text Indent 3"/>
    <w:basedOn w:val="Normal"/>
    <w:rsid w:val="00DE698B"/>
    <w:pPr>
      <w:ind w:left="284" w:hanging="284"/>
      <w:jc w:val="both"/>
    </w:pPr>
    <w:rPr>
      <w:noProof/>
      <w:sz w:val="22"/>
    </w:rPr>
  </w:style>
  <w:style w:type="paragraph" w:customStyle="1" w:styleId="WfxFaxNum">
    <w:name w:val="WfxFaxNum"/>
    <w:basedOn w:val="Normal"/>
    <w:rsid w:val="00DE698B"/>
    <w:pPr>
      <w:jc w:val="both"/>
    </w:pPr>
    <w:rPr>
      <w:sz w:val="24"/>
      <w:lang w:val="en-GB"/>
    </w:rPr>
  </w:style>
  <w:style w:type="paragraph" w:styleId="Title">
    <w:name w:val="Title"/>
    <w:basedOn w:val="Normal"/>
    <w:qFormat/>
    <w:rsid w:val="00DE698B"/>
    <w:pPr>
      <w:jc w:val="center"/>
    </w:pPr>
    <w:rPr>
      <w:b/>
      <w:color w:val="FF0000"/>
      <w:sz w:val="72"/>
      <w:lang w:val="en-GB"/>
    </w:rPr>
  </w:style>
  <w:style w:type="paragraph" w:customStyle="1" w:styleId="Testofumetto1">
    <w:name w:val="Testo fumetto1"/>
    <w:basedOn w:val="Normal"/>
    <w:semiHidden/>
    <w:rsid w:val="00DE698B"/>
    <w:rPr>
      <w:rFonts w:ascii="Tahoma" w:hAnsi="Tahoma" w:cs="Tahoma"/>
      <w:sz w:val="16"/>
      <w:szCs w:val="16"/>
    </w:rPr>
  </w:style>
  <w:style w:type="paragraph" w:customStyle="1" w:styleId="TEXT3">
    <w:name w:val="TEXT3"/>
    <w:basedOn w:val="Normal"/>
    <w:rsid w:val="00DE698B"/>
    <w:pPr>
      <w:tabs>
        <w:tab w:val="left" w:pos="426"/>
      </w:tabs>
      <w:spacing w:after="120"/>
      <w:jc w:val="both"/>
    </w:pPr>
    <w:rPr>
      <w:snapToGrid w:val="0"/>
      <w:sz w:val="24"/>
    </w:rPr>
  </w:style>
  <w:style w:type="paragraph" w:styleId="BalloonText">
    <w:name w:val="Balloon Text"/>
    <w:basedOn w:val="Normal"/>
    <w:semiHidden/>
    <w:rsid w:val="00DE698B"/>
    <w:rPr>
      <w:rFonts w:ascii="Tahoma" w:hAnsi="Tahoma" w:cs="Tahoma"/>
      <w:sz w:val="16"/>
      <w:szCs w:val="16"/>
    </w:rPr>
  </w:style>
  <w:style w:type="character" w:styleId="CommentReference">
    <w:name w:val="annotation reference"/>
    <w:uiPriority w:val="99"/>
    <w:semiHidden/>
    <w:rsid w:val="00DE698B"/>
    <w:rPr>
      <w:sz w:val="16"/>
      <w:szCs w:val="16"/>
    </w:rPr>
  </w:style>
  <w:style w:type="paragraph" w:styleId="CommentText">
    <w:name w:val="annotation text"/>
    <w:aliases w:val=" Car17, Car17 Car, Char Char Char, Char Char1,Annotationtext,Char,Char Char Char,Char Char1,Comment Text Char Char,Comment Text Char Char Char,Comment Text Char1,Comment Text Char1 Char,Comment Text Char2 Char,Kommentartext"/>
    <w:basedOn w:val="Normal"/>
    <w:link w:val="CommentTextChar"/>
    <w:uiPriority w:val="99"/>
    <w:qFormat/>
    <w:rsid w:val="00DE698B"/>
  </w:style>
  <w:style w:type="paragraph" w:styleId="CommentSubject">
    <w:name w:val="annotation subject"/>
    <w:basedOn w:val="CommentText"/>
    <w:next w:val="CommentText"/>
    <w:semiHidden/>
    <w:rsid w:val="00DE698B"/>
    <w:rPr>
      <w:b/>
      <w:bCs/>
    </w:rPr>
  </w:style>
  <w:style w:type="paragraph" w:customStyle="1" w:styleId="Default">
    <w:name w:val="Default"/>
    <w:rsid w:val="00792C0E"/>
    <w:pPr>
      <w:autoSpaceDE w:val="0"/>
      <w:autoSpaceDN w:val="0"/>
      <w:adjustRightInd w:val="0"/>
    </w:pPr>
    <w:rPr>
      <w:color w:val="000000"/>
      <w:sz w:val="24"/>
      <w:szCs w:val="24"/>
      <w:lang w:val="it-IT" w:eastAsia="it-IT"/>
    </w:rPr>
  </w:style>
  <w:style w:type="character" w:customStyle="1" w:styleId="Heading6Char">
    <w:name w:val="Heading 6 Char"/>
    <w:link w:val="Heading6"/>
    <w:semiHidden/>
    <w:rsid w:val="0075336D"/>
    <w:rPr>
      <w:rFonts w:ascii="Calibri" w:eastAsia="Times New Roman" w:hAnsi="Calibri" w:cs="Times New Roman"/>
      <w:b/>
      <w:bCs/>
      <w:sz w:val="22"/>
      <w:szCs w:val="22"/>
      <w:lang w:val="en-US" w:eastAsia="it-IT"/>
    </w:rPr>
  </w:style>
  <w:style w:type="paragraph" w:styleId="NoSpacing">
    <w:name w:val="No Spacing"/>
    <w:link w:val="NoSpacingChar"/>
    <w:uiPriority w:val="1"/>
    <w:qFormat/>
    <w:rsid w:val="00E36E44"/>
    <w:rPr>
      <w:lang w:val="en-US" w:eastAsia="it-IT"/>
    </w:rPr>
  </w:style>
  <w:style w:type="character" w:customStyle="1" w:styleId="UnresolvedMention1">
    <w:name w:val="Unresolved Mention1"/>
    <w:uiPriority w:val="99"/>
    <w:semiHidden/>
    <w:unhideWhenUsed/>
    <w:rsid w:val="007A39B8"/>
    <w:rPr>
      <w:color w:val="808080"/>
      <w:shd w:val="clear" w:color="auto" w:fill="E6E6E6"/>
    </w:rPr>
  </w:style>
  <w:style w:type="character" w:customStyle="1" w:styleId="FooterChar">
    <w:name w:val="Footer Char"/>
    <w:link w:val="Footer"/>
    <w:rsid w:val="006D67DC"/>
    <w:rPr>
      <w:rFonts w:ascii="Century Schoolbook" w:hAnsi="Century Schoolbook"/>
      <w:sz w:val="22"/>
      <w:lang w:val="en-GB" w:eastAsia="it-IT"/>
    </w:rPr>
  </w:style>
  <w:style w:type="character" w:customStyle="1" w:styleId="Heading3Char">
    <w:name w:val="Heading 3 Char"/>
    <w:link w:val="Heading3"/>
    <w:rsid w:val="00B30667"/>
    <w:rPr>
      <w:b/>
      <w:bCs/>
      <w:noProof/>
      <w:sz w:val="24"/>
      <w:szCs w:val="24"/>
      <w:lang w:eastAsia="it-IT"/>
    </w:rPr>
  </w:style>
  <w:style w:type="character" w:styleId="FollowedHyperlink">
    <w:name w:val="FollowedHyperlink"/>
    <w:basedOn w:val="DefaultParagraphFont"/>
    <w:rsid w:val="00995501"/>
    <w:rPr>
      <w:color w:val="954F72" w:themeColor="followedHyperlink"/>
      <w:u w:val="single"/>
    </w:rPr>
  </w:style>
  <w:style w:type="table" w:styleId="TableGrid">
    <w:name w:val="Table Grid"/>
    <w:basedOn w:val="TableNormal"/>
    <w:uiPriority w:val="59"/>
    <w:rsid w:val="0052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F78"/>
    <w:rPr>
      <w:lang w:val="en-US" w:eastAsia="it-IT"/>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1 Char1"/>
    <w:basedOn w:val="DefaultParagraphFont"/>
    <w:link w:val="CommentText"/>
    <w:uiPriority w:val="99"/>
    <w:rsid w:val="007D4676"/>
    <w:rPr>
      <w:lang w:val="en-US" w:eastAsia="it-IT"/>
    </w:rPr>
  </w:style>
  <w:style w:type="paragraph" w:customStyle="1" w:styleId="subheading4-nocaps">
    <w:name w:val="subheading 4 - no caps"/>
    <w:basedOn w:val="NoSpacing"/>
    <w:qFormat/>
    <w:rsid w:val="0058163F"/>
    <w:pPr>
      <w:spacing w:before="120" w:after="60"/>
      <w:ind w:left="357"/>
    </w:pPr>
    <w:rPr>
      <w:b/>
      <w:bCs/>
      <w:noProof/>
      <w:sz w:val="24"/>
      <w:szCs w:val="24"/>
      <w:lang w:val="en-AU"/>
    </w:rPr>
  </w:style>
  <w:style w:type="paragraph" w:customStyle="1" w:styleId="StyleHeading212ptSmallcaps">
    <w:name w:val="Style Heading 2 + 12 pt Small caps"/>
    <w:basedOn w:val="Heading2"/>
    <w:rsid w:val="0058163F"/>
    <w:rPr>
      <w:bCs/>
      <w:smallCaps/>
    </w:rPr>
  </w:style>
  <w:style w:type="paragraph" w:customStyle="1" w:styleId="StyleHeading212ptSmallcaps1">
    <w:name w:val="Style Heading 2 + 12 pt Small caps1"/>
    <w:basedOn w:val="Heading2"/>
    <w:rsid w:val="0058163F"/>
    <w:rPr>
      <w:bCs/>
      <w:smallCaps/>
    </w:rPr>
  </w:style>
  <w:style w:type="paragraph" w:customStyle="1" w:styleId="CAPSstyle">
    <w:name w:val="CAPS style"/>
    <w:basedOn w:val="NoSpacing"/>
    <w:rsid w:val="009115F6"/>
    <w:pPr>
      <w:spacing w:before="120" w:after="60"/>
      <w:ind w:left="357"/>
    </w:pPr>
    <w:rPr>
      <w:b/>
      <w:bCs/>
      <w:sz w:val="24"/>
    </w:rPr>
  </w:style>
  <w:style w:type="paragraph" w:customStyle="1" w:styleId="Headingstyle3">
    <w:name w:val="Heading style 3"/>
    <w:basedOn w:val="NoSpacing"/>
    <w:qFormat/>
    <w:rsid w:val="0002010C"/>
    <w:pPr>
      <w:spacing w:before="120" w:after="60"/>
      <w:ind w:left="357"/>
      <w:outlineLvl w:val="2"/>
    </w:pPr>
    <w:rPr>
      <w:b/>
      <w:bCs/>
      <w:sz w:val="24"/>
    </w:rPr>
  </w:style>
  <w:style w:type="paragraph" w:customStyle="1" w:styleId="underline">
    <w:name w:val="underline"/>
    <w:basedOn w:val="NoSpacing"/>
    <w:qFormat/>
    <w:rsid w:val="00010E82"/>
    <w:pPr>
      <w:spacing w:before="60" w:after="60"/>
      <w:ind w:left="357"/>
    </w:pPr>
    <w:rPr>
      <w:sz w:val="24"/>
      <w:u w:val="single"/>
    </w:rPr>
  </w:style>
  <w:style w:type="character" w:customStyle="1" w:styleId="UnresolvedMention2">
    <w:name w:val="Unresolved Mention2"/>
    <w:basedOn w:val="DefaultParagraphFont"/>
    <w:uiPriority w:val="99"/>
    <w:semiHidden/>
    <w:unhideWhenUsed/>
    <w:rsid w:val="00837CC6"/>
    <w:rPr>
      <w:color w:val="605E5C"/>
      <w:shd w:val="clear" w:color="auto" w:fill="E1DFDD"/>
    </w:rPr>
  </w:style>
  <w:style w:type="character" w:customStyle="1" w:styleId="Heading5Char">
    <w:name w:val="Heading 5 Char"/>
    <w:link w:val="Heading5"/>
    <w:uiPriority w:val="9"/>
    <w:rsid w:val="004E1024"/>
    <w:rPr>
      <w:sz w:val="24"/>
      <w:szCs w:val="24"/>
      <w:u w:val="single"/>
      <w:lang w:eastAsia="en-US"/>
    </w:rPr>
  </w:style>
  <w:style w:type="character" w:customStyle="1" w:styleId="NoSpacingChar">
    <w:name w:val="No Spacing Char"/>
    <w:basedOn w:val="DefaultParagraphFont"/>
    <w:link w:val="NoSpacing"/>
    <w:uiPriority w:val="1"/>
    <w:rsid w:val="008544D5"/>
    <w:rPr>
      <w:lang w:val="en-US" w:eastAsia="it-IT"/>
    </w:rPr>
  </w:style>
  <w:style w:type="character" w:customStyle="1" w:styleId="BodyTextChar">
    <w:name w:val="Body Text Char"/>
    <w:basedOn w:val="NoSpacingChar"/>
    <w:link w:val="BodyText"/>
    <w:rsid w:val="00E11A53"/>
    <w:rPr>
      <w:noProof/>
      <w:sz w:val="24"/>
      <w:szCs w:val="24"/>
      <w:lang w:val="en-US" w:eastAsia="it-IT"/>
    </w:rPr>
  </w:style>
  <w:style w:type="character" w:customStyle="1" w:styleId="BodyTextIndentChar">
    <w:name w:val="Body Text Indent Char"/>
    <w:basedOn w:val="DefaultParagraphFont"/>
    <w:link w:val="BodyTextIndent"/>
    <w:rsid w:val="008544D5"/>
    <w:rPr>
      <w:i/>
      <w:sz w:val="24"/>
      <w:lang w:val="en-GB" w:eastAsia="it-IT"/>
    </w:rPr>
  </w:style>
  <w:style w:type="paragraph" w:styleId="ListParagraph">
    <w:name w:val="List Paragraph"/>
    <w:basedOn w:val="NoSpacing"/>
    <w:uiPriority w:val="34"/>
    <w:qFormat/>
    <w:rsid w:val="00F22EBC"/>
    <w:pPr>
      <w:keepNext/>
      <w:numPr>
        <w:numId w:val="17"/>
      </w:numPr>
    </w:pPr>
    <w:rPr>
      <w:sz w:val="24"/>
      <w:szCs w:val="22"/>
      <w:lang w:val="en-AU" w:eastAsia="en-US"/>
    </w:rPr>
  </w:style>
  <w:style w:type="paragraph" w:styleId="Caption">
    <w:name w:val="caption"/>
    <w:basedOn w:val="Normal"/>
    <w:next w:val="Normal"/>
    <w:unhideWhenUsed/>
    <w:qFormat/>
    <w:rsid w:val="00E11A53"/>
    <w:pPr>
      <w:spacing w:before="240" w:after="120"/>
    </w:pPr>
    <w:rPr>
      <w:b/>
      <w:iCs/>
      <w:sz w:val="24"/>
      <w:szCs w:val="18"/>
    </w:rPr>
  </w:style>
  <w:style w:type="character" w:styleId="UnresolvedMention">
    <w:name w:val="Unresolved Mention"/>
    <w:basedOn w:val="DefaultParagraphFont"/>
    <w:uiPriority w:val="99"/>
    <w:unhideWhenUsed/>
    <w:rsid w:val="00BB47A6"/>
    <w:rPr>
      <w:color w:val="605E5C"/>
      <w:shd w:val="clear" w:color="auto" w:fill="E1DFDD"/>
    </w:rPr>
  </w:style>
  <w:style w:type="paragraph" w:styleId="ListBullet">
    <w:name w:val="List Bullet"/>
    <w:basedOn w:val="BodyText"/>
    <w:rsid w:val="0066056D"/>
    <w:pPr>
      <w:numPr>
        <w:numId w:val="32"/>
      </w:numPr>
      <w:spacing w:before="120"/>
      <w:ind w:left="714" w:hanging="357"/>
    </w:pPr>
  </w:style>
  <w:style w:type="paragraph" w:styleId="List">
    <w:name w:val="List"/>
    <w:basedOn w:val="BodyText"/>
    <w:rsid w:val="00F8082F"/>
    <w:pPr>
      <w:numPr>
        <w:numId w:val="34"/>
      </w:numPr>
      <w:spacing w:before="120" w:after="120"/>
      <w:ind w:left="357" w:hanging="357"/>
    </w:pPr>
  </w:style>
  <w:style w:type="paragraph" w:customStyle="1" w:styleId="TableParagraph">
    <w:name w:val="Table Paragraph"/>
    <w:basedOn w:val="Normal"/>
    <w:uiPriority w:val="1"/>
    <w:qFormat/>
    <w:rsid w:val="001116BB"/>
    <w:pPr>
      <w:widowControl w:val="0"/>
      <w:autoSpaceDE w:val="0"/>
      <w:autoSpaceDN w:val="0"/>
      <w:spacing w:line="233" w:lineRule="exact"/>
      <w:ind w:left="110"/>
    </w:pPr>
    <w:rPr>
      <w:sz w:val="22"/>
      <w:szCs w:val="22"/>
      <w:lang w:val="en-GB" w:eastAsia="en-GB" w:bidi="en-GB"/>
    </w:rPr>
  </w:style>
  <w:style w:type="character" w:styleId="Mention">
    <w:name w:val="Mention"/>
    <w:basedOn w:val="DefaultParagraphFont"/>
    <w:uiPriority w:val="99"/>
    <w:unhideWhenUsed/>
    <w:rsid w:val="00E246CD"/>
    <w:rPr>
      <w:color w:val="2B579A"/>
      <w:shd w:val="clear" w:color="auto" w:fill="E1DFDD"/>
    </w:rPr>
  </w:style>
  <w:style w:type="character" w:customStyle="1" w:styleId="Heading7Char">
    <w:name w:val="Heading 7 Char"/>
    <w:basedOn w:val="DefaultParagraphFont"/>
    <w:link w:val="Heading7"/>
    <w:semiHidden/>
    <w:rsid w:val="00B30667"/>
    <w:rPr>
      <w:rFonts w:asciiTheme="majorHAnsi" w:eastAsiaTheme="majorEastAsia" w:hAnsiTheme="majorHAnsi" w:cstheme="majorBidi"/>
      <w:i/>
      <w:iCs/>
      <w:color w:val="1F3763" w:themeColor="accent1" w:themeShade="7F"/>
      <w:lang w:eastAsia="it-IT"/>
    </w:rPr>
  </w:style>
  <w:style w:type="character" w:customStyle="1" w:styleId="Heading8Char">
    <w:name w:val="Heading 8 Char"/>
    <w:basedOn w:val="DefaultParagraphFont"/>
    <w:link w:val="Heading8"/>
    <w:semiHidden/>
    <w:rsid w:val="00B30667"/>
    <w:rPr>
      <w:rFonts w:asciiTheme="majorHAnsi" w:eastAsiaTheme="majorEastAsia" w:hAnsiTheme="majorHAnsi" w:cstheme="majorBidi"/>
      <w:color w:val="272727" w:themeColor="text1" w:themeTint="D8"/>
      <w:sz w:val="21"/>
      <w:szCs w:val="21"/>
      <w:lang w:eastAsia="it-IT"/>
    </w:rPr>
  </w:style>
  <w:style w:type="character" w:customStyle="1" w:styleId="Heading9Char">
    <w:name w:val="Heading 9 Char"/>
    <w:basedOn w:val="DefaultParagraphFont"/>
    <w:link w:val="Heading9"/>
    <w:semiHidden/>
    <w:rsid w:val="00B30667"/>
    <w:rPr>
      <w:rFonts w:asciiTheme="majorHAnsi" w:eastAsiaTheme="majorEastAsia" w:hAnsiTheme="majorHAnsi" w:cstheme="majorBidi"/>
      <w:i/>
      <w:iCs/>
      <w:color w:val="272727" w:themeColor="text1" w:themeTint="D8"/>
      <w:sz w:val="21"/>
      <w:szCs w:val="21"/>
      <w:lang w:eastAsia="it-IT"/>
    </w:rPr>
  </w:style>
  <w:style w:type="paragraph" w:customStyle="1" w:styleId="A-Caption">
    <w:name w:val="A-Caption"/>
    <w:basedOn w:val="Caption"/>
    <w:next w:val="Normal"/>
    <w:qFormat/>
    <w:rsid w:val="006177B2"/>
    <w:pPr>
      <w:keepNext/>
      <w:outlineLvl w:val="4"/>
    </w:pPr>
    <w:rPr>
      <w:bCs/>
      <w:iCs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069860">
      <w:bodyDiv w:val="1"/>
      <w:marLeft w:val="0"/>
      <w:marRight w:val="0"/>
      <w:marTop w:val="0"/>
      <w:marBottom w:val="0"/>
      <w:divBdr>
        <w:top w:val="none" w:sz="0" w:space="0" w:color="auto"/>
        <w:left w:val="none" w:sz="0" w:space="0" w:color="auto"/>
        <w:bottom w:val="none" w:sz="0" w:space="0" w:color="auto"/>
        <w:right w:val="none" w:sz="0" w:space="0" w:color="auto"/>
      </w:divBdr>
    </w:div>
    <w:div w:id="332688288">
      <w:bodyDiv w:val="1"/>
      <w:marLeft w:val="0"/>
      <w:marRight w:val="0"/>
      <w:marTop w:val="0"/>
      <w:marBottom w:val="0"/>
      <w:divBdr>
        <w:top w:val="none" w:sz="0" w:space="0" w:color="auto"/>
        <w:left w:val="none" w:sz="0" w:space="0" w:color="auto"/>
        <w:bottom w:val="none" w:sz="0" w:space="0" w:color="auto"/>
        <w:right w:val="none" w:sz="0" w:space="0" w:color="auto"/>
      </w:divBdr>
    </w:div>
    <w:div w:id="1114515972">
      <w:bodyDiv w:val="1"/>
      <w:marLeft w:val="0"/>
      <w:marRight w:val="0"/>
      <w:marTop w:val="0"/>
      <w:marBottom w:val="0"/>
      <w:divBdr>
        <w:top w:val="none" w:sz="0" w:space="0" w:color="auto"/>
        <w:left w:val="none" w:sz="0" w:space="0" w:color="auto"/>
        <w:bottom w:val="none" w:sz="0" w:space="0" w:color="auto"/>
        <w:right w:val="none" w:sz="0" w:space="0" w:color="auto"/>
      </w:divBdr>
    </w:div>
    <w:div w:id="17880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dinfo.au@chiesi.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91FC3D684364E882814D98A6895D1" ma:contentTypeVersion="4" ma:contentTypeDescription="Create a new document." ma:contentTypeScope="" ma:versionID="3503859db8e980e4f924b7b9906e6ab6">
  <xsd:schema xmlns:xsd="http://www.w3.org/2001/XMLSchema" xmlns:xs="http://www.w3.org/2001/XMLSchema" xmlns:p="http://schemas.microsoft.com/office/2006/metadata/properties" xmlns:ns2="0b6a642e-2365-45b9-a990-4ccceeda764e" targetNamespace="http://schemas.microsoft.com/office/2006/metadata/properties" ma:root="true" ma:fieldsID="8c8328c7bf0a938f0058ddda5a6ad7e0" ns2:_="">
    <xsd:import namespace="0b6a642e-2365-45b9-a990-4ccceeda7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a642e-2365-45b9-a990-4ccceeda7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C128D-4871-4946-BCEE-7BCF80B33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a642e-2365-45b9-a990-4ccceeda7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704C-1EC5-4DA2-BBA2-861B6A53C3A5}">
  <ds:schemaRefs>
    <ds:schemaRef ds:uri="http://schemas.microsoft.com/office/2006/metadata/longProperties"/>
  </ds:schemaRefs>
</ds:datastoreItem>
</file>

<file path=customXml/itemProps3.xml><?xml version="1.0" encoding="utf-8"?>
<ds:datastoreItem xmlns:ds="http://schemas.openxmlformats.org/officeDocument/2006/customXml" ds:itemID="{6C291E31-8F9D-4199-88A9-3CC026365F6F}">
  <ds:schemaRefs>
    <ds:schemaRef ds:uri="http://schemas.openxmlformats.org/officeDocument/2006/bibliography"/>
  </ds:schemaRefs>
</ds:datastoreItem>
</file>

<file path=customXml/itemProps4.xml><?xml version="1.0" encoding="utf-8"?>
<ds:datastoreItem xmlns:ds="http://schemas.openxmlformats.org/officeDocument/2006/customXml" ds:itemID="{7E554E2F-F870-423D-9FEB-41AFCDB1DA31}">
  <ds:schemaRefs>
    <ds:schemaRef ds:uri="http://schemas.microsoft.com/sharepoint/v3/contenttype/forms"/>
  </ds:schemaRefs>
</ds:datastoreItem>
</file>

<file path=customXml/itemProps5.xml><?xml version="1.0" encoding="utf-8"?>
<ds:datastoreItem xmlns:ds="http://schemas.openxmlformats.org/officeDocument/2006/customXml" ds:itemID="{9B71192D-106B-4F51-B6C4-825E343CF0E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2962</Words>
  <Characters>16564</Characters>
  <Application>Microsoft Office Word</Application>
  <DocSecurity>0</DocSecurity>
  <Lines>312</Lines>
  <Paragraphs>147</Paragraphs>
  <ScaleCrop>false</ScaleCrop>
  <HeadingPairs>
    <vt:vector size="2" baseType="variant">
      <vt:variant>
        <vt:lpstr>Title</vt:lpstr>
      </vt:variant>
      <vt:variant>
        <vt:i4>1</vt:i4>
      </vt:variant>
    </vt:vector>
  </HeadingPairs>
  <TitlesOfParts>
    <vt:vector size="1" baseType="lpstr">
      <vt:lpstr>Filsuvez - Product Information</vt:lpstr>
    </vt:vector>
  </TitlesOfParts>
  <Company>Chiesi Australia Pty Ltd</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Filsuvez</dc:title>
  <dc:subject>prescription medicines</dc:subject>
  <dc:creator>Chiesi Australia Pty Ltd</dc:creator>
  <cp:keywords/>
  <cp:lastModifiedBy>LACK, Janet</cp:lastModifiedBy>
  <cp:revision>3</cp:revision>
  <cp:lastPrinted>2026-04-15T05:12:00Z</cp:lastPrinted>
  <dcterms:created xsi:type="dcterms:W3CDTF">2026-06-29T04:00:00Z</dcterms:created>
  <dcterms:modified xsi:type="dcterms:W3CDTF">2026-06-29T04:05:00Z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0x010100B2D91FC3D684364E882814D98A6895D1</vt:lpwstr>
  </property>
  <property fmtid="{D5CDD505-2E9C-101B-9397-08002B2CF9AE}" pid="3" name="MediaServiceImageTags">
    <vt:lpwstr/>
  </property>
  <property fmtid="{D5CDD505-2E9C-101B-9397-08002B2CF9AE}" pid="4" name="Order">
    <vt:r8>1211600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2bfd4326,7d3bb136,416e23d1</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24fcf7f8,2b9b6248,2708364b</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2026-06-22T04:30:19Z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144284bd-d0a0-4678-8f7c-25ace546946c</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