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5F3ADC55" w:rsidR="006831F2" w:rsidRPr="00215D48" w:rsidRDefault="00457050" w:rsidP="002B29B2">
            <w:pPr>
              <w:pStyle w:val="Title"/>
            </w:pPr>
            <w:bookmarkStart w:id="0" w:name="_Toc178244700"/>
            <w:bookmarkStart w:id="1" w:name="_Toc227677358"/>
            <w:bookmarkStart w:id="2" w:name="_Toc230353656"/>
            <w:r>
              <w:t>Notice of final decisions to amend (or not amend) the current Poisons Standard</w:t>
            </w:r>
            <w:bookmarkEnd w:id="0"/>
            <w:bookmarkEnd w:id="1"/>
            <w:bookmarkEnd w:id="2"/>
          </w:p>
        </w:tc>
      </w:tr>
      <w:tr w:rsidR="00F02AEC" w:rsidRPr="00215D48" w14:paraId="5819680E" w14:textId="77777777" w:rsidTr="002B29B2">
        <w:trPr>
          <w:trHeight w:val="1916"/>
        </w:trPr>
        <w:tc>
          <w:tcPr>
            <w:tcW w:w="8720" w:type="dxa"/>
          </w:tcPr>
          <w:p w14:paraId="54DDB299" w14:textId="60E7A7F9" w:rsidR="00F02AEC" w:rsidRPr="00215D48" w:rsidRDefault="00F26607" w:rsidP="00D1612F">
            <w:pPr>
              <w:pStyle w:val="Subtitle"/>
              <w:ind w:left="0"/>
            </w:pPr>
            <w:r>
              <w:t>25</w:t>
            </w:r>
            <w:r w:rsidR="00457050" w:rsidRPr="004320AC">
              <w:t xml:space="preserve"> </w:t>
            </w:r>
            <w:r w:rsidR="006831F2">
              <w:t>May</w:t>
            </w:r>
            <w:r w:rsidR="00454694" w:rsidRPr="004320AC">
              <w:t xml:space="preserve"> 20</w:t>
            </w:r>
            <w:r w:rsidR="00827191">
              <w:t>2</w:t>
            </w:r>
            <w:r w:rsidR="00D835BE">
              <w:t>6</w:t>
            </w:r>
          </w:p>
        </w:tc>
      </w:tr>
    </w:tbl>
    <w:p w14:paraId="5F09A95D" w14:textId="77777777" w:rsidR="00F02AEC" w:rsidRPr="00215D48" w:rsidRDefault="00F02AEC" w:rsidP="00B05C1F">
      <w:pPr>
        <w:pStyle w:val="ListBullet"/>
        <w:sectPr w:rsidR="00F02AEC" w:rsidRPr="00215D48" w:rsidSect="00CB0550">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5176F10C" w:rsidR="00175CD8" w:rsidRDefault="00F02AEC" w:rsidP="00DE78C9">
      <w:pPr>
        <w:rPr>
          <w:sz w:val="16"/>
          <w:szCs w:val="16"/>
        </w:rPr>
      </w:pPr>
      <w:r w:rsidRPr="00DE78C9">
        <w:rPr>
          <w:sz w:val="16"/>
          <w:szCs w:val="16"/>
        </w:rPr>
        <w:t xml:space="preserve">© Commonwealth of Australia </w:t>
      </w:r>
      <w:r w:rsidRPr="006831F2">
        <w:rPr>
          <w:sz w:val="16"/>
          <w:szCs w:val="16"/>
        </w:rPr>
        <w:t>202</w:t>
      </w:r>
      <w:r w:rsidR="00422DF9" w:rsidRPr="006831F2">
        <w:rPr>
          <w:sz w:val="16"/>
          <w:szCs w:val="16"/>
        </w:rPr>
        <w:t>6</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3" w:history="1">
        <w:r w:rsidRPr="00DE78C9">
          <w:rPr>
            <w:rStyle w:val="Hyperlink"/>
            <w:rFonts w:cs="Arial"/>
            <w:sz w:val="16"/>
            <w:szCs w:val="16"/>
          </w:rPr>
          <w:t>tga.copyright@tga.gov.au</w:t>
        </w:r>
      </w:hyperlink>
      <w:r w:rsidRPr="00DE78C9">
        <w:rPr>
          <w:sz w:val="16"/>
          <w:szCs w:val="16"/>
        </w:rPr>
        <w:t>.</w:t>
      </w:r>
    </w:p>
    <w:bookmarkStart w:id="3" w:name="_Toc230353657" w:displacedByCustomXml="next"/>
    <w:bookmarkStart w:id="4" w:name="_Toc178244701" w:displacedByCustomXml="next"/>
    <w:bookmarkStart w:id="5" w:name="_Toc227677359"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5"/>
          <w:bookmarkEnd w:id="4"/>
          <w:bookmarkEnd w:id="3"/>
        </w:p>
        <w:p w14:paraId="188D5D38" w14:textId="6F04C708" w:rsidR="00E25235" w:rsidRDefault="002B5C5B">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"1-1" \h \z \u \t "Heading 2,1,Heading 3,2,Legal Subheading,2,Non TOC heading 2,2" </w:instrText>
          </w:r>
          <w:r>
            <w:fldChar w:fldCharType="separate"/>
          </w:r>
          <w:hyperlink w:anchor="_Toc230353656" w:history="1">
            <w:r w:rsidR="00E25235" w:rsidRPr="006B2DE1">
              <w:rPr>
                <w:rStyle w:val="Hyperlink"/>
                <w:noProof/>
              </w:rPr>
              <w:t>Notice of final decisions to amend (or not amend) the current Poisons Standard</w:t>
            </w:r>
            <w:r w:rsidR="00E25235">
              <w:rPr>
                <w:noProof/>
                <w:webHidden/>
              </w:rPr>
              <w:tab/>
            </w:r>
            <w:r w:rsidR="00E25235">
              <w:rPr>
                <w:noProof/>
                <w:webHidden/>
              </w:rPr>
              <w:fldChar w:fldCharType="begin"/>
            </w:r>
            <w:r w:rsidR="00E25235">
              <w:rPr>
                <w:noProof/>
                <w:webHidden/>
              </w:rPr>
              <w:instrText xml:space="preserve"> PAGEREF _Toc230353656 \h </w:instrText>
            </w:r>
            <w:r w:rsidR="00E25235">
              <w:rPr>
                <w:noProof/>
                <w:webHidden/>
              </w:rPr>
            </w:r>
            <w:r w:rsidR="00E25235">
              <w:rPr>
                <w:noProof/>
                <w:webHidden/>
              </w:rPr>
              <w:fldChar w:fldCharType="separate"/>
            </w:r>
            <w:r w:rsidR="00E25235">
              <w:rPr>
                <w:noProof/>
                <w:webHidden/>
              </w:rPr>
              <w:t>1</w:t>
            </w:r>
            <w:r w:rsidR="00E25235">
              <w:rPr>
                <w:noProof/>
                <w:webHidden/>
              </w:rPr>
              <w:fldChar w:fldCharType="end"/>
            </w:r>
          </w:hyperlink>
        </w:p>
        <w:p w14:paraId="023DF61A" w14:textId="349C53C0"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57" w:history="1">
            <w:r w:rsidRPr="006B2DE1">
              <w:rPr>
                <w:rStyle w:val="Hyperlink"/>
                <w:noProof/>
              </w:rPr>
              <w:t>Contents</w:t>
            </w:r>
            <w:r>
              <w:rPr>
                <w:noProof/>
                <w:webHidden/>
              </w:rPr>
              <w:tab/>
            </w:r>
            <w:r>
              <w:rPr>
                <w:noProof/>
                <w:webHidden/>
              </w:rPr>
              <w:fldChar w:fldCharType="begin"/>
            </w:r>
            <w:r>
              <w:rPr>
                <w:noProof/>
                <w:webHidden/>
              </w:rPr>
              <w:instrText xml:space="preserve"> PAGEREF _Toc230353657 \h </w:instrText>
            </w:r>
            <w:r>
              <w:rPr>
                <w:noProof/>
                <w:webHidden/>
              </w:rPr>
            </w:r>
            <w:r>
              <w:rPr>
                <w:noProof/>
                <w:webHidden/>
              </w:rPr>
              <w:fldChar w:fldCharType="separate"/>
            </w:r>
            <w:r>
              <w:rPr>
                <w:noProof/>
                <w:webHidden/>
              </w:rPr>
              <w:t>3</w:t>
            </w:r>
            <w:r>
              <w:rPr>
                <w:noProof/>
                <w:webHidden/>
              </w:rPr>
              <w:fldChar w:fldCharType="end"/>
            </w:r>
          </w:hyperlink>
        </w:p>
        <w:p w14:paraId="1E17053C" w14:textId="480C2CA1" w:rsidR="00E25235" w:rsidRDefault="00E2523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353658" w:history="1">
            <w:r w:rsidRPr="006B2DE1">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_Toc230353658 \h </w:instrText>
            </w:r>
            <w:r>
              <w:rPr>
                <w:noProof/>
                <w:webHidden/>
              </w:rPr>
            </w:r>
            <w:r>
              <w:rPr>
                <w:noProof/>
                <w:webHidden/>
              </w:rPr>
              <w:fldChar w:fldCharType="separate"/>
            </w:r>
            <w:r>
              <w:rPr>
                <w:noProof/>
                <w:webHidden/>
              </w:rPr>
              <w:t>5</w:t>
            </w:r>
            <w:r>
              <w:rPr>
                <w:noProof/>
                <w:webHidden/>
              </w:rPr>
              <w:fldChar w:fldCharType="end"/>
            </w:r>
          </w:hyperlink>
        </w:p>
        <w:p w14:paraId="743094B4" w14:textId="54811F47" w:rsidR="00E25235" w:rsidRDefault="00E2523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353659" w:history="1">
            <w:r w:rsidRPr="006B2DE1">
              <w:rPr>
                <w:rStyle w:val="Hyperlink"/>
                <w:noProof/>
              </w:rPr>
              <w:t>Final decisions on proposed amendments referred to the Advisory Committee on Chemicals Scheduling (ACCS #40, March 2025)</w:t>
            </w:r>
            <w:r>
              <w:rPr>
                <w:noProof/>
                <w:webHidden/>
              </w:rPr>
              <w:tab/>
            </w:r>
            <w:r>
              <w:rPr>
                <w:noProof/>
                <w:webHidden/>
              </w:rPr>
              <w:fldChar w:fldCharType="begin"/>
            </w:r>
            <w:r>
              <w:rPr>
                <w:noProof/>
                <w:webHidden/>
              </w:rPr>
              <w:instrText xml:space="preserve"> PAGEREF _Toc230353659 \h </w:instrText>
            </w:r>
            <w:r>
              <w:rPr>
                <w:noProof/>
                <w:webHidden/>
              </w:rPr>
            </w:r>
            <w:r>
              <w:rPr>
                <w:noProof/>
                <w:webHidden/>
              </w:rPr>
              <w:fldChar w:fldCharType="separate"/>
            </w:r>
            <w:r>
              <w:rPr>
                <w:noProof/>
                <w:webHidden/>
              </w:rPr>
              <w:t>6</w:t>
            </w:r>
            <w:r>
              <w:rPr>
                <w:noProof/>
                <w:webHidden/>
              </w:rPr>
              <w:fldChar w:fldCharType="end"/>
            </w:r>
          </w:hyperlink>
        </w:p>
        <w:p w14:paraId="06C5C04B" w14:textId="3C82E3E8"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0" w:history="1">
            <w:r w:rsidRPr="006B2DE1">
              <w:rPr>
                <w:rStyle w:val="Hyperlink"/>
                <w:noProof/>
              </w:rPr>
              <w:t>Final decision in relation to methyl ethyl ketone oxime (MEKO)</w:t>
            </w:r>
            <w:r>
              <w:rPr>
                <w:noProof/>
                <w:webHidden/>
              </w:rPr>
              <w:tab/>
            </w:r>
            <w:r>
              <w:rPr>
                <w:noProof/>
                <w:webHidden/>
              </w:rPr>
              <w:fldChar w:fldCharType="begin"/>
            </w:r>
            <w:r>
              <w:rPr>
                <w:noProof/>
                <w:webHidden/>
              </w:rPr>
              <w:instrText xml:space="preserve"> PAGEREF _Toc230353660 \h </w:instrText>
            </w:r>
            <w:r>
              <w:rPr>
                <w:noProof/>
                <w:webHidden/>
              </w:rPr>
            </w:r>
            <w:r>
              <w:rPr>
                <w:noProof/>
                <w:webHidden/>
              </w:rPr>
              <w:fldChar w:fldCharType="separate"/>
            </w:r>
            <w:r>
              <w:rPr>
                <w:noProof/>
                <w:webHidden/>
              </w:rPr>
              <w:t>6</w:t>
            </w:r>
            <w:r>
              <w:rPr>
                <w:noProof/>
                <w:webHidden/>
              </w:rPr>
              <w:fldChar w:fldCharType="end"/>
            </w:r>
          </w:hyperlink>
        </w:p>
        <w:p w14:paraId="6B6EBD4F" w14:textId="0AFCBCAA"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1" w:history="1">
            <w:r w:rsidRPr="006B2DE1">
              <w:rPr>
                <w:rStyle w:val="Hyperlink"/>
                <w:noProof/>
              </w:rPr>
              <w:t>Final decision in relation to acrylates and methacrylates based on bisphenol A (BPA)</w:t>
            </w:r>
            <w:r>
              <w:rPr>
                <w:noProof/>
                <w:webHidden/>
              </w:rPr>
              <w:tab/>
            </w:r>
            <w:r>
              <w:rPr>
                <w:noProof/>
                <w:webHidden/>
              </w:rPr>
              <w:fldChar w:fldCharType="begin"/>
            </w:r>
            <w:r>
              <w:rPr>
                <w:noProof/>
                <w:webHidden/>
              </w:rPr>
              <w:instrText xml:space="preserve"> PAGEREF _Toc230353661 \h </w:instrText>
            </w:r>
            <w:r>
              <w:rPr>
                <w:noProof/>
                <w:webHidden/>
              </w:rPr>
            </w:r>
            <w:r>
              <w:rPr>
                <w:noProof/>
                <w:webHidden/>
              </w:rPr>
              <w:fldChar w:fldCharType="separate"/>
            </w:r>
            <w:r>
              <w:rPr>
                <w:noProof/>
                <w:webHidden/>
              </w:rPr>
              <w:t>9</w:t>
            </w:r>
            <w:r>
              <w:rPr>
                <w:noProof/>
                <w:webHidden/>
              </w:rPr>
              <w:fldChar w:fldCharType="end"/>
            </w:r>
          </w:hyperlink>
        </w:p>
        <w:p w14:paraId="12616528" w14:textId="20B7E39F"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2" w:history="1">
            <w:r w:rsidRPr="006B2DE1">
              <w:rPr>
                <w:rStyle w:val="Hyperlink"/>
                <w:noProof/>
              </w:rPr>
              <w:t>Final decision in relation to medium and long chain alkyl sulfates</w:t>
            </w:r>
            <w:r>
              <w:rPr>
                <w:noProof/>
                <w:webHidden/>
              </w:rPr>
              <w:tab/>
            </w:r>
            <w:r>
              <w:rPr>
                <w:noProof/>
                <w:webHidden/>
              </w:rPr>
              <w:fldChar w:fldCharType="begin"/>
            </w:r>
            <w:r>
              <w:rPr>
                <w:noProof/>
                <w:webHidden/>
              </w:rPr>
              <w:instrText xml:space="preserve"> PAGEREF _Toc230353662 \h </w:instrText>
            </w:r>
            <w:r>
              <w:rPr>
                <w:noProof/>
                <w:webHidden/>
              </w:rPr>
            </w:r>
            <w:r>
              <w:rPr>
                <w:noProof/>
                <w:webHidden/>
              </w:rPr>
              <w:fldChar w:fldCharType="separate"/>
            </w:r>
            <w:r>
              <w:rPr>
                <w:noProof/>
                <w:webHidden/>
              </w:rPr>
              <w:t>11</w:t>
            </w:r>
            <w:r>
              <w:rPr>
                <w:noProof/>
                <w:webHidden/>
              </w:rPr>
              <w:fldChar w:fldCharType="end"/>
            </w:r>
          </w:hyperlink>
        </w:p>
        <w:p w14:paraId="3D7260E9" w14:textId="37680D47"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3" w:history="1">
            <w:r w:rsidRPr="006B2DE1">
              <w:rPr>
                <w:rStyle w:val="Hyperlink"/>
                <w:noProof/>
              </w:rPr>
              <w:t>Final decision in relation to sodium hydroxide and potassium hydroxide</w:t>
            </w:r>
            <w:r>
              <w:rPr>
                <w:noProof/>
                <w:webHidden/>
              </w:rPr>
              <w:tab/>
            </w:r>
            <w:r>
              <w:rPr>
                <w:noProof/>
                <w:webHidden/>
              </w:rPr>
              <w:fldChar w:fldCharType="begin"/>
            </w:r>
            <w:r>
              <w:rPr>
                <w:noProof/>
                <w:webHidden/>
              </w:rPr>
              <w:instrText xml:space="preserve"> PAGEREF _Toc230353663 \h </w:instrText>
            </w:r>
            <w:r>
              <w:rPr>
                <w:noProof/>
                <w:webHidden/>
              </w:rPr>
            </w:r>
            <w:r>
              <w:rPr>
                <w:noProof/>
                <w:webHidden/>
              </w:rPr>
              <w:fldChar w:fldCharType="separate"/>
            </w:r>
            <w:r>
              <w:rPr>
                <w:noProof/>
                <w:webHidden/>
              </w:rPr>
              <w:t>16</w:t>
            </w:r>
            <w:r>
              <w:rPr>
                <w:noProof/>
                <w:webHidden/>
              </w:rPr>
              <w:fldChar w:fldCharType="end"/>
            </w:r>
          </w:hyperlink>
        </w:p>
        <w:p w14:paraId="67FC9904" w14:textId="7098A3C9"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4" w:history="1">
            <w:r w:rsidRPr="006B2DE1">
              <w:rPr>
                <w:rStyle w:val="Hyperlink"/>
                <w:noProof/>
              </w:rPr>
              <w:t>Final decision in relation to cyanoacrylate esters</w:t>
            </w:r>
            <w:r>
              <w:rPr>
                <w:noProof/>
                <w:webHidden/>
              </w:rPr>
              <w:tab/>
            </w:r>
            <w:r>
              <w:rPr>
                <w:noProof/>
                <w:webHidden/>
              </w:rPr>
              <w:fldChar w:fldCharType="begin"/>
            </w:r>
            <w:r>
              <w:rPr>
                <w:noProof/>
                <w:webHidden/>
              </w:rPr>
              <w:instrText xml:space="preserve"> PAGEREF _Toc230353664 \h </w:instrText>
            </w:r>
            <w:r>
              <w:rPr>
                <w:noProof/>
                <w:webHidden/>
              </w:rPr>
            </w:r>
            <w:r>
              <w:rPr>
                <w:noProof/>
                <w:webHidden/>
              </w:rPr>
              <w:fldChar w:fldCharType="separate"/>
            </w:r>
            <w:r>
              <w:rPr>
                <w:noProof/>
                <w:webHidden/>
              </w:rPr>
              <w:t>17</w:t>
            </w:r>
            <w:r>
              <w:rPr>
                <w:noProof/>
                <w:webHidden/>
              </w:rPr>
              <w:fldChar w:fldCharType="end"/>
            </w:r>
          </w:hyperlink>
        </w:p>
        <w:p w14:paraId="60872E81" w14:textId="132735E0" w:rsidR="00E25235" w:rsidRDefault="00E2523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353665" w:history="1">
            <w:r w:rsidRPr="006B2DE1">
              <w:rPr>
                <w:rStyle w:val="Hyperlink"/>
                <w:noProof/>
              </w:rPr>
              <w:t>Final decisions on proposed amendments referred to the Advisory Committee on Medicines and Chemicals Scheduling in joint session (Joint ACMS-ACCS #39, March 2025)</w:t>
            </w:r>
            <w:r>
              <w:rPr>
                <w:noProof/>
                <w:webHidden/>
              </w:rPr>
              <w:tab/>
            </w:r>
            <w:r>
              <w:rPr>
                <w:noProof/>
                <w:webHidden/>
              </w:rPr>
              <w:fldChar w:fldCharType="begin"/>
            </w:r>
            <w:r>
              <w:rPr>
                <w:noProof/>
                <w:webHidden/>
              </w:rPr>
              <w:instrText xml:space="preserve"> PAGEREF _Toc230353665 \h </w:instrText>
            </w:r>
            <w:r>
              <w:rPr>
                <w:noProof/>
                <w:webHidden/>
              </w:rPr>
            </w:r>
            <w:r>
              <w:rPr>
                <w:noProof/>
                <w:webHidden/>
              </w:rPr>
              <w:fldChar w:fldCharType="separate"/>
            </w:r>
            <w:r>
              <w:rPr>
                <w:noProof/>
                <w:webHidden/>
              </w:rPr>
              <w:t>21</w:t>
            </w:r>
            <w:r>
              <w:rPr>
                <w:noProof/>
                <w:webHidden/>
              </w:rPr>
              <w:fldChar w:fldCharType="end"/>
            </w:r>
          </w:hyperlink>
        </w:p>
        <w:p w14:paraId="3D0FF4F6" w14:textId="5FAA719E"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6" w:history="1">
            <w:r w:rsidRPr="006B2DE1">
              <w:rPr>
                <w:rStyle w:val="Hyperlink"/>
                <w:noProof/>
              </w:rPr>
              <w:t>Final decision in relation to chromium-DL methionine</w:t>
            </w:r>
            <w:r>
              <w:rPr>
                <w:noProof/>
                <w:webHidden/>
              </w:rPr>
              <w:tab/>
            </w:r>
            <w:r>
              <w:rPr>
                <w:noProof/>
                <w:webHidden/>
              </w:rPr>
              <w:fldChar w:fldCharType="begin"/>
            </w:r>
            <w:r>
              <w:rPr>
                <w:noProof/>
                <w:webHidden/>
              </w:rPr>
              <w:instrText xml:space="preserve"> PAGEREF _Toc230353666 \h </w:instrText>
            </w:r>
            <w:r>
              <w:rPr>
                <w:noProof/>
                <w:webHidden/>
              </w:rPr>
            </w:r>
            <w:r>
              <w:rPr>
                <w:noProof/>
                <w:webHidden/>
              </w:rPr>
              <w:fldChar w:fldCharType="separate"/>
            </w:r>
            <w:r>
              <w:rPr>
                <w:noProof/>
                <w:webHidden/>
              </w:rPr>
              <w:t>21</w:t>
            </w:r>
            <w:r>
              <w:rPr>
                <w:noProof/>
                <w:webHidden/>
              </w:rPr>
              <w:fldChar w:fldCharType="end"/>
            </w:r>
          </w:hyperlink>
        </w:p>
        <w:p w14:paraId="28356300" w14:textId="253D12FB" w:rsidR="00E25235" w:rsidRDefault="00E2523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353667" w:history="1">
            <w:r w:rsidRPr="006B2DE1">
              <w:rPr>
                <w:rStyle w:val="Hyperlink"/>
                <w:noProof/>
              </w:rPr>
              <w:t>Final decisions on proposed amendments to the current Poisons Standard under regulation 42ZCZW</w:t>
            </w:r>
            <w:r>
              <w:rPr>
                <w:noProof/>
                <w:webHidden/>
              </w:rPr>
              <w:tab/>
            </w:r>
            <w:r>
              <w:rPr>
                <w:noProof/>
                <w:webHidden/>
              </w:rPr>
              <w:fldChar w:fldCharType="begin"/>
            </w:r>
            <w:r>
              <w:rPr>
                <w:noProof/>
                <w:webHidden/>
              </w:rPr>
              <w:instrText xml:space="preserve"> PAGEREF _Toc230353667 \h </w:instrText>
            </w:r>
            <w:r>
              <w:rPr>
                <w:noProof/>
                <w:webHidden/>
              </w:rPr>
            </w:r>
            <w:r>
              <w:rPr>
                <w:noProof/>
                <w:webHidden/>
              </w:rPr>
              <w:fldChar w:fldCharType="separate"/>
            </w:r>
            <w:r>
              <w:rPr>
                <w:noProof/>
                <w:webHidden/>
              </w:rPr>
              <w:t>23</w:t>
            </w:r>
            <w:r>
              <w:rPr>
                <w:noProof/>
                <w:webHidden/>
              </w:rPr>
              <w:fldChar w:fldCharType="end"/>
            </w:r>
          </w:hyperlink>
        </w:p>
        <w:p w14:paraId="2323C47A" w14:textId="373C638A"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8" w:history="1">
            <w:r w:rsidRPr="006B2DE1">
              <w:rPr>
                <w:rStyle w:val="Hyperlink"/>
                <w:noProof/>
              </w:rPr>
              <w:t>Final decision in relation to bromoxynil</w:t>
            </w:r>
            <w:r>
              <w:rPr>
                <w:noProof/>
                <w:webHidden/>
              </w:rPr>
              <w:tab/>
            </w:r>
            <w:r>
              <w:rPr>
                <w:noProof/>
                <w:webHidden/>
              </w:rPr>
              <w:fldChar w:fldCharType="begin"/>
            </w:r>
            <w:r>
              <w:rPr>
                <w:noProof/>
                <w:webHidden/>
              </w:rPr>
              <w:instrText xml:space="preserve"> PAGEREF _Toc230353668 \h </w:instrText>
            </w:r>
            <w:r>
              <w:rPr>
                <w:noProof/>
                <w:webHidden/>
              </w:rPr>
            </w:r>
            <w:r>
              <w:rPr>
                <w:noProof/>
                <w:webHidden/>
              </w:rPr>
              <w:fldChar w:fldCharType="separate"/>
            </w:r>
            <w:r>
              <w:rPr>
                <w:noProof/>
                <w:webHidden/>
              </w:rPr>
              <w:t>23</w:t>
            </w:r>
            <w:r>
              <w:rPr>
                <w:noProof/>
                <w:webHidden/>
              </w:rPr>
              <w:fldChar w:fldCharType="end"/>
            </w:r>
          </w:hyperlink>
        </w:p>
        <w:p w14:paraId="2E354F1E" w14:textId="3F94D785"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69" w:history="1">
            <w:r w:rsidRPr="006B2DE1">
              <w:rPr>
                <w:rStyle w:val="Hyperlink"/>
                <w:noProof/>
              </w:rPr>
              <w:t>Final decision in relation to</w:t>
            </w:r>
            <w:r w:rsidRPr="006B2DE1">
              <w:rPr>
                <w:rStyle w:val="Hyperlink"/>
                <w:rFonts w:cstheme="minorHAnsi"/>
                <w:noProof/>
              </w:rPr>
              <w:t xml:space="preserve"> </w:t>
            </w:r>
            <w:r w:rsidRPr="006B2DE1">
              <w:rPr>
                <w:rStyle w:val="Hyperlink"/>
                <w:rFonts w:cstheme="minorHAnsi"/>
                <w:i/>
                <w:iCs/>
                <w:noProof/>
              </w:rPr>
              <w:t>Mitragyna speciosa</w:t>
            </w:r>
            <w:r w:rsidRPr="006B2DE1">
              <w:rPr>
                <w:rStyle w:val="Hyperlink"/>
                <w:rFonts w:cstheme="minorHAnsi"/>
                <w:noProof/>
              </w:rPr>
              <w:t xml:space="preserve"> (kratom)</w:t>
            </w:r>
            <w:r>
              <w:rPr>
                <w:noProof/>
                <w:webHidden/>
              </w:rPr>
              <w:tab/>
            </w:r>
            <w:r>
              <w:rPr>
                <w:noProof/>
                <w:webHidden/>
              </w:rPr>
              <w:fldChar w:fldCharType="begin"/>
            </w:r>
            <w:r>
              <w:rPr>
                <w:noProof/>
                <w:webHidden/>
              </w:rPr>
              <w:instrText xml:space="preserve"> PAGEREF _Toc230353669 \h </w:instrText>
            </w:r>
            <w:r>
              <w:rPr>
                <w:noProof/>
                <w:webHidden/>
              </w:rPr>
            </w:r>
            <w:r>
              <w:rPr>
                <w:noProof/>
                <w:webHidden/>
              </w:rPr>
              <w:fldChar w:fldCharType="separate"/>
            </w:r>
            <w:r>
              <w:rPr>
                <w:noProof/>
                <w:webHidden/>
              </w:rPr>
              <w:t>25</w:t>
            </w:r>
            <w:r>
              <w:rPr>
                <w:noProof/>
                <w:webHidden/>
              </w:rPr>
              <w:fldChar w:fldCharType="end"/>
            </w:r>
          </w:hyperlink>
        </w:p>
        <w:p w14:paraId="4E2900B9" w14:textId="09F2F656" w:rsidR="00E25235" w:rsidRDefault="00E2523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353670" w:history="1">
            <w:r w:rsidRPr="006B2DE1">
              <w:rPr>
                <w:rStyle w:val="Hyperlink"/>
                <w:noProof/>
              </w:rPr>
              <w:t>Decision to amend the current Poisons Standard under section 52D(2) of the Act</w:t>
            </w:r>
            <w:r>
              <w:rPr>
                <w:noProof/>
                <w:webHidden/>
              </w:rPr>
              <w:tab/>
            </w:r>
            <w:r>
              <w:rPr>
                <w:noProof/>
                <w:webHidden/>
              </w:rPr>
              <w:fldChar w:fldCharType="begin"/>
            </w:r>
            <w:r>
              <w:rPr>
                <w:noProof/>
                <w:webHidden/>
              </w:rPr>
              <w:instrText xml:space="preserve"> PAGEREF _Toc230353670 \h </w:instrText>
            </w:r>
            <w:r>
              <w:rPr>
                <w:noProof/>
                <w:webHidden/>
              </w:rPr>
            </w:r>
            <w:r>
              <w:rPr>
                <w:noProof/>
                <w:webHidden/>
              </w:rPr>
              <w:fldChar w:fldCharType="separate"/>
            </w:r>
            <w:r>
              <w:rPr>
                <w:noProof/>
                <w:webHidden/>
              </w:rPr>
              <w:t>30</w:t>
            </w:r>
            <w:r>
              <w:rPr>
                <w:noProof/>
                <w:webHidden/>
              </w:rPr>
              <w:fldChar w:fldCharType="end"/>
            </w:r>
          </w:hyperlink>
        </w:p>
        <w:p w14:paraId="160D9659" w14:textId="7C4C43A8"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1" w:history="1">
            <w:r w:rsidRPr="006B2DE1">
              <w:rPr>
                <w:rStyle w:val="Hyperlink"/>
                <w:noProof/>
              </w:rPr>
              <w:t>Decision in relation to WIN 55,212-2</w:t>
            </w:r>
            <w:r>
              <w:rPr>
                <w:noProof/>
                <w:webHidden/>
              </w:rPr>
              <w:tab/>
            </w:r>
            <w:r>
              <w:rPr>
                <w:noProof/>
                <w:webHidden/>
              </w:rPr>
              <w:fldChar w:fldCharType="begin"/>
            </w:r>
            <w:r>
              <w:rPr>
                <w:noProof/>
                <w:webHidden/>
              </w:rPr>
              <w:instrText xml:space="preserve"> PAGEREF _Toc230353671 \h </w:instrText>
            </w:r>
            <w:r>
              <w:rPr>
                <w:noProof/>
                <w:webHidden/>
              </w:rPr>
            </w:r>
            <w:r>
              <w:rPr>
                <w:noProof/>
                <w:webHidden/>
              </w:rPr>
              <w:fldChar w:fldCharType="separate"/>
            </w:r>
            <w:r>
              <w:rPr>
                <w:noProof/>
                <w:webHidden/>
              </w:rPr>
              <w:t>30</w:t>
            </w:r>
            <w:r>
              <w:rPr>
                <w:noProof/>
                <w:webHidden/>
              </w:rPr>
              <w:fldChar w:fldCharType="end"/>
            </w:r>
          </w:hyperlink>
        </w:p>
        <w:p w14:paraId="224D7F58" w14:textId="015F0D23" w:rsidR="00E25235" w:rsidRDefault="00E2523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353672" w:history="1">
            <w:r w:rsidRPr="006B2DE1">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_Toc230353672 \h </w:instrText>
            </w:r>
            <w:r>
              <w:rPr>
                <w:noProof/>
                <w:webHidden/>
              </w:rPr>
            </w:r>
            <w:r>
              <w:rPr>
                <w:noProof/>
                <w:webHidden/>
              </w:rPr>
              <w:fldChar w:fldCharType="separate"/>
            </w:r>
            <w:r>
              <w:rPr>
                <w:noProof/>
                <w:webHidden/>
              </w:rPr>
              <w:t>32</w:t>
            </w:r>
            <w:r>
              <w:rPr>
                <w:noProof/>
                <w:webHidden/>
              </w:rPr>
              <w:fldChar w:fldCharType="end"/>
            </w:r>
          </w:hyperlink>
        </w:p>
        <w:p w14:paraId="121B107D" w14:textId="0CCAF378"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3" w:history="1">
            <w:r w:rsidRPr="006B2DE1">
              <w:rPr>
                <w:rStyle w:val="Hyperlink"/>
                <w:noProof/>
              </w:rPr>
              <w:t>ANACAULASE-BCDB</w:t>
            </w:r>
            <w:r>
              <w:rPr>
                <w:noProof/>
                <w:webHidden/>
              </w:rPr>
              <w:tab/>
            </w:r>
            <w:r>
              <w:rPr>
                <w:noProof/>
                <w:webHidden/>
              </w:rPr>
              <w:fldChar w:fldCharType="begin"/>
            </w:r>
            <w:r>
              <w:rPr>
                <w:noProof/>
                <w:webHidden/>
              </w:rPr>
              <w:instrText xml:space="preserve"> PAGEREF _Toc230353673 \h </w:instrText>
            </w:r>
            <w:r>
              <w:rPr>
                <w:noProof/>
                <w:webHidden/>
              </w:rPr>
            </w:r>
            <w:r>
              <w:rPr>
                <w:noProof/>
                <w:webHidden/>
              </w:rPr>
              <w:fldChar w:fldCharType="separate"/>
            </w:r>
            <w:r>
              <w:rPr>
                <w:noProof/>
                <w:webHidden/>
              </w:rPr>
              <w:t>32</w:t>
            </w:r>
            <w:r>
              <w:rPr>
                <w:noProof/>
                <w:webHidden/>
              </w:rPr>
              <w:fldChar w:fldCharType="end"/>
            </w:r>
          </w:hyperlink>
        </w:p>
        <w:p w14:paraId="335443C2" w14:textId="33560689"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4" w:history="1">
            <w:r w:rsidRPr="006B2DE1">
              <w:rPr>
                <w:rStyle w:val="Hyperlink"/>
                <w:noProof/>
              </w:rPr>
              <w:t>APADAMTASE ALFA</w:t>
            </w:r>
            <w:r>
              <w:rPr>
                <w:noProof/>
                <w:webHidden/>
              </w:rPr>
              <w:tab/>
            </w:r>
            <w:r>
              <w:rPr>
                <w:noProof/>
                <w:webHidden/>
              </w:rPr>
              <w:fldChar w:fldCharType="begin"/>
            </w:r>
            <w:r>
              <w:rPr>
                <w:noProof/>
                <w:webHidden/>
              </w:rPr>
              <w:instrText xml:space="preserve"> PAGEREF _Toc230353674 \h </w:instrText>
            </w:r>
            <w:r>
              <w:rPr>
                <w:noProof/>
                <w:webHidden/>
              </w:rPr>
            </w:r>
            <w:r>
              <w:rPr>
                <w:noProof/>
                <w:webHidden/>
              </w:rPr>
              <w:fldChar w:fldCharType="separate"/>
            </w:r>
            <w:r>
              <w:rPr>
                <w:noProof/>
                <w:webHidden/>
              </w:rPr>
              <w:t>32</w:t>
            </w:r>
            <w:r>
              <w:rPr>
                <w:noProof/>
                <w:webHidden/>
              </w:rPr>
              <w:fldChar w:fldCharType="end"/>
            </w:r>
          </w:hyperlink>
        </w:p>
        <w:p w14:paraId="42B833BB" w14:textId="35A32558"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5" w:history="1">
            <w:r w:rsidRPr="006B2DE1">
              <w:rPr>
                <w:rStyle w:val="Hyperlink"/>
                <w:noProof/>
              </w:rPr>
              <w:t>AVACINCAPTAD PEGOL</w:t>
            </w:r>
            <w:r>
              <w:rPr>
                <w:noProof/>
                <w:webHidden/>
              </w:rPr>
              <w:tab/>
            </w:r>
            <w:r>
              <w:rPr>
                <w:noProof/>
                <w:webHidden/>
              </w:rPr>
              <w:fldChar w:fldCharType="begin"/>
            </w:r>
            <w:r>
              <w:rPr>
                <w:noProof/>
                <w:webHidden/>
              </w:rPr>
              <w:instrText xml:space="preserve"> PAGEREF _Toc230353675 \h </w:instrText>
            </w:r>
            <w:r>
              <w:rPr>
                <w:noProof/>
                <w:webHidden/>
              </w:rPr>
            </w:r>
            <w:r>
              <w:rPr>
                <w:noProof/>
                <w:webHidden/>
              </w:rPr>
              <w:fldChar w:fldCharType="separate"/>
            </w:r>
            <w:r>
              <w:rPr>
                <w:noProof/>
                <w:webHidden/>
              </w:rPr>
              <w:t>32</w:t>
            </w:r>
            <w:r>
              <w:rPr>
                <w:noProof/>
                <w:webHidden/>
              </w:rPr>
              <w:fldChar w:fldCharType="end"/>
            </w:r>
          </w:hyperlink>
        </w:p>
        <w:p w14:paraId="2FA56700" w14:textId="7B4EE9A5"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6" w:history="1">
            <w:r w:rsidRPr="006B2DE1">
              <w:rPr>
                <w:rStyle w:val="Hyperlink"/>
                <w:noProof/>
              </w:rPr>
              <w:t>CAPMATINIB</w:t>
            </w:r>
            <w:r>
              <w:rPr>
                <w:noProof/>
                <w:webHidden/>
              </w:rPr>
              <w:tab/>
            </w:r>
            <w:r>
              <w:rPr>
                <w:noProof/>
                <w:webHidden/>
              </w:rPr>
              <w:fldChar w:fldCharType="begin"/>
            </w:r>
            <w:r>
              <w:rPr>
                <w:noProof/>
                <w:webHidden/>
              </w:rPr>
              <w:instrText xml:space="preserve"> PAGEREF _Toc230353676 \h </w:instrText>
            </w:r>
            <w:r>
              <w:rPr>
                <w:noProof/>
                <w:webHidden/>
              </w:rPr>
            </w:r>
            <w:r>
              <w:rPr>
                <w:noProof/>
                <w:webHidden/>
              </w:rPr>
              <w:fldChar w:fldCharType="separate"/>
            </w:r>
            <w:r>
              <w:rPr>
                <w:noProof/>
                <w:webHidden/>
              </w:rPr>
              <w:t>32</w:t>
            </w:r>
            <w:r>
              <w:rPr>
                <w:noProof/>
                <w:webHidden/>
              </w:rPr>
              <w:fldChar w:fldCharType="end"/>
            </w:r>
          </w:hyperlink>
        </w:p>
        <w:p w14:paraId="776D2B36" w14:textId="79407880"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7" w:history="1">
            <w:r w:rsidRPr="006B2DE1">
              <w:rPr>
                <w:rStyle w:val="Hyperlink"/>
                <w:noProof/>
              </w:rPr>
              <w:t>DEPEMOKIMAB</w:t>
            </w:r>
            <w:r>
              <w:rPr>
                <w:noProof/>
                <w:webHidden/>
              </w:rPr>
              <w:tab/>
            </w:r>
            <w:r>
              <w:rPr>
                <w:noProof/>
                <w:webHidden/>
              </w:rPr>
              <w:fldChar w:fldCharType="begin"/>
            </w:r>
            <w:r>
              <w:rPr>
                <w:noProof/>
                <w:webHidden/>
              </w:rPr>
              <w:instrText xml:space="preserve"> PAGEREF _Toc230353677 \h </w:instrText>
            </w:r>
            <w:r>
              <w:rPr>
                <w:noProof/>
                <w:webHidden/>
              </w:rPr>
            </w:r>
            <w:r>
              <w:rPr>
                <w:noProof/>
                <w:webHidden/>
              </w:rPr>
              <w:fldChar w:fldCharType="separate"/>
            </w:r>
            <w:r>
              <w:rPr>
                <w:noProof/>
                <w:webHidden/>
              </w:rPr>
              <w:t>33</w:t>
            </w:r>
            <w:r>
              <w:rPr>
                <w:noProof/>
                <w:webHidden/>
              </w:rPr>
              <w:fldChar w:fldCharType="end"/>
            </w:r>
          </w:hyperlink>
        </w:p>
        <w:p w14:paraId="321FAA02" w14:textId="0D3C833F"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8" w:history="1">
            <w:r w:rsidRPr="006B2DE1">
              <w:rPr>
                <w:rStyle w:val="Hyperlink"/>
                <w:noProof/>
              </w:rPr>
              <w:t>DEUTIVACAFTOR</w:t>
            </w:r>
            <w:r>
              <w:rPr>
                <w:noProof/>
                <w:webHidden/>
              </w:rPr>
              <w:tab/>
            </w:r>
            <w:r>
              <w:rPr>
                <w:noProof/>
                <w:webHidden/>
              </w:rPr>
              <w:fldChar w:fldCharType="begin"/>
            </w:r>
            <w:r>
              <w:rPr>
                <w:noProof/>
                <w:webHidden/>
              </w:rPr>
              <w:instrText xml:space="preserve"> PAGEREF _Toc230353678 \h </w:instrText>
            </w:r>
            <w:r>
              <w:rPr>
                <w:noProof/>
                <w:webHidden/>
              </w:rPr>
            </w:r>
            <w:r>
              <w:rPr>
                <w:noProof/>
                <w:webHidden/>
              </w:rPr>
              <w:fldChar w:fldCharType="separate"/>
            </w:r>
            <w:r>
              <w:rPr>
                <w:noProof/>
                <w:webHidden/>
              </w:rPr>
              <w:t>33</w:t>
            </w:r>
            <w:r>
              <w:rPr>
                <w:noProof/>
                <w:webHidden/>
              </w:rPr>
              <w:fldChar w:fldCharType="end"/>
            </w:r>
          </w:hyperlink>
        </w:p>
        <w:p w14:paraId="03C9DE14" w14:textId="0B3BBF00"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79" w:history="1">
            <w:r w:rsidRPr="006B2DE1">
              <w:rPr>
                <w:rStyle w:val="Hyperlink"/>
                <w:noProof/>
              </w:rPr>
              <w:t>OREBRUTINIB</w:t>
            </w:r>
            <w:r>
              <w:rPr>
                <w:noProof/>
                <w:webHidden/>
              </w:rPr>
              <w:tab/>
            </w:r>
            <w:r>
              <w:rPr>
                <w:noProof/>
                <w:webHidden/>
              </w:rPr>
              <w:fldChar w:fldCharType="begin"/>
            </w:r>
            <w:r>
              <w:rPr>
                <w:noProof/>
                <w:webHidden/>
              </w:rPr>
              <w:instrText xml:space="preserve"> PAGEREF _Toc230353679 \h </w:instrText>
            </w:r>
            <w:r>
              <w:rPr>
                <w:noProof/>
                <w:webHidden/>
              </w:rPr>
            </w:r>
            <w:r>
              <w:rPr>
                <w:noProof/>
                <w:webHidden/>
              </w:rPr>
              <w:fldChar w:fldCharType="separate"/>
            </w:r>
            <w:r>
              <w:rPr>
                <w:noProof/>
                <w:webHidden/>
              </w:rPr>
              <w:t>33</w:t>
            </w:r>
            <w:r>
              <w:rPr>
                <w:noProof/>
                <w:webHidden/>
              </w:rPr>
              <w:fldChar w:fldCharType="end"/>
            </w:r>
          </w:hyperlink>
        </w:p>
        <w:p w14:paraId="72596673" w14:textId="4305D7CA"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80" w:history="1">
            <w:r w:rsidRPr="006B2DE1">
              <w:rPr>
                <w:rStyle w:val="Hyperlink"/>
                <w:noProof/>
              </w:rPr>
              <w:t>PIRTOBRUTINIB</w:t>
            </w:r>
            <w:r>
              <w:rPr>
                <w:noProof/>
                <w:webHidden/>
              </w:rPr>
              <w:tab/>
            </w:r>
            <w:r>
              <w:rPr>
                <w:noProof/>
                <w:webHidden/>
              </w:rPr>
              <w:fldChar w:fldCharType="begin"/>
            </w:r>
            <w:r>
              <w:rPr>
                <w:noProof/>
                <w:webHidden/>
              </w:rPr>
              <w:instrText xml:space="preserve"> PAGEREF _Toc230353680 \h </w:instrText>
            </w:r>
            <w:r>
              <w:rPr>
                <w:noProof/>
                <w:webHidden/>
              </w:rPr>
            </w:r>
            <w:r>
              <w:rPr>
                <w:noProof/>
                <w:webHidden/>
              </w:rPr>
              <w:fldChar w:fldCharType="separate"/>
            </w:r>
            <w:r>
              <w:rPr>
                <w:noProof/>
                <w:webHidden/>
              </w:rPr>
              <w:t>33</w:t>
            </w:r>
            <w:r>
              <w:rPr>
                <w:noProof/>
                <w:webHidden/>
              </w:rPr>
              <w:fldChar w:fldCharType="end"/>
            </w:r>
          </w:hyperlink>
        </w:p>
        <w:p w14:paraId="6ABC4B07" w14:textId="3A0BFE79"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81" w:history="1">
            <w:r w:rsidRPr="006B2DE1">
              <w:rPr>
                <w:rStyle w:val="Hyperlink"/>
                <w:noProof/>
              </w:rPr>
              <w:t>PLOZASIRAN</w:t>
            </w:r>
            <w:r>
              <w:rPr>
                <w:noProof/>
                <w:webHidden/>
              </w:rPr>
              <w:tab/>
            </w:r>
            <w:r>
              <w:rPr>
                <w:noProof/>
                <w:webHidden/>
              </w:rPr>
              <w:fldChar w:fldCharType="begin"/>
            </w:r>
            <w:r>
              <w:rPr>
                <w:noProof/>
                <w:webHidden/>
              </w:rPr>
              <w:instrText xml:space="preserve"> PAGEREF _Toc230353681 \h </w:instrText>
            </w:r>
            <w:r>
              <w:rPr>
                <w:noProof/>
                <w:webHidden/>
              </w:rPr>
            </w:r>
            <w:r>
              <w:rPr>
                <w:noProof/>
                <w:webHidden/>
              </w:rPr>
              <w:fldChar w:fldCharType="separate"/>
            </w:r>
            <w:r>
              <w:rPr>
                <w:noProof/>
                <w:webHidden/>
              </w:rPr>
              <w:t>33</w:t>
            </w:r>
            <w:r>
              <w:rPr>
                <w:noProof/>
                <w:webHidden/>
              </w:rPr>
              <w:fldChar w:fldCharType="end"/>
            </w:r>
          </w:hyperlink>
        </w:p>
        <w:p w14:paraId="5497321E" w14:textId="7D546FA6"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82" w:history="1">
            <w:r w:rsidRPr="006B2DE1">
              <w:rPr>
                <w:rStyle w:val="Hyperlink"/>
                <w:noProof/>
              </w:rPr>
              <w:t>REMIBRUTINIB</w:t>
            </w:r>
            <w:r>
              <w:rPr>
                <w:noProof/>
                <w:webHidden/>
              </w:rPr>
              <w:tab/>
            </w:r>
            <w:r>
              <w:rPr>
                <w:noProof/>
                <w:webHidden/>
              </w:rPr>
              <w:fldChar w:fldCharType="begin"/>
            </w:r>
            <w:r>
              <w:rPr>
                <w:noProof/>
                <w:webHidden/>
              </w:rPr>
              <w:instrText xml:space="preserve"> PAGEREF _Toc230353682 \h </w:instrText>
            </w:r>
            <w:r>
              <w:rPr>
                <w:noProof/>
                <w:webHidden/>
              </w:rPr>
            </w:r>
            <w:r>
              <w:rPr>
                <w:noProof/>
                <w:webHidden/>
              </w:rPr>
              <w:fldChar w:fldCharType="separate"/>
            </w:r>
            <w:r>
              <w:rPr>
                <w:noProof/>
                <w:webHidden/>
              </w:rPr>
              <w:t>34</w:t>
            </w:r>
            <w:r>
              <w:rPr>
                <w:noProof/>
                <w:webHidden/>
              </w:rPr>
              <w:fldChar w:fldCharType="end"/>
            </w:r>
          </w:hyperlink>
        </w:p>
        <w:p w14:paraId="476A9C4A" w14:textId="275ABD37"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83" w:history="1">
            <w:r w:rsidRPr="006B2DE1">
              <w:rPr>
                <w:rStyle w:val="Hyperlink"/>
                <w:noProof/>
              </w:rPr>
              <w:t>RETIFANLIMAB</w:t>
            </w:r>
            <w:r>
              <w:rPr>
                <w:noProof/>
                <w:webHidden/>
              </w:rPr>
              <w:tab/>
            </w:r>
            <w:r>
              <w:rPr>
                <w:noProof/>
                <w:webHidden/>
              </w:rPr>
              <w:fldChar w:fldCharType="begin"/>
            </w:r>
            <w:r>
              <w:rPr>
                <w:noProof/>
                <w:webHidden/>
              </w:rPr>
              <w:instrText xml:space="preserve"> PAGEREF _Toc230353683 \h </w:instrText>
            </w:r>
            <w:r>
              <w:rPr>
                <w:noProof/>
                <w:webHidden/>
              </w:rPr>
            </w:r>
            <w:r>
              <w:rPr>
                <w:noProof/>
                <w:webHidden/>
              </w:rPr>
              <w:fldChar w:fldCharType="separate"/>
            </w:r>
            <w:r>
              <w:rPr>
                <w:noProof/>
                <w:webHidden/>
              </w:rPr>
              <w:t>34</w:t>
            </w:r>
            <w:r>
              <w:rPr>
                <w:noProof/>
                <w:webHidden/>
              </w:rPr>
              <w:fldChar w:fldCharType="end"/>
            </w:r>
          </w:hyperlink>
        </w:p>
        <w:p w14:paraId="5FFA923B" w14:textId="75CB5AB7" w:rsidR="00E25235" w:rsidRDefault="00E2523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353684" w:history="1">
            <w:r w:rsidRPr="006B2DE1">
              <w:rPr>
                <w:rStyle w:val="Hyperlink"/>
                <w:noProof/>
              </w:rPr>
              <w:t>VANZACAFTOR</w:t>
            </w:r>
            <w:r>
              <w:rPr>
                <w:noProof/>
                <w:webHidden/>
              </w:rPr>
              <w:tab/>
            </w:r>
            <w:r>
              <w:rPr>
                <w:noProof/>
                <w:webHidden/>
              </w:rPr>
              <w:fldChar w:fldCharType="begin"/>
            </w:r>
            <w:r>
              <w:rPr>
                <w:noProof/>
                <w:webHidden/>
              </w:rPr>
              <w:instrText xml:space="preserve"> PAGEREF _Toc230353684 \h </w:instrText>
            </w:r>
            <w:r>
              <w:rPr>
                <w:noProof/>
                <w:webHidden/>
              </w:rPr>
            </w:r>
            <w:r>
              <w:rPr>
                <w:noProof/>
                <w:webHidden/>
              </w:rPr>
              <w:fldChar w:fldCharType="separate"/>
            </w:r>
            <w:r>
              <w:rPr>
                <w:noProof/>
                <w:webHidden/>
              </w:rPr>
              <w:t>34</w:t>
            </w:r>
            <w:r>
              <w:rPr>
                <w:noProof/>
                <w:webHidden/>
              </w:rPr>
              <w:fldChar w:fldCharType="end"/>
            </w:r>
          </w:hyperlink>
        </w:p>
        <w:p w14:paraId="09B05728" w14:textId="2AC8C8FC" w:rsidR="00F02AEC" w:rsidRPr="00215D48" w:rsidRDefault="002B5C5B" w:rsidP="00967490">
          <w:r>
            <w:fldChar w:fldCharType="end"/>
          </w:r>
        </w:p>
      </w:sdtContent>
    </w:sdt>
    <w:p w14:paraId="4D0C412B" w14:textId="77777777" w:rsidR="00F02AEC" w:rsidRPr="00215D48" w:rsidRDefault="00F02AEC" w:rsidP="00967490">
      <w:r w:rsidRPr="00215D48">
        <w:br w:type="page"/>
      </w:r>
    </w:p>
    <w:p w14:paraId="3A06BE1E" w14:textId="77777777" w:rsidR="00457050" w:rsidRPr="00BC2009" w:rsidRDefault="00457050" w:rsidP="00967490">
      <w:pPr>
        <w:pStyle w:val="Heading2"/>
      </w:pPr>
      <w:bookmarkStart w:id="6" w:name="_Toc97640261"/>
      <w:bookmarkStart w:id="7" w:name="_Toc230353658"/>
      <w:r w:rsidRPr="00597B50">
        <w:lastRenderedPageBreak/>
        <w:t>Notice of final decisions to amend (or not amend) the current Poisons Standard</w:t>
      </w:r>
      <w:bookmarkEnd w:id="6"/>
      <w:bookmarkEnd w:id="7"/>
      <w:r w:rsidRPr="00597B50">
        <w:t xml:space="preserve"> </w:t>
      </w:r>
    </w:p>
    <w:p w14:paraId="2FB850E1" w14:textId="49B1C22E" w:rsidR="00457050" w:rsidRPr="00206027" w:rsidRDefault="00457050" w:rsidP="00967490">
      <w:pPr>
        <w:rPr>
          <w:rFonts w:cs="Arial"/>
        </w:rPr>
      </w:pPr>
      <w:r w:rsidRPr="00206027">
        <w:rPr>
          <w:rFonts w:cs="Arial"/>
        </w:rPr>
        <w:t xml:space="preserve">This web publication constitutes a notice for the purposes of regulation </w:t>
      </w:r>
      <w:proofErr w:type="spellStart"/>
      <w:r w:rsidRPr="0011279A">
        <w:rPr>
          <w:rFonts w:cs="Arial"/>
        </w:rPr>
        <w:t>42ZCZS</w:t>
      </w:r>
      <w:proofErr w:type="spellEnd"/>
      <w:r w:rsidR="0011279A" w:rsidRPr="0011279A">
        <w:rPr>
          <w:rFonts w:cs="Arial"/>
        </w:rPr>
        <w:t xml:space="preserve"> </w:t>
      </w:r>
      <w:r w:rsidRPr="0011279A">
        <w:rPr>
          <w:rFonts w:cs="Arial"/>
        </w:rPr>
        <w:t xml:space="preserve">and regulation </w:t>
      </w:r>
      <w:proofErr w:type="spellStart"/>
      <w:r w:rsidRPr="0011279A">
        <w:rPr>
          <w:rFonts w:cs="Arial"/>
        </w:rPr>
        <w:t>42ZCZX</w:t>
      </w:r>
      <w:proofErr w:type="spellEnd"/>
      <w:r w:rsidRPr="00206027">
        <w:rPr>
          <w:rFonts w:cs="Arial"/>
        </w:rPr>
        <w:t xml:space="preserve"> of the </w:t>
      </w:r>
      <w:r w:rsidRPr="00206027">
        <w:rPr>
          <w:rFonts w:cs="Arial"/>
          <w:i/>
        </w:rPr>
        <w:t>Therapeutic Goods Regulations</w:t>
      </w:r>
      <w:r w:rsidR="00457567">
        <w:rPr>
          <w:rFonts w:cs="Arial"/>
          <w:i/>
        </w:rPr>
        <w:t>,</w:t>
      </w:r>
      <w:r w:rsidRPr="00206027">
        <w:rPr>
          <w:rFonts w:cs="Arial"/>
          <w:i/>
        </w:rPr>
        <w:t xml:space="preserve"> 1990 </w:t>
      </w:r>
      <w:r w:rsidRPr="00206027">
        <w:rPr>
          <w:rFonts w:cs="Arial"/>
        </w:rPr>
        <w:t xml:space="preserve">(the </w:t>
      </w:r>
      <w:r w:rsidRPr="00206027">
        <w:rPr>
          <w:rFonts w:cs="Arial"/>
          <w:b/>
        </w:rPr>
        <w:t>Regulations</w:t>
      </w:r>
      <w:r w:rsidRPr="00206027">
        <w:rPr>
          <w:rFonts w:cs="Arial"/>
        </w:rPr>
        <w:t xml:space="preserve">). In accordance with </w:t>
      </w:r>
      <w:r w:rsidRPr="0011279A">
        <w:rPr>
          <w:rFonts w:cs="Arial"/>
        </w:rPr>
        <w:t xml:space="preserve">regulations </w:t>
      </w:r>
      <w:proofErr w:type="spellStart"/>
      <w:r w:rsidRPr="0011279A">
        <w:rPr>
          <w:rFonts w:cs="Arial"/>
        </w:rPr>
        <w:t>42ZCZS</w:t>
      </w:r>
      <w:proofErr w:type="spellEnd"/>
      <w:r w:rsidR="0011279A" w:rsidRPr="0011279A">
        <w:rPr>
          <w:rFonts w:cs="Arial"/>
        </w:rPr>
        <w:t xml:space="preserve"> </w:t>
      </w:r>
      <w:r w:rsidRPr="0011279A">
        <w:rPr>
          <w:rFonts w:cs="Arial"/>
        </w:rPr>
        <w:t xml:space="preserve">and </w:t>
      </w:r>
      <w:proofErr w:type="spellStart"/>
      <w:r w:rsidRPr="0011279A">
        <w:rPr>
          <w:rFonts w:cs="Arial"/>
        </w:rPr>
        <w:t>42</w:t>
      </w:r>
      <w:r w:rsidR="00687CE8">
        <w:rPr>
          <w:rFonts w:cs="Arial"/>
        </w:rPr>
        <w:t>Z</w:t>
      </w:r>
      <w:r w:rsidRPr="0011279A">
        <w:rPr>
          <w:rFonts w:cs="Arial"/>
        </w:rPr>
        <w:t>CZX</w:t>
      </w:r>
      <w:proofErr w:type="spellEnd"/>
      <w:r w:rsidRPr="0011279A">
        <w:rPr>
          <w:rFonts w:cs="Arial"/>
        </w:rPr>
        <w:t>,</w:t>
      </w:r>
      <w:r w:rsidRPr="00206027">
        <w:rPr>
          <w:rFonts w:cs="Arial"/>
        </w:rPr>
        <w:t xml:space="preserve"> this notice publishes:</w:t>
      </w:r>
    </w:p>
    <w:p w14:paraId="4D038242" w14:textId="3306DCEB" w:rsidR="00457050" w:rsidRPr="00206027" w:rsidRDefault="00457050" w:rsidP="00F26607">
      <w:pPr>
        <w:pStyle w:val="ListBullet"/>
        <w:numPr>
          <w:ilvl w:val="0"/>
          <w:numId w:val="12"/>
        </w:numPr>
      </w:pPr>
      <w:r w:rsidRPr="00206027">
        <w:t>the decision</w:t>
      </w:r>
      <w:r w:rsidR="00C5736D">
        <w:t>s</w:t>
      </w:r>
      <w:r w:rsidRPr="00206027">
        <w:t xml:space="preserve"> made by a delegate</w:t>
      </w:r>
      <w:r w:rsidRPr="00206027">
        <w:rPr>
          <w:rStyle w:val="FootnoteReference"/>
          <w:rFonts w:cs="Arial"/>
        </w:rPr>
        <w:footnoteReference w:id="1"/>
      </w:r>
      <w:r w:rsidRPr="00206027">
        <w:t xml:space="preserve"> of the Secretary of the Department of Health</w:t>
      </w:r>
      <w:r w:rsidR="005F215F">
        <w:t>, Disability</w:t>
      </w:r>
      <w:r w:rsidRPr="00206027">
        <w:t xml:space="preserve"> and Age</w:t>
      </w:r>
      <w:r w:rsidR="005F215F">
        <w:t>ing</w:t>
      </w:r>
      <w:r w:rsidRPr="00206027">
        <w:t xml:space="preserve"> (the </w:t>
      </w:r>
      <w:r w:rsidRPr="00206027">
        <w:rPr>
          <w:b/>
          <w:bCs/>
        </w:rPr>
        <w:t>Delegate</w:t>
      </w:r>
      <w:r w:rsidRPr="00206027">
        <w:t>) pursuant to regulation</w:t>
      </w:r>
      <w:r w:rsidR="00C5736D">
        <w:t>s</w:t>
      </w:r>
      <w:r w:rsidRPr="00206027">
        <w:t xml:space="preserve"> </w:t>
      </w:r>
      <w:proofErr w:type="spellStart"/>
      <w:r w:rsidRPr="00206027">
        <w:t>42</w:t>
      </w:r>
      <w:r w:rsidR="00004C53">
        <w:t>Z</w:t>
      </w:r>
      <w:r w:rsidRPr="00206027">
        <w:t>CZR</w:t>
      </w:r>
      <w:proofErr w:type="spellEnd"/>
      <w:r w:rsidR="006723C4">
        <w:t xml:space="preserve"> and</w:t>
      </w:r>
      <w:r w:rsidRPr="00206027">
        <w:t xml:space="preserve"> </w:t>
      </w:r>
      <w:proofErr w:type="spellStart"/>
      <w:r w:rsidRPr="00206027">
        <w:t>42ZCZW</w:t>
      </w:r>
      <w:proofErr w:type="spellEnd"/>
    </w:p>
    <w:p w14:paraId="1AA8F280" w14:textId="02E74F82" w:rsidR="00457050" w:rsidRPr="00206027" w:rsidRDefault="00457050" w:rsidP="00F26607">
      <w:pPr>
        <w:pStyle w:val="ListBullet"/>
        <w:numPr>
          <w:ilvl w:val="0"/>
          <w:numId w:val="12"/>
        </w:numPr>
      </w:pPr>
      <w:r w:rsidRPr="00206027">
        <w:t xml:space="preserve">the reasons for </w:t>
      </w:r>
      <w:r w:rsidR="00C5736D">
        <w:t>those</w:t>
      </w:r>
      <w:r w:rsidRPr="00206027">
        <w:t xml:space="preserve"> final decision</w:t>
      </w:r>
      <w:r w:rsidR="00C5736D">
        <w:t>s</w:t>
      </w:r>
      <w:r w:rsidRPr="00206027">
        <w:t xml:space="preserve"> and</w:t>
      </w:r>
    </w:p>
    <w:p w14:paraId="5E6BC7C7" w14:textId="0076B117" w:rsidR="00457050" w:rsidRPr="00206027" w:rsidRDefault="00457050" w:rsidP="00F26607">
      <w:pPr>
        <w:pStyle w:val="ListBullet"/>
        <w:numPr>
          <w:ilvl w:val="0"/>
          <w:numId w:val="12"/>
        </w:numPr>
      </w:pPr>
      <w:r w:rsidRPr="00206027">
        <w:t>the date of effect of</w:t>
      </w:r>
      <w:r w:rsidR="00C5736D">
        <w:t xml:space="preserve"> those</w:t>
      </w:r>
      <w:r w:rsidRPr="00206027">
        <w:t xml:space="preserve"> decision</w:t>
      </w:r>
      <w:r w:rsidR="00C5736D">
        <w:t>s.</w:t>
      </w:r>
    </w:p>
    <w:p w14:paraId="5D093A3D" w14:textId="0B58E9B3" w:rsidR="00E43345" w:rsidRPr="007027CB" w:rsidRDefault="00A309E9" w:rsidP="00F26607">
      <w:r w:rsidRPr="007027CB">
        <w:t xml:space="preserve">This web publication also contains decisions made by the Delegate pursuant to subsection </w:t>
      </w:r>
      <w:proofErr w:type="spellStart"/>
      <w:r w:rsidRPr="007027CB">
        <w:t>52</w:t>
      </w:r>
      <w:proofErr w:type="gramStart"/>
      <w:r w:rsidRPr="007027CB">
        <w:t>D</w:t>
      </w:r>
      <w:proofErr w:type="spellEnd"/>
      <w:r w:rsidRPr="007027CB">
        <w:t>(</w:t>
      </w:r>
      <w:proofErr w:type="gramEnd"/>
      <w:r w:rsidRPr="007027CB">
        <w:t xml:space="preserve">2) of </w:t>
      </w:r>
      <w:r w:rsidR="00ED1763">
        <w:t xml:space="preserve">the </w:t>
      </w:r>
      <w:r w:rsidRPr="00F26607">
        <w:rPr>
          <w:i/>
          <w:iCs/>
        </w:rPr>
        <w:t>Therapeutic Goods Act</w:t>
      </w:r>
      <w:r w:rsidR="00ED1763" w:rsidRPr="00F26607">
        <w:rPr>
          <w:i/>
          <w:iCs/>
        </w:rPr>
        <w:t>,</w:t>
      </w:r>
      <w:r w:rsidRPr="00F26607">
        <w:rPr>
          <w:i/>
          <w:iCs/>
        </w:rPr>
        <w:t xml:space="preserve"> 1989</w:t>
      </w:r>
      <w:r w:rsidRPr="007027CB">
        <w:t xml:space="preserve"> (the </w:t>
      </w:r>
      <w:r w:rsidRPr="00F26607">
        <w:rPr>
          <w:b/>
          <w:bCs/>
        </w:rPr>
        <w:t>Act</w:t>
      </w:r>
      <w:r w:rsidRPr="007027CB">
        <w:t>).</w:t>
      </w:r>
    </w:p>
    <w:p w14:paraId="67DC0EBB" w14:textId="3EAF1018" w:rsidR="00457050" w:rsidRPr="00F26607" w:rsidRDefault="00831B56" w:rsidP="00B05C1F">
      <w:pPr>
        <w:pStyle w:val="ListBullet"/>
        <w:rPr>
          <w:b/>
          <w:bCs/>
        </w:rPr>
      </w:pPr>
      <w:r w:rsidRPr="00F26607">
        <w:rPr>
          <w:b/>
          <w:bCs/>
        </w:rPr>
        <w:t>Defined terms</w:t>
      </w:r>
    </w:p>
    <w:p w14:paraId="3518FC9A" w14:textId="39B18FB7" w:rsidR="00831B56" w:rsidRPr="00206027" w:rsidRDefault="00831B56" w:rsidP="00F26607">
      <w:pPr>
        <w:pStyle w:val="ListBullet"/>
      </w:pPr>
      <w:r w:rsidRPr="00206027">
        <w:t>In this notice the following defined terms are used in addition to those above:</w:t>
      </w:r>
    </w:p>
    <w:p w14:paraId="6550B5E6" w14:textId="5EBA37FF" w:rsidR="00831B56" w:rsidRPr="00206027" w:rsidRDefault="00831B56" w:rsidP="00F26607">
      <w:pPr>
        <w:pStyle w:val="ListBullet"/>
        <w:numPr>
          <w:ilvl w:val="0"/>
          <w:numId w:val="13"/>
        </w:numPr>
        <w:rPr>
          <w:rFonts w:cs="Arial"/>
        </w:rPr>
      </w:pPr>
      <w:r w:rsidRPr="00206027">
        <w:rPr>
          <w:rFonts w:cs="Arial"/>
        </w:rPr>
        <w:t xml:space="preserve">the </w:t>
      </w:r>
      <w:hyperlink r:id="rId14" w:history="1">
        <w:r w:rsidRPr="00206027">
          <w:rPr>
            <w:rStyle w:val="Hyperlink"/>
            <w:rFonts w:cs="Arial"/>
          </w:rPr>
          <w:t>Scheduling Policy Framework</w:t>
        </w:r>
      </w:hyperlink>
      <w:r w:rsidRPr="00206027">
        <w:rPr>
          <w:rFonts w:cs="Arial"/>
        </w:rPr>
        <w:t xml:space="preserve"> 2018 (the </w:t>
      </w:r>
      <w:r w:rsidRPr="00206027">
        <w:rPr>
          <w:rFonts w:cs="Arial"/>
          <w:b/>
          <w:bCs/>
        </w:rPr>
        <w:t>SPF</w:t>
      </w:r>
      <w:r w:rsidRPr="00206027">
        <w:rPr>
          <w:rFonts w:cs="Arial"/>
        </w:rPr>
        <w:t>)</w:t>
      </w:r>
    </w:p>
    <w:p w14:paraId="4CDC567B" w14:textId="38380B58" w:rsidR="00831B56" w:rsidRPr="00206027" w:rsidRDefault="00831B56" w:rsidP="00F26607">
      <w:pPr>
        <w:pStyle w:val="ListBullet"/>
        <w:numPr>
          <w:ilvl w:val="0"/>
          <w:numId w:val="13"/>
        </w:numPr>
        <w:rPr>
          <w:rFonts w:cs="Arial"/>
        </w:rPr>
      </w:pPr>
      <w:r w:rsidRPr="00206027">
        <w:rPr>
          <w:rFonts w:cs="Arial"/>
        </w:rPr>
        <w:t xml:space="preserve">the </w:t>
      </w:r>
      <w:hyperlink r:id="rId15" w:history="1">
        <w:r w:rsidR="00ED1763">
          <w:rPr>
            <w:rStyle w:val="Hyperlink"/>
            <w:rFonts w:cs="Arial"/>
          </w:rPr>
          <w:t>Scheduling handbook: Guidance for amending the Poisons Standard</w:t>
        </w:r>
      </w:hyperlink>
      <w:r w:rsidRPr="00206027">
        <w:rPr>
          <w:rFonts w:cs="Arial"/>
        </w:rPr>
        <w:t xml:space="preserve"> (the </w:t>
      </w:r>
      <w:r w:rsidRPr="00206027">
        <w:rPr>
          <w:rFonts w:cs="Arial"/>
          <w:b/>
          <w:bCs/>
        </w:rPr>
        <w:t>Handbook</w:t>
      </w:r>
      <w:r w:rsidRPr="00206027">
        <w:rPr>
          <w:rFonts w:cs="Arial"/>
        </w:rPr>
        <w:t>) and</w:t>
      </w:r>
    </w:p>
    <w:p w14:paraId="78D91CCD" w14:textId="3DC73865" w:rsidR="00831B56" w:rsidRPr="00206027" w:rsidRDefault="00831B56" w:rsidP="00F26607">
      <w:pPr>
        <w:pStyle w:val="ListBullet"/>
        <w:numPr>
          <w:ilvl w:val="0"/>
          <w:numId w:val="13"/>
        </w:numPr>
      </w:pPr>
      <w:r w:rsidRPr="00206027">
        <w:t xml:space="preserve">the Therapeutic Goods Administration (the </w:t>
      </w:r>
      <w:r w:rsidRPr="00206027">
        <w:rPr>
          <w:b/>
          <w:bCs/>
        </w:rPr>
        <w:t>TGA</w:t>
      </w:r>
      <w:r w:rsidRPr="00206027">
        <w:t>).</w:t>
      </w:r>
    </w:p>
    <w:p w14:paraId="1ECB50B6" w14:textId="5A17E978" w:rsidR="00831B56" w:rsidRPr="00206027" w:rsidRDefault="00831B56" w:rsidP="00B05C1F">
      <w:pPr>
        <w:pStyle w:val="ListBullet"/>
      </w:pPr>
      <w:r w:rsidRPr="00206027">
        <w:t>Note: additional terms are also defined for individual decisions.</w:t>
      </w:r>
    </w:p>
    <w:p w14:paraId="78617E2B" w14:textId="77777777" w:rsidR="00E82526" w:rsidRDefault="00E82526" w:rsidP="00567F2E">
      <w:bookmarkStart w:id="8" w:name="_Toc97640263"/>
      <w:r>
        <w:br w:type="page"/>
      </w:r>
    </w:p>
    <w:p w14:paraId="3D8ADD1B" w14:textId="0BDBBC7D" w:rsidR="002B1E3C" w:rsidRPr="00D2065C" w:rsidRDefault="002B1E3C" w:rsidP="00D2065C">
      <w:pPr>
        <w:pStyle w:val="Heading2"/>
      </w:pPr>
      <w:bookmarkStart w:id="9" w:name="_Toc46325255"/>
      <w:bookmarkStart w:id="10" w:name="_Toc46325611"/>
      <w:bookmarkStart w:id="11" w:name="_Toc46327427"/>
      <w:bookmarkStart w:id="12" w:name="_Toc46412213"/>
      <w:bookmarkStart w:id="13" w:name="_Final_decision_in"/>
      <w:bookmarkStart w:id="14" w:name="_Toc46325256"/>
      <w:bookmarkStart w:id="15" w:name="_Toc46325612"/>
      <w:bookmarkStart w:id="16" w:name="_Toc46327428"/>
      <w:bookmarkStart w:id="17" w:name="_Toc46412214"/>
      <w:bookmarkStart w:id="18" w:name="_Toc46325257"/>
      <w:bookmarkStart w:id="19" w:name="_Toc46325613"/>
      <w:bookmarkStart w:id="20" w:name="_Toc46327429"/>
      <w:bookmarkStart w:id="21" w:name="_Toc46412215"/>
      <w:bookmarkStart w:id="22" w:name="_Toc46325258"/>
      <w:bookmarkStart w:id="23" w:name="_Toc46325614"/>
      <w:bookmarkStart w:id="24" w:name="_Toc46327430"/>
      <w:bookmarkStart w:id="25" w:name="_Toc46412216"/>
      <w:bookmarkStart w:id="26" w:name="_Toc46325259"/>
      <w:bookmarkStart w:id="27" w:name="_Toc46325615"/>
      <w:bookmarkStart w:id="28" w:name="_Toc46327431"/>
      <w:bookmarkStart w:id="29" w:name="_Toc46412217"/>
      <w:bookmarkStart w:id="30" w:name="_Final_decision_in_1"/>
      <w:bookmarkStart w:id="31" w:name="_Toc97640265"/>
      <w:bookmarkStart w:id="32" w:name="_Toc23035365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D2065C">
        <w:lastRenderedPageBreak/>
        <w:t>Final decisions on proposed amendments referred to the Advisory Committee on Chemicals Scheduling (</w:t>
      </w:r>
      <w:r w:rsidR="00BA0D3D">
        <w:t>ACCS #40, March 2025</w:t>
      </w:r>
      <w:r w:rsidRPr="00D2065C">
        <w:t>)</w:t>
      </w:r>
      <w:bookmarkEnd w:id="32"/>
    </w:p>
    <w:p w14:paraId="13512FB3" w14:textId="1EA23432" w:rsidR="002B1E3C" w:rsidRDefault="002B1E3C" w:rsidP="002B1E3C">
      <w:pPr>
        <w:pStyle w:val="Heading3"/>
      </w:pPr>
      <w:bookmarkStart w:id="33" w:name="_Toc230353660"/>
      <w:r>
        <w:t xml:space="preserve">Final decision in relation to </w:t>
      </w:r>
      <w:r w:rsidR="00076A48" w:rsidRPr="00076A48">
        <w:t>methyl ethyl ketone oxime (MEKO)</w:t>
      </w:r>
      <w:bookmarkEnd w:id="33"/>
    </w:p>
    <w:p w14:paraId="2C9FA62B" w14:textId="77777777" w:rsidR="002B1E3C" w:rsidRPr="009A4603" w:rsidRDefault="002B1E3C" w:rsidP="00D2065C">
      <w:pPr>
        <w:pStyle w:val="Heading4"/>
      </w:pPr>
      <w:r w:rsidRPr="009A4603">
        <w:t>Proposal</w:t>
      </w:r>
    </w:p>
    <w:p w14:paraId="73DBB05A" w14:textId="7B51C9C9" w:rsidR="00F56BB2" w:rsidRDefault="00F56BB2" w:rsidP="002B1E3C">
      <w:r w:rsidRPr="00F56BB2">
        <w:t>The applicant proposed to amend the current Poisons (Schedule 6) entry for methyl ethyl ketone oxime (MEKO), such that preparations containing more than 0.1% MEKO are classified as Poisons (Schedule 6). These preparations will also be required to carry additional warning statements and safety directions regarding potential for inhalation carcinogenicity, ventilation, and the need to avoid breathing vapours of preparations containing MEKO. The application follows the recommendations of Australian Industrial Chemicals Introduction Scheme (</w:t>
      </w:r>
      <w:proofErr w:type="spellStart"/>
      <w:r w:rsidRPr="00F56BB2">
        <w:t>AICIS</w:t>
      </w:r>
      <w:proofErr w:type="spellEnd"/>
      <w:r w:rsidR="009623DA" w:rsidRPr="00503271">
        <w:t xml:space="preserve">) </w:t>
      </w:r>
      <w:hyperlink r:id="rId16" w:history="1">
        <w:r w:rsidR="009623DA" w:rsidRPr="00503271">
          <w:rPr>
            <w:rStyle w:val="Hyperlink"/>
          </w:rPr>
          <w:t>Evaluation Statement of 2-Butanone, oxime (MEKO)</w:t>
        </w:r>
      </w:hyperlink>
      <w:r w:rsidR="009623DA" w:rsidRPr="00503271">
        <w:t xml:space="preserve"> (the </w:t>
      </w:r>
      <w:r w:rsidR="009623DA" w:rsidRPr="009447A7">
        <w:rPr>
          <w:b/>
          <w:bCs/>
        </w:rPr>
        <w:t>Evaluation Statement</w:t>
      </w:r>
      <w:r w:rsidR="009623DA" w:rsidRPr="00503271">
        <w:t>)</w:t>
      </w:r>
      <w:r w:rsidR="009623DA">
        <w:t>.</w:t>
      </w:r>
      <w:r w:rsidRPr="00F56BB2">
        <w:t xml:space="preserve"> Currently, MEKO is classified as a Poison (Schedule 6) except up to 2.5% in silicone adhesives or sealants and up to 1% in all other preparations. MEKO is also listed in Appendix E (first aid instructions) and Appendix F (warning statements and general safety directions) of the Poisons Standard.</w:t>
      </w:r>
    </w:p>
    <w:p w14:paraId="0C3337AF" w14:textId="006770F1" w:rsidR="002B1E3C" w:rsidRPr="009A4603" w:rsidRDefault="002B1E3C" w:rsidP="00D2065C">
      <w:pPr>
        <w:pStyle w:val="Heading4"/>
      </w:pPr>
      <w:r w:rsidRPr="009A4603">
        <w:t>Final decision</w:t>
      </w:r>
    </w:p>
    <w:p w14:paraId="67988155" w14:textId="77777777" w:rsidR="00637610" w:rsidRDefault="00637610" w:rsidP="00637610">
      <w:r w:rsidRPr="001524A3">
        <w:t>P</w:t>
      </w:r>
      <w:r w:rsidRPr="005B1C1F">
        <w:t xml:space="preserve">ursuant to regulation </w:t>
      </w:r>
      <w:proofErr w:type="spellStart"/>
      <w:r w:rsidRPr="005B1C1F">
        <w:t>42ZCZR</w:t>
      </w:r>
      <w:proofErr w:type="spellEnd"/>
      <w:r w:rsidRPr="005B1C1F">
        <w:t xml:space="preserve"> of the Regulations</w:t>
      </w:r>
      <w:r w:rsidRPr="00794ED2">
        <w:t>, the delegate has decided to confirm the</w:t>
      </w:r>
      <w:r w:rsidRPr="005B1C1F">
        <w:t xml:space="preserve"> interim decision and amend the current Poisons Standard in relation to </w:t>
      </w:r>
      <w:r w:rsidRPr="00F16137">
        <w:t>MEKO</w:t>
      </w:r>
      <w:r w:rsidRPr="005B1C1F">
        <w:t xml:space="preserve"> as follows:</w:t>
      </w:r>
      <w:r w:rsidRPr="005B1C1F">
        <w:rPr>
          <w:rStyle w:val="FootnoteReference"/>
        </w:rPr>
        <w:footnoteReference w:id="2"/>
      </w:r>
    </w:p>
    <w:p w14:paraId="60A67A29" w14:textId="77777777" w:rsidR="00637610" w:rsidRPr="006B03DC" w:rsidRDefault="00637610" w:rsidP="004706D3">
      <w:pPr>
        <w:spacing w:before="120" w:line="240" w:lineRule="auto"/>
        <w:ind w:left="420" w:hanging="136"/>
        <w:textAlignment w:val="baseline"/>
        <w:rPr>
          <w:rFonts w:eastAsia="Calibri" w:cs="Arial"/>
          <w:b/>
          <w:bCs/>
        </w:rPr>
      </w:pPr>
      <w:r w:rsidRPr="006B03DC">
        <w:rPr>
          <w:rFonts w:eastAsia="Calibri" w:cs="Arial"/>
          <w:b/>
          <w:bCs/>
        </w:rPr>
        <w:t>Schedule 6 – Amend Entry</w:t>
      </w:r>
    </w:p>
    <w:p w14:paraId="6DA96064" w14:textId="7F68AEFB" w:rsidR="00637610" w:rsidRDefault="00637610" w:rsidP="00EE5C3B">
      <w:pPr>
        <w:spacing w:before="120" w:line="240" w:lineRule="auto"/>
        <w:ind w:left="555"/>
        <w:textAlignment w:val="baseline"/>
        <w:rPr>
          <w:rFonts w:eastAsia="Times New Roman" w:cs="Arial"/>
          <w:color w:val="00B050"/>
          <w:u w:val="single"/>
          <w:lang w:eastAsia="zh-TW"/>
        </w:rPr>
      </w:pPr>
      <w:r w:rsidRPr="006B03DC">
        <w:rPr>
          <w:rFonts w:eastAsia="Times New Roman" w:cs="Arial"/>
          <w:lang w:eastAsia="zh-TW"/>
        </w:rPr>
        <w:t xml:space="preserve">METHYL ETHYL KETONE OXIME </w:t>
      </w:r>
      <w:r w:rsidRPr="00F47947">
        <w:rPr>
          <w:rFonts w:eastAsia="Times New Roman" w:cs="Arial"/>
          <w:b/>
          <w:bCs/>
          <w:lang w:eastAsia="zh-TW"/>
        </w:rPr>
        <w:t>except</w:t>
      </w:r>
    </w:p>
    <w:p w14:paraId="15E3D2F1" w14:textId="77777777" w:rsidR="00637610" w:rsidRDefault="00637610" w:rsidP="00EE5C3B">
      <w:pPr>
        <w:spacing w:before="120" w:line="240" w:lineRule="auto"/>
        <w:ind w:left="1275" w:hanging="420"/>
        <w:textAlignment w:val="baseline"/>
        <w:rPr>
          <w:rFonts w:eastAsia="Times New Roman" w:cs="Arial"/>
          <w:lang w:eastAsia="zh-TW"/>
        </w:rPr>
      </w:pPr>
      <w:r w:rsidRPr="00F47947">
        <w:rPr>
          <w:rFonts w:eastAsia="Times New Roman" w:cs="Arial"/>
          <w:lang w:eastAsia="zh-TW"/>
        </w:rPr>
        <w:t xml:space="preserve">(a) </w:t>
      </w:r>
      <w:r w:rsidRPr="00F47947">
        <w:rPr>
          <w:rFonts w:eastAsia="Times New Roman" w:cs="Arial"/>
          <w:lang w:eastAsia="zh-TW"/>
        </w:rPr>
        <w:tab/>
        <w:t xml:space="preserve">in viscous silicone adhesives or viscous silicone sealants </w:t>
      </w:r>
      <w:r>
        <w:rPr>
          <w:rFonts w:eastAsia="Times New Roman" w:cs="Arial"/>
          <w:color w:val="00B050"/>
          <w:u w:val="single"/>
          <w:lang w:eastAsia="zh-TW"/>
        </w:rPr>
        <w:t xml:space="preserve">for outdoor use </w:t>
      </w:r>
      <w:r w:rsidRPr="00F47947">
        <w:rPr>
          <w:rFonts w:eastAsia="Times New Roman" w:cs="Arial"/>
          <w:lang w:eastAsia="zh-TW"/>
        </w:rPr>
        <w:t xml:space="preserve">containing </w:t>
      </w:r>
      <w:r>
        <w:rPr>
          <w:rFonts w:eastAsia="Times New Roman" w:cs="Arial"/>
          <w:color w:val="00B050"/>
          <w:u w:val="single"/>
          <w:lang w:eastAsia="zh-TW"/>
        </w:rPr>
        <w:t>0.5</w:t>
      </w:r>
      <w:r w:rsidRPr="00265F39">
        <w:rPr>
          <w:rFonts w:eastAsia="Times New Roman" w:cs="Arial"/>
          <w:strike/>
          <w:color w:val="FF0000"/>
          <w:lang w:eastAsia="zh-TW"/>
        </w:rPr>
        <w:t>2.5</w:t>
      </w:r>
      <w:r w:rsidRPr="00F47947">
        <w:rPr>
          <w:rFonts w:eastAsia="Times New Roman" w:cs="Arial"/>
          <w:lang w:eastAsia="zh-TW"/>
        </w:rPr>
        <w:t>% or less of methyl ethyl ketone oxime;</w:t>
      </w:r>
      <w:r>
        <w:rPr>
          <w:rFonts w:eastAsia="Times New Roman" w:cs="Arial"/>
          <w:lang w:eastAsia="zh-TW"/>
        </w:rPr>
        <w:t xml:space="preserve"> or</w:t>
      </w:r>
    </w:p>
    <w:p w14:paraId="60202FB5" w14:textId="77777777" w:rsidR="00637610" w:rsidRPr="00F47947" w:rsidRDefault="00637610" w:rsidP="00EE5C3B">
      <w:pPr>
        <w:spacing w:before="120" w:line="240" w:lineRule="auto"/>
        <w:ind w:left="1275" w:hanging="420"/>
        <w:textAlignment w:val="baseline"/>
        <w:rPr>
          <w:rFonts w:eastAsia="Times New Roman" w:cs="Arial"/>
          <w:color w:val="00B050"/>
          <w:u w:val="single"/>
          <w:lang w:eastAsia="zh-TW"/>
        </w:rPr>
      </w:pPr>
      <w:r w:rsidRPr="00F47947">
        <w:rPr>
          <w:rFonts w:eastAsia="Times New Roman" w:cs="Arial"/>
          <w:color w:val="00B050"/>
          <w:u w:val="single"/>
          <w:lang w:eastAsia="zh-TW"/>
        </w:rPr>
        <w:t>(b)</w:t>
      </w:r>
      <w:r w:rsidRPr="00F47947">
        <w:rPr>
          <w:rFonts w:eastAsia="Times New Roman" w:cs="Arial"/>
          <w:color w:val="00B050"/>
          <w:u w:val="single"/>
          <w:lang w:eastAsia="zh-TW"/>
        </w:rPr>
        <w:tab/>
        <w:t xml:space="preserve">in viscous silicone adhesives or viscous silicone sealants </w:t>
      </w:r>
      <w:r w:rsidRPr="00861BBD">
        <w:rPr>
          <w:rFonts w:eastAsia="Times New Roman" w:cs="Arial"/>
          <w:color w:val="00B050"/>
          <w:u w:val="single"/>
          <w:lang w:eastAsia="zh-TW"/>
        </w:rPr>
        <w:t xml:space="preserve">for </w:t>
      </w:r>
      <w:r>
        <w:rPr>
          <w:rFonts w:eastAsia="Times New Roman" w:cs="Arial"/>
          <w:color w:val="00B050"/>
          <w:u w:val="single"/>
          <w:lang w:eastAsia="zh-TW"/>
        </w:rPr>
        <w:t>indoor</w:t>
      </w:r>
      <w:r w:rsidRPr="00861BBD">
        <w:rPr>
          <w:rFonts w:eastAsia="Times New Roman" w:cs="Arial"/>
          <w:color w:val="00B050"/>
          <w:u w:val="single"/>
          <w:lang w:eastAsia="zh-TW"/>
        </w:rPr>
        <w:t xml:space="preserve"> use </w:t>
      </w:r>
      <w:r w:rsidRPr="00F47947">
        <w:rPr>
          <w:rFonts w:eastAsia="Times New Roman" w:cs="Arial"/>
          <w:color w:val="00B050"/>
          <w:u w:val="single"/>
          <w:lang w:eastAsia="zh-TW"/>
        </w:rPr>
        <w:t xml:space="preserve">containing </w:t>
      </w:r>
      <w:r w:rsidRPr="00861BBD">
        <w:rPr>
          <w:rFonts w:eastAsia="Times New Roman" w:cs="Arial"/>
          <w:color w:val="00B050"/>
          <w:u w:val="single"/>
          <w:lang w:eastAsia="zh-TW"/>
        </w:rPr>
        <w:t>0.</w:t>
      </w:r>
      <w:r>
        <w:rPr>
          <w:rFonts w:eastAsia="Times New Roman" w:cs="Arial"/>
          <w:color w:val="00B050"/>
          <w:u w:val="single"/>
          <w:lang w:eastAsia="zh-TW"/>
        </w:rPr>
        <w:t>2</w:t>
      </w:r>
      <w:r w:rsidRPr="00F47947">
        <w:rPr>
          <w:rFonts w:eastAsia="Times New Roman" w:cs="Arial"/>
          <w:color w:val="00B050"/>
          <w:u w:val="single"/>
          <w:lang w:eastAsia="zh-TW"/>
        </w:rPr>
        <w:t>% or less of methyl ethyl ketone oxime; or </w:t>
      </w:r>
    </w:p>
    <w:p w14:paraId="4DD30985" w14:textId="77777777" w:rsidR="00637610" w:rsidRPr="00F47947" w:rsidRDefault="00637610" w:rsidP="00EE5C3B">
      <w:pPr>
        <w:spacing w:before="120" w:line="240" w:lineRule="auto"/>
        <w:ind w:left="1275" w:hanging="420"/>
        <w:textAlignment w:val="baseline"/>
        <w:rPr>
          <w:rFonts w:eastAsia="Times New Roman" w:cs="Arial"/>
          <w:lang w:eastAsia="zh-TW"/>
        </w:rPr>
      </w:pPr>
      <w:r w:rsidRPr="00F47947">
        <w:rPr>
          <w:rFonts w:eastAsia="Times New Roman" w:cs="Arial"/>
          <w:color w:val="00B050"/>
          <w:u w:val="single"/>
          <w:lang w:eastAsia="zh-TW"/>
        </w:rPr>
        <w:t>(c)</w:t>
      </w:r>
      <w:r w:rsidRPr="00F47947">
        <w:rPr>
          <w:rFonts w:eastAsia="Times New Roman" w:cs="Arial"/>
          <w:lang w:eastAsia="zh-TW"/>
        </w:rPr>
        <w:tab/>
        <w:t xml:space="preserve">in other preparations containing </w:t>
      </w:r>
      <w:r w:rsidRPr="00F47947">
        <w:rPr>
          <w:rFonts w:eastAsia="Times New Roman" w:cs="Arial"/>
          <w:color w:val="00B050"/>
          <w:u w:val="single"/>
          <w:lang w:eastAsia="zh-TW"/>
        </w:rPr>
        <w:t>0.</w:t>
      </w:r>
      <w:r w:rsidRPr="00F47947">
        <w:rPr>
          <w:rFonts w:eastAsia="Times New Roman" w:cs="Arial"/>
          <w:lang w:eastAsia="zh-TW"/>
        </w:rPr>
        <w:t>1% or less of methyl ethyl ketone oxime.  </w:t>
      </w:r>
    </w:p>
    <w:p w14:paraId="37326242" w14:textId="77777777" w:rsidR="00637610" w:rsidRPr="006B03DC" w:rsidRDefault="00637610" w:rsidP="004706D3">
      <w:pPr>
        <w:spacing w:before="120" w:line="240" w:lineRule="auto"/>
        <w:ind w:left="420" w:hanging="136"/>
        <w:textAlignment w:val="baseline"/>
        <w:rPr>
          <w:rFonts w:eastAsia="Calibri" w:cs="Arial"/>
          <w:b/>
          <w:bCs/>
        </w:rPr>
      </w:pPr>
      <w:r w:rsidRPr="006B03DC">
        <w:rPr>
          <w:rFonts w:eastAsia="Calibri" w:cs="Arial"/>
          <w:b/>
          <w:bCs/>
        </w:rPr>
        <w:t>Index</w:t>
      </w:r>
    </w:p>
    <w:p w14:paraId="22F040BD" w14:textId="77777777" w:rsidR="00637610" w:rsidRPr="006B03DC" w:rsidRDefault="00637610" w:rsidP="00637610">
      <w:pPr>
        <w:spacing w:before="60" w:after="0" w:line="240" w:lineRule="auto"/>
        <w:ind w:left="556"/>
        <w:textAlignment w:val="baseline"/>
        <w:rPr>
          <w:rFonts w:eastAsia="Times New Roman" w:cs="Arial"/>
          <w:lang w:eastAsia="zh-TW"/>
        </w:rPr>
      </w:pPr>
      <w:r w:rsidRPr="006B03DC">
        <w:rPr>
          <w:rFonts w:eastAsia="Times New Roman" w:cs="Arial"/>
          <w:lang w:eastAsia="zh-TW"/>
        </w:rPr>
        <w:t>METHYL ETHYL KETONE OXIME</w:t>
      </w:r>
    </w:p>
    <w:p w14:paraId="75F0666D" w14:textId="77777777" w:rsidR="00637610" w:rsidRDefault="00637610" w:rsidP="00637610">
      <w:pPr>
        <w:spacing w:before="60" w:after="0" w:line="240" w:lineRule="auto"/>
        <w:ind w:left="556"/>
        <w:textAlignment w:val="baseline"/>
        <w:rPr>
          <w:rFonts w:eastAsia="Times New Roman" w:cs="Arial"/>
          <w:lang w:eastAsia="zh-TW"/>
        </w:rPr>
      </w:pPr>
      <w:r>
        <w:rPr>
          <w:rFonts w:eastAsia="Times New Roman" w:cs="Arial"/>
          <w:lang w:eastAsia="zh-TW"/>
        </w:rPr>
        <w:t>Scheule 6</w:t>
      </w:r>
    </w:p>
    <w:p w14:paraId="229666A6" w14:textId="77777777" w:rsidR="00637610" w:rsidRPr="006B03DC" w:rsidRDefault="00637610" w:rsidP="00637610">
      <w:pPr>
        <w:spacing w:before="60" w:after="0" w:line="240" w:lineRule="auto"/>
        <w:ind w:left="556"/>
        <w:textAlignment w:val="baseline"/>
        <w:rPr>
          <w:rFonts w:eastAsia="Times New Roman" w:cs="Arial"/>
          <w:lang w:eastAsia="zh-TW"/>
        </w:rPr>
      </w:pPr>
      <w:r w:rsidRPr="006B03DC">
        <w:rPr>
          <w:rFonts w:eastAsia="Times New Roman" w:cs="Arial"/>
          <w:lang w:eastAsia="zh-TW"/>
        </w:rPr>
        <w:t>Appendix E, Clause 3</w:t>
      </w:r>
    </w:p>
    <w:p w14:paraId="7EECBC4D" w14:textId="77777777" w:rsidR="00637610" w:rsidRPr="006B03DC" w:rsidRDefault="00637610" w:rsidP="00637610">
      <w:pPr>
        <w:spacing w:before="60" w:after="0" w:line="240" w:lineRule="auto"/>
        <w:ind w:left="556"/>
        <w:textAlignment w:val="baseline"/>
        <w:rPr>
          <w:rFonts w:eastAsia="Times New Roman" w:cs="Arial"/>
          <w:lang w:eastAsia="zh-TW"/>
        </w:rPr>
      </w:pPr>
      <w:r w:rsidRPr="006B03DC">
        <w:rPr>
          <w:rFonts w:eastAsia="Times New Roman" w:cs="Arial"/>
          <w:lang w:eastAsia="zh-TW"/>
        </w:rPr>
        <w:t>Appendix F, Clause 4</w:t>
      </w:r>
    </w:p>
    <w:p w14:paraId="5A4B9896" w14:textId="77777777" w:rsidR="00457567" w:rsidRDefault="00457567">
      <w:pPr>
        <w:rPr>
          <w:rFonts w:eastAsia="Calibri" w:cs="Arial"/>
          <w:b/>
          <w:bCs/>
        </w:rPr>
      </w:pPr>
      <w:r>
        <w:rPr>
          <w:rFonts w:eastAsia="Calibri" w:cs="Arial"/>
          <w:b/>
          <w:bCs/>
        </w:rPr>
        <w:br w:type="page"/>
      </w:r>
    </w:p>
    <w:p w14:paraId="4AA6A833" w14:textId="784A6D2F" w:rsidR="00637610" w:rsidRDefault="00637610" w:rsidP="004706D3">
      <w:pPr>
        <w:spacing w:before="120" w:line="240" w:lineRule="auto"/>
        <w:ind w:left="272"/>
        <w:textAlignment w:val="baseline"/>
        <w:rPr>
          <w:rFonts w:eastAsia="Calibri" w:cs="Arial"/>
          <w:b/>
          <w:bCs/>
        </w:rPr>
      </w:pPr>
      <w:r w:rsidRPr="006B03DC">
        <w:rPr>
          <w:rFonts w:eastAsia="Calibri" w:cs="Arial"/>
          <w:b/>
          <w:bCs/>
        </w:rPr>
        <w:lastRenderedPageBreak/>
        <w:t>Appendix E, clause 3 – First aid instructions for poisons</w:t>
      </w:r>
    </w:p>
    <w:tbl>
      <w:tblPr>
        <w:tblW w:w="9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
        <w:gridCol w:w="3103"/>
        <w:gridCol w:w="5341"/>
      </w:tblGrid>
      <w:tr w:rsidR="00637610" w:rsidRPr="006B03DC" w14:paraId="73FDEB66" w14:textId="77777777" w:rsidTr="00F432E8">
        <w:trPr>
          <w:trHeight w:val="307"/>
        </w:trPr>
        <w:tc>
          <w:tcPr>
            <w:tcW w:w="718" w:type="dxa"/>
            <w:tcBorders>
              <w:top w:val="single" w:sz="6" w:space="0" w:color="auto"/>
              <w:left w:val="single" w:sz="6" w:space="0" w:color="auto"/>
              <w:bottom w:val="single" w:sz="6" w:space="0" w:color="auto"/>
              <w:right w:val="single" w:sz="6" w:space="0" w:color="auto"/>
            </w:tcBorders>
            <w:shd w:val="clear" w:color="auto" w:fill="4472C4"/>
            <w:tcMar>
              <w:left w:w="113" w:type="dxa"/>
            </w:tcMar>
            <w:vAlign w:val="center"/>
            <w:hideMark/>
          </w:tcPr>
          <w:p w14:paraId="768F8C48"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b/>
                <w:bCs/>
                <w:color w:val="FFFFFF"/>
                <w:lang w:eastAsia="zh-TW"/>
              </w:rPr>
              <w:t>Item</w:t>
            </w:r>
            <w:r w:rsidRPr="006B03DC">
              <w:rPr>
                <w:rFonts w:eastAsia="Times New Roman" w:cs="Arial"/>
                <w:color w:val="FFFFFF"/>
                <w:lang w:eastAsia="zh-TW"/>
              </w:rPr>
              <w:t> </w:t>
            </w:r>
          </w:p>
        </w:tc>
        <w:tc>
          <w:tcPr>
            <w:tcW w:w="3103" w:type="dxa"/>
            <w:tcBorders>
              <w:top w:val="single" w:sz="6" w:space="0" w:color="auto"/>
              <w:left w:val="nil"/>
              <w:bottom w:val="single" w:sz="6" w:space="0" w:color="auto"/>
              <w:right w:val="single" w:sz="6" w:space="0" w:color="auto"/>
            </w:tcBorders>
            <w:shd w:val="clear" w:color="auto" w:fill="4472C4"/>
            <w:tcMar>
              <w:left w:w="113" w:type="dxa"/>
            </w:tcMar>
            <w:vAlign w:val="center"/>
            <w:hideMark/>
          </w:tcPr>
          <w:p w14:paraId="7C05AB9A"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b/>
                <w:bCs/>
                <w:color w:val="FFFFFF"/>
                <w:lang w:eastAsia="zh-TW"/>
              </w:rPr>
              <w:t>Poison</w:t>
            </w:r>
            <w:r w:rsidRPr="006B03DC">
              <w:rPr>
                <w:rFonts w:eastAsia="Times New Roman" w:cs="Arial"/>
                <w:color w:val="FFFFFF"/>
                <w:lang w:eastAsia="zh-TW"/>
              </w:rPr>
              <w:t> </w:t>
            </w:r>
          </w:p>
        </w:tc>
        <w:tc>
          <w:tcPr>
            <w:tcW w:w="5341" w:type="dxa"/>
            <w:tcBorders>
              <w:top w:val="single" w:sz="6" w:space="0" w:color="auto"/>
              <w:left w:val="nil"/>
              <w:bottom w:val="single" w:sz="6" w:space="0" w:color="auto"/>
              <w:right w:val="single" w:sz="6" w:space="0" w:color="auto"/>
            </w:tcBorders>
            <w:shd w:val="clear" w:color="auto" w:fill="4472C4"/>
            <w:tcMar>
              <w:left w:w="113" w:type="dxa"/>
            </w:tcMar>
            <w:vAlign w:val="center"/>
            <w:hideMark/>
          </w:tcPr>
          <w:p w14:paraId="0095201F"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b/>
                <w:bCs/>
                <w:color w:val="FFFFFF"/>
                <w:lang w:eastAsia="zh-TW"/>
              </w:rPr>
              <w:t>Statement code (and statement)</w:t>
            </w:r>
            <w:r w:rsidRPr="006B03DC">
              <w:rPr>
                <w:rFonts w:eastAsia="Times New Roman" w:cs="Arial"/>
                <w:color w:val="FFFFFF"/>
                <w:lang w:eastAsia="zh-TW"/>
              </w:rPr>
              <w:t> </w:t>
            </w:r>
          </w:p>
        </w:tc>
      </w:tr>
      <w:tr w:rsidR="00637610" w:rsidRPr="006B03DC" w14:paraId="6A693F5A" w14:textId="77777777" w:rsidTr="00F432E8">
        <w:trPr>
          <w:trHeight w:val="307"/>
        </w:trPr>
        <w:tc>
          <w:tcPr>
            <w:tcW w:w="718" w:type="dxa"/>
            <w:vMerge w:val="restart"/>
            <w:tcBorders>
              <w:top w:val="nil"/>
              <w:left w:val="single" w:sz="6" w:space="0" w:color="auto"/>
              <w:bottom w:val="single" w:sz="6" w:space="0" w:color="auto"/>
              <w:right w:val="single" w:sz="6" w:space="0" w:color="auto"/>
            </w:tcBorders>
            <w:tcMar>
              <w:left w:w="113" w:type="dxa"/>
            </w:tcMar>
            <w:hideMark/>
          </w:tcPr>
          <w:p w14:paraId="6F3C935A" w14:textId="77777777" w:rsidR="00637610" w:rsidRPr="006B03DC" w:rsidRDefault="00637610" w:rsidP="004706D3">
            <w:pPr>
              <w:spacing w:before="120" w:line="240" w:lineRule="auto"/>
              <w:ind w:left="-44"/>
              <w:textAlignment w:val="baseline"/>
              <w:rPr>
                <w:rFonts w:eastAsia="Times New Roman" w:cs="Arial"/>
                <w:color w:val="000000"/>
                <w:lang w:eastAsia="zh-TW"/>
              </w:rPr>
            </w:pPr>
            <w:r w:rsidRPr="006B03DC">
              <w:rPr>
                <w:rFonts w:eastAsia="Times New Roman" w:cs="Arial"/>
                <w:lang w:eastAsia="zh-TW"/>
              </w:rPr>
              <w:t>199 </w:t>
            </w:r>
          </w:p>
        </w:tc>
        <w:tc>
          <w:tcPr>
            <w:tcW w:w="3103" w:type="dxa"/>
            <w:vMerge w:val="restart"/>
            <w:tcBorders>
              <w:top w:val="nil"/>
              <w:left w:val="nil"/>
              <w:bottom w:val="single" w:sz="6" w:space="0" w:color="auto"/>
              <w:right w:val="single" w:sz="6" w:space="0" w:color="auto"/>
            </w:tcBorders>
            <w:tcMar>
              <w:left w:w="113" w:type="dxa"/>
            </w:tcMar>
            <w:hideMark/>
          </w:tcPr>
          <w:p w14:paraId="01EDCD46"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lang w:eastAsia="zh-TW"/>
              </w:rPr>
              <w:t>METHYL ETHYL KETONE OXIME</w:t>
            </w:r>
          </w:p>
        </w:tc>
        <w:tc>
          <w:tcPr>
            <w:tcW w:w="5341" w:type="dxa"/>
            <w:tcBorders>
              <w:top w:val="nil"/>
              <w:left w:val="nil"/>
              <w:bottom w:val="single" w:sz="6" w:space="0" w:color="auto"/>
              <w:right w:val="single" w:sz="6" w:space="0" w:color="auto"/>
            </w:tcBorders>
            <w:tcMar>
              <w:left w:w="113" w:type="dxa"/>
            </w:tcMar>
            <w:hideMark/>
          </w:tcPr>
          <w:p w14:paraId="1AE8A75C"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lang w:eastAsia="zh-TW"/>
              </w:rPr>
              <w:t>A – For advice, contact a Poisons Information Centre (e.g. phone Australia 13 11 26; New Zealand 0800 764 766) or a doctor (at once).</w:t>
            </w:r>
          </w:p>
        </w:tc>
      </w:tr>
      <w:tr w:rsidR="00637610" w:rsidRPr="006B03DC" w14:paraId="5E26EC37" w14:textId="77777777" w:rsidTr="00F432E8">
        <w:trPr>
          <w:trHeight w:val="307"/>
        </w:trPr>
        <w:tc>
          <w:tcPr>
            <w:tcW w:w="0" w:type="auto"/>
            <w:vMerge/>
            <w:tcBorders>
              <w:top w:val="nil"/>
              <w:left w:val="single" w:sz="6" w:space="0" w:color="auto"/>
              <w:bottom w:val="single" w:sz="6" w:space="0" w:color="auto"/>
              <w:right w:val="single" w:sz="6" w:space="0" w:color="auto"/>
            </w:tcBorders>
            <w:tcMar>
              <w:left w:w="113" w:type="dxa"/>
            </w:tcMar>
            <w:vAlign w:val="center"/>
            <w:hideMark/>
          </w:tcPr>
          <w:p w14:paraId="62B042C0" w14:textId="77777777" w:rsidR="00637610" w:rsidRPr="006B03DC" w:rsidRDefault="00637610" w:rsidP="004706D3">
            <w:pPr>
              <w:spacing w:before="120" w:line="240" w:lineRule="auto"/>
              <w:rPr>
                <w:rFonts w:eastAsia="Times New Roman" w:cs="Arial"/>
                <w:color w:val="000000"/>
                <w:lang w:eastAsia="zh-TW"/>
              </w:rPr>
            </w:pPr>
          </w:p>
        </w:tc>
        <w:tc>
          <w:tcPr>
            <w:tcW w:w="0" w:type="auto"/>
            <w:vMerge/>
            <w:tcBorders>
              <w:top w:val="nil"/>
              <w:left w:val="nil"/>
              <w:bottom w:val="single" w:sz="6" w:space="0" w:color="auto"/>
              <w:right w:val="single" w:sz="6" w:space="0" w:color="auto"/>
            </w:tcBorders>
            <w:tcMar>
              <w:left w:w="113" w:type="dxa"/>
            </w:tcMar>
            <w:vAlign w:val="center"/>
            <w:hideMark/>
          </w:tcPr>
          <w:p w14:paraId="1EFD9E89" w14:textId="77777777" w:rsidR="00637610" w:rsidRPr="006B03DC" w:rsidRDefault="00637610" w:rsidP="004706D3">
            <w:pPr>
              <w:spacing w:before="120" w:line="240" w:lineRule="auto"/>
              <w:rPr>
                <w:rFonts w:eastAsia="Times New Roman" w:cs="Arial"/>
                <w:color w:val="000000"/>
                <w:lang w:eastAsia="zh-TW"/>
              </w:rPr>
            </w:pPr>
          </w:p>
        </w:tc>
        <w:tc>
          <w:tcPr>
            <w:tcW w:w="5341" w:type="dxa"/>
            <w:tcBorders>
              <w:top w:val="nil"/>
              <w:left w:val="nil"/>
              <w:bottom w:val="single" w:sz="6" w:space="0" w:color="auto"/>
              <w:right w:val="single" w:sz="6" w:space="0" w:color="auto"/>
            </w:tcBorders>
            <w:tcMar>
              <w:left w:w="113" w:type="dxa"/>
            </w:tcMar>
            <w:hideMark/>
          </w:tcPr>
          <w:p w14:paraId="02B7BEFF" w14:textId="77777777" w:rsidR="00637610" w:rsidRPr="006B03DC" w:rsidRDefault="00637610" w:rsidP="004706D3">
            <w:pPr>
              <w:spacing w:before="120" w:line="240" w:lineRule="auto"/>
              <w:textAlignment w:val="baseline"/>
              <w:rPr>
                <w:rFonts w:eastAsia="Times New Roman" w:cs="Arial"/>
                <w:color w:val="000000"/>
                <w:lang w:eastAsia="zh-TW"/>
              </w:rPr>
            </w:pPr>
            <w:proofErr w:type="spellStart"/>
            <w:r w:rsidRPr="006B03DC">
              <w:rPr>
                <w:rFonts w:eastAsia="Times New Roman" w:cs="Arial"/>
                <w:lang w:eastAsia="zh-TW"/>
              </w:rPr>
              <w:t>E1</w:t>
            </w:r>
            <w:proofErr w:type="spellEnd"/>
            <w:r w:rsidRPr="006B03DC">
              <w:rPr>
                <w:rFonts w:eastAsia="Times New Roman" w:cs="Arial"/>
                <w:lang w:eastAsia="zh-TW"/>
              </w:rPr>
              <w:t xml:space="preserve"> – If in eyes wash out immediately with water.</w:t>
            </w:r>
          </w:p>
        </w:tc>
      </w:tr>
      <w:tr w:rsidR="00637610" w:rsidRPr="006B03DC" w14:paraId="589F3E9E" w14:textId="77777777" w:rsidTr="00F432E8">
        <w:trPr>
          <w:trHeight w:val="307"/>
        </w:trPr>
        <w:tc>
          <w:tcPr>
            <w:tcW w:w="0" w:type="auto"/>
            <w:vMerge/>
            <w:tcBorders>
              <w:top w:val="nil"/>
              <w:left w:val="single" w:sz="6" w:space="0" w:color="auto"/>
              <w:bottom w:val="single" w:sz="6" w:space="0" w:color="auto"/>
              <w:right w:val="single" w:sz="6" w:space="0" w:color="auto"/>
            </w:tcBorders>
            <w:tcMar>
              <w:left w:w="113" w:type="dxa"/>
            </w:tcMar>
            <w:vAlign w:val="center"/>
            <w:hideMark/>
          </w:tcPr>
          <w:p w14:paraId="1640E0F0" w14:textId="77777777" w:rsidR="00637610" w:rsidRPr="006B03DC" w:rsidRDefault="00637610" w:rsidP="004706D3">
            <w:pPr>
              <w:spacing w:before="120" w:line="240" w:lineRule="auto"/>
              <w:rPr>
                <w:rFonts w:eastAsia="Times New Roman" w:cs="Arial"/>
                <w:color w:val="000000"/>
                <w:lang w:eastAsia="zh-TW"/>
              </w:rPr>
            </w:pPr>
          </w:p>
        </w:tc>
        <w:tc>
          <w:tcPr>
            <w:tcW w:w="0" w:type="auto"/>
            <w:vMerge/>
            <w:tcBorders>
              <w:top w:val="nil"/>
              <w:left w:val="nil"/>
              <w:bottom w:val="single" w:sz="6" w:space="0" w:color="auto"/>
              <w:right w:val="single" w:sz="6" w:space="0" w:color="auto"/>
            </w:tcBorders>
            <w:tcMar>
              <w:left w:w="113" w:type="dxa"/>
            </w:tcMar>
            <w:vAlign w:val="center"/>
            <w:hideMark/>
          </w:tcPr>
          <w:p w14:paraId="52021155" w14:textId="77777777" w:rsidR="00637610" w:rsidRPr="006B03DC" w:rsidRDefault="00637610" w:rsidP="004706D3">
            <w:pPr>
              <w:spacing w:before="120" w:line="240" w:lineRule="auto"/>
              <w:rPr>
                <w:rFonts w:eastAsia="Times New Roman" w:cs="Arial"/>
                <w:color w:val="000000"/>
                <w:lang w:eastAsia="zh-TW"/>
              </w:rPr>
            </w:pPr>
          </w:p>
        </w:tc>
        <w:tc>
          <w:tcPr>
            <w:tcW w:w="5341" w:type="dxa"/>
            <w:tcBorders>
              <w:top w:val="nil"/>
              <w:left w:val="nil"/>
              <w:bottom w:val="single" w:sz="6" w:space="0" w:color="auto"/>
              <w:right w:val="single" w:sz="6" w:space="0" w:color="auto"/>
            </w:tcBorders>
            <w:tcMar>
              <w:left w:w="113" w:type="dxa"/>
            </w:tcMar>
            <w:hideMark/>
          </w:tcPr>
          <w:p w14:paraId="345FC1EC" w14:textId="77777777" w:rsidR="00637610" w:rsidRPr="006B03DC" w:rsidRDefault="00637610" w:rsidP="004706D3">
            <w:pPr>
              <w:spacing w:before="120" w:line="240" w:lineRule="auto"/>
              <w:textAlignment w:val="baseline"/>
              <w:rPr>
                <w:rFonts w:eastAsia="Times New Roman" w:cs="Arial"/>
                <w:color w:val="000000"/>
                <w:lang w:eastAsia="zh-TW"/>
              </w:rPr>
            </w:pPr>
            <w:proofErr w:type="spellStart"/>
            <w:r w:rsidRPr="006B03DC">
              <w:rPr>
                <w:rFonts w:eastAsia="Times New Roman" w:cs="Arial"/>
                <w:lang w:eastAsia="zh-TW"/>
              </w:rPr>
              <w:t>S1</w:t>
            </w:r>
            <w:proofErr w:type="spellEnd"/>
            <w:r w:rsidRPr="006B03DC">
              <w:rPr>
                <w:rFonts w:eastAsia="Times New Roman" w:cs="Arial"/>
                <w:lang w:eastAsia="zh-TW"/>
              </w:rPr>
              <w:t xml:space="preserve"> – If skin or hair contact occurs, remove contaminated clothing and flush skin and hair with running water.</w:t>
            </w:r>
          </w:p>
        </w:tc>
      </w:tr>
    </w:tbl>
    <w:p w14:paraId="4E744954" w14:textId="77777777" w:rsidR="00637610" w:rsidRDefault="00637610" w:rsidP="004706D3">
      <w:pPr>
        <w:spacing w:before="120" w:line="240" w:lineRule="auto"/>
        <w:ind w:left="272"/>
        <w:textAlignment w:val="baseline"/>
        <w:rPr>
          <w:rFonts w:eastAsia="Calibri" w:cs="Arial"/>
          <w:b/>
          <w:bCs/>
        </w:rPr>
      </w:pPr>
      <w:r w:rsidRPr="006B03DC">
        <w:rPr>
          <w:rFonts w:eastAsia="Calibri" w:cs="Arial"/>
          <w:b/>
          <w:bCs/>
        </w:rPr>
        <w:t>Appendix F, clause 4 – Warning statements and safety directions</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1746"/>
        <w:gridCol w:w="3260"/>
        <w:gridCol w:w="3544"/>
      </w:tblGrid>
      <w:tr w:rsidR="00637610" w:rsidRPr="006B03DC" w14:paraId="35AA8FFF" w14:textId="77777777" w:rsidTr="00F432E8">
        <w:trPr>
          <w:trHeight w:val="309"/>
        </w:trPr>
        <w:tc>
          <w:tcPr>
            <w:tcW w:w="656" w:type="dxa"/>
            <w:tcBorders>
              <w:top w:val="single" w:sz="6" w:space="0" w:color="auto"/>
              <w:left w:val="single" w:sz="6" w:space="0" w:color="auto"/>
              <w:bottom w:val="single" w:sz="6" w:space="0" w:color="auto"/>
              <w:right w:val="single" w:sz="6" w:space="0" w:color="auto"/>
            </w:tcBorders>
            <w:shd w:val="clear" w:color="auto" w:fill="4472C4"/>
            <w:tcMar>
              <w:left w:w="113" w:type="dxa"/>
            </w:tcMar>
            <w:vAlign w:val="center"/>
            <w:hideMark/>
          </w:tcPr>
          <w:p w14:paraId="5E2DEF0F"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b/>
                <w:bCs/>
                <w:color w:val="FFFFFF"/>
                <w:lang w:eastAsia="zh-TW"/>
              </w:rPr>
              <w:t>Item</w:t>
            </w:r>
          </w:p>
        </w:tc>
        <w:tc>
          <w:tcPr>
            <w:tcW w:w="1746" w:type="dxa"/>
            <w:tcBorders>
              <w:top w:val="single" w:sz="6" w:space="0" w:color="auto"/>
              <w:left w:val="nil"/>
              <w:bottom w:val="single" w:sz="6" w:space="0" w:color="auto"/>
              <w:right w:val="single" w:sz="6" w:space="0" w:color="auto"/>
            </w:tcBorders>
            <w:shd w:val="clear" w:color="auto" w:fill="4472C4"/>
            <w:tcMar>
              <w:left w:w="113" w:type="dxa"/>
            </w:tcMar>
            <w:vAlign w:val="center"/>
            <w:hideMark/>
          </w:tcPr>
          <w:p w14:paraId="23390099"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b/>
                <w:bCs/>
                <w:color w:val="FFFFFF"/>
                <w:lang w:eastAsia="zh-TW"/>
              </w:rPr>
              <w:t>Poison</w:t>
            </w:r>
          </w:p>
        </w:tc>
        <w:tc>
          <w:tcPr>
            <w:tcW w:w="3260" w:type="dxa"/>
            <w:tcBorders>
              <w:top w:val="single" w:sz="6" w:space="0" w:color="auto"/>
              <w:left w:val="nil"/>
              <w:bottom w:val="single" w:sz="6" w:space="0" w:color="auto"/>
              <w:right w:val="single" w:sz="6" w:space="0" w:color="auto"/>
            </w:tcBorders>
            <w:shd w:val="clear" w:color="auto" w:fill="4472C4"/>
            <w:tcMar>
              <w:left w:w="113" w:type="dxa"/>
            </w:tcMar>
            <w:vAlign w:val="center"/>
            <w:hideMark/>
          </w:tcPr>
          <w:p w14:paraId="5CD8A182"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b/>
                <w:bCs/>
                <w:color w:val="FFFFFF"/>
                <w:lang w:eastAsia="zh-TW"/>
              </w:rPr>
              <w:t>Warning statement item number and statement</w:t>
            </w:r>
          </w:p>
        </w:tc>
        <w:tc>
          <w:tcPr>
            <w:tcW w:w="3544" w:type="dxa"/>
            <w:tcBorders>
              <w:top w:val="single" w:sz="6" w:space="0" w:color="auto"/>
              <w:left w:val="nil"/>
              <w:bottom w:val="single" w:sz="6" w:space="0" w:color="auto"/>
              <w:right w:val="single" w:sz="6" w:space="0" w:color="auto"/>
            </w:tcBorders>
            <w:shd w:val="clear" w:color="auto" w:fill="4472C4"/>
            <w:tcMar>
              <w:left w:w="113" w:type="dxa"/>
            </w:tcMar>
            <w:vAlign w:val="center"/>
            <w:hideMark/>
          </w:tcPr>
          <w:p w14:paraId="7DB8CD57" w14:textId="77777777" w:rsidR="00637610" w:rsidRPr="006B03DC" w:rsidRDefault="00637610" w:rsidP="004706D3">
            <w:pPr>
              <w:spacing w:before="120" w:line="240" w:lineRule="auto"/>
              <w:textAlignment w:val="baseline"/>
              <w:rPr>
                <w:rFonts w:eastAsia="Times New Roman" w:cs="Arial"/>
                <w:color w:val="000000"/>
                <w:lang w:eastAsia="zh-TW"/>
              </w:rPr>
            </w:pPr>
            <w:r w:rsidRPr="006B03DC">
              <w:rPr>
                <w:rFonts w:eastAsia="Times New Roman" w:cs="Arial"/>
                <w:b/>
                <w:bCs/>
                <w:color w:val="FFFFFF"/>
                <w:lang w:eastAsia="zh-TW"/>
              </w:rPr>
              <w:t>Safety direction item number and statement</w:t>
            </w:r>
          </w:p>
        </w:tc>
      </w:tr>
      <w:tr w:rsidR="00637610" w:rsidRPr="006B03DC" w14:paraId="5ED734B5" w14:textId="77777777" w:rsidTr="00F432E8">
        <w:trPr>
          <w:trHeight w:val="309"/>
        </w:trPr>
        <w:tc>
          <w:tcPr>
            <w:tcW w:w="656" w:type="dxa"/>
            <w:tcBorders>
              <w:top w:val="nil"/>
              <w:left w:val="single" w:sz="6" w:space="0" w:color="auto"/>
              <w:bottom w:val="single" w:sz="6" w:space="0" w:color="auto"/>
              <w:right w:val="single" w:sz="6" w:space="0" w:color="auto"/>
            </w:tcBorders>
            <w:tcMar>
              <w:left w:w="113" w:type="dxa"/>
            </w:tcMar>
            <w:hideMark/>
          </w:tcPr>
          <w:p w14:paraId="6B62FA2F"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lang w:eastAsia="zh-TW"/>
              </w:rPr>
              <w:t>213</w:t>
            </w:r>
          </w:p>
        </w:tc>
        <w:tc>
          <w:tcPr>
            <w:tcW w:w="1746" w:type="dxa"/>
            <w:tcBorders>
              <w:top w:val="nil"/>
              <w:left w:val="nil"/>
              <w:bottom w:val="single" w:sz="6" w:space="0" w:color="auto"/>
              <w:right w:val="single" w:sz="6" w:space="0" w:color="auto"/>
            </w:tcBorders>
            <w:tcMar>
              <w:left w:w="113" w:type="dxa"/>
            </w:tcMar>
            <w:hideMark/>
          </w:tcPr>
          <w:p w14:paraId="4F24C107"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lang w:eastAsia="zh-TW"/>
              </w:rPr>
              <w:t>METHYL ETHYL KETONE OXIME</w:t>
            </w:r>
          </w:p>
        </w:tc>
        <w:tc>
          <w:tcPr>
            <w:tcW w:w="3260" w:type="dxa"/>
            <w:tcBorders>
              <w:top w:val="nil"/>
              <w:left w:val="nil"/>
              <w:bottom w:val="single" w:sz="6" w:space="0" w:color="auto"/>
              <w:right w:val="single" w:sz="6" w:space="0" w:color="auto"/>
            </w:tcBorders>
            <w:tcMar>
              <w:left w:w="113" w:type="dxa"/>
            </w:tcMar>
            <w:hideMark/>
          </w:tcPr>
          <w:p w14:paraId="500E0F5F"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lang w:eastAsia="zh-TW"/>
              </w:rPr>
              <w:t>5 – irritant</w:t>
            </w:r>
          </w:p>
          <w:p w14:paraId="46708395"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color w:val="00B050"/>
                <w:u w:val="single"/>
                <w:lang w:eastAsia="zh-TW"/>
              </w:rPr>
              <w:t>6 – May cause cancer.</w:t>
            </w:r>
          </w:p>
          <w:p w14:paraId="6574BD53"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color w:val="00B050"/>
                <w:u w:val="single"/>
                <w:lang w:eastAsia="zh-TW"/>
              </w:rPr>
              <w:t>12 – Vapour is harmful to health on prolonged exposure</w:t>
            </w:r>
          </w:p>
          <w:p w14:paraId="4A8FFCF5"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lang w:eastAsia="zh-TW"/>
              </w:rPr>
              <w:t>28 – (Over) (Repeated) exposure may cause sensitisation</w:t>
            </w:r>
          </w:p>
        </w:tc>
        <w:tc>
          <w:tcPr>
            <w:tcW w:w="3544" w:type="dxa"/>
            <w:tcBorders>
              <w:top w:val="nil"/>
              <w:left w:val="nil"/>
              <w:bottom w:val="single" w:sz="6" w:space="0" w:color="auto"/>
              <w:right w:val="single" w:sz="6" w:space="0" w:color="auto"/>
            </w:tcBorders>
            <w:tcMar>
              <w:left w:w="113" w:type="dxa"/>
            </w:tcMar>
            <w:hideMark/>
          </w:tcPr>
          <w:p w14:paraId="10E81AC0"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lang w:eastAsia="zh-TW"/>
              </w:rPr>
              <w:t>1 – Avoid contact with eyes</w:t>
            </w:r>
          </w:p>
          <w:p w14:paraId="3356DFC3"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lang w:eastAsia="zh-TW"/>
              </w:rPr>
              <w:t>4 – Avoid contact with skin</w:t>
            </w:r>
          </w:p>
          <w:p w14:paraId="26D31588"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color w:val="00B050"/>
                <w:u w:val="single"/>
                <w:lang w:eastAsia="zh-TW"/>
              </w:rPr>
              <w:t>8 – Avoid breathing vapour</w:t>
            </w:r>
          </w:p>
          <w:p w14:paraId="0AEDC625" w14:textId="77777777" w:rsidR="00637610" w:rsidRPr="006B03DC" w:rsidRDefault="00637610" w:rsidP="00EE5C3B">
            <w:pPr>
              <w:spacing w:before="120" w:line="240" w:lineRule="auto"/>
              <w:textAlignment w:val="baseline"/>
              <w:rPr>
                <w:rFonts w:eastAsia="Times New Roman" w:cs="Arial"/>
                <w:color w:val="000000"/>
                <w:lang w:eastAsia="zh-TW"/>
              </w:rPr>
            </w:pPr>
            <w:r w:rsidRPr="006B03DC">
              <w:rPr>
                <w:rFonts w:eastAsia="Times New Roman" w:cs="Arial"/>
                <w:color w:val="00B050"/>
                <w:u w:val="single"/>
                <w:lang w:eastAsia="zh-TW"/>
              </w:rPr>
              <w:t>10 – Ensure adequate ventilation when using</w:t>
            </w:r>
          </w:p>
        </w:tc>
      </w:tr>
    </w:tbl>
    <w:p w14:paraId="52828B63" w14:textId="77777777" w:rsidR="002B1E3C" w:rsidRPr="009A4603" w:rsidRDefault="002B1E3C" w:rsidP="00D2065C">
      <w:pPr>
        <w:pStyle w:val="Heading4"/>
      </w:pPr>
      <w:r w:rsidRPr="009A4603">
        <w:t xml:space="preserve">Materials considered </w:t>
      </w:r>
    </w:p>
    <w:p w14:paraId="752A431B" w14:textId="77777777" w:rsidR="002B1E3C" w:rsidRDefault="002B1E3C" w:rsidP="002B1E3C">
      <w:r>
        <w:t>In making this final decision, the Delegate considered the following material:</w:t>
      </w:r>
    </w:p>
    <w:p w14:paraId="7D7C0C88" w14:textId="2CAE2B9F" w:rsidR="002069D1" w:rsidRDefault="003C4976" w:rsidP="00F26607">
      <w:pPr>
        <w:pStyle w:val="ListBullet"/>
        <w:numPr>
          <w:ilvl w:val="0"/>
          <w:numId w:val="14"/>
        </w:numPr>
      </w:pPr>
      <w:r>
        <w:t>t</w:t>
      </w:r>
      <w:r w:rsidR="002069D1" w:rsidRPr="006C67B4">
        <w:t xml:space="preserve">he proposal to amend the current Poisons Standard with respect to </w:t>
      </w:r>
      <w:r w:rsidR="002069D1" w:rsidRPr="007165A2">
        <w:t>MEKO</w:t>
      </w:r>
      <w:r w:rsidR="002069D1" w:rsidRPr="009918E9">
        <w:t xml:space="preserve"> (the </w:t>
      </w:r>
      <w:r w:rsidR="002069D1" w:rsidRPr="00682F5F">
        <w:rPr>
          <w:b/>
          <w:bCs/>
        </w:rPr>
        <w:t>Proposal</w:t>
      </w:r>
      <w:r w:rsidR="002069D1" w:rsidRPr="009918E9">
        <w:t>)</w:t>
      </w:r>
    </w:p>
    <w:p w14:paraId="1AF9BC0A" w14:textId="1C65D591" w:rsidR="002069D1" w:rsidRPr="00715EDB" w:rsidRDefault="00E25235" w:rsidP="00F26607">
      <w:pPr>
        <w:pStyle w:val="ListBullet"/>
        <w:numPr>
          <w:ilvl w:val="0"/>
          <w:numId w:val="14"/>
        </w:numPr>
      </w:pPr>
      <w:sdt>
        <w:sdtPr>
          <w:id w:val="-1478915182"/>
          <w:placeholder>
            <w:docPart w:val="D865A4BA9A404F458DACD80D804912F4"/>
          </w:placeholder>
        </w:sdtPr>
        <w:sdtEndPr/>
        <w:sdtContent>
          <w:r w:rsidR="002069D1">
            <w:t>8</w:t>
          </w:r>
          <w:r w:rsidR="002069D1" w:rsidRPr="00715EDB">
            <w:t xml:space="preserve"> </w:t>
          </w:r>
          <w:r w:rsidR="009213C0">
            <w:t xml:space="preserve">public submissions </w:t>
          </w:r>
          <w:r w:rsidR="002069D1" w:rsidRPr="0052727C">
            <w:t xml:space="preserve">with 5 including a written component, received in response to the </w:t>
          </w:r>
          <w:hyperlink r:id="rId17" w:history="1">
            <w:r w:rsidR="002069D1" w:rsidRPr="0052727C">
              <w:rPr>
                <w:color w:val="0000FF"/>
                <w:u w:val="single"/>
              </w:rPr>
              <w:t>pre-meeting consultation</w:t>
            </w:r>
          </w:hyperlink>
          <w:r w:rsidR="002069D1">
            <w:t xml:space="preserve"> </w:t>
          </w:r>
          <w:r w:rsidR="002069D1" w:rsidRPr="00715EDB">
            <w:t xml:space="preserve">under regulation </w:t>
          </w:r>
          <w:proofErr w:type="spellStart"/>
          <w:r w:rsidR="002069D1" w:rsidRPr="00715EDB">
            <w:t>42ZCZK</w:t>
          </w:r>
          <w:proofErr w:type="spellEnd"/>
          <w:r w:rsidR="002069D1" w:rsidRPr="00715EDB">
            <w:t xml:space="preserve"> of the Regulations</w:t>
          </w:r>
        </w:sdtContent>
      </w:sdt>
      <w:r w:rsidR="002069D1" w:rsidRPr="00715EDB">
        <w:t xml:space="preserve"> (the </w:t>
      </w:r>
      <w:r w:rsidR="002069D1" w:rsidRPr="006C67B4">
        <w:rPr>
          <w:b/>
          <w:bCs/>
        </w:rPr>
        <w:t>Submissions</w:t>
      </w:r>
      <w:r w:rsidR="002069D1" w:rsidRPr="00715EDB">
        <w:t>)</w:t>
      </w:r>
    </w:p>
    <w:p w14:paraId="79AF7E35" w14:textId="21B5941B" w:rsidR="002069D1" w:rsidRPr="00715EDB" w:rsidRDefault="003C4976" w:rsidP="00F26607">
      <w:pPr>
        <w:pStyle w:val="ListBullet"/>
        <w:numPr>
          <w:ilvl w:val="0"/>
          <w:numId w:val="14"/>
        </w:numPr>
      </w:pPr>
      <w:r>
        <w:t>t</w:t>
      </w:r>
      <w:r w:rsidR="002069D1" w:rsidRPr="00715EDB">
        <w:t>he advice received from the 4</w:t>
      </w:r>
      <w:r w:rsidR="002069D1">
        <w:t>0</w:t>
      </w:r>
      <w:r w:rsidR="002069D1" w:rsidRPr="00715EDB">
        <w:rPr>
          <w:vertAlign w:val="superscript"/>
        </w:rPr>
        <w:t>th</w:t>
      </w:r>
      <w:r w:rsidR="002069D1" w:rsidRPr="00715EDB">
        <w:t xml:space="preserve"> meeting of the Advisory Committee on </w:t>
      </w:r>
      <w:r w:rsidR="002069D1">
        <w:t>Chemical</w:t>
      </w:r>
      <w:r w:rsidR="002069D1" w:rsidRPr="00715EDB">
        <w:t xml:space="preserve">s Scheduling (the </w:t>
      </w:r>
      <w:r w:rsidR="002069D1" w:rsidRPr="00715EDB">
        <w:rPr>
          <w:b/>
          <w:bCs/>
        </w:rPr>
        <w:t>Committee</w:t>
      </w:r>
      <w:r w:rsidR="002069D1" w:rsidRPr="00715EDB">
        <w:t>)</w:t>
      </w:r>
      <w:r w:rsidR="002069D1" w:rsidRPr="00715EDB">
        <w:rPr>
          <w:rStyle w:val="FootnoteReference"/>
          <w:rFonts w:cs="Arial"/>
          <w:szCs w:val="20"/>
        </w:rPr>
        <w:footnoteReference w:id="3"/>
      </w:r>
    </w:p>
    <w:p w14:paraId="5C89A865" w14:textId="1DA518E2" w:rsidR="002069D1" w:rsidRPr="00C53D05" w:rsidRDefault="003C4976" w:rsidP="00F26607">
      <w:pPr>
        <w:pStyle w:val="ListBullet"/>
        <w:numPr>
          <w:ilvl w:val="0"/>
          <w:numId w:val="14"/>
        </w:numPr>
        <w:rPr>
          <w:rFonts w:cs="Arial"/>
          <w:szCs w:val="20"/>
        </w:rPr>
      </w:pPr>
      <w:r>
        <w:rPr>
          <w:rFonts w:cs="Arial"/>
          <w:szCs w:val="20"/>
        </w:rPr>
        <w:t>t</w:t>
      </w:r>
      <w:r w:rsidR="002069D1" w:rsidRPr="00AF1A9A">
        <w:rPr>
          <w:rFonts w:cs="Arial"/>
          <w:szCs w:val="20"/>
        </w:rPr>
        <w:t xml:space="preserve">he </w:t>
      </w:r>
      <w:hyperlink r:id="rId18" w:history="1">
        <w:r w:rsidR="002069D1" w:rsidRPr="006D1832">
          <w:rPr>
            <w:rStyle w:val="Hyperlink"/>
            <w:rFonts w:cs="Arial"/>
            <w:szCs w:val="20"/>
          </w:rPr>
          <w:t>interim decision</w:t>
        </w:r>
      </w:hyperlink>
      <w:r w:rsidR="002069D1" w:rsidRPr="00AF1A9A">
        <w:rPr>
          <w:rFonts w:cs="Arial"/>
          <w:szCs w:val="20"/>
        </w:rPr>
        <w:t xml:space="preserve"> and the materials considered as part of the interim decision, as published on </w:t>
      </w:r>
      <w:r w:rsidR="002069D1" w:rsidRPr="00C53D05">
        <w:rPr>
          <w:rFonts w:cs="Arial"/>
          <w:szCs w:val="20"/>
        </w:rPr>
        <w:t>1</w:t>
      </w:r>
      <w:r w:rsidR="002069D1">
        <w:rPr>
          <w:rFonts w:cs="Arial"/>
          <w:szCs w:val="20"/>
        </w:rPr>
        <w:t>8</w:t>
      </w:r>
      <w:r w:rsidR="002069D1" w:rsidRPr="00C53D05">
        <w:rPr>
          <w:rFonts w:cs="Arial"/>
          <w:szCs w:val="20"/>
        </w:rPr>
        <w:t xml:space="preserve"> </w:t>
      </w:r>
      <w:r w:rsidR="002069D1">
        <w:rPr>
          <w:rFonts w:cs="Arial"/>
          <w:szCs w:val="20"/>
        </w:rPr>
        <w:t>December</w:t>
      </w:r>
      <w:r w:rsidR="002069D1" w:rsidRPr="00C53D05">
        <w:rPr>
          <w:rFonts w:cs="Arial"/>
          <w:szCs w:val="20"/>
        </w:rPr>
        <w:t xml:space="preserve"> 2025.</w:t>
      </w:r>
    </w:p>
    <w:p w14:paraId="280E0F52" w14:textId="594C410B" w:rsidR="002069D1" w:rsidRPr="00C53D05" w:rsidRDefault="002069D1" w:rsidP="00F26607">
      <w:pPr>
        <w:pStyle w:val="ListBullet"/>
        <w:numPr>
          <w:ilvl w:val="0"/>
          <w:numId w:val="14"/>
        </w:numPr>
        <w:rPr>
          <w:rFonts w:cs="Arial"/>
        </w:rPr>
      </w:pPr>
      <w:r>
        <w:rPr>
          <w:rFonts w:cs="Arial"/>
        </w:rPr>
        <w:t>4</w:t>
      </w:r>
      <w:r w:rsidRPr="7F29EC43">
        <w:rPr>
          <w:rFonts w:cs="Arial"/>
        </w:rPr>
        <w:t xml:space="preserve"> </w:t>
      </w:r>
      <w:r>
        <w:rPr>
          <w:rFonts w:cs="Arial"/>
        </w:rPr>
        <w:t xml:space="preserve">public </w:t>
      </w:r>
      <w:hyperlink r:id="rId19">
        <w:r>
          <w:t>submissions</w:t>
        </w:r>
      </w:hyperlink>
      <w:r>
        <w:t xml:space="preserve">, all of which included a written component, </w:t>
      </w:r>
      <w:r w:rsidRPr="7F29EC43">
        <w:rPr>
          <w:rFonts w:cs="Arial"/>
        </w:rPr>
        <w:t>received in response to the</w:t>
      </w:r>
      <w:r>
        <w:t xml:space="preserve"> </w:t>
      </w:r>
      <w:hyperlink r:id="rId20" w:history="1">
        <w:hyperlink r:id="rId21" w:history="1">
          <w:r w:rsidRPr="7F29EC43">
            <w:rPr>
              <w:color w:val="0000FF"/>
              <w:u w:val="single"/>
            </w:rPr>
            <w:t>public consultation on the interim decision</w:t>
          </w:r>
        </w:hyperlink>
      </w:hyperlink>
      <w:r w:rsidRPr="7F29EC43">
        <w:rPr>
          <w:rFonts w:cs="Arial"/>
        </w:rPr>
        <w:t xml:space="preserve"> under regulation </w:t>
      </w:r>
      <w:proofErr w:type="spellStart"/>
      <w:r w:rsidRPr="7F29EC43">
        <w:rPr>
          <w:rFonts w:cs="Arial"/>
        </w:rPr>
        <w:t>42ZCZP</w:t>
      </w:r>
      <w:proofErr w:type="spellEnd"/>
      <w:r w:rsidRPr="7F29EC43">
        <w:rPr>
          <w:rFonts w:cs="Arial"/>
        </w:rPr>
        <w:t xml:space="preserve"> of the Regulations.</w:t>
      </w:r>
    </w:p>
    <w:p w14:paraId="3E6E9475" w14:textId="2881032C" w:rsidR="002069D1" w:rsidRPr="006F79F6" w:rsidRDefault="003C4976" w:rsidP="00F26607">
      <w:pPr>
        <w:pStyle w:val="ListBullet"/>
        <w:numPr>
          <w:ilvl w:val="0"/>
          <w:numId w:val="14"/>
        </w:numPr>
      </w:pPr>
      <w:r>
        <w:t>s</w:t>
      </w:r>
      <w:r w:rsidR="002069D1" w:rsidRPr="006F79F6">
        <w:t xml:space="preserve">ubsection </w:t>
      </w:r>
      <w:proofErr w:type="spellStart"/>
      <w:r w:rsidR="002069D1" w:rsidRPr="006F79F6">
        <w:t>52E</w:t>
      </w:r>
      <w:proofErr w:type="spellEnd"/>
      <w:r w:rsidR="002069D1" w:rsidRPr="006F79F6">
        <w:t>(1)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34213E9" w14:textId="77777777" w:rsidR="002069D1" w:rsidRPr="006F79F6" w:rsidRDefault="002069D1" w:rsidP="00F26607">
      <w:pPr>
        <w:pStyle w:val="ListBullet"/>
        <w:numPr>
          <w:ilvl w:val="0"/>
          <w:numId w:val="14"/>
        </w:numPr>
      </w:pPr>
      <w:r w:rsidRPr="006F79F6">
        <w:t xml:space="preserve">pursuant to paragraph </w:t>
      </w:r>
      <w:proofErr w:type="spellStart"/>
      <w:r w:rsidRPr="006F79F6">
        <w:t>52E</w:t>
      </w:r>
      <w:proofErr w:type="spellEnd"/>
      <w:r w:rsidRPr="006F79F6">
        <w:t>(2)(a) of the Act, the SPF, and</w:t>
      </w:r>
    </w:p>
    <w:p w14:paraId="0902AF75" w14:textId="77777777" w:rsidR="002069D1" w:rsidRPr="006F79F6" w:rsidRDefault="002069D1" w:rsidP="00F26607">
      <w:pPr>
        <w:pStyle w:val="ListBullet"/>
        <w:numPr>
          <w:ilvl w:val="0"/>
          <w:numId w:val="14"/>
        </w:numPr>
      </w:pPr>
      <w:r w:rsidRPr="006F79F6">
        <w:t>the Handbook.</w:t>
      </w:r>
    </w:p>
    <w:p w14:paraId="26AD612D" w14:textId="77777777" w:rsidR="002B1E3C" w:rsidRPr="004279A6" w:rsidRDefault="002B1E3C" w:rsidP="004279A6">
      <w:pPr>
        <w:pStyle w:val="Heading4"/>
      </w:pPr>
      <w:r w:rsidRPr="004279A6">
        <w:lastRenderedPageBreak/>
        <w:t>Reasons for the final decision (including findings on material questions of fact)</w:t>
      </w:r>
    </w:p>
    <w:p w14:paraId="4E073C9B" w14:textId="77777777" w:rsidR="000A5B1C" w:rsidRDefault="000A5B1C" w:rsidP="000A5B1C">
      <w:r>
        <w:t xml:space="preserve">I have made a final decision to confirm my interim decision to amend </w:t>
      </w:r>
      <w:r w:rsidRPr="0035107E">
        <w:t>the current Poisons Standard with respect to</w:t>
      </w:r>
      <w:r>
        <w:t xml:space="preserve"> MEKO.</w:t>
      </w:r>
    </w:p>
    <w:p w14:paraId="06ACEFF6" w14:textId="77777777" w:rsidR="000A5B1C" w:rsidRDefault="000A5B1C" w:rsidP="000A5B1C">
      <w:r>
        <w:t>My reasons for making the final decision are those set out in the interim decision.</w:t>
      </w:r>
      <w:r w:rsidRPr="0035107E">
        <w:t xml:space="preserve"> </w:t>
      </w:r>
      <w:r>
        <w:t>In making my final decision, I have considered the materials in the interim decision and the 4 submissions received in response to the public consultation on the interim decision.</w:t>
      </w:r>
    </w:p>
    <w:p w14:paraId="337E6831" w14:textId="512DF29E" w:rsidR="000A5B1C" w:rsidRDefault="000A5B1C" w:rsidP="000A5B1C">
      <w:r>
        <w:t xml:space="preserve">All </w:t>
      </w:r>
      <w:r w:rsidRPr="0035107E">
        <w:t xml:space="preserve">the </w:t>
      </w:r>
      <w:r>
        <w:t xml:space="preserve">4 </w:t>
      </w:r>
      <w:r w:rsidRPr="0035107E">
        <w:t xml:space="preserve">submissions were </w:t>
      </w:r>
      <w:r>
        <w:t xml:space="preserve">generally </w:t>
      </w:r>
      <w:r w:rsidRPr="0035107E">
        <w:t>in favour of the interim decision</w:t>
      </w:r>
      <w:r>
        <w:t xml:space="preserve"> with</w:t>
      </w:r>
      <w:r w:rsidRPr="0035107E">
        <w:t xml:space="preserve"> </w:t>
      </w:r>
      <w:r>
        <w:t>2</w:t>
      </w:r>
      <w:r w:rsidRPr="0035107E">
        <w:t xml:space="preserve"> support</w:t>
      </w:r>
      <w:r>
        <w:t>ing</w:t>
      </w:r>
      <w:r w:rsidRPr="0035107E">
        <w:t xml:space="preserve"> </w:t>
      </w:r>
      <w:r>
        <w:t>it and</w:t>
      </w:r>
      <w:r w:rsidRPr="0035107E">
        <w:t xml:space="preserve"> </w:t>
      </w:r>
      <w:r>
        <w:t>2</w:t>
      </w:r>
      <w:r w:rsidRPr="0035107E">
        <w:t xml:space="preserve"> partially support</w:t>
      </w:r>
      <w:r>
        <w:t>ing it with caveats. All 4 submissions provided written justification for their preference. N</w:t>
      </w:r>
      <w:r w:rsidRPr="007B7970">
        <w:t>o response</w:t>
      </w:r>
      <w:r>
        <w:t xml:space="preserve"> was</w:t>
      </w:r>
      <w:r w:rsidRPr="007B7970">
        <w:t xml:space="preserve"> </w:t>
      </w:r>
      <w:r>
        <w:t>submitted</w:t>
      </w:r>
      <w:r w:rsidRPr="007B7970">
        <w:t xml:space="preserve"> in opposition </w:t>
      </w:r>
      <w:r>
        <w:t>to</w:t>
      </w:r>
      <w:r w:rsidRPr="007B7970">
        <w:t xml:space="preserve"> the interim decision.</w:t>
      </w:r>
    </w:p>
    <w:p w14:paraId="136FDFA5" w14:textId="76ADD47E" w:rsidR="000A5B1C" w:rsidRDefault="004E11BB" w:rsidP="000A5B1C">
      <w:r>
        <w:t xml:space="preserve">The applicant </w:t>
      </w:r>
      <w:r w:rsidR="000A5B1C">
        <w:t xml:space="preserve">argued for a uniform Schedule 6 classification for all preparations containing more than 0.1% MEKO. However, risks from </w:t>
      </w:r>
      <w:r w:rsidR="000A5B1C" w:rsidRPr="00BD391C">
        <w:t>adhesives and sealants</w:t>
      </w:r>
      <w:r w:rsidR="000A5B1C">
        <w:t xml:space="preserve"> are distinct from risks from other MEKO products such as </w:t>
      </w:r>
      <w:r w:rsidR="000A5B1C" w:rsidRPr="00BD391C">
        <w:t>alkyd paints, lacquers</w:t>
      </w:r>
      <w:r w:rsidR="000A5B1C">
        <w:t xml:space="preserve"> and</w:t>
      </w:r>
      <w:r w:rsidR="000A5B1C" w:rsidRPr="00BD391C">
        <w:t xml:space="preserve"> varnishes</w:t>
      </w:r>
      <w:r w:rsidR="000A5B1C">
        <w:t xml:space="preserve">. Such distinction in presentations was the </w:t>
      </w:r>
      <w:r>
        <w:t xml:space="preserve">previous </w:t>
      </w:r>
      <w:r w:rsidR="000A5B1C">
        <w:t>basis for allowing higher amounts of MEKO</w:t>
      </w:r>
      <w:r w:rsidR="000A5B1C" w:rsidRPr="00BD391C">
        <w:t xml:space="preserve"> </w:t>
      </w:r>
      <w:r w:rsidR="000A5B1C">
        <w:t xml:space="preserve">(up to 2.5%) in </w:t>
      </w:r>
      <w:r w:rsidR="000A5B1C" w:rsidRPr="00BD391C">
        <w:t xml:space="preserve">viscous silicone adhesives </w:t>
      </w:r>
      <w:r w:rsidR="000A5B1C">
        <w:t>and</w:t>
      </w:r>
      <w:r w:rsidR="000A5B1C" w:rsidRPr="00BD391C">
        <w:t xml:space="preserve"> sealants</w:t>
      </w:r>
      <w:r w:rsidR="000A5B1C">
        <w:t xml:space="preserve"> without requiring access control and warning statements through Schedule 6 classification.</w:t>
      </w:r>
      <w:r w:rsidR="000A5B1C">
        <w:rPr>
          <w:rStyle w:val="FootnoteReference"/>
        </w:rPr>
        <w:footnoteReference w:id="4"/>
      </w:r>
    </w:p>
    <w:p w14:paraId="45E36720" w14:textId="77777777" w:rsidR="000A5B1C" w:rsidRDefault="000A5B1C" w:rsidP="000A5B1C">
      <w:r>
        <w:t>Two partially supportive submitters commented that introducing different thresholds for MEKO in different products and for different usage would create significant labelling challenges for the industry. Consumers may also inappropriately use adhesives and sealants meant for outdoors use for indoor purposes which would increase the risk.</w:t>
      </w:r>
    </w:p>
    <w:p w14:paraId="3FF81A94" w14:textId="5322CC71" w:rsidR="000A5B1C" w:rsidRDefault="000A5B1C" w:rsidP="000A5B1C">
      <w:r w:rsidRPr="00835E32">
        <w:t xml:space="preserve">I remain of the view that it is appropriate to differentiate MEKO </w:t>
      </w:r>
      <w:r>
        <w:t>contents</w:t>
      </w:r>
      <w:r w:rsidRPr="00835E32">
        <w:t xml:space="preserve"> based on indoor and outdoor applications as exposure</w:t>
      </w:r>
      <w:r>
        <w:t xml:space="preserve"> by inhalation is </w:t>
      </w:r>
      <w:r w:rsidR="004E11BB">
        <w:t xml:space="preserve">substantially </w:t>
      </w:r>
      <w:r>
        <w:t>different</w:t>
      </w:r>
      <w:r w:rsidRPr="00835E32">
        <w:t xml:space="preserve"> </w:t>
      </w:r>
      <w:r>
        <w:t>in</w:t>
      </w:r>
      <w:r w:rsidRPr="00835E32">
        <w:t xml:space="preserve"> </w:t>
      </w:r>
      <w:r>
        <w:t>these two</w:t>
      </w:r>
      <w:r w:rsidRPr="00835E32">
        <w:t xml:space="preserve"> scenarios. </w:t>
      </w:r>
      <w:r>
        <w:t>Exposure by inhalation, and therefore</w:t>
      </w:r>
      <w:r w:rsidRPr="00835E32">
        <w:t xml:space="preserve"> the </w:t>
      </w:r>
      <w:r>
        <w:t xml:space="preserve">risk of </w:t>
      </w:r>
      <w:r w:rsidRPr="00835E32">
        <w:t>carcinogeni</w:t>
      </w:r>
      <w:r>
        <w:t>city, will depend on both MEKO</w:t>
      </w:r>
      <w:r w:rsidRPr="006072BF">
        <w:t xml:space="preserve"> concentration in</w:t>
      </w:r>
      <w:r>
        <w:t xml:space="preserve"> a product and</w:t>
      </w:r>
      <w:r w:rsidRPr="006072BF">
        <w:t xml:space="preserve"> </w:t>
      </w:r>
      <w:r w:rsidR="004E11BB">
        <w:t>the level of</w:t>
      </w:r>
      <w:r w:rsidR="004E11BB" w:rsidRPr="006072BF">
        <w:t xml:space="preserve"> </w:t>
      </w:r>
      <w:r w:rsidRPr="006072BF">
        <w:t>ventilation</w:t>
      </w:r>
      <w:r>
        <w:t xml:space="preserve">. Based on </w:t>
      </w:r>
      <w:r w:rsidRPr="006072BF">
        <w:t xml:space="preserve">estimated </w:t>
      </w:r>
      <w:r>
        <w:t xml:space="preserve">exposures </w:t>
      </w:r>
      <w:r w:rsidRPr="006072BF">
        <w:t xml:space="preserve">for </w:t>
      </w:r>
      <w:r>
        <w:t xml:space="preserve">various </w:t>
      </w:r>
      <w:r w:rsidRPr="006072BF">
        <w:t>product</w:t>
      </w:r>
      <w:r>
        <w:t xml:space="preserve">s, Health Canada has proposed a limit of </w:t>
      </w:r>
      <w:r w:rsidRPr="006072BF">
        <w:t>0.42</w:t>
      </w:r>
      <w:r>
        <w:t>% MEKO in e</w:t>
      </w:r>
      <w:r w:rsidRPr="006072BF">
        <w:t>xterior silicone sealants</w:t>
      </w:r>
      <w:r>
        <w:t xml:space="preserve"> while for i</w:t>
      </w:r>
      <w:r w:rsidRPr="006072BF">
        <w:t>nterior or dual use gasketing adhesives and silicone sealants</w:t>
      </w:r>
      <w:r>
        <w:t xml:space="preserve"> the proposed limit is 0.2%.</w:t>
      </w:r>
      <w:r>
        <w:rPr>
          <w:rStyle w:val="FootnoteReference"/>
        </w:rPr>
        <w:footnoteReference w:id="5"/>
      </w:r>
      <w:r>
        <w:t xml:space="preserve"> </w:t>
      </w:r>
      <w:r w:rsidRPr="00835E32">
        <w:t xml:space="preserve">The concentration limits </w:t>
      </w:r>
      <w:r w:rsidR="004E11BB">
        <w:t xml:space="preserve">that will be </w:t>
      </w:r>
      <w:r>
        <w:t xml:space="preserve">imposed on indoor and outdoor sealants and adhesives </w:t>
      </w:r>
      <w:r w:rsidRPr="00835E32">
        <w:t>are consistent with the limits proposed in Canada.</w:t>
      </w:r>
      <w:r>
        <w:t xml:space="preserve"> It is expected that professional users will adhere to the usage restrictions while for non-professionals the risk from inappropriate use will be less due to limited </w:t>
      </w:r>
      <w:r w:rsidR="004E11BB">
        <w:t xml:space="preserve">and infrequent </w:t>
      </w:r>
      <w:r>
        <w:t>use.</w:t>
      </w:r>
    </w:p>
    <w:p w14:paraId="2C208572" w14:textId="4087DE63" w:rsidR="000A5B1C" w:rsidRDefault="004E11BB" w:rsidP="000A5B1C">
      <w:r>
        <w:t xml:space="preserve">The applicant </w:t>
      </w:r>
      <w:r w:rsidR="000A5B1C">
        <w:t>also recommended removing the warning statement relating to skin sensitisation for viscous silicone products containing up to 2.5% MEKO. Th</w:t>
      </w:r>
      <w:r>
        <w:t xml:space="preserve">e applicant </w:t>
      </w:r>
      <w:r w:rsidR="000A5B1C">
        <w:t>argue</w:t>
      </w:r>
      <w:r>
        <w:t>d</w:t>
      </w:r>
      <w:r w:rsidR="000A5B1C">
        <w:t xml:space="preserve"> that data supplied previously in relation to the application for exempting silicone adhesive sealants containing up to 2.5% MEKO from scheduling showed that such products are not skin sensitisers.</w:t>
      </w:r>
    </w:p>
    <w:p w14:paraId="76AC2C8B" w14:textId="69D84022" w:rsidR="000A5B1C" w:rsidRDefault="000A5B1C" w:rsidP="000A5B1C">
      <w:r>
        <w:t xml:space="preserve">The </w:t>
      </w:r>
      <w:hyperlink r:id="rId22" w:history="1">
        <w:r w:rsidRPr="00237216">
          <w:rPr>
            <w:rStyle w:val="Hyperlink"/>
          </w:rPr>
          <w:t>ASEAN</w:t>
        </w:r>
        <w:r w:rsidRPr="00237216">
          <w:rPr>
            <w:rStyle w:val="Hyperlink"/>
            <w:rFonts w:ascii="Cambria Math" w:hAnsi="Cambria Math" w:cs="Cambria Math"/>
          </w:rPr>
          <w:t>‑</w:t>
        </w:r>
        <w:r w:rsidRPr="00237216">
          <w:rPr>
            <w:rStyle w:val="Hyperlink"/>
          </w:rPr>
          <w:t>Japan Chemical Safety Database</w:t>
        </w:r>
      </w:hyperlink>
      <w:r w:rsidRPr="00EA5E03">
        <w:t xml:space="preserve"> </w:t>
      </w:r>
      <w:r>
        <w:t xml:space="preserve">lists MEKO as </w:t>
      </w:r>
      <w:r w:rsidRPr="00EA5E03">
        <w:t xml:space="preserve">a </w:t>
      </w:r>
      <w:r>
        <w:t>s</w:t>
      </w:r>
      <w:r w:rsidRPr="00EA5E03">
        <w:t>kin</w:t>
      </w:r>
      <w:r w:rsidRPr="00EA5E03">
        <w:rPr>
          <w:rFonts w:ascii="Cambria Math" w:hAnsi="Cambria Math" w:cs="Cambria Math"/>
        </w:rPr>
        <w:t>‑</w:t>
      </w:r>
      <w:r>
        <w:t>i</w:t>
      </w:r>
      <w:r w:rsidRPr="00EA5E03">
        <w:t xml:space="preserve">rritating and a </w:t>
      </w:r>
      <w:r>
        <w:t>s</w:t>
      </w:r>
      <w:r w:rsidRPr="00EA5E03">
        <w:t>kin</w:t>
      </w:r>
      <w:r w:rsidRPr="00EA5E03">
        <w:rPr>
          <w:rFonts w:ascii="Cambria Math" w:hAnsi="Cambria Math" w:cs="Cambria Math"/>
        </w:rPr>
        <w:t>‑</w:t>
      </w:r>
      <w:r>
        <w:t>a</w:t>
      </w:r>
      <w:r w:rsidRPr="00EA5E03">
        <w:t xml:space="preserve">bsorbing </w:t>
      </w:r>
      <w:r>
        <w:t>h</w:t>
      </w:r>
      <w:r w:rsidRPr="00EA5E03">
        <w:t xml:space="preserve">azardous </w:t>
      </w:r>
      <w:r>
        <w:t>s</w:t>
      </w:r>
      <w:r w:rsidRPr="00EA5E03">
        <w:t>ubstance</w:t>
      </w:r>
      <w:r>
        <w:t xml:space="preserve"> that </w:t>
      </w:r>
      <w:r w:rsidRPr="006553A9">
        <w:t xml:space="preserve">must be handled with impermeable protective equipment </w:t>
      </w:r>
      <w:r w:rsidRPr="00EA5E03">
        <w:t>under Japan</w:t>
      </w:r>
      <w:r w:rsidRPr="00EA5E03">
        <w:rPr>
          <w:rFonts w:cs="Arial"/>
        </w:rPr>
        <w:t>’</w:t>
      </w:r>
      <w:r w:rsidRPr="00EA5E03">
        <w:t>s Industrial Safety and Health Act</w:t>
      </w:r>
      <w:r>
        <w:t>. Accordingly, in Japan, p</w:t>
      </w:r>
      <w:r w:rsidRPr="00EA5E03">
        <w:t xml:space="preserve">roducts containing more than 0.1% MEKO must </w:t>
      </w:r>
      <w:r>
        <w:t xml:space="preserve">have </w:t>
      </w:r>
      <w:r w:rsidRPr="00EA5E03">
        <w:t xml:space="preserve">appropriate warning statements </w:t>
      </w:r>
      <w:r>
        <w:t xml:space="preserve">regarding </w:t>
      </w:r>
      <w:r w:rsidRPr="00EA5E03">
        <w:t>skin</w:t>
      </w:r>
      <w:r>
        <w:rPr>
          <w:rFonts w:ascii="Cambria Math" w:hAnsi="Cambria Math" w:cs="Cambria Math"/>
        </w:rPr>
        <w:t xml:space="preserve"> </w:t>
      </w:r>
      <w:r w:rsidRPr="00EA5E03">
        <w:t xml:space="preserve">irritation and workers are required to wear personal protective equipment </w:t>
      </w:r>
      <w:r>
        <w:t xml:space="preserve">while handling MEKO products. The </w:t>
      </w:r>
      <w:proofErr w:type="spellStart"/>
      <w:r w:rsidR="004E11BB">
        <w:t>AICIS</w:t>
      </w:r>
      <w:proofErr w:type="spellEnd"/>
      <w:r w:rsidR="004E11BB">
        <w:t xml:space="preserve"> </w:t>
      </w:r>
      <w:r>
        <w:t>Evaluation Statement noted MEKO at m</w:t>
      </w:r>
      <w:r w:rsidRPr="00E4642F">
        <w:t xml:space="preserve">aximum concentrations of 5% and 2% </w:t>
      </w:r>
      <w:r>
        <w:t>in</w:t>
      </w:r>
      <w:r w:rsidRPr="00E4642F">
        <w:t xml:space="preserve"> sealants and adhesives</w:t>
      </w:r>
      <w:r>
        <w:t>. Further, such preparations</w:t>
      </w:r>
      <w:r w:rsidRPr="00E4642F">
        <w:t xml:space="preserve"> are highly likely to be in contact with the skin</w:t>
      </w:r>
      <w:r>
        <w:t xml:space="preserve"> if handled without gloves. The requirement of a warning statement </w:t>
      </w:r>
      <w:r w:rsidRPr="00E4642F">
        <w:t xml:space="preserve">indictive of potential harm ((Over) (Repeated) exposure may cause sensitisation) </w:t>
      </w:r>
      <w:r>
        <w:t>for all preparations containing more than 0.1% MEKO is therefore justified.</w:t>
      </w:r>
    </w:p>
    <w:p w14:paraId="4635D14C" w14:textId="15E19BE8" w:rsidR="000A5B1C" w:rsidRDefault="004E11BB" w:rsidP="000A5B1C">
      <w:r>
        <w:t xml:space="preserve">The applicant </w:t>
      </w:r>
      <w:r w:rsidR="000A5B1C">
        <w:t xml:space="preserve">also </w:t>
      </w:r>
      <w:r w:rsidR="000A5B1C" w:rsidRPr="00311EBB">
        <w:t xml:space="preserve">requested </w:t>
      </w:r>
      <w:r w:rsidR="000A5B1C">
        <w:t>capture of MEKO</w:t>
      </w:r>
      <w:r w:rsidR="000A5B1C" w:rsidRPr="00311EBB">
        <w:noBreakHyphen/>
        <w:t>releasing silane</w:t>
      </w:r>
      <w:r w:rsidR="000A5B1C" w:rsidRPr="00311EBB">
        <w:noBreakHyphen/>
        <w:t>based preparations</w:t>
      </w:r>
      <w:r w:rsidR="000A5B1C">
        <w:t xml:space="preserve"> which have a similar risk profile under</w:t>
      </w:r>
      <w:r w:rsidR="000A5B1C" w:rsidRPr="00311EBB">
        <w:t xml:space="preserve"> </w:t>
      </w:r>
      <w:r w:rsidR="000A5B1C">
        <w:t>the entry for MEKO</w:t>
      </w:r>
      <w:r w:rsidR="000A5B1C" w:rsidRPr="00311EBB">
        <w:t xml:space="preserve">. </w:t>
      </w:r>
      <w:r w:rsidR="000A5B1C">
        <w:t xml:space="preserve">I note that </w:t>
      </w:r>
      <w:r>
        <w:t xml:space="preserve">in </w:t>
      </w:r>
      <w:r w:rsidR="000A5B1C">
        <w:t xml:space="preserve">the </w:t>
      </w:r>
      <w:proofErr w:type="spellStart"/>
      <w:r w:rsidR="000A5B1C">
        <w:t>AICIS</w:t>
      </w:r>
      <w:proofErr w:type="spellEnd"/>
      <w:r w:rsidR="000A5B1C">
        <w:t xml:space="preserve"> </w:t>
      </w:r>
      <w:hyperlink r:id="rId23" w:history="1">
        <w:r w:rsidR="000A5B1C">
          <w:rPr>
            <w:rStyle w:val="Hyperlink"/>
          </w:rPr>
          <w:t>Evaluation Statement of 2-Butanone oxime (MEKO)-releasing silanes</w:t>
        </w:r>
      </w:hyperlink>
      <w:r w:rsidR="000A5B1C">
        <w:t xml:space="preserve"> several MEKO releasing silanes could exhibit </w:t>
      </w:r>
      <w:r w:rsidR="000A5B1C" w:rsidRPr="00E71CE6">
        <w:t>toxicological profiles similar to MEKO and may present comparable hazards when used as replacements for MEKO.</w:t>
      </w:r>
      <w:r w:rsidR="000A5B1C">
        <w:t xml:space="preserve"> </w:t>
      </w:r>
      <w:r w:rsidR="000A5B1C" w:rsidRPr="00E71CE6">
        <w:t>However,</w:t>
      </w:r>
      <w:r w:rsidR="000A5B1C">
        <w:t xml:space="preserve"> the original proposal did not cover MEKO-releasing </w:t>
      </w:r>
      <w:proofErr w:type="gramStart"/>
      <w:r w:rsidR="000A5B1C">
        <w:t>silanes</w:t>
      </w:r>
      <w:proofErr w:type="gramEnd"/>
      <w:r w:rsidR="000A5B1C">
        <w:t xml:space="preserve"> and the</w:t>
      </w:r>
      <w:r w:rsidR="000A5B1C" w:rsidRPr="00850881">
        <w:t xml:space="preserve"> public </w:t>
      </w:r>
      <w:r w:rsidR="000A5B1C" w:rsidRPr="00850881">
        <w:lastRenderedPageBreak/>
        <w:t xml:space="preserve">consultations were limited to </w:t>
      </w:r>
      <w:r w:rsidR="000A5B1C">
        <w:t xml:space="preserve">the scheduling of </w:t>
      </w:r>
      <w:r w:rsidR="000A5B1C" w:rsidRPr="00850881">
        <w:t xml:space="preserve">MEKO only. Therefore, I have decided to defer </w:t>
      </w:r>
      <w:r w:rsidR="00705425">
        <w:t xml:space="preserve">consideration of </w:t>
      </w:r>
      <w:r w:rsidR="000A5B1C" w:rsidRPr="00850881">
        <w:t>the scheduling</w:t>
      </w:r>
      <w:r w:rsidR="000A5B1C">
        <w:t xml:space="preserve"> of</w:t>
      </w:r>
      <w:r w:rsidR="000A5B1C" w:rsidRPr="00850881">
        <w:t xml:space="preserve"> MEKO</w:t>
      </w:r>
      <w:r w:rsidR="000A5B1C">
        <w:t>-</w:t>
      </w:r>
      <w:r w:rsidR="000A5B1C" w:rsidRPr="00850881">
        <w:t xml:space="preserve">releasing silanes </w:t>
      </w:r>
      <w:r w:rsidR="00705425">
        <w:t>to</w:t>
      </w:r>
      <w:r w:rsidR="00705425" w:rsidRPr="00850881">
        <w:t xml:space="preserve"> </w:t>
      </w:r>
      <w:r w:rsidR="000A5B1C">
        <w:t xml:space="preserve">a </w:t>
      </w:r>
      <w:r w:rsidR="000A5B1C" w:rsidRPr="00850881">
        <w:t>later</w:t>
      </w:r>
      <w:r w:rsidR="000A5B1C">
        <w:t>,</w:t>
      </w:r>
      <w:r w:rsidR="000A5B1C" w:rsidRPr="00850881">
        <w:t xml:space="preserve"> separate consideration which may also require further expert advice and/or public consultation</w:t>
      </w:r>
      <w:r w:rsidR="000A5B1C" w:rsidRPr="00E71CE6">
        <w:t>.</w:t>
      </w:r>
    </w:p>
    <w:p w14:paraId="19AB33BE" w14:textId="543D3859" w:rsidR="000A5B1C" w:rsidRDefault="000A5B1C" w:rsidP="000A5B1C">
      <w:r>
        <w:t>O</w:t>
      </w:r>
      <w:r w:rsidRPr="00311EBB">
        <w:t xml:space="preserve">ne submission proposed postponing the implementation date to 1 October 2028, while two others recommended </w:t>
      </w:r>
      <w:r>
        <w:t>earlier implementation in 2027</w:t>
      </w:r>
      <w:r w:rsidRPr="00311EBB">
        <w:t>.</w:t>
      </w:r>
      <w:r>
        <w:t xml:space="preserve"> I am of the view that an implementation date of 1</w:t>
      </w:r>
      <w:r w:rsidR="00457567">
        <w:t> </w:t>
      </w:r>
      <w:r>
        <w:t>February 2028 as pro</w:t>
      </w:r>
      <w:r w:rsidR="00457567">
        <w:t>po</w:t>
      </w:r>
      <w:r>
        <w:t>sed in my interim decision maintains a balance between the urgency for public health protection and the time required by the industry to implement the changes.</w:t>
      </w:r>
    </w:p>
    <w:p w14:paraId="17246840" w14:textId="4BA79D4D" w:rsidR="002B1E3C" w:rsidRPr="004279A6" w:rsidRDefault="002B1E3C" w:rsidP="004279A6">
      <w:pPr>
        <w:pStyle w:val="Heading4"/>
      </w:pPr>
      <w:r w:rsidRPr="004279A6">
        <w:t>Implementation date</w:t>
      </w:r>
    </w:p>
    <w:bookmarkEnd w:id="31"/>
    <w:p w14:paraId="74396D69" w14:textId="77777777" w:rsidR="00762B9B" w:rsidRDefault="00762B9B" w:rsidP="00762B9B">
      <w:r>
        <w:t xml:space="preserve">1 </w:t>
      </w:r>
      <w:r w:rsidRPr="00102C16">
        <w:t>February 2028</w:t>
      </w:r>
    </w:p>
    <w:p w14:paraId="3E6E6896" w14:textId="6052F67A" w:rsidR="00E84F57" w:rsidRDefault="00E84F57" w:rsidP="00E84F57">
      <w:pPr>
        <w:pStyle w:val="Heading3"/>
      </w:pPr>
      <w:bookmarkStart w:id="34" w:name="_Toc230353661"/>
      <w:r>
        <w:t xml:space="preserve">Final decision in relation to </w:t>
      </w:r>
      <w:r w:rsidR="00726C59" w:rsidRPr="00726C59">
        <w:t>acrylates and methacrylates based on bisphenol A (BPA)</w:t>
      </w:r>
      <w:bookmarkEnd w:id="34"/>
    </w:p>
    <w:p w14:paraId="27AED4CE" w14:textId="77777777" w:rsidR="001C0504" w:rsidRPr="004279A6" w:rsidRDefault="001C0504" w:rsidP="004279A6">
      <w:pPr>
        <w:pStyle w:val="Heading4"/>
      </w:pPr>
      <w:r w:rsidRPr="004279A6">
        <w:t>Proposal</w:t>
      </w:r>
    </w:p>
    <w:p w14:paraId="7926B255" w14:textId="1A430922" w:rsidR="001C0504" w:rsidRDefault="001C0504" w:rsidP="001C0504">
      <w:pPr>
        <w:rPr>
          <w:rFonts w:cs="Arial"/>
        </w:rPr>
      </w:pPr>
      <w:r w:rsidRPr="001C0504">
        <w:t xml:space="preserve">The Delegate has proposed the creation of new Poisons (Schedule 6) entries for two chemicals, BPA glycidyl </w:t>
      </w:r>
      <w:proofErr w:type="spellStart"/>
      <w:r w:rsidRPr="001C0504">
        <w:t>dimethacrylate</w:t>
      </w:r>
      <w:proofErr w:type="spellEnd"/>
      <w:r w:rsidRPr="001C0504">
        <w:t xml:space="preserve"> and BPA glycidyl diacrylate. Additional warning statement and safety directions relating to skin sensitisation are also proposed. The proposal is based on the recommendation from the Australian Industrial Chemicals Introduction Scheme (</w:t>
      </w:r>
      <w:proofErr w:type="spellStart"/>
      <w:r w:rsidRPr="001C0504">
        <w:t>AICIS</w:t>
      </w:r>
      <w:proofErr w:type="spellEnd"/>
      <w:r w:rsidRPr="001C0504">
        <w:t>)</w:t>
      </w:r>
      <w:r w:rsidRPr="00B314C1">
        <w:rPr>
          <w:rFonts w:cs="Arial"/>
        </w:rPr>
        <w:t xml:space="preserve"> </w:t>
      </w:r>
      <w:hyperlink r:id="rId24" w:history="1">
        <w:r w:rsidR="00457567">
          <w:rPr>
            <w:rStyle w:val="Hyperlink"/>
            <w:rFonts w:cs="Arial"/>
          </w:rPr>
          <w:t>Evaluation Statement on acrylates and methacrylates based on bisphenol A (BPA)</w:t>
        </w:r>
      </w:hyperlink>
      <w:r w:rsidRPr="009F7D14">
        <w:rPr>
          <w:rFonts w:cs="Arial"/>
        </w:rPr>
        <w:t>.</w:t>
      </w:r>
      <w:r>
        <w:rPr>
          <w:rFonts w:cs="Arial"/>
        </w:rPr>
        <w:t xml:space="preserve"> </w:t>
      </w:r>
      <w:r w:rsidRPr="001C0504">
        <w:t xml:space="preserve">BPA glycidyl </w:t>
      </w:r>
      <w:proofErr w:type="spellStart"/>
      <w:r w:rsidRPr="001C0504">
        <w:t>dimethacrylate</w:t>
      </w:r>
      <w:proofErr w:type="spellEnd"/>
      <w:r w:rsidRPr="001C0504">
        <w:t xml:space="preserve"> and BPA glycidyl diacrylate are not specifically scheduled in the current Poisons Standard.</w:t>
      </w:r>
    </w:p>
    <w:p w14:paraId="4589E4AB" w14:textId="77777777" w:rsidR="00997916" w:rsidRPr="004279A6" w:rsidRDefault="00997916" w:rsidP="004279A6">
      <w:pPr>
        <w:pStyle w:val="Heading4"/>
      </w:pPr>
      <w:r w:rsidRPr="004279A6">
        <w:t>Final decision</w:t>
      </w:r>
    </w:p>
    <w:p w14:paraId="56163EE6" w14:textId="77777777" w:rsidR="00997916" w:rsidRPr="00997916" w:rsidRDefault="00997916" w:rsidP="00997916">
      <w:r w:rsidRPr="00997916">
        <w:t xml:space="preserve">Pursuant to regulation </w:t>
      </w:r>
      <w:proofErr w:type="spellStart"/>
      <w:r w:rsidRPr="00997916">
        <w:t>42ZCZR</w:t>
      </w:r>
      <w:proofErr w:type="spellEnd"/>
      <w:r w:rsidRPr="00997916">
        <w:t xml:space="preserve"> of the Regulations, the Delegate has made a final decision to confirm the interim decision and amend the current Poisons Standard in relation to acrylates and methacrylates BPA as follows:</w:t>
      </w:r>
      <w:r w:rsidRPr="00997916">
        <w:rPr>
          <w:vertAlign w:val="superscript"/>
        </w:rPr>
        <w:footnoteReference w:id="6"/>
      </w:r>
    </w:p>
    <w:p w14:paraId="2E77E209" w14:textId="77777777" w:rsidR="00997916" w:rsidRPr="00997916" w:rsidRDefault="00997916" w:rsidP="00997916">
      <w:pPr>
        <w:spacing w:line="240" w:lineRule="auto"/>
        <w:ind w:left="420" w:hanging="136"/>
        <w:textAlignment w:val="baseline"/>
        <w:rPr>
          <w:rFonts w:eastAsia="Calibri" w:cs="Arial"/>
          <w:b/>
          <w:bCs/>
        </w:rPr>
      </w:pPr>
      <w:r w:rsidRPr="00997916">
        <w:rPr>
          <w:rFonts w:eastAsia="Calibri" w:cs="Arial"/>
          <w:b/>
          <w:bCs/>
        </w:rPr>
        <w:t xml:space="preserve">Schedule 6 – New entries </w:t>
      </w:r>
    </w:p>
    <w:p w14:paraId="48273D00" w14:textId="44C69508" w:rsidR="00997916" w:rsidRPr="00997916" w:rsidRDefault="00997916" w:rsidP="00997916">
      <w:pPr>
        <w:spacing w:line="240" w:lineRule="auto"/>
        <w:ind w:left="555"/>
        <w:textAlignment w:val="baseline"/>
        <w:rPr>
          <w:rFonts w:eastAsia="Times New Roman" w:cs="Arial"/>
          <w:color w:val="00B050"/>
          <w:u w:val="single"/>
          <w:lang w:eastAsia="zh-TW"/>
        </w:rPr>
      </w:pPr>
      <w:r w:rsidRPr="00997916">
        <w:rPr>
          <w:rFonts w:eastAsia="Times New Roman" w:cs="Arial"/>
          <w:color w:val="00B050"/>
          <w:u w:val="single"/>
          <w:lang w:eastAsia="zh-TW"/>
        </w:rPr>
        <w:t xml:space="preserve">BPA GLYCIDYL </w:t>
      </w:r>
      <w:proofErr w:type="spellStart"/>
      <w:r w:rsidRPr="00997916">
        <w:rPr>
          <w:rFonts w:eastAsia="Times New Roman" w:cs="Arial"/>
          <w:color w:val="00B050"/>
          <w:u w:val="single"/>
          <w:lang w:eastAsia="zh-TW"/>
        </w:rPr>
        <w:t>DIMETHACRYLATE</w:t>
      </w:r>
      <w:proofErr w:type="spellEnd"/>
      <w:r w:rsidRPr="00997916">
        <w:rPr>
          <w:rFonts w:eastAsia="Times New Roman" w:cs="Arial"/>
          <w:color w:val="00B050"/>
          <w:u w:val="single"/>
          <w:lang w:eastAsia="zh-TW"/>
        </w:rPr>
        <w:t xml:space="preserve"> in preparations for cosmetic use.</w:t>
      </w:r>
    </w:p>
    <w:p w14:paraId="245BF8A7" w14:textId="77777777" w:rsidR="00997916" w:rsidRPr="00997916" w:rsidRDefault="00997916" w:rsidP="00997916">
      <w:pPr>
        <w:spacing w:line="240" w:lineRule="auto"/>
        <w:ind w:left="555"/>
        <w:textAlignment w:val="baseline"/>
        <w:rPr>
          <w:rFonts w:eastAsia="Times New Roman" w:cs="Arial"/>
          <w:color w:val="00B050"/>
          <w:u w:val="single"/>
          <w:lang w:eastAsia="zh-TW"/>
        </w:rPr>
      </w:pPr>
      <w:r w:rsidRPr="00997916">
        <w:rPr>
          <w:rFonts w:eastAsia="Times New Roman" w:cs="Arial"/>
          <w:color w:val="00B050"/>
          <w:u w:val="single"/>
          <w:lang w:eastAsia="zh-TW"/>
        </w:rPr>
        <w:t>BPA GLYCIDYL DIACRYLATE in preparations for cosmetic use.</w:t>
      </w:r>
    </w:p>
    <w:p w14:paraId="5A4BACB1" w14:textId="77777777" w:rsidR="00057394" w:rsidRDefault="00057394">
      <w:pPr>
        <w:rPr>
          <w:rFonts w:cs="Arial"/>
          <w:b/>
          <w:bCs/>
          <w:color w:val="auto"/>
          <w:szCs w:val="20"/>
        </w:rPr>
      </w:pPr>
      <w:r>
        <w:rPr>
          <w:rFonts w:cs="Arial"/>
          <w:b/>
          <w:bCs/>
          <w:color w:val="auto"/>
          <w:szCs w:val="20"/>
        </w:rPr>
        <w:br w:type="page"/>
      </w:r>
    </w:p>
    <w:p w14:paraId="0C2C418E" w14:textId="3CC7DBE5" w:rsidR="00997916" w:rsidRPr="004706D3" w:rsidRDefault="00997916" w:rsidP="004706D3">
      <w:pPr>
        <w:spacing w:before="120" w:line="240" w:lineRule="auto"/>
        <w:ind w:left="272"/>
        <w:textAlignment w:val="baseline"/>
        <w:rPr>
          <w:rFonts w:eastAsia="Calibri" w:cs="Arial"/>
          <w:b/>
          <w:bCs/>
        </w:rPr>
      </w:pPr>
      <w:r w:rsidRPr="004706D3">
        <w:rPr>
          <w:rFonts w:eastAsia="Calibri" w:cs="Arial"/>
          <w:b/>
          <w:bCs/>
        </w:rPr>
        <w:lastRenderedPageBreak/>
        <w:t>Appendix E, clause 3 – First aid instructions for poisons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3961"/>
        <w:gridCol w:w="3489"/>
      </w:tblGrid>
      <w:tr w:rsidR="00997916" w:rsidRPr="00997916" w14:paraId="69173A70" w14:textId="77777777" w:rsidTr="00F432E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4472C4" w:themeFill="accent1"/>
            <w:tcMar>
              <w:left w:w="113" w:type="dxa"/>
            </w:tcMar>
            <w:hideMark/>
          </w:tcPr>
          <w:p w14:paraId="18DBA64D" w14:textId="77777777" w:rsidR="00997916" w:rsidRPr="004706D3" w:rsidRDefault="00997916" w:rsidP="004706D3">
            <w:pPr>
              <w:spacing w:before="120" w:line="240" w:lineRule="auto"/>
              <w:textAlignment w:val="baseline"/>
              <w:rPr>
                <w:rFonts w:ascii="Times New Roman" w:eastAsia="Times New Roman" w:hAnsi="Times New Roman"/>
                <w:b/>
                <w:bCs/>
                <w:color w:val="000000"/>
                <w:lang w:eastAsia="zh-TW"/>
              </w:rPr>
            </w:pPr>
            <w:r w:rsidRPr="004706D3">
              <w:rPr>
                <w:rFonts w:eastAsia="Times New Roman" w:cs="Arial"/>
                <w:b/>
                <w:bCs/>
                <w:color w:val="FFFFFF"/>
                <w:lang w:eastAsia="zh-TW"/>
              </w:rPr>
              <w:t>Item </w:t>
            </w:r>
          </w:p>
        </w:tc>
        <w:tc>
          <w:tcPr>
            <w:tcW w:w="3961" w:type="dxa"/>
            <w:tcBorders>
              <w:top w:val="single" w:sz="6" w:space="0" w:color="auto"/>
              <w:left w:val="nil"/>
              <w:bottom w:val="single" w:sz="6" w:space="0" w:color="auto"/>
              <w:right w:val="single" w:sz="6" w:space="0" w:color="auto"/>
            </w:tcBorders>
            <w:shd w:val="clear" w:color="auto" w:fill="4472C4" w:themeFill="accent1"/>
            <w:tcMar>
              <w:left w:w="113" w:type="dxa"/>
            </w:tcMar>
            <w:hideMark/>
          </w:tcPr>
          <w:p w14:paraId="3D8796EA" w14:textId="77777777" w:rsidR="00997916" w:rsidRPr="004706D3" w:rsidRDefault="00997916" w:rsidP="004706D3">
            <w:pPr>
              <w:spacing w:before="120" w:line="240" w:lineRule="auto"/>
              <w:textAlignment w:val="baseline"/>
              <w:rPr>
                <w:rFonts w:ascii="Times New Roman" w:eastAsia="Times New Roman" w:hAnsi="Times New Roman"/>
                <w:b/>
                <w:bCs/>
                <w:color w:val="000000"/>
                <w:lang w:eastAsia="zh-TW"/>
              </w:rPr>
            </w:pPr>
            <w:r w:rsidRPr="004706D3">
              <w:rPr>
                <w:rFonts w:eastAsia="Times New Roman" w:cs="Arial"/>
                <w:b/>
                <w:bCs/>
                <w:color w:val="FFFFFF"/>
                <w:lang w:eastAsia="zh-TW"/>
              </w:rPr>
              <w:t>Poison </w:t>
            </w:r>
          </w:p>
        </w:tc>
        <w:tc>
          <w:tcPr>
            <w:tcW w:w="3489" w:type="dxa"/>
            <w:tcBorders>
              <w:top w:val="single" w:sz="6" w:space="0" w:color="auto"/>
              <w:left w:val="nil"/>
              <w:bottom w:val="single" w:sz="6" w:space="0" w:color="auto"/>
              <w:right w:val="single" w:sz="6" w:space="0" w:color="auto"/>
            </w:tcBorders>
            <w:shd w:val="clear" w:color="auto" w:fill="4472C4" w:themeFill="accent1"/>
            <w:tcMar>
              <w:left w:w="113" w:type="dxa"/>
            </w:tcMar>
            <w:hideMark/>
          </w:tcPr>
          <w:p w14:paraId="15B558AA" w14:textId="77777777" w:rsidR="00997916" w:rsidRPr="004706D3" w:rsidRDefault="00997916" w:rsidP="004706D3">
            <w:pPr>
              <w:spacing w:before="120" w:line="240" w:lineRule="auto"/>
              <w:textAlignment w:val="baseline"/>
              <w:rPr>
                <w:rFonts w:ascii="Times New Roman" w:eastAsia="Times New Roman" w:hAnsi="Times New Roman"/>
                <w:b/>
                <w:bCs/>
                <w:color w:val="000000"/>
                <w:lang w:eastAsia="zh-TW"/>
              </w:rPr>
            </w:pPr>
            <w:r w:rsidRPr="004706D3">
              <w:rPr>
                <w:rFonts w:eastAsia="Times New Roman" w:cs="Arial"/>
                <w:b/>
                <w:bCs/>
                <w:color w:val="FFFFFF"/>
                <w:lang w:eastAsia="zh-TW"/>
              </w:rPr>
              <w:t>Safety direction c</w:t>
            </w:r>
            <w:r w:rsidRPr="004706D3">
              <w:rPr>
                <w:rFonts w:eastAsia="Times New Roman"/>
                <w:b/>
                <w:bCs/>
                <w:color w:val="FFFFFF"/>
                <w:szCs w:val="20"/>
                <w:lang w:eastAsia="zh-TW"/>
              </w:rPr>
              <w:t xml:space="preserve">ode </w:t>
            </w:r>
            <w:r w:rsidRPr="004706D3">
              <w:rPr>
                <w:rFonts w:eastAsia="Times New Roman" w:cs="Arial"/>
                <w:b/>
                <w:bCs/>
                <w:color w:val="FFFFFF"/>
                <w:lang w:eastAsia="zh-TW"/>
              </w:rPr>
              <w:t>number and statement  </w:t>
            </w:r>
          </w:p>
        </w:tc>
      </w:tr>
      <w:tr w:rsidR="00997916" w:rsidRPr="00997916" w14:paraId="7572D6E3" w14:textId="77777777" w:rsidTr="00F432E8">
        <w:trPr>
          <w:trHeight w:val="300"/>
        </w:trPr>
        <w:tc>
          <w:tcPr>
            <w:tcW w:w="1560" w:type="dxa"/>
            <w:tcBorders>
              <w:top w:val="nil"/>
              <w:left w:val="single" w:sz="6" w:space="0" w:color="auto"/>
              <w:bottom w:val="single" w:sz="6" w:space="0" w:color="auto"/>
              <w:right w:val="single" w:sz="6" w:space="0" w:color="auto"/>
            </w:tcBorders>
            <w:tcMar>
              <w:left w:w="113" w:type="dxa"/>
            </w:tcMar>
          </w:tcPr>
          <w:p w14:paraId="3B29BBDF" w14:textId="77777777" w:rsidR="00997916" w:rsidRPr="00997916" w:rsidRDefault="00997916" w:rsidP="004706D3">
            <w:pPr>
              <w:spacing w:before="12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54</w:t>
            </w:r>
          </w:p>
        </w:tc>
        <w:tc>
          <w:tcPr>
            <w:tcW w:w="3961" w:type="dxa"/>
            <w:tcBorders>
              <w:top w:val="nil"/>
              <w:left w:val="nil"/>
              <w:bottom w:val="single" w:sz="6" w:space="0" w:color="auto"/>
              <w:right w:val="single" w:sz="6" w:space="0" w:color="auto"/>
            </w:tcBorders>
            <w:tcMar>
              <w:left w:w="113" w:type="dxa"/>
            </w:tcMar>
            <w:hideMark/>
          </w:tcPr>
          <w:p w14:paraId="4B19240A" w14:textId="77777777" w:rsidR="00997916" w:rsidRPr="00997916" w:rsidRDefault="00997916" w:rsidP="004706D3">
            <w:pPr>
              <w:spacing w:before="12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 xml:space="preserve">BPA GLYCIDYL </w:t>
            </w:r>
            <w:proofErr w:type="spellStart"/>
            <w:r w:rsidRPr="00997916">
              <w:rPr>
                <w:rFonts w:eastAsia="Times New Roman" w:cs="Arial"/>
                <w:color w:val="00B050"/>
                <w:lang w:eastAsia="zh-TW"/>
              </w:rPr>
              <w:t>DIMETHACRYLATE</w:t>
            </w:r>
            <w:proofErr w:type="spellEnd"/>
          </w:p>
        </w:tc>
        <w:tc>
          <w:tcPr>
            <w:tcW w:w="3489" w:type="dxa"/>
            <w:tcBorders>
              <w:top w:val="nil"/>
              <w:left w:val="nil"/>
              <w:bottom w:val="single" w:sz="6" w:space="0" w:color="auto"/>
              <w:right w:val="single" w:sz="6" w:space="0" w:color="auto"/>
            </w:tcBorders>
            <w:tcMar>
              <w:left w:w="113" w:type="dxa"/>
            </w:tcMar>
          </w:tcPr>
          <w:p w14:paraId="3AF57413" w14:textId="6C46160B" w:rsidR="00997916" w:rsidRPr="00997916" w:rsidRDefault="00997916" w:rsidP="004706D3">
            <w:pPr>
              <w:spacing w:before="120" w:line="240" w:lineRule="auto"/>
              <w:textAlignment w:val="baseline"/>
              <w:rPr>
                <w:rFonts w:eastAsia="Times New Roman" w:cs="Arial"/>
                <w:color w:val="00B050"/>
                <w:lang w:eastAsia="zh-TW"/>
              </w:rPr>
            </w:pPr>
            <w:r w:rsidRPr="00997916">
              <w:rPr>
                <w:rFonts w:eastAsia="Times New Roman" w:cs="Arial"/>
                <w:color w:val="00B050"/>
                <w:lang w:eastAsia="zh-TW"/>
              </w:rPr>
              <w:t xml:space="preserve">A </w:t>
            </w:r>
            <w:r w:rsidRPr="00997916">
              <w:rPr>
                <w:rFonts w:eastAsia="Times New Roman"/>
                <w:color w:val="00B050"/>
                <w:szCs w:val="20"/>
                <w:lang w:eastAsia="zh-TW"/>
              </w:rPr>
              <w:t xml:space="preserve">– </w:t>
            </w:r>
            <w:r w:rsidRPr="00997916">
              <w:rPr>
                <w:rFonts w:eastAsia="Times New Roman" w:cs="Arial"/>
                <w:color w:val="00B050"/>
                <w:lang w:eastAsia="zh-TW"/>
              </w:rPr>
              <w:t>For advice, contact a Poisons Information Centre (e.g. phone Australia 13 11 26; New Zealand 0800 764 766) or a doctor (at once).</w:t>
            </w:r>
          </w:p>
        </w:tc>
      </w:tr>
      <w:tr w:rsidR="00997916" w:rsidRPr="00997916" w14:paraId="6163E11C" w14:textId="77777777" w:rsidTr="00F432E8">
        <w:trPr>
          <w:trHeight w:val="300"/>
        </w:trPr>
        <w:tc>
          <w:tcPr>
            <w:tcW w:w="1560" w:type="dxa"/>
            <w:tcBorders>
              <w:top w:val="nil"/>
              <w:left w:val="single" w:sz="6" w:space="0" w:color="auto"/>
              <w:bottom w:val="single" w:sz="6" w:space="0" w:color="auto"/>
              <w:right w:val="single" w:sz="6" w:space="0" w:color="auto"/>
            </w:tcBorders>
            <w:tcMar>
              <w:left w:w="113" w:type="dxa"/>
            </w:tcMar>
          </w:tcPr>
          <w:p w14:paraId="51AAC870" w14:textId="77777777" w:rsidR="00997916" w:rsidRPr="00997916" w:rsidRDefault="00997916" w:rsidP="004706D3">
            <w:pPr>
              <w:spacing w:before="12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55</w:t>
            </w:r>
          </w:p>
        </w:tc>
        <w:tc>
          <w:tcPr>
            <w:tcW w:w="3961" w:type="dxa"/>
            <w:tcBorders>
              <w:top w:val="nil"/>
              <w:left w:val="nil"/>
              <w:bottom w:val="single" w:sz="6" w:space="0" w:color="auto"/>
              <w:right w:val="single" w:sz="6" w:space="0" w:color="auto"/>
            </w:tcBorders>
            <w:tcMar>
              <w:left w:w="113" w:type="dxa"/>
            </w:tcMar>
            <w:hideMark/>
          </w:tcPr>
          <w:p w14:paraId="1FD841D6" w14:textId="77777777" w:rsidR="00997916" w:rsidRPr="00997916" w:rsidRDefault="00997916" w:rsidP="004706D3">
            <w:pPr>
              <w:spacing w:before="12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BPA GLYCIDYL DIACRYLATE</w:t>
            </w:r>
          </w:p>
        </w:tc>
        <w:tc>
          <w:tcPr>
            <w:tcW w:w="3489" w:type="dxa"/>
            <w:tcBorders>
              <w:top w:val="nil"/>
              <w:left w:val="nil"/>
              <w:bottom w:val="single" w:sz="6" w:space="0" w:color="auto"/>
              <w:right w:val="single" w:sz="6" w:space="0" w:color="auto"/>
            </w:tcBorders>
            <w:tcMar>
              <w:left w:w="113" w:type="dxa"/>
            </w:tcMar>
          </w:tcPr>
          <w:p w14:paraId="46627DB7" w14:textId="77777777" w:rsidR="00997916" w:rsidRPr="00997916" w:rsidRDefault="00997916" w:rsidP="004706D3">
            <w:pPr>
              <w:spacing w:before="120" w:line="240" w:lineRule="auto"/>
              <w:textAlignment w:val="baseline"/>
              <w:rPr>
                <w:rFonts w:eastAsia="Times New Roman" w:cs="Arial"/>
                <w:color w:val="00B050"/>
                <w:lang w:eastAsia="zh-TW"/>
              </w:rPr>
            </w:pPr>
            <w:r w:rsidRPr="00997916">
              <w:rPr>
                <w:rFonts w:eastAsia="Times New Roman" w:cs="Arial"/>
                <w:color w:val="00B050"/>
                <w:lang w:eastAsia="zh-TW"/>
              </w:rPr>
              <w:t xml:space="preserve">A </w:t>
            </w:r>
            <w:r w:rsidRPr="00997916">
              <w:rPr>
                <w:rFonts w:eastAsia="Times New Roman"/>
                <w:color w:val="00B050"/>
                <w:szCs w:val="20"/>
                <w:lang w:eastAsia="zh-TW"/>
              </w:rPr>
              <w:t xml:space="preserve">– </w:t>
            </w:r>
            <w:r w:rsidRPr="00997916">
              <w:rPr>
                <w:rFonts w:eastAsia="Times New Roman" w:cs="Arial"/>
                <w:color w:val="00B050"/>
                <w:lang w:eastAsia="zh-TW"/>
              </w:rPr>
              <w:t xml:space="preserve">For advice, contact a Poisons Information Centre (e.g. phone </w:t>
            </w:r>
          </w:p>
          <w:p w14:paraId="3250D0B8" w14:textId="482FC930" w:rsidR="00997916" w:rsidRPr="00997916" w:rsidRDefault="00997916" w:rsidP="004706D3">
            <w:pPr>
              <w:spacing w:before="120" w:line="240" w:lineRule="auto"/>
              <w:textAlignment w:val="baseline"/>
              <w:rPr>
                <w:rFonts w:eastAsia="Times New Roman" w:cs="Arial"/>
                <w:color w:val="00B050"/>
                <w:lang w:eastAsia="zh-TW"/>
              </w:rPr>
            </w:pPr>
            <w:r w:rsidRPr="00997916">
              <w:rPr>
                <w:rFonts w:eastAsia="Times New Roman" w:cs="Arial"/>
                <w:color w:val="00B050"/>
                <w:lang w:eastAsia="zh-TW"/>
              </w:rPr>
              <w:t>Australia 13 11 26; New Zealand 0800 764 766) or a doctor (at once).</w:t>
            </w:r>
          </w:p>
        </w:tc>
      </w:tr>
    </w:tbl>
    <w:p w14:paraId="0B3BED84" w14:textId="242CED9A" w:rsidR="00997916" w:rsidRPr="004706D3" w:rsidRDefault="00997916" w:rsidP="004706D3">
      <w:pPr>
        <w:spacing w:before="120" w:line="240" w:lineRule="auto"/>
        <w:ind w:left="272"/>
        <w:textAlignment w:val="baseline"/>
        <w:rPr>
          <w:rFonts w:eastAsia="Calibri" w:cs="Arial"/>
          <w:b/>
          <w:bCs/>
        </w:rPr>
      </w:pPr>
      <w:r w:rsidRPr="004706D3">
        <w:rPr>
          <w:rFonts w:eastAsia="Calibri" w:cs="Arial"/>
          <w:b/>
          <w:bCs/>
        </w:rPr>
        <w:t>Appendix F, clause 4 – Warning statements and safety directions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3961"/>
        <w:gridCol w:w="3489"/>
      </w:tblGrid>
      <w:tr w:rsidR="00997916" w:rsidRPr="00997916" w14:paraId="38FBAC7F" w14:textId="77777777" w:rsidTr="00A539E6">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4472C4" w:themeFill="accent1"/>
            <w:tcMar>
              <w:top w:w="113" w:type="dxa"/>
              <w:left w:w="113" w:type="dxa"/>
              <w:bottom w:w="113" w:type="dxa"/>
            </w:tcMar>
            <w:hideMark/>
          </w:tcPr>
          <w:p w14:paraId="15139867"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FFFFFF"/>
                <w:lang w:eastAsia="zh-TW"/>
              </w:rPr>
              <w:t>Item </w:t>
            </w:r>
          </w:p>
        </w:tc>
        <w:tc>
          <w:tcPr>
            <w:tcW w:w="3961" w:type="dxa"/>
            <w:tcBorders>
              <w:top w:val="single" w:sz="6" w:space="0" w:color="auto"/>
              <w:left w:val="nil"/>
              <w:bottom w:val="single" w:sz="6" w:space="0" w:color="auto"/>
              <w:right w:val="single" w:sz="6" w:space="0" w:color="auto"/>
            </w:tcBorders>
            <w:shd w:val="clear" w:color="auto" w:fill="4472C4" w:themeFill="accent1"/>
            <w:tcMar>
              <w:top w:w="113" w:type="dxa"/>
              <w:left w:w="113" w:type="dxa"/>
              <w:bottom w:w="113" w:type="dxa"/>
            </w:tcMar>
            <w:hideMark/>
          </w:tcPr>
          <w:p w14:paraId="2BCA6AC8"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FFFFFF"/>
                <w:lang w:eastAsia="zh-TW"/>
              </w:rPr>
              <w:t>Poison </w:t>
            </w:r>
          </w:p>
        </w:tc>
        <w:tc>
          <w:tcPr>
            <w:tcW w:w="3489" w:type="dxa"/>
            <w:tcBorders>
              <w:top w:val="single" w:sz="6" w:space="0" w:color="auto"/>
              <w:left w:val="nil"/>
              <w:bottom w:val="single" w:sz="6" w:space="0" w:color="auto"/>
              <w:right w:val="single" w:sz="6" w:space="0" w:color="auto"/>
            </w:tcBorders>
            <w:shd w:val="clear" w:color="auto" w:fill="4472C4" w:themeFill="accent1"/>
            <w:tcMar>
              <w:top w:w="113" w:type="dxa"/>
              <w:left w:w="113" w:type="dxa"/>
              <w:bottom w:w="113" w:type="dxa"/>
            </w:tcMar>
            <w:hideMark/>
          </w:tcPr>
          <w:p w14:paraId="0F6F3973"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FFFFFF"/>
                <w:lang w:eastAsia="zh-TW"/>
              </w:rPr>
              <w:t>Safety direction item number and statement  </w:t>
            </w:r>
          </w:p>
        </w:tc>
      </w:tr>
      <w:tr w:rsidR="00997916" w:rsidRPr="00997916" w14:paraId="2C1180E4" w14:textId="77777777" w:rsidTr="00A539E6">
        <w:trPr>
          <w:trHeight w:val="300"/>
        </w:trPr>
        <w:tc>
          <w:tcPr>
            <w:tcW w:w="1560" w:type="dxa"/>
            <w:tcBorders>
              <w:top w:val="nil"/>
              <w:left w:val="single" w:sz="6" w:space="0" w:color="auto"/>
              <w:bottom w:val="single" w:sz="6" w:space="0" w:color="auto"/>
              <w:right w:val="single" w:sz="6" w:space="0" w:color="auto"/>
            </w:tcBorders>
            <w:tcMar>
              <w:top w:w="113" w:type="dxa"/>
              <w:left w:w="113" w:type="dxa"/>
              <w:bottom w:w="113" w:type="dxa"/>
            </w:tcMar>
            <w:hideMark/>
          </w:tcPr>
          <w:p w14:paraId="2A155510"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50</w:t>
            </w:r>
          </w:p>
        </w:tc>
        <w:tc>
          <w:tcPr>
            <w:tcW w:w="3961" w:type="dxa"/>
            <w:tcBorders>
              <w:top w:val="nil"/>
              <w:left w:val="nil"/>
              <w:bottom w:val="single" w:sz="6" w:space="0" w:color="auto"/>
              <w:right w:val="single" w:sz="6" w:space="0" w:color="auto"/>
            </w:tcBorders>
            <w:tcMar>
              <w:top w:w="113" w:type="dxa"/>
              <w:left w:w="113" w:type="dxa"/>
              <w:bottom w:w="113" w:type="dxa"/>
            </w:tcMar>
            <w:hideMark/>
          </w:tcPr>
          <w:p w14:paraId="0F6D00E3"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 xml:space="preserve">BPA GLYCIDYL </w:t>
            </w:r>
            <w:proofErr w:type="spellStart"/>
            <w:r w:rsidRPr="00997916">
              <w:rPr>
                <w:rFonts w:eastAsia="Times New Roman" w:cs="Arial"/>
                <w:color w:val="00B050"/>
                <w:lang w:eastAsia="zh-TW"/>
              </w:rPr>
              <w:t>DIMETHACRYLATE</w:t>
            </w:r>
            <w:proofErr w:type="spellEnd"/>
          </w:p>
        </w:tc>
        <w:tc>
          <w:tcPr>
            <w:tcW w:w="3489" w:type="dxa"/>
            <w:tcBorders>
              <w:top w:val="nil"/>
              <w:left w:val="nil"/>
              <w:bottom w:val="single" w:sz="6" w:space="0" w:color="auto"/>
              <w:right w:val="single" w:sz="6" w:space="0" w:color="auto"/>
            </w:tcBorders>
            <w:tcMar>
              <w:top w:w="113" w:type="dxa"/>
              <w:left w:w="113" w:type="dxa"/>
              <w:bottom w:w="113" w:type="dxa"/>
            </w:tcMar>
            <w:hideMark/>
          </w:tcPr>
          <w:p w14:paraId="63C7AF2C" w14:textId="77777777" w:rsidR="00997916" w:rsidRPr="00997916" w:rsidRDefault="00997916" w:rsidP="00997916">
            <w:pPr>
              <w:spacing w:after="0" w:line="240" w:lineRule="auto"/>
              <w:textAlignment w:val="baseline"/>
              <w:rPr>
                <w:rFonts w:eastAsia="Times New Roman" w:cs="Arial"/>
                <w:color w:val="00B050"/>
                <w:lang w:eastAsia="zh-TW"/>
              </w:rPr>
            </w:pPr>
            <w:r w:rsidRPr="00997916">
              <w:rPr>
                <w:rFonts w:eastAsia="Times New Roman" w:cs="Arial"/>
                <w:color w:val="00B050"/>
                <w:lang w:eastAsia="zh-TW"/>
              </w:rPr>
              <w:t>4 – Avoid contact with skin</w:t>
            </w:r>
          </w:p>
          <w:p w14:paraId="7E98195A"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28 – (Over) (Repeated) exposure may cause sensitisation.</w:t>
            </w:r>
          </w:p>
        </w:tc>
      </w:tr>
      <w:tr w:rsidR="00997916" w:rsidRPr="00997916" w14:paraId="6E6E7B0A" w14:textId="77777777" w:rsidTr="00A539E6">
        <w:trPr>
          <w:trHeight w:val="300"/>
        </w:trPr>
        <w:tc>
          <w:tcPr>
            <w:tcW w:w="1560" w:type="dxa"/>
            <w:tcBorders>
              <w:top w:val="nil"/>
              <w:left w:val="single" w:sz="6" w:space="0" w:color="auto"/>
              <w:bottom w:val="single" w:sz="6" w:space="0" w:color="auto"/>
              <w:right w:val="single" w:sz="6" w:space="0" w:color="auto"/>
            </w:tcBorders>
            <w:tcMar>
              <w:top w:w="113" w:type="dxa"/>
              <w:left w:w="113" w:type="dxa"/>
              <w:bottom w:w="113" w:type="dxa"/>
            </w:tcMar>
            <w:hideMark/>
          </w:tcPr>
          <w:p w14:paraId="368A7396"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51</w:t>
            </w:r>
          </w:p>
        </w:tc>
        <w:tc>
          <w:tcPr>
            <w:tcW w:w="3961" w:type="dxa"/>
            <w:tcBorders>
              <w:top w:val="nil"/>
              <w:left w:val="nil"/>
              <w:bottom w:val="single" w:sz="6" w:space="0" w:color="auto"/>
              <w:right w:val="single" w:sz="6" w:space="0" w:color="auto"/>
            </w:tcBorders>
            <w:tcMar>
              <w:top w:w="113" w:type="dxa"/>
              <w:left w:w="113" w:type="dxa"/>
              <w:bottom w:w="113" w:type="dxa"/>
            </w:tcMar>
            <w:hideMark/>
          </w:tcPr>
          <w:p w14:paraId="78810347"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BPA GLYCIDYL DIACRYLATE</w:t>
            </w:r>
          </w:p>
        </w:tc>
        <w:tc>
          <w:tcPr>
            <w:tcW w:w="3489" w:type="dxa"/>
            <w:tcBorders>
              <w:top w:val="nil"/>
              <w:left w:val="nil"/>
              <w:bottom w:val="single" w:sz="6" w:space="0" w:color="auto"/>
              <w:right w:val="single" w:sz="6" w:space="0" w:color="auto"/>
            </w:tcBorders>
            <w:tcMar>
              <w:top w:w="113" w:type="dxa"/>
              <w:left w:w="113" w:type="dxa"/>
              <w:bottom w:w="113" w:type="dxa"/>
            </w:tcMar>
            <w:hideMark/>
          </w:tcPr>
          <w:p w14:paraId="0867A711" w14:textId="77777777" w:rsidR="00997916" w:rsidRPr="00997916" w:rsidRDefault="00997916" w:rsidP="00997916">
            <w:pPr>
              <w:spacing w:after="0" w:line="240" w:lineRule="auto"/>
              <w:textAlignment w:val="baseline"/>
              <w:rPr>
                <w:rFonts w:eastAsia="Times New Roman" w:cs="Arial"/>
                <w:color w:val="00B050"/>
                <w:lang w:eastAsia="zh-TW"/>
              </w:rPr>
            </w:pPr>
            <w:r w:rsidRPr="00997916">
              <w:rPr>
                <w:rFonts w:eastAsia="Times New Roman" w:cs="Arial"/>
                <w:color w:val="00B050"/>
                <w:lang w:eastAsia="zh-TW"/>
              </w:rPr>
              <w:t>4 – Avoid contact with skin</w:t>
            </w:r>
          </w:p>
          <w:p w14:paraId="0B80FCCA" w14:textId="77777777" w:rsidR="00997916" w:rsidRPr="00997916" w:rsidRDefault="00997916" w:rsidP="00997916">
            <w:pPr>
              <w:spacing w:after="0" w:line="240" w:lineRule="auto"/>
              <w:textAlignment w:val="baseline"/>
              <w:rPr>
                <w:rFonts w:ascii="Times New Roman" w:eastAsia="Times New Roman" w:hAnsi="Times New Roman"/>
                <w:color w:val="000000"/>
                <w:lang w:eastAsia="zh-TW"/>
              </w:rPr>
            </w:pPr>
            <w:r w:rsidRPr="00997916">
              <w:rPr>
                <w:rFonts w:eastAsia="Times New Roman" w:cs="Arial"/>
                <w:color w:val="00B050"/>
                <w:lang w:eastAsia="zh-TW"/>
              </w:rPr>
              <w:t>28 – (Over) (Repeated) exposure may cause sensitisation.</w:t>
            </w:r>
          </w:p>
        </w:tc>
      </w:tr>
    </w:tbl>
    <w:p w14:paraId="20CD1A02" w14:textId="77777777" w:rsidR="00997916" w:rsidRPr="004706D3" w:rsidRDefault="00997916" w:rsidP="004706D3">
      <w:pPr>
        <w:spacing w:before="120" w:line="240" w:lineRule="auto"/>
        <w:ind w:left="272"/>
        <w:textAlignment w:val="baseline"/>
        <w:rPr>
          <w:rFonts w:eastAsia="Calibri" w:cs="Arial"/>
          <w:b/>
          <w:bCs/>
        </w:rPr>
      </w:pPr>
      <w:r w:rsidRPr="004706D3">
        <w:rPr>
          <w:rFonts w:eastAsia="Calibri" w:cs="Arial"/>
          <w:b/>
          <w:bCs/>
        </w:rPr>
        <w:t>Index</w:t>
      </w:r>
    </w:p>
    <w:p w14:paraId="776B8934" w14:textId="77777777" w:rsidR="00997916" w:rsidRPr="00997916" w:rsidRDefault="00997916" w:rsidP="00997916">
      <w:pPr>
        <w:spacing w:line="240" w:lineRule="auto"/>
        <w:ind w:left="555"/>
        <w:textAlignment w:val="baseline"/>
        <w:rPr>
          <w:rFonts w:ascii="Segoe UI" w:eastAsia="Times New Roman" w:hAnsi="Segoe UI" w:cs="Segoe UI"/>
          <w:color w:val="000000"/>
          <w:lang w:eastAsia="zh-TW"/>
        </w:rPr>
      </w:pPr>
      <w:r w:rsidRPr="00997916">
        <w:rPr>
          <w:rFonts w:eastAsia="Times New Roman" w:cs="Arial"/>
          <w:color w:val="00B050"/>
          <w:u w:val="single"/>
          <w:lang w:eastAsia="zh-TW"/>
        </w:rPr>
        <w:t xml:space="preserve">BPA GLYCIDYL </w:t>
      </w:r>
      <w:proofErr w:type="spellStart"/>
      <w:r w:rsidRPr="00997916">
        <w:rPr>
          <w:rFonts w:eastAsia="Times New Roman" w:cs="Arial"/>
          <w:color w:val="00B050"/>
          <w:u w:val="single"/>
          <w:lang w:eastAsia="zh-TW"/>
        </w:rPr>
        <w:t>DIMETHACRYLATE</w:t>
      </w:r>
      <w:proofErr w:type="spellEnd"/>
    </w:p>
    <w:p w14:paraId="737B7EDB" w14:textId="77777777" w:rsidR="00997916" w:rsidRPr="00997916" w:rsidRDefault="00997916" w:rsidP="00997916">
      <w:pPr>
        <w:spacing w:line="240" w:lineRule="auto"/>
        <w:ind w:left="555"/>
        <w:textAlignment w:val="baseline"/>
        <w:rPr>
          <w:rFonts w:eastAsia="Times New Roman" w:cs="Arial"/>
          <w:color w:val="00B050"/>
          <w:lang w:eastAsia="zh-TW"/>
        </w:rPr>
      </w:pPr>
      <w:r w:rsidRPr="00997916">
        <w:rPr>
          <w:rFonts w:eastAsia="Times New Roman" w:cs="Arial"/>
          <w:color w:val="00B050"/>
          <w:u w:val="single"/>
          <w:lang w:eastAsia="zh-TW"/>
        </w:rPr>
        <w:t>Schedule 6</w:t>
      </w:r>
    </w:p>
    <w:p w14:paraId="63BE9835" w14:textId="77777777" w:rsidR="00997916" w:rsidRPr="00997916" w:rsidRDefault="00997916" w:rsidP="00997916">
      <w:pPr>
        <w:spacing w:line="240" w:lineRule="auto"/>
        <w:ind w:left="555"/>
        <w:textAlignment w:val="baseline"/>
        <w:rPr>
          <w:rFonts w:eastAsia="Times New Roman" w:cs="Arial"/>
          <w:color w:val="00B050"/>
          <w:u w:val="single"/>
          <w:lang w:eastAsia="zh-TW"/>
        </w:rPr>
      </w:pPr>
      <w:r w:rsidRPr="00997916">
        <w:rPr>
          <w:rFonts w:eastAsia="Times New Roman" w:cs="Arial"/>
          <w:color w:val="00B050"/>
          <w:u w:val="single"/>
          <w:lang w:eastAsia="zh-TW"/>
        </w:rPr>
        <w:t>Appendix E, Clause 3</w:t>
      </w:r>
    </w:p>
    <w:p w14:paraId="21E224D0" w14:textId="77777777" w:rsidR="00997916" w:rsidRPr="00997916" w:rsidRDefault="00997916" w:rsidP="00997916">
      <w:pPr>
        <w:spacing w:line="240" w:lineRule="auto"/>
        <w:ind w:left="555"/>
        <w:textAlignment w:val="baseline"/>
        <w:rPr>
          <w:rFonts w:ascii="Segoe UI" w:eastAsia="Times New Roman" w:hAnsi="Segoe UI" w:cs="Segoe UI"/>
          <w:color w:val="000000"/>
          <w:lang w:eastAsia="zh-TW"/>
        </w:rPr>
      </w:pPr>
      <w:r w:rsidRPr="00997916">
        <w:rPr>
          <w:rFonts w:eastAsia="Times New Roman" w:cs="Arial"/>
          <w:color w:val="00B050"/>
          <w:u w:val="single"/>
          <w:lang w:eastAsia="zh-TW"/>
        </w:rPr>
        <w:t>Appendix F, Clause 4</w:t>
      </w:r>
    </w:p>
    <w:p w14:paraId="7BAB0731" w14:textId="77777777" w:rsidR="00997916" w:rsidRPr="00997916" w:rsidRDefault="00997916" w:rsidP="00997916">
      <w:pPr>
        <w:spacing w:line="240" w:lineRule="auto"/>
        <w:ind w:left="555"/>
        <w:textAlignment w:val="baseline"/>
        <w:rPr>
          <w:rFonts w:ascii="Segoe UI" w:eastAsia="Times New Roman" w:hAnsi="Segoe UI" w:cs="Segoe UI"/>
          <w:color w:val="000000"/>
          <w:lang w:eastAsia="zh-TW"/>
        </w:rPr>
      </w:pPr>
    </w:p>
    <w:p w14:paraId="6B3FD584" w14:textId="77777777" w:rsidR="00997916" w:rsidRPr="00997916" w:rsidRDefault="00997916" w:rsidP="00997916">
      <w:pPr>
        <w:spacing w:line="240" w:lineRule="auto"/>
        <w:ind w:left="555"/>
        <w:textAlignment w:val="baseline"/>
        <w:rPr>
          <w:rFonts w:ascii="Segoe UI" w:eastAsia="Times New Roman" w:hAnsi="Segoe UI" w:cs="Segoe UI"/>
          <w:color w:val="000000"/>
          <w:lang w:eastAsia="zh-TW"/>
        </w:rPr>
      </w:pPr>
      <w:r w:rsidRPr="00997916">
        <w:rPr>
          <w:rFonts w:eastAsia="Times New Roman" w:cs="Arial"/>
          <w:color w:val="00B050"/>
          <w:u w:val="single"/>
          <w:lang w:eastAsia="zh-TW"/>
        </w:rPr>
        <w:t>BPA GLYCIDYL DIACRYLATE</w:t>
      </w:r>
    </w:p>
    <w:p w14:paraId="0AEF0664" w14:textId="77777777" w:rsidR="00997916" w:rsidRPr="00997916" w:rsidRDefault="00997916" w:rsidP="00997916">
      <w:pPr>
        <w:spacing w:line="240" w:lineRule="auto"/>
        <w:ind w:left="555"/>
        <w:textAlignment w:val="baseline"/>
        <w:rPr>
          <w:rFonts w:eastAsia="Times New Roman" w:cs="Arial"/>
          <w:color w:val="00B050"/>
          <w:lang w:eastAsia="zh-TW"/>
        </w:rPr>
      </w:pPr>
      <w:r w:rsidRPr="00997916">
        <w:rPr>
          <w:rFonts w:eastAsia="Times New Roman" w:cs="Arial"/>
          <w:color w:val="00B050"/>
          <w:u w:val="single"/>
          <w:lang w:eastAsia="zh-TW"/>
        </w:rPr>
        <w:t>Schedule 6</w:t>
      </w:r>
    </w:p>
    <w:p w14:paraId="0ED4F14A" w14:textId="77777777" w:rsidR="00997916" w:rsidRPr="00997916" w:rsidRDefault="00997916" w:rsidP="00997916">
      <w:pPr>
        <w:spacing w:line="240" w:lineRule="auto"/>
        <w:ind w:left="555"/>
        <w:textAlignment w:val="baseline"/>
        <w:rPr>
          <w:rFonts w:eastAsia="Times New Roman" w:cs="Arial"/>
          <w:color w:val="00B050"/>
          <w:u w:val="single"/>
          <w:lang w:eastAsia="zh-TW"/>
        </w:rPr>
      </w:pPr>
      <w:r w:rsidRPr="00997916">
        <w:rPr>
          <w:rFonts w:eastAsia="Times New Roman" w:cs="Arial"/>
          <w:color w:val="00B050"/>
          <w:u w:val="single"/>
          <w:lang w:eastAsia="zh-TW"/>
        </w:rPr>
        <w:t>Appendix E, Clause 3</w:t>
      </w:r>
    </w:p>
    <w:p w14:paraId="1A3957E3" w14:textId="77777777" w:rsidR="00997916" w:rsidRPr="00997916" w:rsidRDefault="00997916" w:rsidP="00997916">
      <w:pPr>
        <w:spacing w:line="240" w:lineRule="auto"/>
        <w:ind w:left="555"/>
        <w:textAlignment w:val="baseline"/>
        <w:rPr>
          <w:rFonts w:ascii="Segoe UI" w:eastAsia="Times New Roman" w:hAnsi="Segoe UI" w:cs="Segoe UI"/>
          <w:color w:val="000000"/>
          <w:lang w:eastAsia="zh-TW"/>
        </w:rPr>
      </w:pPr>
      <w:r w:rsidRPr="00997916">
        <w:rPr>
          <w:rFonts w:eastAsia="Times New Roman" w:cs="Arial"/>
          <w:color w:val="00B050"/>
          <w:u w:val="single"/>
          <w:lang w:eastAsia="zh-TW"/>
        </w:rPr>
        <w:t>Appendix F, Clause 4</w:t>
      </w:r>
    </w:p>
    <w:p w14:paraId="24ED5531" w14:textId="77777777" w:rsidR="00997916" w:rsidRPr="00997916" w:rsidRDefault="00997916" w:rsidP="008644E7">
      <w:pPr>
        <w:pStyle w:val="Heading4"/>
      </w:pPr>
      <w:r w:rsidRPr="00997916">
        <w:t>Materials considered</w:t>
      </w:r>
    </w:p>
    <w:p w14:paraId="3FE9F558" w14:textId="77777777" w:rsidR="00997916" w:rsidRPr="00997916" w:rsidRDefault="00997916" w:rsidP="00997916">
      <w:r w:rsidRPr="00997916">
        <w:t>In making this final decision, the Delegate considered the following material:</w:t>
      </w:r>
    </w:p>
    <w:p w14:paraId="0D7601D2" w14:textId="77777777" w:rsidR="00997916" w:rsidRPr="00670130" w:rsidRDefault="00997916" w:rsidP="00F26607">
      <w:pPr>
        <w:pStyle w:val="ListBullet"/>
        <w:numPr>
          <w:ilvl w:val="0"/>
          <w:numId w:val="15"/>
        </w:numPr>
      </w:pPr>
      <w:r w:rsidRPr="00670130">
        <w:t xml:space="preserve">the application to amend the current Poisons Standard with respect to acrylates and methacrylates BPA (the </w:t>
      </w:r>
      <w:r w:rsidRPr="003C4976">
        <w:rPr>
          <w:b/>
          <w:bCs/>
        </w:rPr>
        <w:t>Application</w:t>
      </w:r>
      <w:r w:rsidRPr="00670130">
        <w:t>)</w:t>
      </w:r>
    </w:p>
    <w:p w14:paraId="03308865" w14:textId="6C9AE56A" w:rsidR="00997916" w:rsidRPr="00670130" w:rsidRDefault="00997916" w:rsidP="00F26607">
      <w:pPr>
        <w:pStyle w:val="ListBullet"/>
        <w:numPr>
          <w:ilvl w:val="0"/>
          <w:numId w:val="15"/>
        </w:numPr>
      </w:pPr>
      <w:r w:rsidRPr="00670130">
        <w:t>6</w:t>
      </w:r>
      <w:r w:rsidR="009213C0">
        <w:t xml:space="preserve"> public submissions</w:t>
      </w:r>
      <w:r w:rsidRPr="00670130">
        <w:t xml:space="preserve">, including 2 with a written component, received in response to the </w:t>
      </w:r>
      <w:hyperlink r:id="rId25" w:history="1">
        <w:r w:rsidR="009213C0" w:rsidRPr="009213C0">
          <w:rPr>
            <w:rStyle w:val="Hyperlink"/>
          </w:rPr>
          <w:t>pre-meeting consultation</w:t>
        </w:r>
      </w:hyperlink>
      <w:r w:rsidR="009213C0">
        <w:t xml:space="preserve"> </w:t>
      </w:r>
      <w:r w:rsidRPr="00670130">
        <w:t xml:space="preserve">under regulation </w:t>
      </w:r>
      <w:proofErr w:type="spellStart"/>
      <w:r w:rsidRPr="00670130">
        <w:t>42ZCZK</w:t>
      </w:r>
      <w:proofErr w:type="spellEnd"/>
      <w:r w:rsidRPr="00670130">
        <w:t xml:space="preserve"> of the Regulations (the </w:t>
      </w:r>
      <w:r w:rsidRPr="003C4976">
        <w:rPr>
          <w:b/>
          <w:bCs/>
        </w:rPr>
        <w:t>Submissions</w:t>
      </w:r>
      <w:r w:rsidRPr="00670130">
        <w:t>)</w:t>
      </w:r>
    </w:p>
    <w:p w14:paraId="77ED3985" w14:textId="77777777" w:rsidR="00997916" w:rsidRPr="00670130" w:rsidRDefault="00997916" w:rsidP="00F26607">
      <w:pPr>
        <w:pStyle w:val="ListBullet"/>
        <w:numPr>
          <w:ilvl w:val="0"/>
          <w:numId w:val="15"/>
        </w:numPr>
      </w:pPr>
      <w:r w:rsidRPr="00670130">
        <w:t xml:space="preserve">the advice received from the 40th meeting of the Advisory Committee on Chemicals Scheduling (the </w:t>
      </w:r>
      <w:r w:rsidRPr="003C4976">
        <w:rPr>
          <w:b/>
          <w:bCs/>
        </w:rPr>
        <w:t>Committee</w:t>
      </w:r>
      <w:r w:rsidRPr="00670130">
        <w:t>)</w:t>
      </w:r>
    </w:p>
    <w:p w14:paraId="62C49150" w14:textId="233CDDCB" w:rsidR="00997916" w:rsidRPr="00670130" w:rsidRDefault="003C4976" w:rsidP="00F26607">
      <w:pPr>
        <w:pStyle w:val="ListBullet"/>
        <w:numPr>
          <w:ilvl w:val="0"/>
          <w:numId w:val="15"/>
        </w:numPr>
      </w:pPr>
      <w:r>
        <w:lastRenderedPageBreak/>
        <w:t>t</w:t>
      </w:r>
      <w:r w:rsidR="00997916" w:rsidRPr="00670130">
        <w:t xml:space="preserve">he </w:t>
      </w:r>
      <w:hyperlink r:id="rId26" w:history="1">
        <w:r w:rsidR="009213C0" w:rsidRPr="009213C0">
          <w:rPr>
            <w:rStyle w:val="Hyperlink"/>
          </w:rPr>
          <w:t>interim decision</w:t>
        </w:r>
      </w:hyperlink>
      <w:r w:rsidR="00997916" w:rsidRPr="00670130">
        <w:t xml:space="preserve"> and the materials considered as part of the interim decision, as published on 18 December 2025.</w:t>
      </w:r>
    </w:p>
    <w:p w14:paraId="2A078D7E" w14:textId="082CB7EE" w:rsidR="00997916" w:rsidRPr="00670130" w:rsidRDefault="003C4976" w:rsidP="00F26607">
      <w:pPr>
        <w:pStyle w:val="ListBullet"/>
        <w:numPr>
          <w:ilvl w:val="0"/>
          <w:numId w:val="15"/>
        </w:numPr>
      </w:pPr>
      <w:r>
        <w:t>s</w:t>
      </w:r>
      <w:r w:rsidR="00997916" w:rsidRPr="00670130">
        <w:t xml:space="preserve">ubsection </w:t>
      </w:r>
      <w:proofErr w:type="spellStart"/>
      <w:r w:rsidR="00997916" w:rsidRPr="00670130">
        <w:t>52E</w:t>
      </w:r>
      <w:proofErr w:type="spellEnd"/>
      <w:r w:rsidR="00997916" w:rsidRPr="00670130">
        <w:t>(1)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ECBF608" w14:textId="77777777" w:rsidR="00997916" w:rsidRPr="00670130" w:rsidRDefault="00997916" w:rsidP="00F26607">
      <w:pPr>
        <w:pStyle w:val="ListBullet"/>
        <w:numPr>
          <w:ilvl w:val="0"/>
          <w:numId w:val="15"/>
        </w:numPr>
      </w:pPr>
      <w:r w:rsidRPr="00670130">
        <w:t xml:space="preserve">pursuant to paragraph </w:t>
      </w:r>
      <w:proofErr w:type="spellStart"/>
      <w:r w:rsidRPr="00670130">
        <w:t>52E</w:t>
      </w:r>
      <w:proofErr w:type="spellEnd"/>
      <w:r w:rsidRPr="00670130">
        <w:t>(2)(a) of the Act, the SPF, and</w:t>
      </w:r>
    </w:p>
    <w:p w14:paraId="71AA9A3F" w14:textId="77777777" w:rsidR="00997916" w:rsidRPr="00670130" w:rsidRDefault="00997916" w:rsidP="00F26607">
      <w:pPr>
        <w:pStyle w:val="ListBullet"/>
        <w:numPr>
          <w:ilvl w:val="0"/>
          <w:numId w:val="15"/>
        </w:numPr>
      </w:pPr>
      <w:r w:rsidRPr="00670130">
        <w:t>the Handbook.</w:t>
      </w:r>
    </w:p>
    <w:p w14:paraId="38EC6124" w14:textId="07728800" w:rsidR="00997916" w:rsidRPr="00997916" w:rsidRDefault="00997916" w:rsidP="0004435E">
      <w:r w:rsidRPr="00997916">
        <w:rPr>
          <w:rFonts w:cs="Arial"/>
        </w:rPr>
        <w:t>No public submission</w:t>
      </w:r>
      <w:r w:rsidR="00457567">
        <w:rPr>
          <w:rFonts w:cs="Arial"/>
        </w:rPr>
        <w:t xml:space="preserve"> was</w:t>
      </w:r>
      <w:r w:rsidRPr="00997916">
        <w:rPr>
          <w:rFonts w:cs="Arial"/>
        </w:rPr>
        <w:t xml:space="preserve"> received in response to the</w:t>
      </w:r>
      <w:r w:rsidRPr="00997916">
        <w:t xml:space="preserve"> </w:t>
      </w:r>
      <w:hyperlink r:id="rId27" w:history="1">
        <w:r w:rsidR="009213C0" w:rsidRPr="009213C0">
          <w:rPr>
            <w:rStyle w:val="Hyperlink"/>
          </w:rPr>
          <w:t>public consultation on the interim decision</w:t>
        </w:r>
      </w:hyperlink>
      <w:r w:rsidR="009213C0">
        <w:t xml:space="preserve"> taken </w:t>
      </w:r>
      <w:r w:rsidRPr="00997916">
        <w:rPr>
          <w:rFonts w:cs="Arial"/>
        </w:rPr>
        <w:t xml:space="preserve">under regulation </w:t>
      </w:r>
      <w:proofErr w:type="spellStart"/>
      <w:r w:rsidRPr="00997916">
        <w:rPr>
          <w:rFonts w:cs="Arial"/>
        </w:rPr>
        <w:t>42ZCZP</w:t>
      </w:r>
      <w:proofErr w:type="spellEnd"/>
      <w:r w:rsidRPr="00997916">
        <w:rPr>
          <w:rFonts w:cs="Arial"/>
        </w:rPr>
        <w:t xml:space="preserve"> of the Regulations.</w:t>
      </w:r>
    </w:p>
    <w:p w14:paraId="5F577E77" w14:textId="77777777" w:rsidR="00997916" w:rsidRPr="00997916" w:rsidRDefault="00997916" w:rsidP="008644E7">
      <w:pPr>
        <w:pStyle w:val="Heading4"/>
      </w:pPr>
      <w:r w:rsidRPr="00997916">
        <w:t>Reasons for the final decision (including findings on material questions of fact)</w:t>
      </w:r>
    </w:p>
    <w:p w14:paraId="3A9B73A6" w14:textId="77777777" w:rsidR="00997916" w:rsidRPr="00997916" w:rsidRDefault="00997916" w:rsidP="00997916">
      <w:r w:rsidRPr="00997916">
        <w:t xml:space="preserve">I have made a final decision to confirm my interim decision to amend the current Poisons Standard with respect to </w:t>
      </w:r>
      <w:r w:rsidRPr="00997916">
        <w:rPr>
          <w:rFonts w:cs="Arial"/>
        </w:rPr>
        <w:t xml:space="preserve">BPA glycidyl </w:t>
      </w:r>
      <w:proofErr w:type="spellStart"/>
      <w:r w:rsidRPr="00997916">
        <w:rPr>
          <w:rFonts w:cs="Arial"/>
        </w:rPr>
        <w:t>dimethacrylate</w:t>
      </w:r>
      <w:proofErr w:type="spellEnd"/>
      <w:r w:rsidRPr="00997916">
        <w:rPr>
          <w:rFonts w:cs="Arial"/>
        </w:rPr>
        <w:t xml:space="preserve"> and BPA glycidyl diacrylate</w:t>
      </w:r>
      <w:r w:rsidRPr="00997916">
        <w:t>. My reasons for making the final decision are those set out in the interim decision. No submission was received during the consultation of interim decision.</w:t>
      </w:r>
    </w:p>
    <w:p w14:paraId="78B067AA" w14:textId="5B5A1ED8" w:rsidR="00997916" w:rsidRPr="00997916" w:rsidRDefault="00997916" w:rsidP="00997916">
      <w:r w:rsidRPr="00997916">
        <w:t xml:space="preserve">Currently, </w:t>
      </w:r>
      <w:r w:rsidRPr="00997916">
        <w:rPr>
          <w:rFonts w:cs="Arial"/>
        </w:rPr>
        <w:t xml:space="preserve">BPA glycidyl </w:t>
      </w:r>
      <w:proofErr w:type="spellStart"/>
      <w:r w:rsidRPr="00997916">
        <w:rPr>
          <w:rFonts w:cs="Arial"/>
        </w:rPr>
        <w:t>dimethacrylate</w:t>
      </w:r>
      <w:proofErr w:type="spellEnd"/>
      <w:r w:rsidRPr="00997916">
        <w:rPr>
          <w:rFonts w:cs="Arial"/>
        </w:rPr>
        <w:t xml:space="preserve"> and BPA glycidyl diacrylate</w:t>
      </w:r>
      <w:r w:rsidRPr="00997916">
        <w:t xml:space="preserve"> are unscheduled. Creation of Schedule 6 entries would increase consumer awareness </w:t>
      </w:r>
      <w:proofErr w:type="gramStart"/>
      <w:r w:rsidRPr="00997916">
        <w:t>through the</w:t>
      </w:r>
      <w:r w:rsidR="00705425">
        <w:t xml:space="preserve"> use of</w:t>
      </w:r>
      <w:proofErr w:type="gramEnd"/>
      <w:r w:rsidRPr="00997916">
        <w:t xml:space="preserve"> signal headings, thereby reducing the risk of unintentional consumer exposure to products containing BPA glycidyl </w:t>
      </w:r>
      <w:proofErr w:type="spellStart"/>
      <w:r w:rsidRPr="00997916">
        <w:t>dimethacrylate</w:t>
      </w:r>
      <w:proofErr w:type="spellEnd"/>
      <w:r w:rsidRPr="00997916">
        <w:t xml:space="preserve"> and BPA glycidyl diacrylate, particularly in cosmetic products. The inclusion of additional warning statements and safety directions related to skin sensitisation would further support effective risk management.</w:t>
      </w:r>
    </w:p>
    <w:p w14:paraId="2285E616" w14:textId="77777777" w:rsidR="00997916" w:rsidRPr="00997916" w:rsidRDefault="00997916" w:rsidP="00997916">
      <w:r w:rsidRPr="00997916">
        <w:t>Given the range of cosmetic products that may be affected by the decision and the risks for the consumers, I maintain my previous view of an implementation date of 1 October 2026 to allow sufficient time for industry to comply with the changes.</w:t>
      </w:r>
    </w:p>
    <w:p w14:paraId="05D8A141" w14:textId="77777777" w:rsidR="00997916" w:rsidRPr="004279A6" w:rsidRDefault="00997916" w:rsidP="004279A6">
      <w:pPr>
        <w:pStyle w:val="Heading4"/>
      </w:pPr>
      <w:r w:rsidRPr="004279A6">
        <w:t>Implementation date</w:t>
      </w:r>
    </w:p>
    <w:p w14:paraId="2C1AE3B9" w14:textId="46029947" w:rsidR="00762B9B" w:rsidRDefault="00997916" w:rsidP="00997916">
      <w:r w:rsidRPr="00997916">
        <w:t>1 October 2026</w:t>
      </w:r>
      <w:r w:rsidR="004706D3">
        <w:t>.</w:t>
      </w:r>
    </w:p>
    <w:p w14:paraId="3298D72B" w14:textId="77777777" w:rsidR="007A0C0C" w:rsidRPr="004279A6" w:rsidRDefault="007A0C0C" w:rsidP="004279A6">
      <w:pPr>
        <w:pStyle w:val="Heading3"/>
      </w:pPr>
      <w:bookmarkStart w:id="35" w:name="_Toc224040640"/>
      <w:bookmarkStart w:id="36" w:name="_Toc230353662"/>
      <w:r w:rsidRPr="004279A6">
        <w:t xml:space="preserve">Final decision in relation to medium and long chain alkyl </w:t>
      </w:r>
      <w:proofErr w:type="spellStart"/>
      <w:r w:rsidRPr="004279A6">
        <w:t>sulfates</w:t>
      </w:r>
      <w:bookmarkEnd w:id="35"/>
      <w:bookmarkEnd w:id="36"/>
      <w:proofErr w:type="spellEnd"/>
    </w:p>
    <w:p w14:paraId="2C834AD0" w14:textId="77777777" w:rsidR="007A0C0C" w:rsidRPr="007A0C0C" w:rsidRDefault="007A0C0C" w:rsidP="008644E7">
      <w:pPr>
        <w:pStyle w:val="Heading4"/>
      </w:pPr>
      <w:r w:rsidRPr="007A0C0C">
        <w:t>Proposal</w:t>
      </w:r>
    </w:p>
    <w:p w14:paraId="43D9DE43" w14:textId="77777777" w:rsidR="007A0C0C" w:rsidRPr="007A0C0C" w:rsidRDefault="007A0C0C" w:rsidP="007A0C0C">
      <w:pPr>
        <w:jc w:val="both"/>
      </w:pPr>
      <w:r w:rsidRPr="007A0C0C">
        <w:rPr>
          <w:color w:val="auto"/>
          <w:szCs w:val="20"/>
        </w:rPr>
        <w:t>The Delegate has proposed amendments to the current Poisons Standard to include medium and long chain (</w:t>
      </w:r>
      <w:proofErr w:type="spellStart"/>
      <w:r w:rsidRPr="007A0C0C">
        <w:rPr>
          <w:color w:val="auto"/>
          <w:szCs w:val="20"/>
        </w:rPr>
        <w:t>C6</w:t>
      </w:r>
      <w:proofErr w:type="spellEnd"/>
      <w:r w:rsidRPr="007A0C0C">
        <w:rPr>
          <w:rFonts w:cs="Arial"/>
          <w:color w:val="auto"/>
          <w:szCs w:val="20"/>
        </w:rPr>
        <w:t>–</w:t>
      </w:r>
      <w:proofErr w:type="spellStart"/>
      <w:r w:rsidRPr="007A0C0C">
        <w:rPr>
          <w:color w:val="auto"/>
          <w:szCs w:val="20"/>
        </w:rPr>
        <w:t>C15</w:t>
      </w:r>
      <w:proofErr w:type="spellEnd"/>
      <w:r w:rsidRPr="007A0C0C">
        <w:rPr>
          <w:color w:val="auto"/>
          <w:szCs w:val="20"/>
        </w:rPr>
        <w:t xml:space="preserve">) alkyl </w:t>
      </w:r>
      <w:proofErr w:type="spellStart"/>
      <w:r w:rsidRPr="007A0C0C">
        <w:rPr>
          <w:color w:val="auto"/>
          <w:szCs w:val="20"/>
        </w:rPr>
        <w:t>sulfates</w:t>
      </w:r>
      <w:proofErr w:type="spellEnd"/>
      <w:r w:rsidRPr="007A0C0C">
        <w:rPr>
          <w:color w:val="auto"/>
          <w:szCs w:val="20"/>
        </w:rPr>
        <w:t xml:space="preserve"> as Poisons (Schedule 6) with additional warning statements and first aid instructions. The proposal is based on the recommendations in the Australian Industrial Chemicals Introduction Scheme (</w:t>
      </w:r>
      <w:proofErr w:type="spellStart"/>
      <w:r w:rsidRPr="007A0C0C">
        <w:rPr>
          <w:color w:val="auto"/>
          <w:szCs w:val="20"/>
        </w:rPr>
        <w:t>AICIS</w:t>
      </w:r>
      <w:proofErr w:type="spellEnd"/>
      <w:r w:rsidRPr="007A0C0C">
        <w:rPr>
          <w:color w:val="auto"/>
          <w:szCs w:val="20"/>
        </w:rPr>
        <w:t xml:space="preserve">) </w:t>
      </w:r>
      <w:hyperlink r:id="rId28" w:history="1">
        <w:r w:rsidRPr="007A0C0C">
          <w:rPr>
            <w:color w:val="0000FF"/>
            <w:szCs w:val="20"/>
            <w:u w:val="single"/>
          </w:rPr>
          <w:t xml:space="preserve">Evaluation Statement on Medium and Long Chain Alkyl </w:t>
        </w:r>
        <w:proofErr w:type="spellStart"/>
        <w:r w:rsidRPr="007A0C0C">
          <w:rPr>
            <w:color w:val="0000FF"/>
            <w:szCs w:val="20"/>
            <w:u w:val="single"/>
          </w:rPr>
          <w:t>Sulfates</w:t>
        </w:r>
        <w:proofErr w:type="spellEnd"/>
      </w:hyperlink>
      <w:r w:rsidRPr="007A0C0C">
        <w:rPr>
          <w:color w:val="auto"/>
          <w:szCs w:val="20"/>
        </w:rPr>
        <w:t xml:space="preserve"> (the </w:t>
      </w:r>
      <w:r w:rsidRPr="00457567">
        <w:rPr>
          <w:b/>
          <w:bCs/>
          <w:color w:val="auto"/>
          <w:szCs w:val="20"/>
        </w:rPr>
        <w:t>Evaluation Statement</w:t>
      </w:r>
      <w:r w:rsidRPr="007A0C0C">
        <w:rPr>
          <w:color w:val="auto"/>
          <w:szCs w:val="20"/>
        </w:rPr>
        <w:t xml:space="preserve">). Currently, only two long chain alkyl </w:t>
      </w:r>
      <w:proofErr w:type="spellStart"/>
      <w:r w:rsidRPr="007A0C0C">
        <w:rPr>
          <w:color w:val="auto"/>
          <w:szCs w:val="20"/>
        </w:rPr>
        <w:t>sulfates</w:t>
      </w:r>
      <w:proofErr w:type="spellEnd"/>
      <w:r w:rsidRPr="007A0C0C">
        <w:rPr>
          <w:color w:val="auto"/>
          <w:szCs w:val="20"/>
        </w:rPr>
        <w:t>, sodium tetradecyl (</w:t>
      </w:r>
      <w:proofErr w:type="spellStart"/>
      <w:r w:rsidRPr="007A0C0C">
        <w:rPr>
          <w:color w:val="auto"/>
          <w:szCs w:val="20"/>
        </w:rPr>
        <w:t>C14</w:t>
      </w:r>
      <w:proofErr w:type="spellEnd"/>
      <w:r w:rsidRPr="007A0C0C">
        <w:rPr>
          <w:color w:val="auto"/>
          <w:szCs w:val="20"/>
        </w:rPr>
        <w:t xml:space="preserve">) </w:t>
      </w:r>
      <w:proofErr w:type="spellStart"/>
      <w:r w:rsidRPr="007A0C0C">
        <w:rPr>
          <w:color w:val="auto"/>
          <w:szCs w:val="20"/>
        </w:rPr>
        <w:t>sulfate</w:t>
      </w:r>
      <w:proofErr w:type="spellEnd"/>
      <w:r w:rsidRPr="007A0C0C">
        <w:rPr>
          <w:color w:val="auto"/>
          <w:szCs w:val="20"/>
        </w:rPr>
        <w:t xml:space="preserve"> in preparations for injection and lauryl (</w:t>
      </w:r>
      <w:proofErr w:type="spellStart"/>
      <w:r w:rsidRPr="007A0C0C">
        <w:rPr>
          <w:color w:val="auto"/>
          <w:szCs w:val="20"/>
        </w:rPr>
        <w:t>C12</w:t>
      </w:r>
      <w:proofErr w:type="spellEnd"/>
      <w:r w:rsidRPr="007A0C0C">
        <w:rPr>
          <w:color w:val="auto"/>
          <w:szCs w:val="20"/>
        </w:rPr>
        <w:t xml:space="preserve">) </w:t>
      </w:r>
      <w:proofErr w:type="spellStart"/>
      <w:r w:rsidRPr="007A0C0C">
        <w:rPr>
          <w:color w:val="auto"/>
          <w:szCs w:val="20"/>
        </w:rPr>
        <w:t>sulfate</w:t>
      </w:r>
      <w:proofErr w:type="spellEnd"/>
      <w:r w:rsidRPr="007A0C0C">
        <w:rPr>
          <w:color w:val="auto"/>
          <w:szCs w:val="20"/>
        </w:rPr>
        <w:t xml:space="preserve"> salts are listed in the Poisons Standard as Prescription only medicines (Schedule 4) and Poisons (Schedule 6), respectively.</w:t>
      </w:r>
    </w:p>
    <w:p w14:paraId="18307BDF" w14:textId="77777777" w:rsidR="007A0C0C" w:rsidRPr="007A0C0C" w:rsidRDefault="007A0C0C" w:rsidP="008644E7">
      <w:pPr>
        <w:pStyle w:val="Heading4"/>
      </w:pPr>
      <w:r w:rsidRPr="007A0C0C">
        <w:lastRenderedPageBreak/>
        <w:t>Final decision</w:t>
      </w:r>
    </w:p>
    <w:p w14:paraId="170CD116" w14:textId="7CA45337" w:rsidR="007A0C0C" w:rsidRPr="007A0C0C" w:rsidRDefault="007A0C0C" w:rsidP="007A0C0C">
      <w:pPr>
        <w:rPr>
          <w:color w:val="auto"/>
          <w:szCs w:val="20"/>
        </w:rPr>
      </w:pPr>
      <w:r w:rsidRPr="007A0C0C">
        <w:rPr>
          <w:color w:val="auto"/>
          <w:szCs w:val="20"/>
        </w:rPr>
        <w:t xml:space="preserve">Pursuant to regulation </w:t>
      </w:r>
      <w:proofErr w:type="spellStart"/>
      <w:r w:rsidRPr="007A0C0C">
        <w:rPr>
          <w:color w:val="auto"/>
          <w:szCs w:val="20"/>
        </w:rPr>
        <w:t>42ZCZR</w:t>
      </w:r>
      <w:proofErr w:type="spellEnd"/>
      <w:r w:rsidRPr="007A0C0C">
        <w:rPr>
          <w:color w:val="auto"/>
          <w:szCs w:val="20"/>
        </w:rPr>
        <w:t xml:space="preserve"> of the Regulations, the Delegate has made a final decision confirming the interim decision to amend the current Poisons Standard to create a new entry for medium and long chain (</w:t>
      </w:r>
      <w:proofErr w:type="spellStart"/>
      <w:r w:rsidRPr="007A0C0C">
        <w:rPr>
          <w:color w:val="auto"/>
          <w:szCs w:val="20"/>
        </w:rPr>
        <w:t>C6</w:t>
      </w:r>
      <w:proofErr w:type="spellEnd"/>
      <w:r w:rsidRPr="007A0C0C">
        <w:rPr>
          <w:color w:val="auto"/>
          <w:szCs w:val="20"/>
        </w:rPr>
        <w:t>‍</w:t>
      </w:r>
      <w:r w:rsidRPr="007A0C0C">
        <w:rPr>
          <w:rFonts w:cs="Arial"/>
          <w:color w:val="auto"/>
          <w:szCs w:val="20"/>
        </w:rPr>
        <w:t>–‍</w:t>
      </w:r>
      <w:proofErr w:type="spellStart"/>
      <w:r w:rsidRPr="007A0C0C">
        <w:rPr>
          <w:rFonts w:cs="Arial"/>
          <w:color w:val="auto"/>
          <w:szCs w:val="20"/>
        </w:rPr>
        <w:t>C15</w:t>
      </w:r>
      <w:proofErr w:type="spellEnd"/>
      <w:r w:rsidRPr="007A0C0C">
        <w:rPr>
          <w:color w:val="auto"/>
          <w:szCs w:val="20"/>
        </w:rPr>
        <w:t xml:space="preserve">) alkyl </w:t>
      </w:r>
      <w:proofErr w:type="spellStart"/>
      <w:r w:rsidRPr="007A0C0C">
        <w:rPr>
          <w:color w:val="auto"/>
          <w:szCs w:val="20"/>
        </w:rPr>
        <w:t>sulfates</w:t>
      </w:r>
      <w:proofErr w:type="spellEnd"/>
      <w:r w:rsidRPr="007A0C0C">
        <w:rPr>
          <w:color w:val="auto"/>
          <w:szCs w:val="20"/>
        </w:rPr>
        <w:t xml:space="preserve"> and delete the existing entry for lauryl </w:t>
      </w:r>
      <w:proofErr w:type="spellStart"/>
      <w:r w:rsidRPr="007A0C0C">
        <w:rPr>
          <w:color w:val="auto"/>
          <w:szCs w:val="20"/>
        </w:rPr>
        <w:t>sulfate</w:t>
      </w:r>
      <w:proofErr w:type="spellEnd"/>
      <w:r w:rsidRPr="007A0C0C">
        <w:rPr>
          <w:color w:val="auto"/>
          <w:szCs w:val="20"/>
        </w:rPr>
        <w:t xml:space="preserve"> salts. I have also decided to cross reference 7 additional alkyl </w:t>
      </w:r>
      <w:proofErr w:type="spellStart"/>
      <w:r w:rsidRPr="007A0C0C">
        <w:rPr>
          <w:color w:val="auto"/>
          <w:szCs w:val="20"/>
        </w:rPr>
        <w:t>sulfates</w:t>
      </w:r>
      <w:proofErr w:type="spellEnd"/>
      <w:r w:rsidRPr="007A0C0C">
        <w:rPr>
          <w:color w:val="auto"/>
          <w:szCs w:val="20"/>
        </w:rPr>
        <w:t xml:space="preserve"> not listed in the listed decision to the parent entry for medium and long chain (</w:t>
      </w:r>
      <w:proofErr w:type="spellStart"/>
      <w:r w:rsidRPr="007A0C0C">
        <w:rPr>
          <w:color w:val="auto"/>
          <w:szCs w:val="20"/>
        </w:rPr>
        <w:t>C6</w:t>
      </w:r>
      <w:proofErr w:type="spellEnd"/>
      <w:r w:rsidRPr="007A0C0C">
        <w:rPr>
          <w:color w:val="auto"/>
          <w:szCs w:val="20"/>
        </w:rPr>
        <w:t>–</w:t>
      </w:r>
      <w:proofErr w:type="spellStart"/>
      <w:r w:rsidRPr="007A0C0C">
        <w:rPr>
          <w:color w:val="auto"/>
          <w:szCs w:val="20"/>
        </w:rPr>
        <w:t>C15</w:t>
      </w:r>
      <w:proofErr w:type="spellEnd"/>
      <w:r w:rsidRPr="007A0C0C">
        <w:rPr>
          <w:color w:val="auto"/>
          <w:szCs w:val="20"/>
        </w:rPr>
        <w:t xml:space="preserve">) alkyl </w:t>
      </w:r>
      <w:proofErr w:type="spellStart"/>
      <w:r w:rsidRPr="007A0C0C">
        <w:rPr>
          <w:color w:val="auto"/>
          <w:szCs w:val="20"/>
        </w:rPr>
        <w:t>sulfates</w:t>
      </w:r>
      <w:proofErr w:type="spellEnd"/>
      <w:r w:rsidRPr="007A0C0C">
        <w:rPr>
          <w:color w:val="auto"/>
          <w:szCs w:val="20"/>
        </w:rPr>
        <w:t xml:space="preserve">. The amendments are as </w:t>
      </w:r>
      <w:r w:rsidR="00457567">
        <w:rPr>
          <w:color w:val="auto"/>
          <w:szCs w:val="20"/>
        </w:rPr>
        <w:t>follows</w:t>
      </w:r>
      <w:r w:rsidRPr="007A0C0C">
        <w:rPr>
          <w:color w:val="auto"/>
          <w:szCs w:val="20"/>
        </w:rPr>
        <w:t>.</w:t>
      </w:r>
      <w:r w:rsidRPr="007A0C0C">
        <w:rPr>
          <w:color w:val="auto"/>
          <w:szCs w:val="20"/>
          <w:vertAlign w:val="superscript"/>
        </w:rPr>
        <w:footnoteReference w:id="7"/>
      </w:r>
    </w:p>
    <w:p w14:paraId="61BDFFDF" w14:textId="4719585F" w:rsidR="007A0C0C" w:rsidRPr="004706D3" w:rsidRDefault="007A0C0C" w:rsidP="004706D3">
      <w:pPr>
        <w:spacing w:before="120" w:line="240" w:lineRule="auto"/>
        <w:ind w:left="272"/>
        <w:textAlignment w:val="baseline"/>
        <w:rPr>
          <w:rFonts w:eastAsia="Calibri" w:cs="Arial"/>
          <w:b/>
          <w:bCs/>
        </w:rPr>
      </w:pPr>
      <w:r w:rsidRPr="004706D3">
        <w:rPr>
          <w:rFonts w:eastAsia="Calibri" w:cs="Arial"/>
          <w:b/>
          <w:bCs/>
        </w:rPr>
        <w:t>Schedule 6 – New entry</w:t>
      </w:r>
    </w:p>
    <w:p w14:paraId="510E07C5" w14:textId="2880F679" w:rsidR="007A0C0C" w:rsidRPr="007A0C0C" w:rsidRDefault="007A0C0C" w:rsidP="007A0C0C">
      <w:pPr>
        <w:ind w:left="720"/>
        <w:rPr>
          <w:rFonts w:cs="Arial"/>
          <w:color w:val="00B050"/>
          <w:szCs w:val="20"/>
          <w:u w:val="single"/>
        </w:rPr>
      </w:pPr>
      <w:bookmarkStart w:id="37" w:name="_Hlk191455533"/>
      <w:r w:rsidRPr="007A0C0C">
        <w:rPr>
          <w:rFonts w:cs="Arial"/>
          <w:color w:val="00B050"/>
          <w:szCs w:val="20"/>
          <w:u w:val="single"/>
        </w:rPr>
        <w:t>MEDIUM AND LONG CHAIN (</w:t>
      </w:r>
      <w:proofErr w:type="spellStart"/>
      <w:r w:rsidRPr="007A0C0C">
        <w:rPr>
          <w:rFonts w:cs="Arial"/>
          <w:color w:val="00B050"/>
          <w:szCs w:val="20"/>
          <w:u w:val="single"/>
        </w:rPr>
        <w:t>C6</w:t>
      </w:r>
      <w:proofErr w:type="spellEnd"/>
      <w:r w:rsidRPr="007A0C0C">
        <w:rPr>
          <w:rFonts w:cs="Arial"/>
          <w:color w:val="00B050"/>
          <w:szCs w:val="20"/>
          <w:u w:val="single"/>
        </w:rPr>
        <w:t xml:space="preserve">–15) ALKYL </w:t>
      </w:r>
      <w:proofErr w:type="spellStart"/>
      <w:r w:rsidRPr="007A0C0C">
        <w:rPr>
          <w:rFonts w:cs="Arial"/>
          <w:color w:val="00B050"/>
          <w:szCs w:val="20"/>
          <w:u w:val="single"/>
        </w:rPr>
        <w:t>SULFATES</w:t>
      </w:r>
      <w:proofErr w:type="spellEnd"/>
      <w:r w:rsidRPr="007A0C0C">
        <w:rPr>
          <w:rFonts w:cs="Arial"/>
          <w:color w:val="00B050"/>
          <w:szCs w:val="20"/>
          <w:u w:val="single"/>
        </w:rPr>
        <w:t xml:space="preserve"> </w:t>
      </w:r>
      <w:bookmarkEnd w:id="37"/>
      <w:r w:rsidRPr="007A0C0C">
        <w:rPr>
          <w:rFonts w:cs="Arial"/>
          <w:b/>
          <w:bCs/>
          <w:color w:val="00B050"/>
          <w:szCs w:val="20"/>
          <w:u w:val="single"/>
        </w:rPr>
        <w:t>except</w:t>
      </w:r>
      <w:r w:rsidRPr="007A0C0C">
        <w:rPr>
          <w:rFonts w:cs="Arial"/>
          <w:color w:val="00B050"/>
          <w:szCs w:val="20"/>
          <w:u w:val="single"/>
        </w:rPr>
        <w:t xml:space="preserve"> when separately specified in these Schedules and</w:t>
      </w:r>
    </w:p>
    <w:p w14:paraId="224CF0C7" w14:textId="77777777" w:rsidR="007A0C0C" w:rsidRPr="007A0C0C" w:rsidRDefault="007A0C0C" w:rsidP="007A0C0C">
      <w:pPr>
        <w:ind w:left="1429" w:hanging="425"/>
        <w:rPr>
          <w:rFonts w:cs="Arial"/>
          <w:color w:val="00B050"/>
          <w:szCs w:val="20"/>
          <w:u w:val="single"/>
        </w:rPr>
      </w:pPr>
      <w:r w:rsidRPr="007A0C0C">
        <w:rPr>
          <w:rFonts w:cs="Arial"/>
          <w:color w:val="00B050"/>
          <w:szCs w:val="20"/>
          <w:u w:val="single"/>
        </w:rPr>
        <w:t xml:space="preserve">(a) </w:t>
      </w:r>
      <w:r w:rsidRPr="007A0C0C">
        <w:rPr>
          <w:rFonts w:cs="Arial"/>
          <w:color w:val="00B050"/>
          <w:szCs w:val="20"/>
          <w:u w:val="single"/>
        </w:rPr>
        <w:tab/>
        <w:t xml:space="preserve">in wash-off preparations containing, in total, 30% or less of medium and long chain alkyl </w:t>
      </w:r>
      <w:proofErr w:type="spellStart"/>
      <w:r w:rsidRPr="007A0C0C">
        <w:rPr>
          <w:rFonts w:cs="Arial"/>
          <w:color w:val="00B050"/>
          <w:szCs w:val="20"/>
          <w:u w:val="single"/>
        </w:rPr>
        <w:t>sulfates</w:t>
      </w:r>
      <w:proofErr w:type="spellEnd"/>
      <w:r w:rsidRPr="007A0C0C">
        <w:rPr>
          <w:rFonts w:cs="Arial"/>
          <w:color w:val="00B050"/>
          <w:szCs w:val="20"/>
          <w:u w:val="single"/>
        </w:rPr>
        <w:t xml:space="preserve"> and, if containing, in total, more than 5% of total medium and long chain alkyl </w:t>
      </w:r>
      <w:proofErr w:type="spellStart"/>
      <w:r w:rsidRPr="007A0C0C">
        <w:rPr>
          <w:rFonts w:cs="Arial"/>
          <w:color w:val="00B050"/>
          <w:szCs w:val="20"/>
          <w:u w:val="single"/>
        </w:rPr>
        <w:t>sulfates</w:t>
      </w:r>
      <w:proofErr w:type="spellEnd"/>
      <w:r w:rsidRPr="007A0C0C">
        <w:rPr>
          <w:rFonts w:cs="Arial"/>
          <w:color w:val="00B050"/>
          <w:szCs w:val="20"/>
          <w:u w:val="single"/>
        </w:rPr>
        <w:t>, when labelled with a warning to the following effect:</w:t>
      </w:r>
    </w:p>
    <w:p w14:paraId="7CBDBE75" w14:textId="77777777" w:rsidR="007A0C0C" w:rsidRPr="007A0C0C" w:rsidRDefault="007A0C0C" w:rsidP="007A0C0C">
      <w:pPr>
        <w:ind w:left="1593" w:firstLine="403"/>
        <w:rPr>
          <w:rFonts w:cs="Arial"/>
          <w:color w:val="00B050"/>
          <w:szCs w:val="20"/>
          <w:u w:val="single"/>
        </w:rPr>
      </w:pPr>
      <w:r w:rsidRPr="007A0C0C">
        <w:rPr>
          <w:rFonts w:cs="Arial"/>
          <w:color w:val="00B050"/>
          <w:szCs w:val="20"/>
          <w:u w:val="single"/>
        </w:rPr>
        <w:t>IF IN EYES WASH OUT IMMEDIATELY WITH WATER; or</w:t>
      </w:r>
    </w:p>
    <w:p w14:paraId="1640893D" w14:textId="77777777" w:rsidR="007A0C0C" w:rsidRPr="007A0C0C" w:rsidRDefault="007A0C0C" w:rsidP="007A0C0C">
      <w:pPr>
        <w:ind w:left="1429" w:hanging="425"/>
        <w:rPr>
          <w:rFonts w:cs="Arial"/>
          <w:color w:val="00B050"/>
          <w:szCs w:val="20"/>
          <w:u w:val="single"/>
        </w:rPr>
      </w:pPr>
      <w:r w:rsidRPr="007A0C0C">
        <w:rPr>
          <w:rFonts w:cs="Arial"/>
          <w:color w:val="00B050"/>
          <w:szCs w:val="20"/>
          <w:u w:val="single"/>
        </w:rPr>
        <w:t xml:space="preserve">(b) </w:t>
      </w:r>
      <w:r w:rsidRPr="007A0C0C">
        <w:rPr>
          <w:rFonts w:cs="Arial"/>
          <w:color w:val="00B050"/>
          <w:szCs w:val="20"/>
          <w:u w:val="single"/>
        </w:rPr>
        <w:tab/>
        <w:t xml:space="preserve">in leave-on preparations containing, in total, 1.5% or less of medium and long chain alkyl </w:t>
      </w:r>
      <w:proofErr w:type="spellStart"/>
      <w:r w:rsidRPr="007A0C0C">
        <w:rPr>
          <w:rFonts w:cs="Arial"/>
          <w:color w:val="00B050"/>
          <w:szCs w:val="20"/>
          <w:u w:val="single"/>
        </w:rPr>
        <w:t>sulfates</w:t>
      </w:r>
      <w:proofErr w:type="spellEnd"/>
      <w:r w:rsidRPr="007A0C0C">
        <w:rPr>
          <w:rFonts w:cs="Arial"/>
          <w:color w:val="00B050"/>
          <w:szCs w:val="20"/>
          <w:u w:val="single"/>
        </w:rPr>
        <w:t>; or</w:t>
      </w:r>
    </w:p>
    <w:p w14:paraId="44DDB104" w14:textId="77777777" w:rsidR="007A0C0C" w:rsidRPr="007A0C0C" w:rsidRDefault="007A0C0C" w:rsidP="007A0C0C">
      <w:pPr>
        <w:ind w:left="1429" w:hanging="425"/>
        <w:rPr>
          <w:rFonts w:cs="Arial"/>
          <w:color w:val="00B050"/>
          <w:szCs w:val="20"/>
          <w:u w:val="single"/>
        </w:rPr>
      </w:pPr>
      <w:r w:rsidRPr="007A0C0C">
        <w:rPr>
          <w:rFonts w:cs="Arial"/>
          <w:color w:val="00B050"/>
          <w:szCs w:val="20"/>
          <w:u w:val="single"/>
        </w:rPr>
        <w:t xml:space="preserve">(c) </w:t>
      </w:r>
      <w:r w:rsidRPr="007A0C0C">
        <w:rPr>
          <w:rFonts w:cs="Arial"/>
          <w:color w:val="00B050"/>
          <w:szCs w:val="20"/>
          <w:u w:val="single"/>
        </w:rPr>
        <w:tab/>
        <w:t xml:space="preserve">in toothpaste and oral hygiene preparations containing, in total, 5% or less of medium and long chain alkyl </w:t>
      </w:r>
      <w:proofErr w:type="spellStart"/>
      <w:r w:rsidRPr="007A0C0C">
        <w:rPr>
          <w:rFonts w:cs="Arial"/>
          <w:color w:val="00B050"/>
          <w:szCs w:val="20"/>
          <w:u w:val="single"/>
        </w:rPr>
        <w:t>sulfates</w:t>
      </w:r>
      <w:proofErr w:type="spellEnd"/>
      <w:r w:rsidRPr="007A0C0C">
        <w:rPr>
          <w:rFonts w:cs="Arial"/>
          <w:color w:val="00B050"/>
          <w:szCs w:val="20"/>
          <w:u w:val="single"/>
        </w:rPr>
        <w:t>; or</w:t>
      </w:r>
    </w:p>
    <w:p w14:paraId="07DCC7B7" w14:textId="77777777" w:rsidR="007A0C0C" w:rsidRPr="007A0C0C" w:rsidRDefault="007A0C0C" w:rsidP="007A0C0C">
      <w:pPr>
        <w:ind w:left="1429" w:hanging="425"/>
        <w:rPr>
          <w:rFonts w:cs="Arial"/>
          <w:color w:val="00B050"/>
          <w:szCs w:val="20"/>
          <w:u w:val="single"/>
        </w:rPr>
      </w:pPr>
      <w:r w:rsidRPr="007A0C0C">
        <w:rPr>
          <w:rFonts w:cs="Arial"/>
          <w:color w:val="00B050"/>
          <w:szCs w:val="20"/>
          <w:u w:val="single"/>
        </w:rPr>
        <w:t xml:space="preserve">(d) </w:t>
      </w:r>
      <w:r w:rsidRPr="007A0C0C">
        <w:rPr>
          <w:rFonts w:cs="Arial"/>
          <w:color w:val="00B050"/>
          <w:szCs w:val="20"/>
          <w:u w:val="single"/>
        </w:rPr>
        <w:tab/>
        <w:t xml:space="preserve">in other preparations for animal use containing, in total, 2% or less of medium and long chain alkyl </w:t>
      </w:r>
      <w:proofErr w:type="spellStart"/>
      <w:r w:rsidRPr="007A0C0C">
        <w:rPr>
          <w:rFonts w:cs="Arial"/>
          <w:color w:val="00B050"/>
          <w:szCs w:val="20"/>
          <w:u w:val="single"/>
        </w:rPr>
        <w:t>sulfates</w:t>
      </w:r>
      <w:proofErr w:type="spellEnd"/>
      <w:r w:rsidRPr="007A0C0C">
        <w:rPr>
          <w:rFonts w:cs="Arial"/>
          <w:color w:val="00B050"/>
          <w:szCs w:val="20"/>
          <w:u w:val="single"/>
        </w:rPr>
        <w:t>; or</w:t>
      </w:r>
    </w:p>
    <w:p w14:paraId="3BE6621E" w14:textId="77777777" w:rsidR="007A0C0C" w:rsidRPr="007A0C0C" w:rsidRDefault="007A0C0C" w:rsidP="007A0C0C">
      <w:pPr>
        <w:ind w:left="1429" w:hanging="425"/>
        <w:rPr>
          <w:rFonts w:cs="Arial"/>
          <w:color w:val="00B050"/>
          <w:szCs w:val="20"/>
          <w:u w:val="single"/>
        </w:rPr>
      </w:pPr>
      <w:r w:rsidRPr="007A0C0C">
        <w:rPr>
          <w:rFonts w:cs="Arial"/>
          <w:color w:val="00B050"/>
          <w:szCs w:val="20"/>
          <w:u w:val="single"/>
        </w:rPr>
        <w:t xml:space="preserve">(e) </w:t>
      </w:r>
      <w:r w:rsidRPr="007A0C0C">
        <w:rPr>
          <w:rFonts w:cs="Arial"/>
          <w:color w:val="00B050"/>
          <w:szCs w:val="20"/>
          <w:u w:val="single"/>
        </w:rPr>
        <w:tab/>
        <w:t xml:space="preserve">in other preparations containing, in total, 30% or less of medium and long chain alkyl </w:t>
      </w:r>
      <w:proofErr w:type="spellStart"/>
      <w:r w:rsidRPr="007A0C0C">
        <w:rPr>
          <w:rFonts w:cs="Arial"/>
          <w:color w:val="00B050"/>
          <w:szCs w:val="20"/>
          <w:u w:val="single"/>
        </w:rPr>
        <w:t>sulfates</w:t>
      </w:r>
      <w:proofErr w:type="spellEnd"/>
      <w:r w:rsidRPr="007A0C0C">
        <w:rPr>
          <w:rFonts w:cs="Arial"/>
          <w:color w:val="00B050"/>
          <w:szCs w:val="20"/>
          <w:u w:val="single"/>
        </w:rPr>
        <w:t xml:space="preserve"> and, if containing, in total, more than 5% of medium and long chain alkyl </w:t>
      </w:r>
      <w:proofErr w:type="spellStart"/>
      <w:r w:rsidRPr="007A0C0C">
        <w:rPr>
          <w:rFonts w:cs="Arial"/>
          <w:color w:val="00B050"/>
          <w:szCs w:val="20"/>
          <w:u w:val="single"/>
        </w:rPr>
        <w:t>sulfates</w:t>
      </w:r>
      <w:proofErr w:type="spellEnd"/>
      <w:r w:rsidRPr="007A0C0C">
        <w:rPr>
          <w:rFonts w:cs="Arial"/>
          <w:color w:val="00B050"/>
          <w:szCs w:val="20"/>
          <w:u w:val="single"/>
        </w:rPr>
        <w:t>, when labelled with warnings to the following effect:</w:t>
      </w:r>
    </w:p>
    <w:p w14:paraId="104ED9F0" w14:textId="77777777" w:rsidR="007A0C0C" w:rsidRPr="007A0C0C" w:rsidRDefault="007A0C0C" w:rsidP="007A0C0C">
      <w:pPr>
        <w:ind w:left="1996" w:hanging="425"/>
        <w:rPr>
          <w:rFonts w:cs="Arial"/>
          <w:color w:val="00B050"/>
          <w:szCs w:val="20"/>
          <w:u w:val="single"/>
        </w:rPr>
      </w:pPr>
      <w:r w:rsidRPr="007A0C0C">
        <w:rPr>
          <w:rFonts w:cs="Arial"/>
          <w:color w:val="00B050"/>
          <w:szCs w:val="20"/>
          <w:u w:val="single"/>
        </w:rPr>
        <w:t>(</w:t>
      </w:r>
      <w:proofErr w:type="spellStart"/>
      <w:r w:rsidRPr="007A0C0C">
        <w:rPr>
          <w:rFonts w:cs="Arial"/>
          <w:color w:val="00B050"/>
          <w:szCs w:val="20"/>
          <w:u w:val="single"/>
        </w:rPr>
        <w:t>i</w:t>
      </w:r>
      <w:proofErr w:type="spellEnd"/>
      <w:r w:rsidRPr="007A0C0C">
        <w:rPr>
          <w:rFonts w:cs="Arial"/>
          <w:color w:val="00B050"/>
          <w:szCs w:val="20"/>
          <w:u w:val="single"/>
        </w:rPr>
        <w:t xml:space="preserve">) </w:t>
      </w:r>
      <w:r w:rsidRPr="007A0C0C">
        <w:rPr>
          <w:rFonts w:cs="Arial"/>
          <w:color w:val="00B050"/>
          <w:szCs w:val="20"/>
          <w:u w:val="single"/>
        </w:rPr>
        <w:tab/>
        <w:t>IF IN EYES WASH OUT IMMEDIATELY WITH WATER; and</w:t>
      </w:r>
    </w:p>
    <w:p w14:paraId="3C0B9924" w14:textId="77777777" w:rsidR="007A0C0C" w:rsidRPr="007A0C0C" w:rsidRDefault="007A0C0C" w:rsidP="007A0C0C">
      <w:pPr>
        <w:ind w:left="1996" w:hanging="425"/>
        <w:rPr>
          <w:rFonts w:cs="Arial"/>
          <w:color w:val="00B050"/>
          <w:szCs w:val="20"/>
          <w:u w:val="single"/>
        </w:rPr>
      </w:pPr>
      <w:r w:rsidRPr="007A0C0C">
        <w:rPr>
          <w:rFonts w:cs="Arial"/>
          <w:color w:val="00B050"/>
          <w:szCs w:val="20"/>
          <w:u w:val="single"/>
        </w:rPr>
        <w:t xml:space="preserve">(ii) </w:t>
      </w:r>
      <w:r w:rsidRPr="007A0C0C">
        <w:rPr>
          <w:rFonts w:cs="Arial"/>
          <w:color w:val="00B050"/>
          <w:szCs w:val="20"/>
          <w:u w:val="single"/>
        </w:rPr>
        <w:tab/>
        <w:t>IF SKIN OR HAIR CONTACT OCCURS, REMOVE CONTAMINATED CLOTHING AND FLUSH SKIN AND HAIR WITH RUNNING WATER.</w:t>
      </w:r>
    </w:p>
    <w:p w14:paraId="23FEC276" w14:textId="77777777" w:rsidR="007A0C0C" w:rsidRPr="004706D3" w:rsidRDefault="007A0C0C" w:rsidP="004706D3">
      <w:pPr>
        <w:spacing w:before="120" w:line="240" w:lineRule="auto"/>
        <w:ind w:left="272"/>
        <w:textAlignment w:val="baseline"/>
        <w:rPr>
          <w:rFonts w:eastAsia="Calibri" w:cs="Arial"/>
          <w:b/>
          <w:bCs/>
        </w:rPr>
      </w:pPr>
      <w:r w:rsidRPr="004706D3">
        <w:rPr>
          <w:rFonts w:eastAsia="Calibri" w:cs="Arial"/>
          <w:b/>
          <w:bCs/>
        </w:rPr>
        <w:t>Schedule 6 – delete entry </w:t>
      </w:r>
    </w:p>
    <w:p w14:paraId="7F76EE2C" w14:textId="77777777" w:rsidR="007A0C0C" w:rsidRPr="007A0C0C" w:rsidRDefault="007A0C0C" w:rsidP="007A0C0C">
      <w:pPr>
        <w:ind w:firstLine="720"/>
        <w:rPr>
          <w:b/>
          <w:bCs/>
          <w:color w:val="auto"/>
          <w:szCs w:val="20"/>
        </w:rPr>
      </w:pPr>
      <w:r w:rsidRPr="007A0C0C">
        <w:rPr>
          <w:rFonts w:cs="Arial"/>
          <w:strike/>
          <w:color w:val="FF0000"/>
          <w:szCs w:val="20"/>
          <w:u w:val="single"/>
        </w:rPr>
        <w:t xml:space="preserve">LAURYL </w:t>
      </w:r>
      <w:proofErr w:type="spellStart"/>
      <w:r w:rsidRPr="007A0C0C">
        <w:rPr>
          <w:rFonts w:cs="Arial"/>
          <w:strike/>
          <w:color w:val="FF0000"/>
          <w:szCs w:val="20"/>
          <w:u w:val="single"/>
        </w:rPr>
        <w:t>SULFATE</w:t>
      </w:r>
      <w:proofErr w:type="spellEnd"/>
      <w:r w:rsidRPr="007A0C0C">
        <w:rPr>
          <w:rFonts w:cs="Arial"/>
          <w:strike/>
          <w:color w:val="FF0000"/>
          <w:szCs w:val="20"/>
          <w:u w:val="single"/>
        </w:rPr>
        <w:t xml:space="preserve"> SALTS (excluding their derivatives) except:</w:t>
      </w:r>
      <w:r w:rsidRPr="007A0C0C">
        <w:rPr>
          <w:b/>
          <w:bCs/>
          <w:color w:val="auto"/>
          <w:szCs w:val="20"/>
        </w:rPr>
        <w:t> </w:t>
      </w:r>
    </w:p>
    <w:p w14:paraId="109C0EDD" w14:textId="77777777" w:rsidR="007A0C0C" w:rsidRPr="007A0C0C" w:rsidRDefault="007A0C0C" w:rsidP="007A0C0C">
      <w:pPr>
        <w:ind w:left="1429" w:hanging="425"/>
        <w:rPr>
          <w:rFonts w:cs="Arial"/>
          <w:strike/>
          <w:color w:val="FF0000"/>
          <w:szCs w:val="20"/>
          <w:u w:val="single"/>
        </w:rPr>
      </w:pPr>
      <w:r w:rsidRPr="007A0C0C">
        <w:rPr>
          <w:rFonts w:cs="Arial"/>
          <w:strike/>
          <w:color w:val="FF0000"/>
          <w:szCs w:val="20"/>
          <w:u w:val="single"/>
        </w:rPr>
        <w:t xml:space="preserve">(a)   in wash-off preparations containing 30% or less of lauryl </w:t>
      </w:r>
      <w:proofErr w:type="spellStart"/>
      <w:r w:rsidRPr="007A0C0C">
        <w:rPr>
          <w:rFonts w:cs="Arial"/>
          <w:strike/>
          <w:color w:val="FF0000"/>
          <w:szCs w:val="20"/>
          <w:u w:val="single"/>
        </w:rPr>
        <w:t>sulfates</w:t>
      </w:r>
      <w:proofErr w:type="spellEnd"/>
      <w:r w:rsidRPr="007A0C0C">
        <w:rPr>
          <w:rFonts w:cs="Arial"/>
          <w:strike/>
          <w:color w:val="FF0000"/>
          <w:szCs w:val="20"/>
          <w:u w:val="single"/>
        </w:rPr>
        <w:t xml:space="preserve"> and, if containing more than 5% of lauryl </w:t>
      </w:r>
      <w:proofErr w:type="spellStart"/>
      <w:r w:rsidRPr="007A0C0C">
        <w:rPr>
          <w:rFonts w:cs="Arial"/>
          <w:strike/>
          <w:color w:val="FF0000"/>
          <w:szCs w:val="20"/>
          <w:u w:val="single"/>
        </w:rPr>
        <w:t>sulfates</w:t>
      </w:r>
      <w:proofErr w:type="spellEnd"/>
      <w:r w:rsidRPr="007A0C0C">
        <w:rPr>
          <w:rFonts w:cs="Arial"/>
          <w:strike/>
          <w:color w:val="FF0000"/>
          <w:szCs w:val="20"/>
          <w:u w:val="single"/>
        </w:rPr>
        <w:t>, when labelled with a warning to the following effect: </w:t>
      </w:r>
    </w:p>
    <w:p w14:paraId="4DF2F7F2" w14:textId="77777777" w:rsidR="007A0C0C" w:rsidRPr="007A0C0C" w:rsidRDefault="007A0C0C" w:rsidP="007A0C0C">
      <w:pPr>
        <w:ind w:left="2149" w:firstLine="11"/>
        <w:rPr>
          <w:rFonts w:cs="Arial"/>
          <w:strike/>
          <w:color w:val="FF0000"/>
          <w:szCs w:val="20"/>
          <w:u w:val="single"/>
        </w:rPr>
      </w:pPr>
      <w:r w:rsidRPr="007A0C0C">
        <w:rPr>
          <w:rFonts w:cs="Arial"/>
          <w:strike/>
          <w:color w:val="FF0000"/>
          <w:szCs w:val="20"/>
          <w:u w:val="single"/>
        </w:rPr>
        <w:t>IF IN EYES WASH OUT IMMEDIATELY WITH WATER; or </w:t>
      </w:r>
    </w:p>
    <w:p w14:paraId="7D1ED993" w14:textId="77777777" w:rsidR="007A0C0C" w:rsidRPr="007A0C0C" w:rsidRDefault="007A0C0C" w:rsidP="007A0C0C">
      <w:pPr>
        <w:ind w:left="1429" w:hanging="425"/>
        <w:rPr>
          <w:rFonts w:cs="Arial"/>
          <w:strike/>
          <w:color w:val="FF0000"/>
          <w:szCs w:val="20"/>
          <w:u w:val="single"/>
        </w:rPr>
      </w:pPr>
      <w:r w:rsidRPr="007A0C0C">
        <w:rPr>
          <w:rFonts w:cs="Arial"/>
          <w:strike/>
          <w:color w:val="FF0000"/>
          <w:szCs w:val="20"/>
          <w:u w:val="single"/>
        </w:rPr>
        <w:t xml:space="preserve">(b)   in leave-on preparations containing 1.5% or less of lauryl </w:t>
      </w:r>
      <w:proofErr w:type="spellStart"/>
      <w:r w:rsidRPr="007A0C0C">
        <w:rPr>
          <w:rFonts w:cs="Arial"/>
          <w:strike/>
          <w:color w:val="FF0000"/>
          <w:szCs w:val="20"/>
          <w:u w:val="single"/>
        </w:rPr>
        <w:t>sulfates</w:t>
      </w:r>
      <w:proofErr w:type="spellEnd"/>
      <w:r w:rsidRPr="007A0C0C">
        <w:rPr>
          <w:rFonts w:cs="Arial"/>
          <w:strike/>
          <w:color w:val="FF0000"/>
          <w:szCs w:val="20"/>
          <w:u w:val="single"/>
        </w:rPr>
        <w:t>; or </w:t>
      </w:r>
    </w:p>
    <w:p w14:paraId="238DD45D" w14:textId="77777777" w:rsidR="007A0C0C" w:rsidRPr="007A0C0C" w:rsidRDefault="007A0C0C" w:rsidP="007A0C0C">
      <w:pPr>
        <w:ind w:left="1429" w:hanging="425"/>
        <w:rPr>
          <w:rFonts w:cs="Arial"/>
          <w:strike/>
          <w:color w:val="FF0000"/>
          <w:szCs w:val="20"/>
          <w:u w:val="single"/>
        </w:rPr>
      </w:pPr>
      <w:r w:rsidRPr="007A0C0C">
        <w:rPr>
          <w:rFonts w:cs="Arial"/>
          <w:strike/>
          <w:color w:val="FF0000"/>
          <w:szCs w:val="20"/>
          <w:u w:val="single"/>
        </w:rPr>
        <w:t xml:space="preserve">(c)   in toothpaste and oral hygiene preparations containing 5% or less of lauryl </w:t>
      </w:r>
      <w:proofErr w:type="spellStart"/>
      <w:r w:rsidRPr="007A0C0C">
        <w:rPr>
          <w:rFonts w:cs="Arial"/>
          <w:strike/>
          <w:color w:val="FF0000"/>
          <w:szCs w:val="20"/>
          <w:u w:val="single"/>
        </w:rPr>
        <w:t>sulfates</w:t>
      </w:r>
      <w:proofErr w:type="spellEnd"/>
      <w:r w:rsidRPr="007A0C0C">
        <w:rPr>
          <w:rFonts w:cs="Arial"/>
          <w:strike/>
          <w:color w:val="FF0000"/>
          <w:szCs w:val="20"/>
          <w:u w:val="single"/>
        </w:rPr>
        <w:t>; or </w:t>
      </w:r>
    </w:p>
    <w:p w14:paraId="1318C649" w14:textId="77777777" w:rsidR="007A0C0C" w:rsidRPr="007A0C0C" w:rsidRDefault="007A0C0C" w:rsidP="007A0C0C">
      <w:pPr>
        <w:ind w:left="1429" w:hanging="425"/>
        <w:rPr>
          <w:rFonts w:cs="Arial"/>
          <w:strike/>
          <w:color w:val="FF0000"/>
          <w:szCs w:val="20"/>
          <w:u w:val="single"/>
        </w:rPr>
      </w:pPr>
      <w:r w:rsidRPr="007A0C0C">
        <w:rPr>
          <w:rFonts w:cs="Arial"/>
          <w:strike/>
          <w:color w:val="FF0000"/>
          <w:szCs w:val="20"/>
          <w:u w:val="single"/>
        </w:rPr>
        <w:t xml:space="preserve">(d)   in other preparations for animal use containing 2% or less of lauryl </w:t>
      </w:r>
      <w:proofErr w:type="spellStart"/>
      <w:r w:rsidRPr="007A0C0C">
        <w:rPr>
          <w:rFonts w:cs="Arial"/>
          <w:strike/>
          <w:color w:val="FF0000"/>
          <w:szCs w:val="20"/>
          <w:u w:val="single"/>
        </w:rPr>
        <w:t>sulfates</w:t>
      </w:r>
      <w:proofErr w:type="spellEnd"/>
      <w:r w:rsidRPr="007A0C0C">
        <w:rPr>
          <w:rFonts w:cs="Arial"/>
          <w:strike/>
          <w:color w:val="FF0000"/>
          <w:szCs w:val="20"/>
          <w:u w:val="single"/>
        </w:rPr>
        <w:t>; or </w:t>
      </w:r>
    </w:p>
    <w:p w14:paraId="387B9179" w14:textId="77777777" w:rsidR="007A0C0C" w:rsidRPr="007A0C0C" w:rsidRDefault="007A0C0C" w:rsidP="007A0C0C">
      <w:pPr>
        <w:ind w:left="1429" w:hanging="425"/>
        <w:rPr>
          <w:rFonts w:cs="Arial"/>
          <w:strike/>
          <w:color w:val="FF0000"/>
          <w:szCs w:val="20"/>
          <w:u w:val="single"/>
        </w:rPr>
      </w:pPr>
      <w:r w:rsidRPr="007A0C0C">
        <w:rPr>
          <w:rFonts w:cs="Arial"/>
          <w:strike/>
          <w:color w:val="FF0000"/>
          <w:szCs w:val="20"/>
          <w:u w:val="single"/>
        </w:rPr>
        <w:t xml:space="preserve">(e)   in other preparations containing 30% or less of lauryl </w:t>
      </w:r>
      <w:proofErr w:type="spellStart"/>
      <w:r w:rsidRPr="007A0C0C">
        <w:rPr>
          <w:rFonts w:cs="Arial"/>
          <w:strike/>
          <w:color w:val="FF0000"/>
          <w:szCs w:val="20"/>
          <w:u w:val="single"/>
        </w:rPr>
        <w:t>sulfates</w:t>
      </w:r>
      <w:proofErr w:type="spellEnd"/>
      <w:r w:rsidRPr="007A0C0C">
        <w:rPr>
          <w:rFonts w:cs="Arial"/>
          <w:strike/>
          <w:color w:val="FF0000"/>
          <w:szCs w:val="20"/>
          <w:u w:val="single"/>
        </w:rPr>
        <w:t xml:space="preserve"> and, if containing more than 5% of lauryl </w:t>
      </w:r>
      <w:proofErr w:type="spellStart"/>
      <w:r w:rsidRPr="007A0C0C">
        <w:rPr>
          <w:rFonts w:cs="Arial"/>
          <w:strike/>
          <w:color w:val="FF0000"/>
          <w:szCs w:val="20"/>
          <w:u w:val="single"/>
        </w:rPr>
        <w:t>sulfates</w:t>
      </w:r>
      <w:proofErr w:type="spellEnd"/>
      <w:r w:rsidRPr="007A0C0C">
        <w:rPr>
          <w:rFonts w:cs="Arial"/>
          <w:strike/>
          <w:color w:val="FF0000"/>
          <w:szCs w:val="20"/>
          <w:u w:val="single"/>
        </w:rPr>
        <w:t>, when labelled with warnings to the following effect: </w:t>
      </w:r>
    </w:p>
    <w:p w14:paraId="77889636" w14:textId="77777777" w:rsidR="007A0C0C" w:rsidRPr="007A0C0C" w:rsidRDefault="007A0C0C" w:rsidP="007A0C0C">
      <w:pPr>
        <w:ind w:left="2290" w:hanging="425"/>
        <w:rPr>
          <w:rFonts w:cs="Arial"/>
          <w:strike/>
          <w:color w:val="FF0000"/>
          <w:szCs w:val="20"/>
          <w:u w:val="single"/>
        </w:rPr>
      </w:pPr>
      <w:r w:rsidRPr="007A0C0C">
        <w:rPr>
          <w:rFonts w:cs="Arial"/>
          <w:strike/>
          <w:color w:val="FF0000"/>
          <w:szCs w:val="20"/>
          <w:u w:val="single"/>
        </w:rPr>
        <w:t>(</w:t>
      </w:r>
      <w:proofErr w:type="spellStart"/>
      <w:r w:rsidRPr="007A0C0C">
        <w:rPr>
          <w:rFonts w:cs="Arial"/>
          <w:strike/>
          <w:color w:val="FF0000"/>
          <w:szCs w:val="20"/>
          <w:u w:val="single"/>
        </w:rPr>
        <w:t>i</w:t>
      </w:r>
      <w:proofErr w:type="spellEnd"/>
      <w:r w:rsidRPr="007A0C0C">
        <w:rPr>
          <w:rFonts w:cs="Arial"/>
          <w:strike/>
          <w:color w:val="FF0000"/>
          <w:szCs w:val="20"/>
          <w:u w:val="single"/>
        </w:rPr>
        <w:t>)    IF IN EYES WASH OUT IMMEDIATELY WITH WATER; and </w:t>
      </w:r>
    </w:p>
    <w:p w14:paraId="4DF78BDB" w14:textId="77777777" w:rsidR="007A0C0C" w:rsidRPr="007A0C0C" w:rsidRDefault="007A0C0C" w:rsidP="007A0C0C">
      <w:pPr>
        <w:ind w:left="2290" w:hanging="425"/>
        <w:rPr>
          <w:b/>
          <w:bCs/>
          <w:color w:val="auto"/>
          <w:szCs w:val="20"/>
        </w:rPr>
      </w:pPr>
      <w:r w:rsidRPr="007A0C0C">
        <w:rPr>
          <w:rFonts w:cs="Arial"/>
          <w:strike/>
          <w:color w:val="FF0000"/>
          <w:szCs w:val="20"/>
          <w:u w:val="single"/>
        </w:rPr>
        <w:t>(ii)   IF SKIN OR HAIR CONTACT OCCURS, REMOVE CONTAMINATED CLOTHING AND FLUSH SKIN AND HAIR WITH RUNNING WATER.</w:t>
      </w:r>
      <w:r w:rsidRPr="007A0C0C">
        <w:rPr>
          <w:b/>
          <w:bCs/>
          <w:color w:val="FF0000"/>
          <w:szCs w:val="20"/>
        </w:rPr>
        <w:t> </w:t>
      </w:r>
    </w:p>
    <w:p w14:paraId="346A8911" w14:textId="77777777" w:rsidR="00057394" w:rsidRDefault="00057394">
      <w:pPr>
        <w:rPr>
          <w:b/>
          <w:bCs/>
          <w:color w:val="auto"/>
          <w:szCs w:val="20"/>
        </w:rPr>
      </w:pPr>
      <w:r>
        <w:rPr>
          <w:b/>
          <w:bCs/>
          <w:color w:val="auto"/>
          <w:szCs w:val="20"/>
        </w:rPr>
        <w:br w:type="page"/>
      </w:r>
    </w:p>
    <w:p w14:paraId="6DF3F50A" w14:textId="392AA78C" w:rsidR="007A0C0C" w:rsidRPr="004706D3" w:rsidRDefault="007A0C0C" w:rsidP="004706D3">
      <w:pPr>
        <w:spacing w:before="120" w:line="240" w:lineRule="auto"/>
        <w:ind w:left="272"/>
        <w:textAlignment w:val="baseline"/>
        <w:rPr>
          <w:rFonts w:eastAsia="Calibri" w:cs="Arial"/>
          <w:b/>
          <w:bCs/>
        </w:rPr>
      </w:pPr>
      <w:r w:rsidRPr="004706D3">
        <w:rPr>
          <w:rFonts w:eastAsia="Calibri" w:cs="Arial"/>
          <w:b/>
          <w:bCs/>
        </w:rPr>
        <w:lastRenderedPageBreak/>
        <w:t>Appendix E, Clause 3 – new entry</w:t>
      </w: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704"/>
        <w:gridCol w:w="1951"/>
      </w:tblGrid>
      <w:tr w:rsidR="007A0C0C" w:rsidRPr="007A0C0C" w14:paraId="4D05D98C" w14:textId="77777777" w:rsidTr="00A15E66">
        <w:trPr>
          <w:tblHeader/>
        </w:trPr>
        <w:tc>
          <w:tcPr>
            <w:tcW w:w="8364" w:type="dxa"/>
            <w:gridSpan w:val="3"/>
            <w:tcBorders>
              <w:top w:val="single" w:sz="12" w:space="0" w:color="auto"/>
            </w:tcBorders>
          </w:tcPr>
          <w:p w14:paraId="430C6184" w14:textId="77777777" w:rsidR="007A0C0C" w:rsidRPr="007A0C0C" w:rsidRDefault="007A0C0C" w:rsidP="007A0C0C">
            <w:pPr>
              <w:rPr>
                <w:rFonts w:cs="Arial"/>
                <w:b/>
                <w:bCs/>
                <w:color w:val="auto"/>
                <w:szCs w:val="20"/>
              </w:rPr>
            </w:pPr>
            <w:r w:rsidRPr="007A0C0C">
              <w:rPr>
                <w:rFonts w:cs="Arial"/>
                <w:b/>
                <w:bCs/>
                <w:color w:val="auto"/>
                <w:szCs w:val="20"/>
              </w:rPr>
              <w:t>Poisons that must be labelled with first aid instructions</w:t>
            </w:r>
          </w:p>
        </w:tc>
      </w:tr>
      <w:tr w:rsidR="007A0C0C" w:rsidRPr="007A0C0C" w14:paraId="55AADB78" w14:textId="77777777" w:rsidTr="00A15E66">
        <w:trPr>
          <w:tblHeader/>
        </w:trPr>
        <w:tc>
          <w:tcPr>
            <w:tcW w:w="709" w:type="dxa"/>
            <w:tcBorders>
              <w:top w:val="nil"/>
              <w:bottom w:val="single" w:sz="12" w:space="0" w:color="auto"/>
            </w:tcBorders>
          </w:tcPr>
          <w:p w14:paraId="7477AC78" w14:textId="77777777" w:rsidR="007A0C0C" w:rsidRPr="007A0C0C" w:rsidRDefault="007A0C0C" w:rsidP="007A0C0C">
            <w:pPr>
              <w:rPr>
                <w:rFonts w:cs="Arial"/>
                <w:b/>
                <w:bCs/>
                <w:color w:val="auto"/>
                <w:szCs w:val="20"/>
              </w:rPr>
            </w:pPr>
            <w:r w:rsidRPr="007A0C0C">
              <w:rPr>
                <w:rFonts w:cs="Arial"/>
                <w:b/>
                <w:bCs/>
                <w:color w:val="auto"/>
                <w:szCs w:val="20"/>
              </w:rPr>
              <w:t>Item</w:t>
            </w:r>
          </w:p>
        </w:tc>
        <w:tc>
          <w:tcPr>
            <w:tcW w:w="5704" w:type="dxa"/>
            <w:tcBorders>
              <w:top w:val="nil"/>
              <w:bottom w:val="single" w:sz="12" w:space="0" w:color="auto"/>
            </w:tcBorders>
          </w:tcPr>
          <w:p w14:paraId="2E2064EA" w14:textId="77777777" w:rsidR="007A0C0C" w:rsidRPr="007A0C0C" w:rsidRDefault="007A0C0C" w:rsidP="007A0C0C">
            <w:pPr>
              <w:rPr>
                <w:rFonts w:cs="Arial"/>
                <w:b/>
                <w:bCs/>
                <w:color w:val="auto"/>
                <w:szCs w:val="20"/>
              </w:rPr>
            </w:pPr>
            <w:r w:rsidRPr="007A0C0C">
              <w:rPr>
                <w:rFonts w:cs="Arial"/>
                <w:b/>
                <w:bCs/>
                <w:color w:val="auto"/>
                <w:szCs w:val="20"/>
              </w:rPr>
              <w:t>Column 1</w:t>
            </w:r>
            <w:r w:rsidRPr="007A0C0C">
              <w:rPr>
                <w:rFonts w:cs="Arial"/>
                <w:b/>
                <w:bCs/>
                <w:color w:val="auto"/>
                <w:szCs w:val="20"/>
              </w:rPr>
              <w:br/>
              <w:t>Poison</w:t>
            </w:r>
          </w:p>
        </w:tc>
        <w:tc>
          <w:tcPr>
            <w:tcW w:w="1951" w:type="dxa"/>
            <w:tcBorders>
              <w:top w:val="nil"/>
              <w:bottom w:val="single" w:sz="12" w:space="0" w:color="auto"/>
            </w:tcBorders>
          </w:tcPr>
          <w:p w14:paraId="2BCC3F73" w14:textId="77777777" w:rsidR="007A0C0C" w:rsidRPr="007A0C0C" w:rsidRDefault="007A0C0C" w:rsidP="007A0C0C">
            <w:pPr>
              <w:rPr>
                <w:rFonts w:cs="Arial"/>
                <w:b/>
                <w:bCs/>
                <w:color w:val="auto"/>
                <w:szCs w:val="20"/>
              </w:rPr>
            </w:pPr>
            <w:r w:rsidRPr="007A0C0C">
              <w:rPr>
                <w:rFonts w:cs="Arial"/>
                <w:b/>
                <w:bCs/>
                <w:color w:val="auto"/>
                <w:szCs w:val="20"/>
              </w:rPr>
              <w:t>Column 2</w:t>
            </w:r>
            <w:r w:rsidRPr="007A0C0C">
              <w:rPr>
                <w:rFonts w:cs="Arial"/>
                <w:b/>
                <w:bCs/>
                <w:color w:val="auto"/>
                <w:szCs w:val="20"/>
              </w:rPr>
              <w:br/>
              <w:t>Statement code</w:t>
            </w:r>
          </w:p>
        </w:tc>
      </w:tr>
      <w:tr w:rsidR="007A0C0C" w:rsidRPr="007A0C0C" w14:paraId="7B499726" w14:textId="77777777" w:rsidTr="00A15E66">
        <w:tc>
          <w:tcPr>
            <w:tcW w:w="709" w:type="dxa"/>
            <w:tcBorders>
              <w:top w:val="single" w:sz="12" w:space="0" w:color="auto"/>
              <w:bottom w:val="single" w:sz="4" w:space="0" w:color="auto"/>
            </w:tcBorders>
          </w:tcPr>
          <w:p w14:paraId="16B26962" w14:textId="77777777" w:rsidR="007A0C0C" w:rsidRPr="007A0C0C" w:rsidRDefault="007A0C0C" w:rsidP="007A0C0C">
            <w:pPr>
              <w:rPr>
                <w:rFonts w:cs="Arial"/>
                <w:color w:val="00B050"/>
                <w:szCs w:val="20"/>
                <w:u w:val="single"/>
              </w:rPr>
            </w:pPr>
            <w:r w:rsidRPr="007A0C0C">
              <w:rPr>
                <w:rFonts w:cs="Arial"/>
                <w:color w:val="00B050"/>
                <w:szCs w:val="20"/>
                <w:u w:val="single"/>
              </w:rPr>
              <w:t>179</w:t>
            </w:r>
          </w:p>
        </w:tc>
        <w:tc>
          <w:tcPr>
            <w:tcW w:w="5704" w:type="dxa"/>
            <w:tcBorders>
              <w:top w:val="single" w:sz="12" w:space="0" w:color="auto"/>
              <w:bottom w:val="single" w:sz="4" w:space="0" w:color="auto"/>
            </w:tcBorders>
          </w:tcPr>
          <w:p w14:paraId="55817F76" w14:textId="77777777" w:rsidR="007A0C0C" w:rsidRPr="007A0C0C" w:rsidRDefault="007A0C0C" w:rsidP="007A0C0C">
            <w:pPr>
              <w:rPr>
                <w:rFonts w:cs="Arial"/>
                <w:color w:val="00B050"/>
                <w:szCs w:val="20"/>
                <w:u w:val="single"/>
              </w:rPr>
            </w:pPr>
            <w:r w:rsidRPr="007A0C0C">
              <w:rPr>
                <w:rFonts w:cs="Arial"/>
                <w:color w:val="00B050"/>
                <w:szCs w:val="20"/>
                <w:u w:val="single"/>
              </w:rPr>
              <w:t>MEDIUM AND LONG CHAIN (</w:t>
            </w:r>
            <w:proofErr w:type="spellStart"/>
            <w:r w:rsidRPr="007A0C0C">
              <w:rPr>
                <w:rFonts w:cs="Arial"/>
                <w:color w:val="00B050"/>
                <w:szCs w:val="20"/>
                <w:u w:val="single"/>
              </w:rPr>
              <w:t>C6</w:t>
            </w:r>
            <w:proofErr w:type="spellEnd"/>
            <w:r w:rsidRPr="007A0C0C">
              <w:rPr>
                <w:rFonts w:cs="Arial"/>
                <w:color w:val="00B050"/>
                <w:szCs w:val="20"/>
                <w:u w:val="single"/>
              </w:rPr>
              <w:t xml:space="preserve">–15) ALKYL </w:t>
            </w:r>
            <w:proofErr w:type="spellStart"/>
            <w:r w:rsidRPr="007A0C0C">
              <w:rPr>
                <w:rFonts w:cs="Arial"/>
                <w:color w:val="00B050"/>
                <w:szCs w:val="20"/>
                <w:u w:val="single"/>
              </w:rPr>
              <w:t>SULFATES</w:t>
            </w:r>
            <w:proofErr w:type="spellEnd"/>
            <w:r w:rsidRPr="007A0C0C">
              <w:rPr>
                <w:rFonts w:cs="Arial"/>
                <w:color w:val="00B050"/>
                <w:szCs w:val="20"/>
                <w:u w:val="single"/>
              </w:rPr>
              <w:t xml:space="preserve"> — leave</w:t>
            </w:r>
            <w:r w:rsidRPr="007A0C0C">
              <w:rPr>
                <w:rFonts w:ascii="Cambria Math" w:hAnsi="Cambria Math" w:cs="Cambria Math"/>
                <w:color w:val="00B050"/>
                <w:szCs w:val="20"/>
                <w:u w:val="single"/>
              </w:rPr>
              <w:t>‑</w:t>
            </w:r>
            <w:r w:rsidRPr="007A0C0C">
              <w:rPr>
                <w:rFonts w:cs="Arial"/>
                <w:color w:val="00B050"/>
                <w:szCs w:val="20"/>
                <w:u w:val="single"/>
              </w:rPr>
              <w:t>on or wash</w:t>
            </w:r>
            <w:r w:rsidRPr="007A0C0C">
              <w:rPr>
                <w:rFonts w:ascii="Cambria Math" w:hAnsi="Cambria Math" w:cs="Cambria Math"/>
                <w:color w:val="00B050"/>
                <w:szCs w:val="20"/>
                <w:u w:val="single"/>
              </w:rPr>
              <w:t>‑</w:t>
            </w:r>
            <w:r w:rsidRPr="007A0C0C">
              <w:rPr>
                <w:rFonts w:cs="Arial"/>
                <w:color w:val="00B050"/>
                <w:szCs w:val="20"/>
                <w:u w:val="single"/>
              </w:rPr>
              <w:t xml:space="preserve">off preparations containing, in total, above 5% of alkyl </w:t>
            </w:r>
            <w:proofErr w:type="spellStart"/>
            <w:r w:rsidRPr="007A0C0C">
              <w:rPr>
                <w:rFonts w:cs="Arial"/>
                <w:color w:val="00B050"/>
                <w:szCs w:val="20"/>
                <w:u w:val="single"/>
              </w:rPr>
              <w:t>sulfates</w:t>
            </w:r>
            <w:proofErr w:type="spellEnd"/>
          </w:p>
        </w:tc>
        <w:tc>
          <w:tcPr>
            <w:tcW w:w="1951" w:type="dxa"/>
            <w:tcBorders>
              <w:top w:val="single" w:sz="12" w:space="0" w:color="auto"/>
              <w:bottom w:val="single" w:sz="4" w:space="0" w:color="auto"/>
            </w:tcBorders>
          </w:tcPr>
          <w:p w14:paraId="6403A7CF" w14:textId="77777777" w:rsidR="007A0C0C" w:rsidRPr="007A0C0C" w:rsidRDefault="007A0C0C" w:rsidP="007A0C0C">
            <w:pPr>
              <w:rPr>
                <w:rFonts w:cs="Arial"/>
                <w:color w:val="00B050"/>
                <w:szCs w:val="20"/>
                <w:u w:val="single"/>
              </w:rPr>
            </w:pPr>
            <w:proofErr w:type="spellStart"/>
            <w:r w:rsidRPr="007A0C0C">
              <w:rPr>
                <w:rFonts w:cs="Arial"/>
                <w:color w:val="00B050"/>
                <w:szCs w:val="20"/>
                <w:u w:val="single"/>
              </w:rPr>
              <w:t>E1</w:t>
            </w:r>
            <w:proofErr w:type="spellEnd"/>
          </w:p>
        </w:tc>
      </w:tr>
      <w:tr w:rsidR="007A0C0C" w:rsidRPr="007A0C0C" w14:paraId="0A61AA55" w14:textId="77777777" w:rsidTr="00A15E66">
        <w:tc>
          <w:tcPr>
            <w:tcW w:w="709" w:type="dxa"/>
            <w:tcBorders>
              <w:top w:val="single" w:sz="4" w:space="0" w:color="auto"/>
            </w:tcBorders>
          </w:tcPr>
          <w:p w14:paraId="51387CAC" w14:textId="77777777" w:rsidR="007A0C0C" w:rsidRPr="007A0C0C" w:rsidRDefault="007A0C0C" w:rsidP="007A0C0C">
            <w:pPr>
              <w:rPr>
                <w:rFonts w:cs="Arial"/>
                <w:color w:val="00B050"/>
                <w:szCs w:val="20"/>
                <w:u w:val="single"/>
              </w:rPr>
            </w:pPr>
            <w:r w:rsidRPr="007A0C0C">
              <w:rPr>
                <w:rFonts w:cs="Arial"/>
                <w:color w:val="00B050"/>
                <w:szCs w:val="20"/>
                <w:u w:val="single"/>
              </w:rPr>
              <w:t>180</w:t>
            </w:r>
          </w:p>
        </w:tc>
        <w:tc>
          <w:tcPr>
            <w:tcW w:w="5704" w:type="dxa"/>
            <w:tcBorders>
              <w:top w:val="single" w:sz="4" w:space="0" w:color="auto"/>
            </w:tcBorders>
          </w:tcPr>
          <w:p w14:paraId="7F13B3AA" w14:textId="77777777" w:rsidR="007A0C0C" w:rsidRPr="007A0C0C" w:rsidRDefault="007A0C0C" w:rsidP="007A0C0C">
            <w:pPr>
              <w:rPr>
                <w:rFonts w:cs="Arial"/>
                <w:color w:val="00B050"/>
                <w:szCs w:val="20"/>
                <w:u w:val="single"/>
              </w:rPr>
            </w:pPr>
            <w:r w:rsidRPr="007A0C0C">
              <w:rPr>
                <w:rFonts w:cs="Arial"/>
                <w:color w:val="00B050"/>
                <w:szCs w:val="20"/>
                <w:u w:val="single"/>
              </w:rPr>
              <w:t>MEDIUM AND LONG CHAIN (</w:t>
            </w:r>
            <w:proofErr w:type="spellStart"/>
            <w:r w:rsidRPr="007A0C0C">
              <w:rPr>
                <w:rFonts w:cs="Arial"/>
                <w:color w:val="00B050"/>
                <w:szCs w:val="20"/>
                <w:u w:val="single"/>
              </w:rPr>
              <w:t>C6</w:t>
            </w:r>
            <w:proofErr w:type="spellEnd"/>
            <w:r w:rsidRPr="007A0C0C">
              <w:rPr>
                <w:rFonts w:cs="Arial"/>
                <w:color w:val="00B050"/>
                <w:szCs w:val="20"/>
                <w:u w:val="single"/>
              </w:rPr>
              <w:t xml:space="preserve">–15) ALKYL </w:t>
            </w:r>
            <w:proofErr w:type="spellStart"/>
            <w:r w:rsidRPr="007A0C0C">
              <w:rPr>
                <w:rFonts w:cs="Arial"/>
                <w:color w:val="00B050"/>
                <w:szCs w:val="20"/>
                <w:u w:val="single"/>
              </w:rPr>
              <w:t>SULFATES</w:t>
            </w:r>
            <w:proofErr w:type="spellEnd"/>
            <w:r w:rsidRPr="007A0C0C">
              <w:rPr>
                <w:rFonts w:cs="Arial"/>
                <w:color w:val="00B050"/>
                <w:szCs w:val="20"/>
                <w:u w:val="single"/>
              </w:rPr>
              <w:t xml:space="preserve"> — other preparations containing, in total, above 5% of alkyl </w:t>
            </w:r>
            <w:proofErr w:type="spellStart"/>
            <w:r w:rsidRPr="007A0C0C">
              <w:rPr>
                <w:rFonts w:cs="Arial"/>
                <w:color w:val="00B050"/>
                <w:szCs w:val="20"/>
                <w:u w:val="single"/>
              </w:rPr>
              <w:t>sulfates</w:t>
            </w:r>
            <w:proofErr w:type="spellEnd"/>
          </w:p>
        </w:tc>
        <w:tc>
          <w:tcPr>
            <w:tcW w:w="1951" w:type="dxa"/>
            <w:tcBorders>
              <w:top w:val="single" w:sz="4" w:space="0" w:color="auto"/>
            </w:tcBorders>
          </w:tcPr>
          <w:p w14:paraId="31E07127" w14:textId="77777777" w:rsidR="007A0C0C" w:rsidRPr="007A0C0C" w:rsidRDefault="007A0C0C" w:rsidP="007A0C0C">
            <w:pPr>
              <w:rPr>
                <w:rFonts w:cs="Arial"/>
                <w:color w:val="00B050"/>
                <w:szCs w:val="20"/>
                <w:u w:val="single"/>
              </w:rPr>
            </w:pPr>
            <w:proofErr w:type="spellStart"/>
            <w:r w:rsidRPr="007A0C0C">
              <w:rPr>
                <w:rFonts w:cs="Arial"/>
                <w:color w:val="00B050"/>
                <w:szCs w:val="20"/>
                <w:u w:val="single"/>
              </w:rPr>
              <w:t>E1</w:t>
            </w:r>
            <w:proofErr w:type="spellEnd"/>
            <w:r w:rsidRPr="007A0C0C">
              <w:rPr>
                <w:rFonts w:cs="Arial"/>
                <w:color w:val="00B050"/>
                <w:szCs w:val="20"/>
                <w:u w:val="single"/>
              </w:rPr>
              <w:t xml:space="preserve">, </w:t>
            </w:r>
            <w:proofErr w:type="spellStart"/>
            <w:r w:rsidRPr="007A0C0C">
              <w:rPr>
                <w:rFonts w:cs="Arial"/>
                <w:color w:val="00B050"/>
                <w:szCs w:val="20"/>
                <w:u w:val="single"/>
              </w:rPr>
              <w:t>S1</w:t>
            </w:r>
            <w:proofErr w:type="spellEnd"/>
          </w:p>
        </w:tc>
      </w:tr>
    </w:tbl>
    <w:p w14:paraId="5FD02517" w14:textId="77777777" w:rsidR="007A0C0C" w:rsidRPr="007A0C0C" w:rsidRDefault="007A0C0C" w:rsidP="007A0C0C">
      <w:pPr>
        <w:ind w:firstLine="567"/>
        <w:rPr>
          <w:rFonts w:cs="Arial"/>
          <w:b/>
          <w:bCs/>
          <w:color w:val="auto"/>
          <w:szCs w:val="20"/>
        </w:rPr>
      </w:pPr>
    </w:p>
    <w:tbl>
      <w:tblPr>
        <w:tblW w:w="85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176"/>
        <w:gridCol w:w="1744"/>
        <w:gridCol w:w="4932"/>
      </w:tblGrid>
      <w:tr w:rsidR="007A0C0C" w:rsidRPr="007A0C0C" w14:paraId="5FAF0EAD" w14:textId="77777777" w:rsidTr="00A15E66">
        <w:trPr>
          <w:tblHeader/>
        </w:trPr>
        <w:tc>
          <w:tcPr>
            <w:tcW w:w="8505" w:type="dxa"/>
            <w:gridSpan w:val="4"/>
            <w:tcBorders>
              <w:top w:val="single" w:sz="12" w:space="0" w:color="auto"/>
              <w:bottom w:val="single" w:sz="6" w:space="0" w:color="auto"/>
            </w:tcBorders>
          </w:tcPr>
          <w:p w14:paraId="4F2BD59F" w14:textId="77777777" w:rsidR="007A0C0C" w:rsidRPr="007A0C0C" w:rsidRDefault="007A0C0C" w:rsidP="007A0C0C">
            <w:pPr>
              <w:rPr>
                <w:rFonts w:cs="Arial"/>
                <w:b/>
                <w:bCs/>
                <w:color w:val="auto"/>
                <w:szCs w:val="20"/>
              </w:rPr>
            </w:pPr>
            <w:r w:rsidRPr="007A0C0C">
              <w:rPr>
                <w:rFonts w:cs="Arial"/>
                <w:b/>
                <w:bCs/>
                <w:color w:val="auto"/>
                <w:szCs w:val="20"/>
              </w:rPr>
              <w:t>Standard statements for first aid instructions</w:t>
            </w:r>
          </w:p>
        </w:tc>
      </w:tr>
      <w:tr w:rsidR="007A0C0C" w:rsidRPr="007A0C0C" w14:paraId="5037D47B" w14:textId="77777777" w:rsidTr="00A15E66">
        <w:trPr>
          <w:tblHeader/>
        </w:trPr>
        <w:tc>
          <w:tcPr>
            <w:tcW w:w="653" w:type="dxa"/>
            <w:tcBorders>
              <w:top w:val="single" w:sz="6" w:space="0" w:color="auto"/>
              <w:bottom w:val="single" w:sz="12" w:space="0" w:color="auto"/>
            </w:tcBorders>
          </w:tcPr>
          <w:p w14:paraId="59D2DB7D" w14:textId="77777777" w:rsidR="007A0C0C" w:rsidRPr="007A0C0C" w:rsidRDefault="007A0C0C" w:rsidP="007A0C0C">
            <w:pPr>
              <w:rPr>
                <w:rFonts w:cs="Arial"/>
                <w:b/>
                <w:bCs/>
                <w:color w:val="auto"/>
                <w:szCs w:val="20"/>
              </w:rPr>
            </w:pPr>
            <w:r w:rsidRPr="007A0C0C">
              <w:rPr>
                <w:rFonts w:cs="Arial"/>
                <w:b/>
                <w:bCs/>
                <w:color w:val="auto"/>
                <w:szCs w:val="20"/>
              </w:rPr>
              <w:t>Item</w:t>
            </w:r>
          </w:p>
        </w:tc>
        <w:tc>
          <w:tcPr>
            <w:tcW w:w="1176" w:type="dxa"/>
            <w:tcBorders>
              <w:top w:val="single" w:sz="6" w:space="0" w:color="auto"/>
              <w:bottom w:val="single" w:sz="12" w:space="0" w:color="auto"/>
            </w:tcBorders>
          </w:tcPr>
          <w:p w14:paraId="093B1FAF" w14:textId="77777777" w:rsidR="007A0C0C" w:rsidRPr="007A0C0C" w:rsidRDefault="007A0C0C" w:rsidP="007A0C0C">
            <w:pPr>
              <w:rPr>
                <w:rFonts w:cs="Arial"/>
                <w:b/>
                <w:bCs/>
                <w:color w:val="auto"/>
                <w:szCs w:val="20"/>
              </w:rPr>
            </w:pPr>
            <w:r w:rsidRPr="007A0C0C">
              <w:rPr>
                <w:rFonts w:cs="Arial"/>
                <w:b/>
                <w:bCs/>
                <w:color w:val="auto"/>
                <w:szCs w:val="20"/>
              </w:rPr>
              <w:t>Column 1</w:t>
            </w:r>
            <w:r w:rsidRPr="007A0C0C">
              <w:rPr>
                <w:rFonts w:cs="Arial"/>
                <w:b/>
                <w:bCs/>
                <w:color w:val="auto"/>
                <w:szCs w:val="20"/>
              </w:rPr>
              <w:br/>
              <w:t>Category</w:t>
            </w:r>
          </w:p>
        </w:tc>
        <w:tc>
          <w:tcPr>
            <w:tcW w:w="1744" w:type="dxa"/>
            <w:tcBorders>
              <w:top w:val="single" w:sz="6" w:space="0" w:color="auto"/>
              <w:bottom w:val="single" w:sz="12" w:space="0" w:color="auto"/>
            </w:tcBorders>
          </w:tcPr>
          <w:p w14:paraId="3C3B24D0" w14:textId="77777777" w:rsidR="007A0C0C" w:rsidRPr="007A0C0C" w:rsidRDefault="007A0C0C" w:rsidP="007A0C0C">
            <w:pPr>
              <w:rPr>
                <w:rFonts w:cs="Arial"/>
                <w:b/>
                <w:bCs/>
                <w:color w:val="auto"/>
                <w:szCs w:val="20"/>
              </w:rPr>
            </w:pPr>
            <w:r w:rsidRPr="007A0C0C">
              <w:rPr>
                <w:rFonts w:cs="Arial"/>
                <w:b/>
                <w:bCs/>
                <w:color w:val="auto"/>
                <w:szCs w:val="20"/>
              </w:rPr>
              <w:t>Column 2</w:t>
            </w:r>
            <w:r w:rsidRPr="007A0C0C">
              <w:rPr>
                <w:rFonts w:cs="Arial"/>
                <w:b/>
                <w:bCs/>
                <w:color w:val="auto"/>
                <w:szCs w:val="20"/>
              </w:rPr>
              <w:br/>
              <w:t>Statement code</w:t>
            </w:r>
          </w:p>
        </w:tc>
        <w:tc>
          <w:tcPr>
            <w:tcW w:w="4932" w:type="dxa"/>
            <w:tcBorders>
              <w:top w:val="single" w:sz="6" w:space="0" w:color="auto"/>
              <w:bottom w:val="single" w:sz="12" w:space="0" w:color="auto"/>
            </w:tcBorders>
          </w:tcPr>
          <w:p w14:paraId="440007CB" w14:textId="77777777" w:rsidR="007A0C0C" w:rsidRPr="007A0C0C" w:rsidRDefault="007A0C0C" w:rsidP="007A0C0C">
            <w:pPr>
              <w:rPr>
                <w:rFonts w:cs="Arial"/>
                <w:b/>
                <w:bCs/>
                <w:color w:val="auto"/>
                <w:szCs w:val="20"/>
              </w:rPr>
            </w:pPr>
            <w:r w:rsidRPr="007A0C0C">
              <w:rPr>
                <w:rFonts w:cs="Arial"/>
                <w:b/>
                <w:bCs/>
                <w:color w:val="auto"/>
                <w:szCs w:val="20"/>
              </w:rPr>
              <w:t>Column 3</w:t>
            </w:r>
            <w:r w:rsidRPr="007A0C0C">
              <w:rPr>
                <w:rFonts w:cs="Arial"/>
                <w:b/>
                <w:bCs/>
                <w:color w:val="auto"/>
                <w:szCs w:val="20"/>
              </w:rPr>
              <w:br/>
              <w:t>Statement</w:t>
            </w:r>
          </w:p>
        </w:tc>
      </w:tr>
      <w:tr w:rsidR="007A0C0C" w:rsidRPr="007A0C0C" w14:paraId="2EEFCF02" w14:textId="77777777" w:rsidTr="00A15E66">
        <w:tc>
          <w:tcPr>
            <w:tcW w:w="653" w:type="dxa"/>
            <w:tcBorders>
              <w:top w:val="single" w:sz="12" w:space="0" w:color="auto"/>
              <w:bottom w:val="single" w:sz="4" w:space="0" w:color="auto"/>
            </w:tcBorders>
          </w:tcPr>
          <w:p w14:paraId="08DF5571" w14:textId="77777777" w:rsidR="007A0C0C" w:rsidRPr="007A0C0C" w:rsidRDefault="007A0C0C" w:rsidP="007A0C0C">
            <w:pPr>
              <w:rPr>
                <w:rFonts w:cs="Arial"/>
                <w:color w:val="auto"/>
                <w:szCs w:val="20"/>
              </w:rPr>
            </w:pPr>
            <w:r w:rsidRPr="007A0C0C">
              <w:rPr>
                <w:rFonts w:cs="Arial"/>
                <w:color w:val="auto"/>
                <w:szCs w:val="20"/>
              </w:rPr>
              <w:t>9</w:t>
            </w:r>
          </w:p>
        </w:tc>
        <w:tc>
          <w:tcPr>
            <w:tcW w:w="1176" w:type="dxa"/>
            <w:tcBorders>
              <w:top w:val="single" w:sz="12" w:space="0" w:color="auto"/>
              <w:bottom w:val="single" w:sz="4" w:space="0" w:color="auto"/>
            </w:tcBorders>
          </w:tcPr>
          <w:p w14:paraId="7ADD92F5" w14:textId="77777777" w:rsidR="007A0C0C" w:rsidRPr="007A0C0C" w:rsidRDefault="007A0C0C" w:rsidP="007A0C0C">
            <w:pPr>
              <w:rPr>
                <w:rFonts w:cs="Arial"/>
                <w:color w:val="auto"/>
                <w:szCs w:val="20"/>
              </w:rPr>
            </w:pPr>
            <w:r w:rsidRPr="007A0C0C">
              <w:rPr>
                <w:rFonts w:cs="Arial"/>
                <w:color w:val="auto"/>
                <w:szCs w:val="20"/>
              </w:rPr>
              <w:t>Eyes</w:t>
            </w:r>
          </w:p>
        </w:tc>
        <w:tc>
          <w:tcPr>
            <w:tcW w:w="1744" w:type="dxa"/>
            <w:tcBorders>
              <w:top w:val="single" w:sz="12" w:space="0" w:color="auto"/>
              <w:bottom w:val="single" w:sz="4" w:space="0" w:color="auto"/>
            </w:tcBorders>
          </w:tcPr>
          <w:p w14:paraId="215BC913" w14:textId="77777777" w:rsidR="007A0C0C" w:rsidRPr="007A0C0C" w:rsidRDefault="007A0C0C" w:rsidP="007A0C0C">
            <w:pPr>
              <w:rPr>
                <w:rFonts w:cs="Arial"/>
                <w:color w:val="auto"/>
                <w:szCs w:val="20"/>
              </w:rPr>
            </w:pPr>
            <w:proofErr w:type="spellStart"/>
            <w:r w:rsidRPr="007A0C0C">
              <w:rPr>
                <w:rFonts w:cs="Arial"/>
                <w:color w:val="auto"/>
                <w:szCs w:val="20"/>
              </w:rPr>
              <w:t>E1</w:t>
            </w:r>
            <w:proofErr w:type="spellEnd"/>
          </w:p>
        </w:tc>
        <w:tc>
          <w:tcPr>
            <w:tcW w:w="4932" w:type="dxa"/>
            <w:tcBorders>
              <w:top w:val="single" w:sz="12" w:space="0" w:color="auto"/>
              <w:bottom w:val="single" w:sz="4" w:space="0" w:color="auto"/>
            </w:tcBorders>
          </w:tcPr>
          <w:p w14:paraId="593DB258" w14:textId="77777777" w:rsidR="007A0C0C" w:rsidRPr="007A0C0C" w:rsidRDefault="007A0C0C" w:rsidP="007A0C0C">
            <w:pPr>
              <w:rPr>
                <w:rFonts w:cs="Arial"/>
                <w:color w:val="auto"/>
                <w:szCs w:val="20"/>
              </w:rPr>
            </w:pPr>
            <w:r w:rsidRPr="007A0C0C">
              <w:rPr>
                <w:rFonts w:cs="Arial"/>
                <w:color w:val="auto"/>
                <w:szCs w:val="20"/>
              </w:rPr>
              <w:t>If in eyes wash out immediately with water.</w:t>
            </w:r>
          </w:p>
        </w:tc>
      </w:tr>
      <w:tr w:rsidR="007A0C0C" w:rsidRPr="007A0C0C" w14:paraId="48044EAE" w14:textId="77777777" w:rsidTr="00A15E66">
        <w:tc>
          <w:tcPr>
            <w:tcW w:w="653" w:type="dxa"/>
            <w:tcBorders>
              <w:top w:val="single" w:sz="4" w:space="0" w:color="auto"/>
              <w:bottom w:val="single" w:sz="12" w:space="0" w:color="auto"/>
            </w:tcBorders>
          </w:tcPr>
          <w:p w14:paraId="40E54EED" w14:textId="77777777" w:rsidR="007A0C0C" w:rsidRPr="007A0C0C" w:rsidRDefault="007A0C0C" w:rsidP="007A0C0C">
            <w:pPr>
              <w:rPr>
                <w:rFonts w:cs="Arial"/>
                <w:color w:val="auto"/>
                <w:szCs w:val="20"/>
              </w:rPr>
            </w:pPr>
            <w:r w:rsidRPr="007A0C0C">
              <w:rPr>
                <w:rFonts w:cs="Arial"/>
                <w:color w:val="auto"/>
                <w:szCs w:val="20"/>
              </w:rPr>
              <w:t>13</w:t>
            </w:r>
          </w:p>
        </w:tc>
        <w:tc>
          <w:tcPr>
            <w:tcW w:w="1176" w:type="dxa"/>
            <w:tcBorders>
              <w:top w:val="single" w:sz="4" w:space="0" w:color="auto"/>
              <w:bottom w:val="single" w:sz="12" w:space="0" w:color="auto"/>
            </w:tcBorders>
          </w:tcPr>
          <w:p w14:paraId="3811B3B6" w14:textId="77777777" w:rsidR="007A0C0C" w:rsidRPr="007A0C0C" w:rsidRDefault="007A0C0C" w:rsidP="007A0C0C">
            <w:pPr>
              <w:rPr>
                <w:rFonts w:cs="Arial"/>
                <w:color w:val="auto"/>
                <w:szCs w:val="20"/>
              </w:rPr>
            </w:pPr>
            <w:r w:rsidRPr="007A0C0C">
              <w:rPr>
                <w:rFonts w:cs="Arial"/>
                <w:color w:val="auto"/>
                <w:szCs w:val="20"/>
              </w:rPr>
              <w:t>Skin</w:t>
            </w:r>
          </w:p>
        </w:tc>
        <w:tc>
          <w:tcPr>
            <w:tcW w:w="1744" w:type="dxa"/>
            <w:tcBorders>
              <w:top w:val="single" w:sz="4" w:space="0" w:color="auto"/>
              <w:bottom w:val="single" w:sz="12" w:space="0" w:color="auto"/>
            </w:tcBorders>
          </w:tcPr>
          <w:p w14:paraId="1A283040" w14:textId="77777777" w:rsidR="007A0C0C" w:rsidRPr="007A0C0C" w:rsidRDefault="007A0C0C" w:rsidP="007A0C0C">
            <w:pPr>
              <w:rPr>
                <w:rFonts w:cs="Arial"/>
                <w:color w:val="auto"/>
                <w:szCs w:val="20"/>
              </w:rPr>
            </w:pPr>
            <w:proofErr w:type="spellStart"/>
            <w:r w:rsidRPr="007A0C0C">
              <w:rPr>
                <w:rFonts w:cs="Arial"/>
                <w:color w:val="auto"/>
                <w:szCs w:val="20"/>
              </w:rPr>
              <w:t>S1</w:t>
            </w:r>
            <w:proofErr w:type="spellEnd"/>
          </w:p>
        </w:tc>
        <w:tc>
          <w:tcPr>
            <w:tcW w:w="4932" w:type="dxa"/>
            <w:tcBorders>
              <w:top w:val="single" w:sz="4" w:space="0" w:color="auto"/>
              <w:bottom w:val="single" w:sz="12" w:space="0" w:color="auto"/>
            </w:tcBorders>
          </w:tcPr>
          <w:p w14:paraId="12CFC6A4" w14:textId="77777777" w:rsidR="007A0C0C" w:rsidRPr="007A0C0C" w:rsidRDefault="007A0C0C" w:rsidP="007A0C0C">
            <w:pPr>
              <w:rPr>
                <w:rFonts w:cs="Arial"/>
                <w:color w:val="auto"/>
                <w:szCs w:val="20"/>
              </w:rPr>
            </w:pPr>
            <w:r w:rsidRPr="007A0C0C">
              <w:rPr>
                <w:rFonts w:cs="Arial"/>
                <w:color w:val="auto"/>
                <w:szCs w:val="20"/>
              </w:rPr>
              <w:t>If skin or hair contact occurs, remove contaminated clothing and flush skin and hair with running water.</w:t>
            </w:r>
          </w:p>
        </w:tc>
      </w:tr>
    </w:tbl>
    <w:p w14:paraId="29D10179" w14:textId="77777777" w:rsidR="007A0C0C" w:rsidRPr="004706D3" w:rsidRDefault="007A0C0C" w:rsidP="004706D3">
      <w:pPr>
        <w:spacing w:before="120" w:line="240" w:lineRule="auto"/>
        <w:ind w:left="272"/>
        <w:textAlignment w:val="baseline"/>
        <w:rPr>
          <w:rFonts w:eastAsia="Calibri" w:cs="Arial"/>
          <w:b/>
          <w:bCs/>
        </w:rPr>
      </w:pPr>
      <w:r w:rsidRPr="004706D3">
        <w:rPr>
          <w:rFonts w:eastAsia="Calibri" w:cs="Arial"/>
          <w:b/>
          <w:bCs/>
        </w:rPr>
        <w:t>Appendix E, clause 3 – delete entry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5340"/>
        <w:gridCol w:w="2295"/>
      </w:tblGrid>
      <w:tr w:rsidR="007A0C0C" w:rsidRPr="007A0C0C" w14:paraId="70BBF952" w14:textId="77777777" w:rsidTr="00A15E66">
        <w:trPr>
          <w:trHeight w:val="300"/>
        </w:trPr>
        <w:tc>
          <w:tcPr>
            <w:tcW w:w="8610" w:type="dxa"/>
            <w:gridSpan w:val="3"/>
            <w:tcBorders>
              <w:top w:val="single" w:sz="12" w:space="0" w:color="auto"/>
              <w:left w:val="nil"/>
              <w:bottom w:val="single" w:sz="6" w:space="0" w:color="auto"/>
              <w:right w:val="nil"/>
            </w:tcBorders>
            <w:hideMark/>
          </w:tcPr>
          <w:p w14:paraId="52325A38" w14:textId="77777777" w:rsidR="007A0C0C" w:rsidRPr="007A0C0C" w:rsidRDefault="007A0C0C" w:rsidP="007A0C0C">
            <w:pPr>
              <w:rPr>
                <w:b/>
                <w:bCs/>
                <w:color w:val="auto"/>
                <w:szCs w:val="20"/>
              </w:rPr>
            </w:pPr>
            <w:r w:rsidRPr="007A0C0C">
              <w:rPr>
                <w:b/>
                <w:bCs/>
                <w:color w:val="auto"/>
                <w:szCs w:val="20"/>
              </w:rPr>
              <w:t>Poisons that must be labelled with first aid instructions </w:t>
            </w:r>
          </w:p>
        </w:tc>
      </w:tr>
      <w:tr w:rsidR="007A0C0C" w:rsidRPr="007A0C0C" w14:paraId="756FD0F4" w14:textId="77777777" w:rsidTr="00A15E66">
        <w:trPr>
          <w:trHeight w:val="300"/>
        </w:trPr>
        <w:tc>
          <w:tcPr>
            <w:tcW w:w="975" w:type="dxa"/>
            <w:tcBorders>
              <w:top w:val="single" w:sz="6" w:space="0" w:color="auto"/>
              <w:left w:val="nil"/>
              <w:bottom w:val="single" w:sz="12" w:space="0" w:color="auto"/>
              <w:right w:val="nil"/>
            </w:tcBorders>
            <w:hideMark/>
          </w:tcPr>
          <w:p w14:paraId="7658BCF7" w14:textId="77777777" w:rsidR="007A0C0C" w:rsidRPr="007A0C0C" w:rsidRDefault="007A0C0C" w:rsidP="007A0C0C">
            <w:pPr>
              <w:rPr>
                <w:b/>
                <w:bCs/>
                <w:color w:val="auto"/>
                <w:szCs w:val="20"/>
              </w:rPr>
            </w:pPr>
            <w:r w:rsidRPr="007A0C0C">
              <w:rPr>
                <w:b/>
                <w:bCs/>
                <w:color w:val="auto"/>
                <w:szCs w:val="20"/>
              </w:rPr>
              <w:t>Item </w:t>
            </w:r>
          </w:p>
        </w:tc>
        <w:tc>
          <w:tcPr>
            <w:tcW w:w="5340" w:type="dxa"/>
            <w:tcBorders>
              <w:top w:val="nil"/>
              <w:left w:val="nil"/>
              <w:bottom w:val="single" w:sz="12" w:space="0" w:color="auto"/>
              <w:right w:val="nil"/>
            </w:tcBorders>
            <w:hideMark/>
          </w:tcPr>
          <w:p w14:paraId="45564B70" w14:textId="77777777" w:rsidR="007A0C0C" w:rsidRPr="007A0C0C" w:rsidRDefault="007A0C0C" w:rsidP="007A0C0C">
            <w:pPr>
              <w:rPr>
                <w:b/>
                <w:bCs/>
                <w:color w:val="auto"/>
                <w:szCs w:val="20"/>
              </w:rPr>
            </w:pPr>
            <w:r w:rsidRPr="007A0C0C">
              <w:rPr>
                <w:b/>
                <w:bCs/>
                <w:color w:val="auto"/>
                <w:szCs w:val="20"/>
              </w:rPr>
              <w:t>Column 1 </w:t>
            </w:r>
            <w:r w:rsidRPr="007A0C0C">
              <w:rPr>
                <w:b/>
                <w:bCs/>
                <w:color w:val="auto"/>
                <w:szCs w:val="20"/>
              </w:rPr>
              <w:br/>
              <w:t>Poison </w:t>
            </w:r>
          </w:p>
        </w:tc>
        <w:tc>
          <w:tcPr>
            <w:tcW w:w="2295" w:type="dxa"/>
            <w:tcBorders>
              <w:top w:val="nil"/>
              <w:left w:val="nil"/>
              <w:bottom w:val="single" w:sz="12" w:space="0" w:color="auto"/>
              <w:right w:val="nil"/>
            </w:tcBorders>
            <w:hideMark/>
          </w:tcPr>
          <w:p w14:paraId="1A98DD55" w14:textId="77777777" w:rsidR="007A0C0C" w:rsidRPr="007A0C0C" w:rsidRDefault="007A0C0C" w:rsidP="007A0C0C">
            <w:pPr>
              <w:rPr>
                <w:b/>
                <w:bCs/>
                <w:color w:val="auto"/>
                <w:szCs w:val="20"/>
              </w:rPr>
            </w:pPr>
            <w:r w:rsidRPr="007A0C0C">
              <w:rPr>
                <w:b/>
                <w:bCs/>
                <w:color w:val="auto"/>
                <w:szCs w:val="20"/>
              </w:rPr>
              <w:t>Column 2 </w:t>
            </w:r>
            <w:r w:rsidRPr="007A0C0C">
              <w:rPr>
                <w:b/>
                <w:bCs/>
                <w:color w:val="auto"/>
                <w:szCs w:val="20"/>
              </w:rPr>
              <w:br/>
              <w:t>Statement code </w:t>
            </w:r>
          </w:p>
        </w:tc>
      </w:tr>
      <w:tr w:rsidR="007A0C0C" w:rsidRPr="007A0C0C" w14:paraId="6B2DAA1D" w14:textId="77777777" w:rsidTr="00A15E66">
        <w:trPr>
          <w:trHeight w:val="300"/>
        </w:trPr>
        <w:tc>
          <w:tcPr>
            <w:tcW w:w="975" w:type="dxa"/>
            <w:tcBorders>
              <w:top w:val="single" w:sz="12" w:space="0" w:color="auto"/>
              <w:left w:val="nil"/>
              <w:bottom w:val="single" w:sz="6" w:space="0" w:color="auto"/>
              <w:right w:val="nil"/>
            </w:tcBorders>
            <w:hideMark/>
          </w:tcPr>
          <w:p w14:paraId="5DB020FE" w14:textId="77777777" w:rsidR="007A0C0C" w:rsidRPr="007A0C0C" w:rsidRDefault="007A0C0C" w:rsidP="007A0C0C">
            <w:pPr>
              <w:rPr>
                <w:strike/>
                <w:color w:val="FF0000"/>
                <w:szCs w:val="20"/>
              </w:rPr>
            </w:pPr>
            <w:r w:rsidRPr="007A0C0C">
              <w:rPr>
                <w:strike/>
                <w:color w:val="FF0000"/>
                <w:szCs w:val="20"/>
              </w:rPr>
              <w:t>297 </w:t>
            </w:r>
          </w:p>
        </w:tc>
        <w:tc>
          <w:tcPr>
            <w:tcW w:w="5340" w:type="dxa"/>
            <w:tcBorders>
              <w:top w:val="single" w:sz="12" w:space="0" w:color="auto"/>
              <w:left w:val="nil"/>
              <w:bottom w:val="single" w:sz="6" w:space="0" w:color="auto"/>
              <w:right w:val="nil"/>
            </w:tcBorders>
            <w:hideMark/>
          </w:tcPr>
          <w:p w14:paraId="48EE8FF5" w14:textId="77777777" w:rsidR="007A0C0C" w:rsidRPr="007A0C0C" w:rsidRDefault="007A0C0C" w:rsidP="007A0C0C">
            <w:pPr>
              <w:rPr>
                <w:strike/>
                <w:color w:val="FF0000"/>
                <w:szCs w:val="20"/>
              </w:rPr>
            </w:pPr>
            <w:r w:rsidRPr="007A0C0C">
              <w:rPr>
                <w:strike/>
                <w:color w:val="FF0000"/>
                <w:szCs w:val="20"/>
              </w:rPr>
              <w:t xml:space="preserve">LAURYL </w:t>
            </w:r>
            <w:proofErr w:type="spellStart"/>
            <w:r w:rsidRPr="007A0C0C">
              <w:rPr>
                <w:strike/>
                <w:color w:val="FF0000"/>
                <w:szCs w:val="20"/>
              </w:rPr>
              <w:t>SULFATE</w:t>
            </w:r>
            <w:proofErr w:type="spellEnd"/>
            <w:r w:rsidRPr="007A0C0C">
              <w:rPr>
                <w:strike/>
                <w:color w:val="FF0000"/>
                <w:szCs w:val="20"/>
              </w:rPr>
              <w:t xml:space="preserve"> SALTS—leave-on or wash-off preparations above 5% </w:t>
            </w:r>
          </w:p>
        </w:tc>
        <w:tc>
          <w:tcPr>
            <w:tcW w:w="2295" w:type="dxa"/>
            <w:tcBorders>
              <w:top w:val="single" w:sz="12" w:space="0" w:color="auto"/>
              <w:left w:val="nil"/>
              <w:bottom w:val="single" w:sz="6" w:space="0" w:color="auto"/>
              <w:right w:val="nil"/>
            </w:tcBorders>
            <w:hideMark/>
          </w:tcPr>
          <w:p w14:paraId="03158220" w14:textId="77777777" w:rsidR="007A0C0C" w:rsidRPr="007A0C0C" w:rsidRDefault="007A0C0C" w:rsidP="007A0C0C">
            <w:pPr>
              <w:rPr>
                <w:strike/>
                <w:color w:val="FF0000"/>
                <w:szCs w:val="20"/>
              </w:rPr>
            </w:pPr>
            <w:proofErr w:type="spellStart"/>
            <w:r w:rsidRPr="007A0C0C">
              <w:rPr>
                <w:strike/>
                <w:color w:val="FF0000"/>
                <w:szCs w:val="20"/>
              </w:rPr>
              <w:t>E1</w:t>
            </w:r>
            <w:proofErr w:type="spellEnd"/>
            <w:r w:rsidRPr="007A0C0C">
              <w:rPr>
                <w:strike/>
                <w:color w:val="FF0000"/>
                <w:szCs w:val="20"/>
              </w:rPr>
              <w:t> </w:t>
            </w:r>
          </w:p>
        </w:tc>
      </w:tr>
      <w:tr w:rsidR="007A0C0C" w:rsidRPr="007A0C0C" w14:paraId="25710774" w14:textId="77777777" w:rsidTr="00A15E66">
        <w:trPr>
          <w:trHeight w:val="300"/>
        </w:trPr>
        <w:tc>
          <w:tcPr>
            <w:tcW w:w="975" w:type="dxa"/>
            <w:tcBorders>
              <w:top w:val="single" w:sz="6" w:space="0" w:color="auto"/>
              <w:left w:val="nil"/>
              <w:bottom w:val="single" w:sz="6" w:space="0" w:color="auto"/>
              <w:right w:val="nil"/>
            </w:tcBorders>
            <w:hideMark/>
          </w:tcPr>
          <w:p w14:paraId="51E405FC" w14:textId="77777777" w:rsidR="007A0C0C" w:rsidRPr="007A0C0C" w:rsidRDefault="007A0C0C" w:rsidP="007A0C0C">
            <w:pPr>
              <w:rPr>
                <w:strike/>
                <w:color w:val="FF0000"/>
                <w:szCs w:val="20"/>
              </w:rPr>
            </w:pPr>
            <w:r w:rsidRPr="007A0C0C">
              <w:rPr>
                <w:strike/>
                <w:color w:val="FF0000"/>
                <w:szCs w:val="20"/>
              </w:rPr>
              <w:t>298 </w:t>
            </w:r>
          </w:p>
        </w:tc>
        <w:tc>
          <w:tcPr>
            <w:tcW w:w="5340" w:type="dxa"/>
            <w:tcBorders>
              <w:top w:val="single" w:sz="6" w:space="0" w:color="auto"/>
              <w:left w:val="nil"/>
              <w:bottom w:val="single" w:sz="6" w:space="0" w:color="auto"/>
              <w:right w:val="nil"/>
            </w:tcBorders>
            <w:hideMark/>
          </w:tcPr>
          <w:p w14:paraId="33C6713C" w14:textId="77777777" w:rsidR="007A0C0C" w:rsidRPr="007A0C0C" w:rsidRDefault="007A0C0C" w:rsidP="007A0C0C">
            <w:pPr>
              <w:rPr>
                <w:strike/>
                <w:color w:val="FF0000"/>
                <w:szCs w:val="20"/>
              </w:rPr>
            </w:pPr>
            <w:r w:rsidRPr="007A0C0C">
              <w:rPr>
                <w:strike/>
                <w:color w:val="FF0000"/>
                <w:szCs w:val="20"/>
              </w:rPr>
              <w:t xml:space="preserve">LAURYL </w:t>
            </w:r>
            <w:proofErr w:type="spellStart"/>
            <w:r w:rsidRPr="007A0C0C">
              <w:rPr>
                <w:strike/>
                <w:color w:val="FF0000"/>
                <w:szCs w:val="20"/>
              </w:rPr>
              <w:t>SULFATE</w:t>
            </w:r>
            <w:proofErr w:type="spellEnd"/>
            <w:r w:rsidRPr="007A0C0C">
              <w:rPr>
                <w:strike/>
                <w:color w:val="FF0000"/>
                <w:szCs w:val="20"/>
              </w:rPr>
              <w:t xml:space="preserve"> SALTS—other preparations above 5% </w:t>
            </w:r>
          </w:p>
        </w:tc>
        <w:tc>
          <w:tcPr>
            <w:tcW w:w="2295" w:type="dxa"/>
            <w:tcBorders>
              <w:top w:val="single" w:sz="6" w:space="0" w:color="auto"/>
              <w:left w:val="nil"/>
              <w:bottom w:val="single" w:sz="6" w:space="0" w:color="auto"/>
              <w:right w:val="nil"/>
            </w:tcBorders>
            <w:hideMark/>
          </w:tcPr>
          <w:p w14:paraId="5EF2D8B9" w14:textId="77777777" w:rsidR="007A0C0C" w:rsidRPr="007A0C0C" w:rsidRDefault="007A0C0C" w:rsidP="007A0C0C">
            <w:pPr>
              <w:rPr>
                <w:strike/>
                <w:color w:val="FF0000"/>
                <w:szCs w:val="20"/>
              </w:rPr>
            </w:pPr>
            <w:proofErr w:type="spellStart"/>
            <w:r w:rsidRPr="007A0C0C">
              <w:rPr>
                <w:strike/>
                <w:color w:val="FF0000"/>
                <w:szCs w:val="20"/>
              </w:rPr>
              <w:t>E1</w:t>
            </w:r>
            <w:proofErr w:type="spellEnd"/>
            <w:r w:rsidRPr="007A0C0C">
              <w:rPr>
                <w:strike/>
                <w:color w:val="FF0000"/>
                <w:szCs w:val="20"/>
              </w:rPr>
              <w:t xml:space="preserve">, </w:t>
            </w:r>
            <w:proofErr w:type="spellStart"/>
            <w:r w:rsidRPr="007A0C0C">
              <w:rPr>
                <w:strike/>
                <w:color w:val="FF0000"/>
                <w:szCs w:val="20"/>
              </w:rPr>
              <w:t>S1</w:t>
            </w:r>
            <w:proofErr w:type="spellEnd"/>
            <w:r w:rsidRPr="007A0C0C">
              <w:rPr>
                <w:strike/>
                <w:color w:val="FF0000"/>
                <w:szCs w:val="20"/>
              </w:rPr>
              <w:t> </w:t>
            </w:r>
          </w:p>
        </w:tc>
      </w:tr>
    </w:tbl>
    <w:p w14:paraId="7D7E3A8A" w14:textId="77777777" w:rsidR="007A0C0C" w:rsidRPr="004706D3" w:rsidRDefault="007A0C0C" w:rsidP="004706D3">
      <w:pPr>
        <w:spacing w:before="120" w:line="240" w:lineRule="auto"/>
        <w:ind w:left="272"/>
        <w:textAlignment w:val="baseline"/>
        <w:rPr>
          <w:rFonts w:eastAsia="Calibri" w:cs="Arial"/>
          <w:b/>
          <w:bCs/>
        </w:rPr>
      </w:pPr>
      <w:r w:rsidRPr="004706D3">
        <w:rPr>
          <w:rFonts w:eastAsia="Calibri" w:cs="Arial"/>
          <w:b/>
          <w:bCs/>
        </w:rPr>
        <w:t>Index</w:t>
      </w:r>
    </w:p>
    <w:p w14:paraId="6E98C92D" w14:textId="77777777" w:rsidR="007A0C0C" w:rsidRPr="007A0C0C" w:rsidRDefault="007A0C0C" w:rsidP="007A0C0C">
      <w:pPr>
        <w:ind w:firstLine="567"/>
        <w:rPr>
          <w:b/>
          <w:bCs/>
          <w:strike/>
          <w:color w:val="FF0000"/>
          <w:szCs w:val="20"/>
        </w:rPr>
      </w:pPr>
      <w:r w:rsidRPr="007A0C0C">
        <w:rPr>
          <w:b/>
          <w:bCs/>
          <w:strike/>
          <w:color w:val="FF0000"/>
          <w:szCs w:val="20"/>
        </w:rPr>
        <w:t xml:space="preserve">LAURYL </w:t>
      </w:r>
      <w:proofErr w:type="spellStart"/>
      <w:r w:rsidRPr="007A0C0C">
        <w:rPr>
          <w:b/>
          <w:bCs/>
          <w:strike/>
          <w:color w:val="FF0000"/>
          <w:szCs w:val="20"/>
        </w:rPr>
        <w:t>SULFATE</w:t>
      </w:r>
      <w:proofErr w:type="spellEnd"/>
      <w:r w:rsidRPr="007A0C0C">
        <w:rPr>
          <w:b/>
          <w:bCs/>
          <w:strike/>
          <w:color w:val="FF0000"/>
          <w:szCs w:val="20"/>
        </w:rPr>
        <w:t xml:space="preserve"> SALTS </w:t>
      </w:r>
    </w:p>
    <w:p w14:paraId="766AA5BA" w14:textId="77777777" w:rsidR="007A0C0C" w:rsidRPr="007A0C0C" w:rsidRDefault="007A0C0C" w:rsidP="007A0C0C">
      <w:pPr>
        <w:ind w:firstLine="567"/>
        <w:rPr>
          <w:strike/>
          <w:color w:val="FF0000"/>
          <w:szCs w:val="20"/>
        </w:rPr>
      </w:pPr>
      <w:r w:rsidRPr="007A0C0C">
        <w:rPr>
          <w:strike/>
          <w:color w:val="FF0000"/>
          <w:szCs w:val="20"/>
        </w:rPr>
        <w:t xml:space="preserve">cross reference: SODIUM LAURYL SULPHATE, DODECYL </w:t>
      </w:r>
      <w:proofErr w:type="spellStart"/>
      <w:r w:rsidRPr="007A0C0C">
        <w:rPr>
          <w:strike/>
          <w:color w:val="FF0000"/>
          <w:szCs w:val="20"/>
        </w:rPr>
        <w:t>SULFATES</w:t>
      </w:r>
      <w:proofErr w:type="spellEnd"/>
      <w:r w:rsidRPr="007A0C0C">
        <w:rPr>
          <w:strike/>
          <w:color w:val="FF0000"/>
          <w:szCs w:val="20"/>
        </w:rPr>
        <w:t> </w:t>
      </w:r>
    </w:p>
    <w:p w14:paraId="7464BD70" w14:textId="77777777" w:rsidR="007A0C0C" w:rsidRPr="007A0C0C" w:rsidRDefault="007A0C0C" w:rsidP="007A0C0C">
      <w:pPr>
        <w:ind w:firstLine="567"/>
        <w:rPr>
          <w:strike/>
          <w:color w:val="FF0000"/>
          <w:szCs w:val="20"/>
        </w:rPr>
      </w:pPr>
      <w:r w:rsidRPr="007A0C0C">
        <w:rPr>
          <w:strike/>
          <w:color w:val="FF0000"/>
          <w:szCs w:val="20"/>
        </w:rPr>
        <w:t>Schedule 6 </w:t>
      </w:r>
    </w:p>
    <w:p w14:paraId="57C46F0B" w14:textId="6CBF0478" w:rsidR="007A0C0C" w:rsidRPr="007A0C0C" w:rsidRDefault="007A0C0C" w:rsidP="007A0C0C">
      <w:pPr>
        <w:ind w:firstLine="567"/>
        <w:rPr>
          <w:b/>
          <w:bCs/>
          <w:color w:val="auto"/>
          <w:szCs w:val="20"/>
        </w:rPr>
      </w:pPr>
      <w:r w:rsidRPr="007A0C0C">
        <w:rPr>
          <w:strike/>
          <w:color w:val="FF0000"/>
          <w:szCs w:val="20"/>
        </w:rPr>
        <w:t>Appendix E, clause 3</w:t>
      </w:r>
    </w:p>
    <w:p w14:paraId="25E4CE7E" w14:textId="77777777" w:rsidR="007A0C0C" w:rsidRPr="007A0C0C" w:rsidRDefault="007A0C0C" w:rsidP="007A0C0C">
      <w:pPr>
        <w:ind w:firstLine="567"/>
        <w:rPr>
          <w:b/>
          <w:bCs/>
          <w:color w:val="00B050"/>
          <w:szCs w:val="20"/>
          <w:u w:val="single"/>
        </w:rPr>
      </w:pPr>
      <w:r w:rsidRPr="007A0C0C">
        <w:rPr>
          <w:b/>
          <w:bCs/>
          <w:color w:val="00B050"/>
          <w:szCs w:val="20"/>
          <w:u w:val="single"/>
        </w:rPr>
        <w:t>MEDIUM AND LONG CHAIN (</w:t>
      </w:r>
      <w:proofErr w:type="spellStart"/>
      <w:r w:rsidRPr="007A0C0C">
        <w:rPr>
          <w:b/>
          <w:bCs/>
          <w:color w:val="00B050"/>
          <w:szCs w:val="20"/>
          <w:u w:val="single"/>
        </w:rPr>
        <w:t>C6</w:t>
      </w:r>
      <w:proofErr w:type="spellEnd"/>
      <w:r w:rsidRPr="007A0C0C">
        <w:rPr>
          <w:rFonts w:cs="Arial"/>
          <w:b/>
          <w:bCs/>
          <w:color w:val="00B050"/>
          <w:szCs w:val="20"/>
          <w:u w:val="single"/>
        </w:rPr>
        <w:t>–</w:t>
      </w:r>
      <w:r w:rsidRPr="007A0C0C">
        <w:rPr>
          <w:b/>
          <w:bCs/>
          <w:color w:val="00B050"/>
          <w:szCs w:val="20"/>
          <w:u w:val="single"/>
        </w:rPr>
        <w:t xml:space="preserve">15) ALKYL </w:t>
      </w:r>
      <w:proofErr w:type="spellStart"/>
      <w:r w:rsidRPr="007A0C0C">
        <w:rPr>
          <w:b/>
          <w:bCs/>
          <w:color w:val="00B050"/>
          <w:szCs w:val="20"/>
          <w:u w:val="single"/>
        </w:rPr>
        <w:t>SULFATES</w:t>
      </w:r>
      <w:proofErr w:type="spellEnd"/>
    </w:p>
    <w:p w14:paraId="55D274EA" w14:textId="77777777" w:rsidR="007A0C0C" w:rsidRPr="007A0C0C" w:rsidRDefault="007A0C0C" w:rsidP="007A0C0C">
      <w:pPr>
        <w:ind w:left="567"/>
        <w:rPr>
          <w:color w:val="auto"/>
          <w:szCs w:val="20"/>
        </w:rPr>
      </w:pPr>
      <w:r w:rsidRPr="007A0C0C">
        <w:rPr>
          <w:color w:val="00B050"/>
          <w:szCs w:val="20"/>
          <w:u w:val="single"/>
        </w:rPr>
        <w:t xml:space="preserve">cross reference: Sulfuric acid, </w:t>
      </w:r>
      <w:proofErr w:type="spellStart"/>
      <w:r w:rsidRPr="007A0C0C">
        <w:rPr>
          <w:color w:val="00B050"/>
          <w:szCs w:val="20"/>
          <w:u w:val="single"/>
        </w:rPr>
        <w:t>monooctyl</w:t>
      </w:r>
      <w:proofErr w:type="spellEnd"/>
      <w:r w:rsidRPr="007A0C0C">
        <w:rPr>
          <w:color w:val="00B050"/>
          <w:szCs w:val="20"/>
          <w:u w:val="single"/>
        </w:rPr>
        <w:t xml:space="preserve"> ester, sodium salt (CAS No. 142-31-4), Sulfuric acid, </w:t>
      </w:r>
      <w:proofErr w:type="spellStart"/>
      <w:r w:rsidRPr="007A0C0C">
        <w:rPr>
          <w:color w:val="00B050"/>
          <w:szCs w:val="20"/>
          <w:u w:val="single"/>
        </w:rPr>
        <w:t>monodecyl</w:t>
      </w:r>
      <w:proofErr w:type="spellEnd"/>
      <w:r w:rsidRPr="007A0C0C">
        <w:rPr>
          <w:color w:val="00B050"/>
          <w:szCs w:val="20"/>
          <w:u w:val="single"/>
        </w:rPr>
        <w:t xml:space="preserve"> ester, sodium salt (CAS No. 142-87-0), 1-</w:t>
      </w:r>
      <w:proofErr w:type="spellStart"/>
      <w:r w:rsidRPr="007A0C0C">
        <w:rPr>
          <w:color w:val="00B050"/>
          <w:szCs w:val="20"/>
          <w:u w:val="single"/>
        </w:rPr>
        <w:t>Tetradecanol</w:t>
      </w:r>
      <w:proofErr w:type="spellEnd"/>
      <w:r w:rsidRPr="007A0C0C">
        <w:rPr>
          <w:color w:val="00B050"/>
          <w:szCs w:val="20"/>
          <w:u w:val="single"/>
        </w:rPr>
        <w:t xml:space="preserve">, hydrogen </w:t>
      </w:r>
      <w:proofErr w:type="spellStart"/>
      <w:r w:rsidRPr="007A0C0C">
        <w:rPr>
          <w:color w:val="00B050"/>
          <w:szCs w:val="20"/>
          <w:u w:val="single"/>
        </w:rPr>
        <w:t>sulfate</w:t>
      </w:r>
      <w:proofErr w:type="spellEnd"/>
      <w:r w:rsidRPr="007A0C0C">
        <w:rPr>
          <w:color w:val="00B050"/>
          <w:szCs w:val="20"/>
          <w:u w:val="single"/>
        </w:rPr>
        <w:t xml:space="preserve">, sodium salt (CAS No. 1191-50-0), Sulfuric acid, </w:t>
      </w:r>
      <w:proofErr w:type="spellStart"/>
      <w:r w:rsidRPr="007A0C0C">
        <w:rPr>
          <w:color w:val="00B050"/>
          <w:szCs w:val="20"/>
          <w:u w:val="single"/>
        </w:rPr>
        <w:t>monohexyl</w:t>
      </w:r>
      <w:proofErr w:type="spellEnd"/>
      <w:r w:rsidRPr="007A0C0C">
        <w:rPr>
          <w:color w:val="00B050"/>
          <w:szCs w:val="20"/>
          <w:u w:val="single"/>
        </w:rPr>
        <w:t xml:space="preserve"> ester, sodium salt (CAS No. 2207-98-9), 1</w:t>
      </w:r>
      <w:r w:rsidRPr="007A0C0C">
        <w:rPr>
          <w:color w:val="00B050"/>
          <w:szCs w:val="20"/>
          <w:u w:val="single"/>
        </w:rPr>
        <w:noBreakHyphen/>
      </w:r>
      <w:proofErr w:type="spellStart"/>
      <w:r w:rsidRPr="007A0C0C">
        <w:rPr>
          <w:color w:val="00B050"/>
          <w:szCs w:val="20"/>
          <w:u w:val="single"/>
        </w:rPr>
        <w:t>Tridecanol</w:t>
      </w:r>
      <w:proofErr w:type="spellEnd"/>
      <w:r w:rsidRPr="007A0C0C">
        <w:rPr>
          <w:color w:val="00B050"/>
          <w:szCs w:val="20"/>
          <w:u w:val="single"/>
        </w:rPr>
        <w:t xml:space="preserve">, hydrogen </w:t>
      </w:r>
      <w:proofErr w:type="spellStart"/>
      <w:r w:rsidRPr="007A0C0C">
        <w:rPr>
          <w:color w:val="00B050"/>
          <w:szCs w:val="20"/>
          <w:u w:val="single"/>
        </w:rPr>
        <w:t>sulfate</w:t>
      </w:r>
      <w:proofErr w:type="spellEnd"/>
      <w:r w:rsidRPr="007A0C0C">
        <w:rPr>
          <w:color w:val="00B050"/>
          <w:szCs w:val="20"/>
          <w:u w:val="single"/>
        </w:rPr>
        <w:t>, sodium salt (CAS No. 3026-63-9), 1-</w:t>
      </w:r>
      <w:proofErr w:type="spellStart"/>
      <w:r w:rsidRPr="007A0C0C">
        <w:rPr>
          <w:color w:val="00B050"/>
          <w:szCs w:val="20"/>
          <w:u w:val="single"/>
        </w:rPr>
        <w:t>Tetradecanol</w:t>
      </w:r>
      <w:proofErr w:type="spellEnd"/>
      <w:r w:rsidRPr="007A0C0C">
        <w:rPr>
          <w:color w:val="00B050"/>
          <w:szCs w:val="20"/>
          <w:u w:val="single"/>
        </w:rPr>
        <w:t xml:space="preserve">, hydrogen </w:t>
      </w:r>
      <w:proofErr w:type="spellStart"/>
      <w:r w:rsidRPr="007A0C0C">
        <w:rPr>
          <w:color w:val="00B050"/>
          <w:szCs w:val="20"/>
          <w:u w:val="single"/>
        </w:rPr>
        <w:t>sulfate</w:t>
      </w:r>
      <w:proofErr w:type="spellEnd"/>
      <w:r w:rsidRPr="007A0C0C">
        <w:rPr>
          <w:color w:val="00B050"/>
          <w:szCs w:val="20"/>
          <w:u w:val="single"/>
        </w:rPr>
        <w:t>, compound with 2,2',2''-</w:t>
      </w:r>
      <w:proofErr w:type="spellStart"/>
      <w:r w:rsidRPr="007A0C0C">
        <w:rPr>
          <w:color w:val="00B050"/>
          <w:szCs w:val="20"/>
          <w:u w:val="single"/>
        </w:rPr>
        <w:t>nitrilotris</w:t>
      </w:r>
      <w:proofErr w:type="spellEnd"/>
      <w:r w:rsidRPr="007A0C0C">
        <w:rPr>
          <w:color w:val="00B050"/>
          <w:szCs w:val="20"/>
          <w:u w:val="single"/>
        </w:rPr>
        <w:t xml:space="preserve">[ethanol] (1:1) (CAS No. 4492-78-8), Sulfuric acid, </w:t>
      </w:r>
      <w:proofErr w:type="spellStart"/>
      <w:r w:rsidRPr="007A0C0C">
        <w:rPr>
          <w:color w:val="00B050"/>
          <w:szCs w:val="20"/>
          <w:u w:val="single"/>
        </w:rPr>
        <w:t>monodecyl</w:t>
      </w:r>
      <w:proofErr w:type="spellEnd"/>
      <w:r w:rsidRPr="007A0C0C">
        <w:rPr>
          <w:color w:val="00B050"/>
          <w:szCs w:val="20"/>
          <w:u w:val="single"/>
        </w:rPr>
        <w:t xml:space="preserve"> ester, ammonium salt (CAS No. 13177-52-1), 1-</w:t>
      </w:r>
      <w:proofErr w:type="spellStart"/>
      <w:r w:rsidRPr="007A0C0C">
        <w:rPr>
          <w:color w:val="00B050"/>
          <w:szCs w:val="20"/>
          <w:u w:val="single"/>
        </w:rPr>
        <w:t>Tetradecanol</w:t>
      </w:r>
      <w:proofErr w:type="spellEnd"/>
      <w:r w:rsidRPr="007A0C0C">
        <w:rPr>
          <w:color w:val="00B050"/>
          <w:szCs w:val="20"/>
          <w:u w:val="single"/>
        </w:rPr>
        <w:t xml:space="preserve">, hydrogen </w:t>
      </w:r>
      <w:proofErr w:type="spellStart"/>
      <w:r w:rsidRPr="007A0C0C">
        <w:rPr>
          <w:color w:val="00B050"/>
          <w:szCs w:val="20"/>
          <w:u w:val="single"/>
        </w:rPr>
        <w:t>sulfate</w:t>
      </w:r>
      <w:proofErr w:type="spellEnd"/>
      <w:r w:rsidRPr="007A0C0C">
        <w:rPr>
          <w:color w:val="00B050"/>
          <w:szCs w:val="20"/>
          <w:u w:val="single"/>
        </w:rPr>
        <w:t xml:space="preserve">, magnesium salt (CAS No. 25446-91-7), Sulfuric acid, </w:t>
      </w:r>
      <w:proofErr w:type="spellStart"/>
      <w:r w:rsidRPr="007A0C0C">
        <w:rPr>
          <w:color w:val="00B050"/>
          <w:szCs w:val="20"/>
          <w:u w:val="single"/>
        </w:rPr>
        <w:t>monoisononyl</w:t>
      </w:r>
      <w:proofErr w:type="spellEnd"/>
      <w:r w:rsidRPr="007A0C0C">
        <w:rPr>
          <w:color w:val="00B050"/>
          <w:szCs w:val="20"/>
          <w:u w:val="single"/>
        </w:rPr>
        <w:t xml:space="preserve"> ester, sodium salt (CAS No. 26856-96-2), Sulfuric acid, </w:t>
      </w:r>
      <w:proofErr w:type="spellStart"/>
      <w:r w:rsidRPr="007A0C0C">
        <w:rPr>
          <w:color w:val="00B050"/>
          <w:szCs w:val="20"/>
          <w:u w:val="single"/>
        </w:rPr>
        <w:t>monooctyl</w:t>
      </w:r>
      <w:proofErr w:type="spellEnd"/>
      <w:r w:rsidRPr="007A0C0C">
        <w:rPr>
          <w:color w:val="00B050"/>
          <w:szCs w:val="20"/>
          <w:u w:val="single"/>
        </w:rPr>
        <w:t xml:space="preserve"> ester, compound with 2,2',2''-</w:t>
      </w:r>
      <w:proofErr w:type="spellStart"/>
      <w:r w:rsidRPr="007A0C0C">
        <w:rPr>
          <w:color w:val="00B050"/>
          <w:szCs w:val="20"/>
          <w:u w:val="single"/>
        </w:rPr>
        <w:t>nitrilotris</w:t>
      </w:r>
      <w:proofErr w:type="spellEnd"/>
      <w:r w:rsidRPr="007A0C0C">
        <w:rPr>
          <w:color w:val="00B050"/>
          <w:szCs w:val="20"/>
          <w:u w:val="single"/>
        </w:rPr>
        <w:t xml:space="preserve">[ethanol] (1:1) (CAS No. 30862-34-1), Sulfuric acid, </w:t>
      </w:r>
      <w:proofErr w:type="spellStart"/>
      <w:r w:rsidRPr="007A0C0C">
        <w:rPr>
          <w:color w:val="00B050"/>
          <w:szCs w:val="20"/>
          <w:u w:val="single"/>
        </w:rPr>
        <w:t>monodecyl</w:t>
      </w:r>
      <w:proofErr w:type="spellEnd"/>
      <w:r w:rsidRPr="007A0C0C">
        <w:rPr>
          <w:color w:val="00B050"/>
          <w:szCs w:val="20"/>
          <w:u w:val="single"/>
        </w:rPr>
        <w:t xml:space="preserve"> ester, compound with 2,2',2''-</w:t>
      </w:r>
      <w:proofErr w:type="spellStart"/>
      <w:r w:rsidRPr="007A0C0C">
        <w:rPr>
          <w:color w:val="00B050"/>
          <w:szCs w:val="20"/>
          <w:u w:val="single"/>
        </w:rPr>
        <w:t>nitrilotris</w:t>
      </w:r>
      <w:proofErr w:type="spellEnd"/>
      <w:r w:rsidRPr="007A0C0C">
        <w:rPr>
          <w:color w:val="00B050"/>
          <w:szCs w:val="20"/>
          <w:u w:val="single"/>
        </w:rPr>
        <w:t>[ethanol] (1:1) (CAS No. 39943-70-9), Sulfuric acid, mono-</w:t>
      </w:r>
      <w:proofErr w:type="spellStart"/>
      <w:r w:rsidRPr="007A0C0C">
        <w:rPr>
          <w:color w:val="00B050"/>
          <w:szCs w:val="20"/>
          <w:u w:val="single"/>
        </w:rPr>
        <w:t>C6</w:t>
      </w:r>
      <w:proofErr w:type="spellEnd"/>
      <w:r w:rsidRPr="007A0C0C">
        <w:rPr>
          <w:color w:val="00B050"/>
          <w:szCs w:val="20"/>
          <w:u w:val="single"/>
        </w:rPr>
        <w:t xml:space="preserve">-10-alkyl esters, ammonium salts  (CAS No. 68187-17-7), </w:t>
      </w:r>
      <w:proofErr w:type="spellStart"/>
      <w:r w:rsidRPr="007A0C0C">
        <w:rPr>
          <w:color w:val="00B050"/>
          <w:szCs w:val="20"/>
          <w:u w:val="single"/>
        </w:rPr>
        <w:t>Isodecanol</w:t>
      </w:r>
      <w:proofErr w:type="spellEnd"/>
      <w:r w:rsidRPr="007A0C0C">
        <w:rPr>
          <w:color w:val="00B050"/>
          <w:szCs w:val="20"/>
          <w:u w:val="single"/>
        </w:rPr>
        <w:t xml:space="preserve">, hydrogen </w:t>
      </w:r>
      <w:proofErr w:type="spellStart"/>
      <w:r w:rsidRPr="007A0C0C">
        <w:rPr>
          <w:color w:val="00B050"/>
          <w:szCs w:val="20"/>
          <w:u w:val="single"/>
        </w:rPr>
        <w:t>sulfate</w:t>
      </w:r>
      <w:proofErr w:type="spellEnd"/>
      <w:r w:rsidRPr="007A0C0C">
        <w:rPr>
          <w:color w:val="00B050"/>
          <w:szCs w:val="20"/>
          <w:u w:val="single"/>
        </w:rPr>
        <w:t>, sodium salt (CAS No. 68299-17-2), Sulfuric acid, mono-</w:t>
      </w:r>
      <w:proofErr w:type="spellStart"/>
      <w:r w:rsidRPr="007A0C0C">
        <w:rPr>
          <w:color w:val="00B050"/>
          <w:szCs w:val="20"/>
          <w:u w:val="single"/>
        </w:rPr>
        <w:t>C12</w:t>
      </w:r>
      <w:proofErr w:type="spellEnd"/>
      <w:r w:rsidRPr="007A0C0C">
        <w:rPr>
          <w:color w:val="00B050"/>
          <w:szCs w:val="20"/>
          <w:u w:val="single"/>
        </w:rPr>
        <w:t>-15-alkyl esters, compounds with triethanolamine (CAS No. 68815-25-8), Sulfuric acid, mono-</w:t>
      </w:r>
      <w:proofErr w:type="spellStart"/>
      <w:r w:rsidRPr="007A0C0C">
        <w:rPr>
          <w:color w:val="00B050"/>
          <w:szCs w:val="20"/>
          <w:u w:val="single"/>
        </w:rPr>
        <w:t>C12</w:t>
      </w:r>
      <w:proofErr w:type="spellEnd"/>
      <w:r w:rsidRPr="007A0C0C">
        <w:rPr>
          <w:color w:val="00B050"/>
          <w:szCs w:val="20"/>
          <w:u w:val="single"/>
        </w:rPr>
        <w:t>-15-alkyl esters, sodium salt (CAS No. 68890-70-0), Sulfuric acid, mono-</w:t>
      </w:r>
      <w:proofErr w:type="spellStart"/>
      <w:r w:rsidRPr="007A0C0C">
        <w:rPr>
          <w:color w:val="00B050"/>
          <w:szCs w:val="20"/>
          <w:u w:val="single"/>
        </w:rPr>
        <w:t>C9</w:t>
      </w:r>
      <w:proofErr w:type="spellEnd"/>
      <w:r w:rsidRPr="007A0C0C">
        <w:rPr>
          <w:color w:val="00B050"/>
          <w:szCs w:val="20"/>
          <w:u w:val="single"/>
        </w:rPr>
        <w:t>-13-alkyl esters, sodium salts (CAS No. 72906-11-7), Sulfuric acid, mono-</w:t>
      </w:r>
      <w:proofErr w:type="spellStart"/>
      <w:r w:rsidRPr="007A0C0C">
        <w:rPr>
          <w:color w:val="00B050"/>
          <w:szCs w:val="20"/>
          <w:u w:val="single"/>
        </w:rPr>
        <w:t>C9</w:t>
      </w:r>
      <w:proofErr w:type="spellEnd"/>
      <w:r w:rsidRPr="007A0C0C">
        <w:rPr>
          <w:color w:val="00B050"/>
          <w:szCs w:val="20"/>
          <w:u w:val="single"/>
        </w:rPr>
        <w:t xml:space="preserve">-11-alkyl esters, </w:t>
      </w:r>
      <w:r w:rsidRPr="007A0C0C">
        <w:rPr>
          <w:color w:val="00B050"/>
          <w:szCs w:val="20"/>
          <w:u w:val="single"/>
        </w:rPr>
        <w:lastRenderedPageBreak/>
        <w:t>sodium salts (CAS No. 84501-49-5), Sulfuric acid, mono-</w:t>
      </w:r>
      <w:proofErr w:type="spellStart"/>
      <w:r w:rsidRPr="007A0C0C">
        <w:rPr>
          <w:color w:val="00B050"/>
          <w:szCs w:val="20"/>
          <w:u w:val="single"/>
        </w:rPr>
        <w:t>C12</w:t>
      </w:r>
      <w:proofErr w:type="spellEnd"/>
      <w:r w:rsidRPr="007A0C0C">
        <w:rPr>
          <w:color w:val="00B050"/>
          <w:szCs w:val="20"/>
          <w:u w:val="single"/>
        </w:rPr>
        <w:t>-14-alkyl esters, sodium salts (CAS No. 85586-07-8), Sulfuric acid, mono-</w:t>
      </w:r>
      <w:proofErr w:type="spellStart"/>
      <w:r w:rsidRPr="007A0C0C">
        <w:rPr>
          <w:color w:val="00B050"/>
          <w:szCs w:val="20"/>
          <w:u w:val="single"/>
        </w:rPr>
        <w:t>C8</w:t>
      </w:r>
      <w:proofErr w:type="spellEnd"/>
      <w:r w:rsidRPr="007A0C0C">
        <w:rPr>
          <w:color w:val="00B050"/>
          <w:szCs w:val="20"/>
          <w:u w:val="single"/>
        </w:rPr>
        <w:t>-14-alkyl esters, compounds with triethanolamine (CAS No. 85665-45-8), Sulfuric acid, mono-</w:t>
      </w:r>
      <w:proofErr w:type="spellStart"/>
      <w:r w:rsidRPr="007A0C0C">
        <w:rPr>
          <w:color w:val="00B050"/>
          <w:szCs w:val="20"/>
          <w:u w:val="single"/>
        </w:rPr>
        <w:t>C12</w:t>
      </w:r>
      <w:proofErr w:type="spellEnd"/>
      <w:r w:rsidRPr="007A0C0C">
        <w:rPr>
          <w:color w:val="00B050"/>
          <w:szCs w:val="20"/>
          <w:u w:val="single"/>
        </w:rPr>
        <w:t xml:space="preserve">-14-alkyl esters, compounds with </w:t>
      </w:r>
      <w:proofErr w:type="spellStart"/>
      <w:r w:rsidRPr="007A0C0C">
        <w:rPr>
          <w:color w:val="00B050"/>
          <w:szCs w:val="20"/>
          <w:u w:val="single"/>
        </w:rPr>
        <w:t>isopropanolamine</w:t>
      </w:r>
      <w:proofErr w:type="spellEnd"/>
      <w:r w:rsidRPr="007A0C0C">
        <w:rPr>
          <w:color w:val="00B050"/>
          <w:szCs w:val="20"/>
          <w:u w:val="single"/>
        </w:rPr>
        <w:t xml:space="preserve"> (CAS No. 85681-66-9), Sulfuric acid, mono-</w:t>
      </w:r>
      <w:proofErr w:type="spellStart"/>
      <w:r w:rsidRPr="007A0C0C">
        <w:rPr>
          <w:color w:val="00B050"/>
          <w:szCs w:val="20"/>
          <w:u w:val="single"/>
        </w:rPr>
        <w:t>C8</w:t>
      </w:r>
      <w:proofErr w:type="spellEnd"/>
      <w:r w:rsidRPr="007A0C0C">
        <w:rPr>
          <w:color w:val="00B050"/>
          <w:szCs w:val="20"/>
          <w:u w:val="single"/>
        </w:rPr>
        <w:t>-14-alkyl esters, ammonium salts (CAS No. 90583-10-1), Sulfuric acid, mono-</w:t>
      </w:r>
      <w:proofErr w:type="spellStart"/>
      <w:r w:rsidRPr="007A0C0C">
        <w:rPr>
          <w:color w:val="00B050"/>
          <w:szCs w:val="20"/>
          <w:u w:val="single"/>
        </w:rPr>
        <w:t>C12</w:t>
      </w:r>
      <w:proofErr w:type="spellEnd"/>
      <w:r w:rsidRPr="007A0C0C">
        <w:rPr>
          <w:color w:val="00B050"/>
          <w:szCs w:val="20"/>
          <w:u w:val="single"/>
        </w:rPr>
        <w:t>-14-alkyl esters, compounds with ethanolamine (CAS No. 90583-16-7), Sulfuric acid, mono-</w:t>
      </w:r>
      <w:proofErr w:type="spellStart"/>
      <w:r w:rsidRPr="007A0C0C">
        <w:rPr>
          <w:color w:val="00B050"/>
          <w:szCs w:val="20"/>
          <w:u w:val="single"/>
        </w:rPr>
        <w:t>C12</w:t>
      </w:r>
      <w:proofErr w:type="spellEnd"/>
      <w:r w:rsidRPr="007A0C0C">
        <w:rPr>
          <w:color w:val="00B050"/>
          <w:szCs w:val="20"/>
          <w:u w:val="single"/>
        </w:rPr>
        <w:t>-14-alkyl esters, compounds with triethanolamine (CAS No. 90583-18-9), Sulfuric acid, mono-</w:t>
      </w:r>
      <w:proofErr w:type="spellStart"/>
      <w:r w:rsidRPr="007A0C0C">
        <w:rPr>
          <w:color w:val="00B050"/>
          <w:szCs w:val="20"/>
          <w:u w:val="single"/>
        </w:rPr>
        <w:t>C12</w:t>
      </w:r>
      <w:proofErr w:type="spellEnd"/>
      <w:r w:rsidRPr="007A0C0C">
        <w:rPr>
          <w:color w:val="00B050"/>
          <w:szCs w:val="20"/>
          <w:u w:val="single"/>
        </w:rPr>
        <w:t>-14-alkyl esters, magnesium salts (CAS No. 90583-23-6), Sulfuric acid, mono-</w:t>
      </w:r>
      <w:proofErr w:type="spellStart"/>
      <w:r w:rsidRPr="007A0C0C">
        <w:rPr>
          <w:color w:val="00B050"/>
          <w:szCs w:val="20"/>
          <w:u w:val="single"/>
        </w:rPr>
        <w:t>C6</w:t>
      </w:r>
      <w:proofErr w:type="spellEnd"/>
      <w:r w:rsidRPr="007A0C0C">
        <w:rPr>
          <w:color w:val="00B050"/>
          <w:szCs w:val="20"/>
          <w:u w:val="single"/>
        </w:rPr>
        <w:t xml:space="preserve">-12-alkyl esters, sodium salts (CAS No. 90583-25-8), sodium lauryl </w:t>
      </w:r>
      <w:proofErr w:type="spellStart"/>
      <w:r w:rsidRPr="007A0C0C">
        <w:rPr>
          <w:color w:val="00B050"/>
          <w:szCs w:val="20"/>
          <w:u w:val="single"/>
        </w:rPr>
        <w:t>sulfate</w:t>
      </w:r>
      <w:proofErr w:type="spellEnd"/>
      <w:r w:rsidRPr="007A0C0C">
        <w:rPr>
          <w:color w:val="00B050"/>
          <w:szCs w:val="20"/>
          <w:u w:val="single"/>
        </w:rPr>
        <w:t xml:space="preserve"> (CAS No. 151-21-3), dodecyl </w:t>
      </w:r>
      <w:proofErr w:type="spellStart"/>
      <w:r w:rsidRPr="007A0C0C">
        <w:rPr>
          <w:color w:val="00B050"/>
          <w:szCs w:val="20"/>
          <w:u w:val="single"/>
        </w:rPr>
        <w:t>sulfate</w:t>
      </w:r>
      <w:proofErr w:type="spellEnd"/>
      <w:r w:rsidRPr="007A0C0C">
        <w:rPr>
          <w:color w:val="00B050"/>
          <w:szCs w:val="20"/>
          <w:u w:val="single"/>
        </w:rPr>
        <w:t xml:space="preserve"> (CAS No. 151-21-3),</w:t>
      </w:r>
      <w:r w:rsidRPr="007A0C0C">
        <w:t xml:space="preserve"> </w:t>
      </w:r>
      <w:r w:rsidRPr="007A0C0C">
        <w:rPr>
          <w:color w:val="00B050"/>
          <w:szCs w:val="20"/>
          <w:u w:val="single"/>
        </w:rPr>
        <w:t xml:space="preserve">sulfuric acid, </w:t>
      </w:r>
      <w:proofErr w:type="spellStart"/>
      <w:r w:rsidRPr="007A0C0C">
        <w:rPr>
          <w:color w:val="00B050"/>
          <w:szCs w:val="20"/>
          <w:u w:val="single"/>
        </w:rPr>
        <w:t>monododecyl</w:t>
      </w:r>
      <w:proofErr w:type="spellEnd"/>
      <w:r w:rsidRPr="007A0C0C">
        <w:rPr>
          <w:color w:val="00B050"/>
          <w:szCs w:val="20"/>
          <w:u w:val="single"/>
        </w:rPr>
        <w:t xml:space="preserve"> ester, compound with 2,2',2''-</w:t>
      </w:r>
      <w:proofErr w:type="spellStart"/>
      <w:r w:rsidRPr="007A0C0C">
        <w:rPr>
          <w:color w:val="00B050"/>
          <w:szCs w:val="20"/>
          <w:u w:val="single"/>
        </w:rPr>
        <w:t>nitrilotris</w:t>
      </w:r>
      <w:proofErr w:type="spellEnd"/>
      <w:r w:rsidRPr="007A0C0C">
        <w:rPr>
          <w:color w:val="00B050"/>
          <w:szCs w:val="20"/>
          <w:u w:val="single"/>
        </w:rPr>
        <w:t xml:space="preserve">[ethanol] (1:1) (CAS No. 139-96-8), sulfuric acid, </w:t>
      </w:r>
      <w:proofErr w:type="spellStart"/>
      <w:r w:rsidRPr="007A0C0C">
        <w:rPr>
          <w:color w:val="00B050"/>
          <w:szCs w:val="20"/>
          <w:u w:val="single"/>
        </w:rPr>
        <w:t>monododecyl</w:t>
      </w:r>
      <w:proofErr w:type="spellEnd"/>
      <w:r w:rsidRPr="007A0C0C">
        <w:rPr>
          <w:color w:val="00B050"/>
          <w:szCs w:val="20"/>
          <w:u w:val="single"/>
        </w:rPr>
        <w:t xml:space="preserve"> ester, compound with 2,2'-</w:t>
      </w:r>
      <w:proofErr w:type="spellStart"/>
      <w:r w:rsidRPr="007A0C0C">
        <w:rPr>
          <w:color w:val="00B050"/>
          <w:szCs w:val="20"/>
          <w:u w:val="single"/>
        </w:rPr>
        <w:t>iminobis</w:t>
      </w:r>
      <w:proofErr w:type="spellEnd"/>
      <w:r w:rsidRPr="007A0C0C">
        <w:rPr>
          <w:color w:val="00B050"/>
          <w:szCs w:val="20"/>
          <w:u w:val="single"/>
        </w:rPr>
        <w:t xml:space="preserve">[ethanol] (1:1) (CAS No. 143-00-0), sulfuric acid, </w:t>
      </w:r>
      <w:proofErr w:type="spellStart"/>
      <w:r w:rsidRPr="007A0C0C">
        <w:rPr>
          <w:color w:val="00B050"/>
          <w:szCs w:val="20"/>
          <w:u w:val="single"/>
        </w:rPr>
        <w:t>monododecyl</w:t>
      </w:r>
      <w:proofErr w:type="spellEnd"/>
      <w:r w:rsidRPr="007A0C0C">
        <w:rPr>
          <w:color w:val="00B050"/>
          <w:szCs w:val="20"/>
          <w:u w:val="single"/>
        </w:rPr>
        <w:t xml:space="preserve"> ester (CAS No. 151-41-7), sulfuric acid, </w:t>
      </w:r>
      <w:proofErr w:type="spellStart"/>
      <w:r w:rsidRPr="007A0C0C">
        <w:rPr>
          <w:color w:val="00B050"/>
          <w:szCs w:val="20"/>
          <w:u w:val="single"/>
        </w:rPr>
        <w:t>monododecyl</w:t>
      </w:r>
      <w:proofErr w:type="spellEnd"/>
      <w:r w:rsidRPr="007A0C0C">
        <w:rPr>
          <w:color w:val="00B050"/>
          <w:szCs w:val="20"/>
          <w:u w:val="single"/>
        </w:rPr>
        <w:t xml:space="preserve"> ester, compound with 2-aminoethanol (1:1) (CAS No. 4722-98-9), sulfuric acid, </w:t>
      </w:r>
      <w:proofErr w:type="spellStart"/>
      <w:r w:rsidRPr="007A0C0C">
        <w:rPr>
          <w:color w:val="00B050"/>
          <w:szCs w:val="20"/>
          <w:u w:val="single"/>
        </w:rPr>
        <w:t>monododecyl</w:t>
      </w:r>
      <w:proofErr w:type="spellEnd"/>
      <w:r w:rsidRPr="007A0C0C">
        <w:rPr>
          <w:color w:val="00B050"/>
          <w:szCs w:val="20"/>
          <w:u w:val="single"/>
        </w:rPr>
        <w:t xml:space="preserve"> ester, compound with 1-amino-2-propanol (1:1) (CAS No. 21142-28-9), sulfuric acid, </w:t>
      </w:r>
      <w:proofErr w:type="spellStart"/>
      <w:r w:rsidRPr="007A0C0C">
        <w:rPr>
          <w:color w:val="00B050"/>
          <w:szCs w:val="20"/>
          <w:u w:val="single"/>
        </w:rPr>
        <w:t>monododecyl</w:t>
      </w:r>
      <w:proofErr w:type="spellEnd"/>
      <w:r w:rsidRPr="007A0C0C">
        <w:rPr>
          <w:color w:val="00B050"/>
          <w:szCs w:val="20"/>
          <w:u w:val="single"/>
        </w:rPr>
        <w:t xml:space="preserve"> ester, compound with 2-(diethylamino) ethanol (1:1) (CAS No. 65104-49-6), sulfuric acid, </w:t>
      </w:r>
      <w:proofErr w:type="spellStart"/>
      <w:r w:rsidRPr="007A0C0C">
        <w:rPr>
          <w:color w:val="00B050"/>
          <w:szCs w:val="20"/>
          <w:u w:val="single"/>
        </w:rPr>
        <w:t>monododecyl</w:t>
      </w:r>
      <w:proofErr w:type="spellEnd"/>
      <w:r w:rsidRPr="007A0C0C">
        <w:rPr>
          <w:color w:val="00B050"/>
          <w:szCs w:val="20"/>
          <w:u w:val="single"/>
        </w:rPr>
        <w:t xml:space="preserve"> ester, compound with 1,1',1''-</w:t>
      </w:r>
      <w:proofErr w:type="spellStart"/>
      <w:r w:rsidRPr="007A0C0C">
        <w:rPr>
          <w:color w:val="00B050"/>
          <w:szCs w:val="20"/>
          <w:u w:val="single"/>
        </w:rPr>
        <w:t>nitrilotris</w:t>
      </w:r>
      <w:proofErr w:type="spellEnd"/>
      <w:r w:rsidRPr="007A0C0C">
        <w:rPr>
          <w:color w:val="00B050"/>
          <w:szCs w:val="20"/>
          <w:u w:val="single"/>
        </w:rPr>
        <w:t>[2-propanol] (CAS No. 66161-60-2).</w:t>
      </w:r>
    </w:p>
    <w:p w14:paraId="05DC173E" w14:textId="77777777" w:rsidR="007A0C0C" w:rsidRPr="007A0C0C" w:rsidRDefault="007A0C0C" w:rsidP="007A0C0C">
      <w:pPr>
        <w:ind w:firstLine="567"/>
        <w:rPr>
          <w:color w:val="00B050"/>
          <w:szCs w:val="20"/>
          <w:u w:val="single"/>
        </w:rPr>
      </w:pPr>
      <w:r w:rsidRPr="007A0C0C">
        <w:rPr>
          <w:color w:val="00B050"/>
          <w:szCs w:val="20"/>
          <w:u w:val="single"/>
        </w:rPr>
        <w:t>Schedule 6</w:t>
      </w:r>
    </w:p>
    <w:p w14:paraId="67745E04" w14:textId="77777777" w:rsidR="007A0C0C" w:rsidRPr="007A0C0C" w:rsidRDefault="007A0C0C" w:rsidP="007A0C0C">
      <w:pPr>
        <w:ind w:firstLine="567"/>
        <w:rPr>
          <w:b/>
          <w:bCs/>
          <w:color w:val="auto"/>
          <w:szCs w:val="20"/>
          <w:u w:val="single"/>
        </w:rPr>
      </w:pPr>
      <w:r w:rsidRPr="007A0C0C">
        <w:rPr>
          <w:color w:val="00B050"/>
          <w:szCs w:val="20"/>
          <w:u w:val="single"/>
        </w:rPr>
        <w:t>Appendix E, clause 3</w:t>
      </w:r>
    </w:p>
    <w:p w14:paraId="7647BE01" w14:textId="77777777" w:rsidR="007A0C0C" w:rsidRPr="004279A6" w:rsidRDefault="007A0C0C" w:rsidP="004279A6">
      <w:pPr>
        <w:pStyle w:val="Heading4"/>
      </w:pPr>
      <w:r w:rsidRPr="004279A6">
        <w:t>Materials considered</w:t>
      </w:r>
    </w:p>
    <w:p w14:paraId="3951248D" w14:textId="77777777" w:rsidR="007A0C0C" w:rsidRPr="007A0C0C" w:rsidRDefault="007A0C0C" w:rsidP="007A0C0C">
      <w:r w:rsidRPr="007A0C0C">
        <w:t>In making this final decision, the Delegate considered the following materials:</w:t>
      </w:r>
    </w:p>
    <w:p w14:paraId="78F3F62F" w14:textId="27C58D5F" w:rsidR="007A0C0C" w:rsidRPr="007A0C0C" w:rsidRDefault="00E25235" w:rsidP="00F26607">
      <w:pPr>
        <w:pStyle w:val="ListBullet"/>
        <w:numPr>
          <w:ilvl w:val="0"/>
          <w:numId w:val="16"/>
        </w:numPr>
      </w:pPr>
      <w:sdt>
        <w:sdtPr>
          <w:id w:val="-463196912"/>
          <w:placeholder>
            <w:docPart w:val="0ED38EC121E5402D991295D7E46EE66A"/>
          </w:placeholder>
        </w:sdtPr>
        <w:sdtEndPr/>
        <w:sdtContent>
          <w:sdt>
            <w:sdtPr>
              <w:id w:val="-1517530968"/>
              <w:placeholder>
                <w:docPart w:val="BA97AD0BCF594CF5864DC28DFDA75B44"/>
              </w:placeholder>
            </w:sdtPr>
            <w:sdtEndPr/>
            <w:sdtContent>
              <w:r w:rsidR="007A0C0C" w:rsidRPr="007A0C0C">
                <w:t>9</w:t>
              </w:r>
              <w:r w:rsidR="00CE7F12" w:rsidRPr="007A0C0C">
                <w:rPr>
                  <w:rFonts w:cs="Arial"/>
                </w:rPr>
                <w:t xml:space="preserve"> public </w:t>
              </w:r>
              <w:hyperlink r:id="rId29">
                <w:r w:rsidR="00CE7F12" w:rsidRPr="007A0C0C">
                  <w:t>submissions</w:t>
                </w:r>
              </w:hyperlink>
              <w:r w:rsidR="007A0C0C" w:rsidRPr="007A0C0C">
                <w:t xml:space="preserve">, with 3 including a written component, received in response to </w:t>
              </w:r>
              <w:hyperlink r:id="rId30" w:history="1">
                <w:r w:rsidR="00CE7F12" w:rsidRPr="00CE7F12">
                  <w:rPr>
                    <w:rStyle w:val="Hyperlink"/>
                  </w:rPr>
                  <w:t>pre-meeting consultation</w:t>
                </w:r>
              </w:hyperlink>
              <w:r w:rsidR="007A0C0C" w:rsidRPr="007A0C0C">
                <w:t xml:space="preserve"> under regulation </w:t>
              </w:r>
              <w:proofErr w:type="spellStart"/>
              <w:r w:rsidR="007A0C0C" w:rsidRPr="007A0C0C">
                <w:t>42ZCZK</w:t>
              </w:r>
              <w:proofErr w:type="spellEnd"/>
              <w:r w:rsidR="007A0C0C" w:rsidRPr="007A0C0C">
                <w:t xml:space="preserve"> of the Regulations</w:t>
              </w:r>
            </w:sdtContent>
          </w:sdt>
        </w:sdtContent>
      </w:sdt>
    </w:p>
    <w:p w14:paraId="4238556C" w14:textId="3FE935C9" w:rsidR="007A0C0C" w:rsidRPr="007A0C0C" w:rsidRDefault="00457567" w:rsidP="00F26607">
      <w:pPr>
        <w:pStyle w:val="ListBullet"/>
        <w:numPr>
          <w:ilvl w:val="0"/>
          <w:numId w:val="16"/>
        </w:numPr>
      </w:pPr>
      <w:r>
        <w:t>t</w:t>
      </w:r>
      <w:sdt>
        <w:sdtPr>
          <w:id w:val="424314929"/>
          <w:placeholder>
            <w:docPart w:val="BFC8D8D342D145B39D203BD5EDCC8641"/>
          </w:placeholder>
        </w:sdtPr>
        <w:sdtEndPr/>
        <w:sdtContent>
          <w:proofErr w:type="gramStart"/>
          <w:r w:rsidR="007A0C0C" w:rsidRPr="007A0C0C">
            <w:t>he</w:t>
          </w:r>
          <w:proofErr w:type="gramEnd"/>
          <w:r w:rsidR="007A0C0C" w:rsidRPr="007A0C0C">
            <w:t xml:space="preserve"> advice received from the 40</w:t>
          </w:r>
          <w:r w:rsidR="007A0C0C" w:rsidRPr="007A0C0C">
            <w:rPr>
              <w:vertAlign w:val="superscript"/>
            </w:rPr>
            <w:t>th</w:t>
          </w:r>
          <w:r w:rsidR="007A0C0C" w:rsidRPr="007A0C0C">
            <w:t xml:space="preserve"> meeting of the Advisory Committee on Chemicals Scheduling</w:t>
          </w:r>
        </w:sdtContent>
      </w:sdt>
      <w:r w:rsidR="007A0C0C" w:rsidRPr="007A0C0C">
        <w:t xml:space="preserve"> (the</w:t>
      </w:r>
      <w:r w:rsidR="007A0C0C" w:rsidRPr="007A0C0C">
        <w:rPr>
          <w:b/>
          <w:bCs/>
        </w:rPr>
        <w:t xml:space="preserve"> Committee</w:t>
      </w:r>
      <w:r w:rsidR="007A0C0C" w:rsidRPr="007A0C0C">
        <w:t>)</w:t>
      </w:r>
    </w:p>
    <w:p w14:paraId="0631DCE4" w14:textId="1FA77D8A" w:rsidR="007A0C0C" w:rsidRPr="007A0C0C" w:rsidRDefault="00457567" w:rsidP="00F26607">
      <w:pPr>
        <w:pStyle w:val="ListBullet"/>
        <w:numPr>
          <w:ilvl w:val="0"/>
          <w:numId w:val="16"/>
        </w:numPr>
        <w:rPr>
          <w:rFonts w:cs="Arial"/>
          <w:szCs w:val="20"/>
        </w:rPr>
      </w:pPr>
      <w:r>
        <w:rPr>
          <w:rFonts w:cs="Arial"/>
          <w:szCs w:val="20"/>
        </w:rPr>
        <w:t>t</w:t>
      </w:r>
      <w:r w:rsidR="007A0C0C" w:rsidRPr="007A0C0C">
        <w:rPr>
          <w:rFonts w:cs="Arial"/>
          <w:szCs w:val="20"/>
        </w:rPr>
        <w:t>he</w:t>
      </w:r>
      <w:r w:rsidR="00CE7F12">
        <w:rPr>
          <w:rFonts w:cs="Arial"/>
          <w:szCs w:val="20"/>
        </w:rPr>
        <w:t xml:space="preserve"> </w:t>
      </w:r>
      <w:hyperlink r:id="rId31" w:history="1">
        <w:r w:rsidR="00CE7F12" w:rsidRPr="00CE7F12">
          <w:rPr>
            <w:rStyle w:val="Hyperlink"/>
            <w:rFonts w:cs="Arial"/>
            <w:szCs w:val="20"/>
          </w:rPr>
          <w:t>interim decision</w:t>
        </w:r>
      </w:hyperlink>
      <w:r w:rsidR="007A0C0C" w:rsidRPr="007A0C0C">
        <w:rPr>
          <w:rFonts w:cs="Arial"/>
          <w:szCs w:val="20"/>
        </w:rPr>
        <w:t xml:space="preserve"> and the materials considered as part of the interim decision, as published on 18 December 2025.</w:t>
      </w:r>
    </w:p>
    <w:p w14:paraId="41F3C356" w14:textId="779BA004" w:rsidR="007A0C0C" w:rsidRPr="007A0C0C" w:rsidRDefault="00457567" w:rsidP="00F26607">
      <w:pPr>
        <w:pStyle w:val="ListBullet"/>
        <w:numPr>
          <w:ilvl w:val="0"/>
          <w:numId w:val="16"/>
        </w:numPr>
        <w:rPr>
          <w:rFonts w:cs="Arial"/>
        </w:rPr>
      </w:pPr>
      <w:r>
        <w:rPr>
          <w:rFonts w:cs="Arial"/>
        </w:rPr>
        <w:t>t</w:t>
      </w:r>
      <w:r w:rsidR="007A0C0C" w:rsidRPr="007A0C0C">
        <w:rPr>
          <w:rFonts w:cs="Arial"/>
        </w:rPr>
        <w:t xml:space="preserve">he 2 public </w:t>
      </w:r>
      <w:hyperlink r:id="rId32">
        <w:r w:rsidR="007A0C0C" w:rsidRPr="007A0C0C">
          <w:t>submissions</w:t>
        </w:r>
      </w:hyperlink>
      <w:r w:rsidR="007A0C0C" w:rsidRPr="007A0C0C">
        <w:t xml:space="preserve">, both of which included a written component, </w:t>
      </w:r>
      <w:r w:rsidR="007A0C0C" w:rsidRPr="007A0C0C">
        <w:rPr>
          <w:rFonts w:cs="Arial"/>
        </w:rPr>
        <w:t>received in response to the</w:t>
      </w:r>
      <w:r w:rsidR="007A0C0C" w:rsidRPr="007A0C0C">
        <w:t xml:space="preserve"> </w:t>
      </w:r>
      <w:hyperlink r:id="rId33" w:history="1">
        <w:r w:rsidR="00CE7F12" w:rsidRPr="00CE7F12">
          <w:rPr>
            <w:rStyle w:val="Hyperlink"/>
          </w:rPr>
          <w:t>public consultation on the interim decision</w:t>
        </w:r>
      </w:hyperlink>
      <w:r w:rsidR="007A0C0C" w:rsidRPr="007A0C0C">
        <w:rPr>
          <w:rFonts w:cs="Arial"/>
        </w:rPr>
        <w:t xml:space="preserve"> under regulation </w:t>
      </w:r>
      <w:proofErr w:type="spellStart"/>
      <w:r w:rsidR="007A0C0C" w:rsidRPr="007A0C0C">
        <w:rPr>
          <w:rFonts w:cs="Arial"/>
        </w:rPr>
        <w:t>42ZCZP</w:t>
      </w:r>
      <w:proofErr w:type="spellEnd"/>
      <w:r w:rsidR="007A0C0C" w:rsidRPr="007A0C0C">
        <w:rPr>
          <w:rFonts w:cs="Arial"/>
        </w:rPr>
        <w:t xml:space="preserve"> of the Regulations.</w:t>
      </w:r>
    </w:p>
    <w:p w14:paraId="3F999009" w14:textId="74D29223" w:rsidR="007A0C0C" w:rsidRPr="007A0C0C" w:rsidRDefault="00CE7F12" w:rsidP="00F26607">
      <w:pPr>
        <w:pStyle w:val="ListBullet"/>
        <w:numPr>
          <w:ilvl w:val="0"/>
          <w:numId w:val="16"/>
        </w:numPr>
      </w:pPr>
      <w:r>
        <w:t>s</w:t>
      </w:r>
      <w:r w:rsidR="007A0C0C" w:rsidRPr="007A0C0C">
        <w:t xml:space="preserve">ubsection </w:t>
      </w:r>
      <w:proofErr w:type="spellStart"/>
      <w:r w:rsidR="007A0C0C" w:rsidRPr="007A0C0C">
        <w:t>52E</w:t>
      </w:r>
      <w:proofErr w:type="spellEnd"/>
      <w:r w:rsidR="007A0C0C" w:rsidRPr="007A0C0C">
        <w:t xml:space="preserve">(1) of </w:t>
      </w:r>
      <w:r w:rsidR="007A0C0C" w:rsidRPr="007A0C0C">
        <w:rPr>
          <w:i/>
        </w:rPr>
        <w:t>the Therapeutic Goods Act 1989</w:t>
      </w:r>
      <w:r w:rsidR="007A0C0C" w:rsidRPr="007A0C0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0137824A" w14:textId="77777777" w:rsidR="007A0C0C" w:rsidRPr="007A0C0C" w:rsidRDefault="007A0C0C" w:rsidP="00F26607">
      <w:pPr>
        <w:pStyle w:val="ListBullet"/>
        <w:numPr>
          <w:ilvl w:val="0"/>
          <w:numId w:val="16"/>
        </w:numPr>
      </w:pPr>
      <w:r w:rsidRPr="007A0C0C">
        <w:t xml:space="preserve">pursuant to paragraph </w:t>
      </w:r>
      <w:proofErr w:type="spellStart"/>
      <w:r w:rsidRPr="007A0C0C">
        <w:t>52E</w:t>
      </w:r>
      <w:proofErr w:type="spellEnd"/>
      <w:r w:rsidRPr="007A0C0C">
        <w:t>(2)(a) of the Act, the SPF, and</w:t>
      </w:r>
    </w:p>
    <w:p w14:paraId="498DFC44" w14:textId="77777777" w:rsidR="007A0C0C" w:rsidRPr="007A0C0C" w:rsidRDefault="007A0C0C" w:rsidP="00F26607">
      <w:pPr>
        <w:pStyle w:val="ListBullet"/>
        <w:numPr>
          <w:ilvl w:val="0"/>
          <w:numId w:val="16"/>
        </w:numPr>
      </w:pPr>
      <w:r w:rsidRPr="007A0C0C">
        <w:t>the Handbook.</w:t>
      </w:r>
    </w:p>
    <w:p w14:paraId="67139D0F" w14:textId="77777777" w:rsidR="007A0C0C" w:rsidRPr="007A0C0C" w:rsidRDefault="007A0C0C" w:rsidP="004279A6">
      <w:pPr>
        <w:pStyle w:val="Heading4"/>
      </w:pPr>
      <w:r w:rsidRPr="007A0C0C">
        <w:t>Reasons for the final decision (including findings on material questions of fact)</w:t>
      </w:r>
    </w:p>
    <w:p w14:paraId="767D4461" w14:textId="69AB2E55" w:rsidR="007A0C0C" w:rsidRPr="007A0C0C" w:rsidRDefault="007A0C0C" w:rsidP="007A0C0C">
      <w:r w:rsidRPr="007A0C0C">
        <w:t>I have made a final decision to confirm my interim decision to create a Schedule 6 and Appendix E entries for medium and long chain (</w:t>
      </w:r>
      <w:proofErr w:type="spellStart"/>
      <w:r w:rsidRPr="007A0C0C">
        <w:t>C6-C15</w:t>
      </w:r>
      <w:proofErr w:type="spellEnd"/>
      <w:r w:rsidRPr="007A0C0C">
        <w:t xml:space="preserve">) alkyl </w:t>
      </w:r>
      <w:proofErr w:type="spellStart"/>
      <w:r w:rsidRPr="007A0C0C">
        <w:t>sulfates</w:t>
      </w:r>
      <w:proofErr w:type="spellEnd"/>
      <w:r w:rsidRPr="007A0C0C">
        <w:t xml:space="preserve"> and to delete the current entries for lauryl </w:t>
      </w:r>
      <w:proofErr w:type="spellStart"/>
      <w:r w:rsidRPr="007A0C0C">
        <w:t>sulfate</w:t>
      </w:r>
      <w:proofErr w:type="spellEnd"/>
      <w:r w:rsidRPr="007A0C0C">
        <w:t xml:space="preserve"> salts. My reasons for making the final decision are those set out in the interim decision. I have also decided to include 7 additional substances in the list of alkyl </w:t>
      </w:r>
      <w:proofErr w:type="spellStart"/>
      <w:r w:rsidRPr="007A0C0C">
        <w:t>sulfates</w:t>
      </w:r>
      <w:proofErr w:type="spellEnd"/>
      <w:r w:rsidRPr="007A0C0C">
        <w:t xml:space="preserve"> cross referenced to the parent entry for medium and long chain (</w:t>
      </w:r>
      <w:proofErr w:type="spellStart"/>
      <w:r w:rsidRPr="007A0C0C">
        <w:t>C6-C15</w:t>
      </w:r>
      <w:proofErr w:type="spellEnd"/>
      <w:r w:rsidRPr="007A0C0C">
        <w:t xml:space="preserve">) alkyl </w:t>
      </w:r>
      <w:proofErr w:type="spellStart"/>
      <w:r w:rsidRPr="007A0C0C">
        <w:t>sulfates</w:t>
      </w:r>
      <w:proofErr w:type="spellEnd"/>
      <w:r w:rsidRPr="007A0C0C">
        <w:t xml:space="preserve"> for reasons detailed below.</w:t>
      </w:r>
    </w:p>
    <w:p w14:paraId="3EB527B6" w14:textId="77777777" w:rsidR="007A0C0C" w:rsidRPr="007A0C0C" w:rsidRDefault="007A0C0C" w:rsidP="007A0C0C">
      <w:r w:rsidRPr="007A0C0C">
        <w:lastRenderedPageBreak/>
        <w:t>In making my final decision, I have considered the material in the interim decision and the 2 submissions received in response to the public consultation on the interim decision.</w:t>
      </w:r>
    </w:p>
    <w:p w14:paraId="46C14F4D" w14:textId="671D72B4" w:rsidR="007A0C0C" w:rsidRPr="007A0C0C" w:rsidRDefault="007A0C0C" w:rsidP="007A0C0C">
      <w:r w:rsidRPr="007A0C0C">
        <w:t xml:space="preserve">Both the submissions opposed the interim decision and provided written justifications. Both considered the broad grouping of the alkyl </w:t>
      </w:r>
      <w:proofErr w:type="spellStart"/>
      <w:r w:rsidRPr="007A0C0C">
        <w:t>sulfates</w:t>
      </w:r>
      <w:proofErr w:type="spellEnd"/>
      <w:r w:rsidRPr="007A0C0C">
        <w:t xml:space="preserve"> outlined in the interim decision to be disproportionate to the risk especially at concentrations typically used in consumer products and would create unnecessary regulatory burden without improving public health outcomes. They were also of the view that the scheduling on alkyl </w:t>
      </w:r>
      <w:proofErr w:type="spellStart"/>
      <w:r w:rsidRPr="007A0C0C">
        <w:t>sulfate</w:t>
      </w:r>
      <w:proofErr w:type="spellEnd"/>
      <w:r w:rsidRPr="007A0C0C">
        <w:t xml:space="preserve"> in isolation is misaligned with the recommendations in the Evaluation Statement and instead suggested a broader, holistic review of surfactants.</w:t>
      </w:r>
    </w:p>
    <w:p w14:paraId="010C232E" w14:textId="46ACDAE1" w:rsidR="007A0C0C" w:rsidRPr="007A0C0C" w:rsidRDefault="007A0C0C" w:rsidP="007A0C0C">
      <w:r w:rsidRPr="007A0C0C">
        <w:t>The Evaluation Statement specifically recommended:</w:t>
      </w:r>
    </w:p>
    <w:p w14:paraId="49AE45E5" w14:textId="77777777" w:rsidR="007A0C0C" w:rsidRPr="007A0C0C" w:rsidRDefault="007A0C0C" w:rsidP="00B05C1F">
      <w:pPr>
        <w:pStyle w:val="ListBullet"/>
      </w:pPr>
      <w:r w:rsidRPr="007A0C0C">
        <w:t xml:space="preserve">a review of the current scheduling of lauryl </w:t>
      </w:r>
      <w:proofErr w:type="spellStart"/>
      <w:r w:rsidRPr="007A0C0C">
        <w:t>sulfate</w:t>
      </w:r>
      <w:proofErr w:type="spellEnd"/>
      <w:r w:rsidRPr="007A0C0C">
        <w:t xml:space="preserve"> salts to more broadly capture alkyl </w:t>
      </w:r>
      <w:proofErr w:type="spellStart"/>
      <w:r w:rsidRPr="007A0C0C">
        <w:t>sulfates</w:t>
      </w:r>
      <w:proofErr w:type="spellEnd"/>
    </w:p>
    <w:p w14:paraId="3DBC4626" w14:textId="77777777" w:rsidR="007A0C0C" w:rsidRPr="007A0C0C" w:rsidRDefault="007A0C0C" w:rsidP="00B05C1F">
      <w:pPr>
        <w:pStyle w:val="ListBullet"/>
      </w:pPr>
      <w:r w:rsidRPr="007A0C0C">
        <w:t xml:space="preserve">a consideration of applying the similar labelling requirements currently in place for lauryl </w:t>
      </w:r>
      <w:proofErr w:type="spellStart"/>
      <w:r w:rsidRPr="007A0C0C">
        <w:t>sulfates</w:t>
      </w:r>
      <w:proofErr w:type="spellEnd"/>
      <w:r w:rsidRPr="007A0C0C">
        <w:t xml:space="preserve"> to alkyl </w:t>
      </w:r>
      <w:proofErr w:type="spellStart"/>
      <w:r w:rsidRPr="007A0C0C">
        <w:t>sulfates</w:t>
      </w:r>
      <w:proofErr w:type="spellEnd"/>
      <w:r w:rsidRPr="007A0C0C">
        <w:t xml:space="preserve"> with chain lengths less than </w:t>
      </w:r>
      <w:proofErr w:type="spellStart"/>
      <w:r w:rsidRPr="007A0C0C">
        <w:t>C16</w:t>
      </w:r>
      <w:proofErr w:type="spellEnd"/>
      <w:r w:rsidRPr="007A0C0C">
        <w:t xml:space="preserve"> to manage the potential risk associated with the use of these chemicals.</w:t>
      </w:r>
    </w:p>
    <w:p w14:paraId="7ADBEA94" w14:textId="59A2C756" w:rsidR="007A0C0C" w:rsidRPr="007A0C0C" w:rsidRDefault="007A0C0C" w:rsidP="007A0C0C">
      <w:r w:rsidRPr="007A0C0C">
        <w:t xml:space="preserve">The Evaluation Statement suggested consideration of the identified use of these chemicals, their potential for eye damage and skin irritation, unscheduled status of </w:t>
      </w:r>
      <w:proofErr w:type="spellStart"/>
      <w:r w:rsidRPr="007A0C0C">
        <w:t>UVCBs</w:t>
      </w:r>
      <w:proofErr w:type="spellEnd"/>
      <w:r w:rsidRPr="007A0C0C">
        <w:t xml:space="preserve"> and contemplation of any risk management measure as part of any broader review of the management of surfactants. My decision to schedule the range of medium and long chain (</w:t>
      </w:r>
      <w:proofErr w:type="spellStart"/>
      <w:r w:rsidRPr="007A0C0C">
        <w:t>C6</w:t>
      </w:r>
      <w:proofErr w:type="spellEnd"/>
      <w:r w:rsidRPr="007A0C0C">
        <w:rPr>
          <w:rFonts w:cs="Arial"/>
        </w:rPr>
        <w:t>–</w:t>
      </w:r>
      <w:proofErr w:type="spellStart"/>
      <w:r w:rsidRPr="007A0C0C">
        <w:t>C15</w:t>
      </w:r>
      <w:proofErr w:type="spellEnd"/>
      <w:r w:rsidRPr="007A0C0C">
        <w:t xml:space="preserve">) alkyl </w:t>
      </w:r>
      <w:proofErr w:type="spellStart"/>
      <w:r w:rsidRPr="007A0C0C">
        <w:t>sulfates</w:t>
      </w:r>
      <w:proofErr w:type="spellEnd"/>
      <w:r w:rsidRPr="007A0C0C">
        <w:t xml:space="preserve"> is based on similar usage patterns and health risks as lauryl </w:t>
      </w:r>
      <w:proofErr w:type="spellStart"/>
      <w:r w:rsidRPr="007A0C0C">
        <w:t>sulfate</w:t>
      </w:r>
      <w:proofErr w:type="spellEnd"/>
      <w:r w:rsidRPr="007A0C0C">
        <w:t xml:space="preserve"> salts and aligns with the recommendations in the Evaluation Statement. Scheduling of medium and long chain (</w:t>
      </w:r>
      <w:proofErr w:type="spellStart"/>
      <w:r w:rsidRPr="007A0C0C">
        <w:t>C6</w:t>
      </w:r>
      <w:proofErr w:type="spellEnd"/>
      <w:r w:rsidRPr="007A0C0C">
        <w:rPr>
          <w:rFonts w:cs="Arial"/>
        </w:rPr>
        <w:t>–</w:t>
      </w:r>
      <w:proofErr w:type="spellStart"/>
      <w:r w:rsidRPr="007A0C0C">
        <w:t>C15</w:t>
      </w:r>
      <w:proofErr w:type="spellEnd"/>
      <w:r w:rsidRPr="007A0C0C">
        <w:t xml:space="preserve">) alkyl </w:t>
      </w:r>
      <w:proofErr w:type="spellStart"/>
      <w:r w:rsidRPr="007A0C0C">
        <w:t>sulfates</w:t>
      </w:r>
      <w:proofErr w:type="spellEnd"/>
      <w:r w:rsidRPr="007A0C0C">
        <w:t xml:space="preserve"> can be reviewed in the context of managing similar risk</w:t>
      </w:r>
      <w:r w:rsidR="000D68D0">
        <w:t>s</w:t>
      </w:r>
      <w:r w:rsidRPr="007A0C0C">
        <w:t xml:space="preserve"> from surfactants, should a broader review of the surfactants be undertaken in future.</w:t>
      </w:r>
    </w:p>
    <w:p w14:paraId="61C33A9B" w14:textId="5C6306C9" w:rsidR="007A0C0C" w:rsidRPr="007A0C0C" w:rsidRDefault="007A0C0C" w:rsidP="007A0C0C">
      <w:r w:rsidRPr="007A0C0C">
        <w:t>Other views raised in the submission regarding compliance burden on industry and consumer awareness of risk and treatments were also raised during the pre-meeting consultation and considered in making the interim decision. I</w:t>
      </w:r>
      <w:r w:rsidR="00A55C43">
        <w:t>n</w:t>
      </w:r>
      <w:r w:rsidRPr="007A0C0C">
        <w:t xml:space="preserve"> </w:t>
      </w:r>
      <w:r w:rsidR="000D68D0">
        <w:t xml:space="preserve">my view, </w:t>
      </w:r>
      <w:r w:rsidRPr="007A0C0C">
        <w:t xml:space="preserve">products containing these alkyl </w:t>
      </w:r>
      <w:proofErr w:type="spellStart"/>
      <w:r w:rsidRPr="007A0C0C">
        <w:t>sulfates</w:t>
      </w:r>
      <w:proofErr w:type="spellEnd"/>
      <w:r w:rsidRPr="007A0C0C">
        <w:t xml:space="preserve">, including </w:t>
      </w:r>
      <w:proofErr w:type="spellStart"/>
      <w:r w:rsidRPr="007A0C0C">
        <w:t>UVCBs</w:t>
      </w:r>
      <w:proofErr w:type="spellEnd"/>
      <w:r w:rsidRPr="007A0C0C">
        <w:t xml:space="preserve"> or varying alkyl chain lengths, at concentrations above these exemptions pose sufficient public health </w:t>
      </w:r>
      <w:r w:rsidRPr="00723BA7">
        <w:t>risk</w:t>
      </w:r>
      <w:r w:rsidRPr="007A0C0C">
        <w:t xml:space="preserve"> to warrant inclusion in Schedule 6.</w:t>
      </w:r>
    </w:p>
    <w:p w14:paraId="19AC3C7B" w14:textId="77777777" w:rsidR="007A0C0C" w:rsidRPr="007A0C0C" w:rsidRDefault="007A0C0C" w:rsidP="007A0C0C">
      <w:r w:rsidRPr="007A0C0C">
        <w:t xml:space="preserve">I have decided to include the 7 alkyl </w:t>
      </w:r>
      <w:proofErr w:type="spellStart"/>
      <w:r w:rsidRPr="007A0C0C">
        <w:t>sulfates</w:t>
      </w:r>
      <w:proofErr w:type="spellEnd"/>
      <w:r w:rsidRPr="007A0C0C">
        <w:t xml:space="preserve"> listed below to the list of substances cross-referenced to the parent entry for medium and long chain (</w:t>
      </w:r>
      <w:proofErr w:type="spellStart"/>
      <w:r w:rsidRPr="007A0C0C">
        <w:t>C6</w:t>
      </w:r>
      <w:proofErr w:type="spellEnd"/>
      <w:r w:rsidRPr="007A0C0C">
        <w:rPr>
          <w:rFonts w:cs="Arial"/>
        </w:rPr>
        <w:t>–</w:t>
      </w:r>
      <w:proofErr w:type="spellStart"/>
      <w:r w:rsidRPr="007A0C0C">
        <w:t>C15</w:t>
      </w:r>
      <w:proofErr w:type="spellEnd"/>
      <w:r w:rsidRPr="007A0C0C">
        <w:t xml:space="preserve">) alkyl </w:t>
      </w:r>
      <w:proofErr w:type="spellStart"/>
      <w:r w:rsidRPr="007A0C0C">
        <w:t>sulfates</w:t>
      </w:r>
      <w:proofErr w:type="spellEnd"/>
      <w:r w:rsidRPr="007A0C0C">
        <w:t>.</w:t>
      </w:r>
    </w:p>
    <w:p w14:paraId="7F98EAEF" w14:textId="77777777" w:rsidR="007A0C0C" w:rsidRPr="007A0C0C" w:rsidRDefault="007A0C0C" w:rsidP="00F26607">
      <w:pPr>
        <w:pStyle w:val="ListBullet"/>
        <w:numPr>
          <w:ilvl w:val="0"/>
          <w:numId w:val="17"/>
        </w:numPr>
      </w:pPr>
      <w:r w:rsidRPr="007A0C0C">
        <w:t xml:space="preserve">Sulfuric acid, </w:t>
      </w:r>
      <w:proofErr w:type="spellStart"/>
      <w:r w:rsidRPr="007A0C0C">
        <w:t>monododecyl</w:t>
      </w:r>
      <w:proofErr w:type="spellEnd"/>
      <w:r w:rsidRPr="007A0C0C">
        <w:t xml:space="preserve"> ester, compound with 2,2',2''-</w:t>
      </w:r>
      <w:proofErr w:type="spellStart"/>
      <w:r w:rsidRPr="007A0C0C">
        <w:t>nitrilotris</w:t>
      </w:r>
      <w:proofErr w:type="spellEnd"/>
      <w:r w:rsidRPr="007A0C0C">
        <w:t>[ethanol] (1:1) (CAS No. 139-96-8)</w:t>
      </w:r>
    </w:p>
    <w:p w14:paraId="2879D221" w14:textId="77777777" w:rsidR="007A0C0C" w:rsidRPr="007A0C0C" w:rsidRDefault="007A0C0C" w:rsidP="00F26607">
      <w:pPr>
        <w:pStyle w:val="ListBullet"/>
        <w:numPr>
          <w:ilvl w:val="0"/>
          <w:numId w:val="17"/>
        </w:numPr>
      </w:pPr>
      <w:r w:rsidRPr="007A0C0C">
        <w:t xml:space="preserve">Sulfuric acid, </w:t>
      </w:r>
      <w:proofErr w:type="spellStart"/>
      <w:r w:rsidRPr="007A0C0C">
        <w:t>monododecyl</w:t>
      </w:r>
      <w:proofErr w:type="spellEnd"/>
      <w:r w:rsidRPr="007A0C0C">
        <w:t xml:space="preserve"> ester, compound with 2,2'-</w:t>
      </w:r>
      <w:proofErr w:type="spellStart"/>
      <w:r w:rsidRPr="007A0C0C">
        <w:t>iminobis</w:t>
      </w:r>
      <w:proofErr w:type="spellEnd"/>
      <w:r w:rsidRPr="007A0C0C">
        <w:t>[ethanol] (1:1) (CAS No. 143-00-0)</w:t>
      </w:r>
    </w:p>
    <w:p w14:paraId="647F06D7" w14:textId="77777777" w:rsidR="007A0C0C" w:rsidRPr="007A0C0C" w:rsidRDefault="007A0C0C" w:rsidP="00F26607">
      <w:pPr>
        <w:pStyle w:val="ListBullet"/>
        <w:numPr>
          <w:ilvl w:val="0"/>
          <w:numId w:val="17"/>
        </w:numPr>
      </w:pPr>
      <w:r w:rsidRPr="007A0C0C">
        <w:t xml:space="preserve">Sulfuric acid, </w:t>
      </w:r>
      <w:proofErr w:type="spellStart"/>
      <w:r w:rsidRPr="007A0C0C">
        <w:t>monododecyl</w:t>
      </w:r>
      <w:proofErr w:type="spellEnd"/>
      <w:r w:rsidRPr="007A0C0C">
        <w:t xml:space="preserve"> ester (CAS No. 151-41-7)</w:t>
      </w:r>
    </w:p>
    <w:p w14:paraId="7836518D" w14:textId="77777777" w:rsidR="007A0C0C" w:rsidRPr="007A0C0C" w:rsidRDefault="007A0C0C" w:rsidP="00F26607">
      <w:pPr>
        <w:pStyle w:val="ListBullet"/>
        <w:numPr>
          <w:ilvl w:val="0"/>
          <w:numId w:val="17"/>
        </w:numPr>
      </w:pPr>
      <w:r w:rsidRPr="007A0C0C">
        <w:t xml:space="preserve">Sulfuric acid, </w:t>
      </w:r>
      <w:proofErr w:type="spellStart"/>
      <w:r w:rsidRPr="007A0C0C">
        <w:t>monododecyl</w:t>
      </w:r>
      <w:proofErr w:type="spellEnd"/>
      <w:r w:rsidRPr="007A0C0C">
        <w:t xml:space="preserve"> ester, compound with 2-aminoethanol (1:1) (CAS No. 4722-98-9)</w:t>
      </w:r>
    </w:p>
    <w:p w14:paraId="56E37A31" w14:textId="77777777" w:rsidR="007A0C0C" w:rsidRPr="007A0C0C" w:rsidRDefault="007A0C0C" w:rsidP="00F26607">
      <w:pPr>
        <w:pStyle w:val="ListBullet"/>
        <w:numPr>
          <w:ilvl w:val="0"/>
          <w:numId w:val="17"/>
        </w:numPr>
      </w:pPr>
      <w:r w:rsidRPr="007A0C0C">
        <w:t xml:space="preserve">Sulfuric acid, </w:t>
      </w:r>
      <w:proofErr w:type="spellStart"/>
      <w:r w:rsidRPr="007A0C0C">
        <w:t>monododecyl</w:t>
      </w:r>
      <w:proofErr w:type="spellEnd"/>
      <w:r w:rsidRPr="007A0C0C">
        <w:t xml:space="preserve"> ester, compound with 1-amino-2-propanol (1:1) (CAS No. 21142-28-9)</w:t>
      </w:r>
    </w:p>
    <w:p w14:paraId="6FD3A043" w14:textId="77777777" w:rsidR="007A0C0C" w:rsidRPr="007A0C0C" w:rsidRDefault="007A0C0C" w:rsidP="00F26607">
      <w:pPr>
        <w:pStyle w:val="ListBullet"/>
        <w:numPr>
          <w:ilvl w:val="0"/>
          <w:numId w:val="17"/>
        </w:numPr>
      </w:pPr>
      <w:r w:rsidRPr="007A0C0C">
        <w:t xml:space="preserve">Sulfuric acid, </w:t>
      </w:r>
      <w:proofErr w:type="spellStart"/>
      <w:r w:rsidRPr="007A0C0C">
        <w:t>monododecyl</w:t>
      </w:r>
      <w:proofErr w:type="spellEnd"/>
      <w:r w:rsidRPr="007A0C0C">
        <w:t xml:space="preserve"> ester, compound with 2-(diethylamino) ethanol (1:1) (CAS No. 65104-49-6)</w:t>
      </w:r>
    </w:p>
    <w:p w14:paraId="24B80AD9" w14:textId="77777777" w:rsidR="007A0C0C" w:rsidRPr="007A0C0C" w:rsidRDefault="007A0C0C" w:rsidP="00F26607">
      <w:pPr>
        <w:pStyle w:val="ListBullet"/>
        <w:numPr>
          <w:ilvl w:val="0"/>
          <w:numId w:val="17"/>
        </w:numPr>
      </w:pPr>
      <w:r w:rsidRPr="007A0C0C">
        <w:t xml:space="preserve">Sulfuric acid, </w:t>
      </w:r>
      <w:proofErr w:type="spellStart"/>
      <w:r w:rsidRPr="007A0C0C">
        <w:t>monododecyl</w:t>
      </w:r>
      <w:proofErr w:type="spellEnd"/>
      <w:r w:rsidRPr="007A0C0C">
        <w:t xml:space="preserve"> ester, compound with 1,1',1''-</w:t>
      </w:r>
      <w:proofErr w:type="spellStart"/>
      <w:r w:rsidRPr="007A0C0C">
        <w:t>nitrilotris</w:t>
      </w:r>
      <w:proofErr w:type="spellEnd"/>
      <w:r w:rsidRPr="007A0C0C">
        <w:t>[2-propanol] (CAS No. 66161-60-2).</w:t>
      </w:r>
    </w:p>
    <w:p w14:paraId="4384FEDF" w14:textId="217A5200" w:rsidR="007A0C0C" w:rsidRPr="007A0C0C" w:rsidRDefault="007A0C0C" w:rsidP="007A0C0C">
      <w:r w:rsidRPr="007A0C0C">
        <w:t xml:space="preserve">These substances were listed in the Evaluation Statement but not included in the interim decision as they can be covered under another cross-referenced substance, dodecyl </w:t>
      </w:r>
      <w:proofErr w:type="spellStart"/>
      <w:r w:rsidRPr="007A0C0C">
        <w:t>sulfate</w:t>
      </w:r>
      <w:proofErr w:type="spellEnd"/>
      <w:r w:rsidRPr="007A0C0C">
        <w:t>. However, upon reflection, I have decided to specifically cross reference these 7 substances for clarity and avoidance of doubt.</w:t>
      </w:r>
    </w:p>
    <w:p w14:paraId="60329B42" w14:textId="77777777" w:rsidR="007A0C0C" w:rsidRPr="007A0C0C" w:rsidRDefault="007A0C0C" w:rsidP="007A0C0C">
      <w:r w:rsidRPr="007A0C0C">
        <w:lastRenderedPageBreak/>
        <w:t xml:space="preserve">Given the substantial number and quantity of consumer products and industrial materials affected by the decision and noting the industry request for an extended implementation period to enable compliance with the amendments, I have decided on an </w:t>
      </w:r>
      <w:r w:rsidRPr="000D68D0">
        <w:t xml:space="preserve">implementation date of </w:t>
      </w:r>
      <w:r w:rsidRPr="008E07F2">
        <w:t>1 October 2027.</w:t>
      </w:r>
    </w:p>
    <w:p w14:paraId="170F759D" w14:textId="77777777" w:rsidR="005A34D9" w:rsidRDefault="007A0C0C" w:rsidP="004279A6">
      <w:pPr>
        <w:pStyle w:val="Heading4"/>
      </w:pPr>
      <w:r w:rsidRPr="007A0C0C">
        <w:t>Implementation date</w:t>
      </w:r>
    </w:p>
    <w:p w14:paraId="5EE91A17" w14:textId="4D967C04" w:rsidR="007A0C0C" w:rsidRPr="007A0C0C" w:rsidRDefault="007A0C0C" w:rsidP="005A34D9">
      <w:r w:rsidRPr="007A0C0C">
        <w:t xml:space="preserve">1 </w:t>
      </w:r>
      <w:r w:rsidR="004D061A">
        <w:t>October 2027</w:t>
      </w:r>
    </w:p>
    <w:p w14:paraId="2218F041" w14:textId="77777777" w:rsidR="009430BD" w:rsidRPr="009430BD" w:rsidRDefault="009430BD" w:rsidP="004279A6">
      <w:pPr>
        <w:pStyle w:val="Heading3"/>
      </w:pPr>
      <w:bookmarkStart w:id="38" w:name="_Toc224040641"/>
      <w:bookmarkStart w:id="39" w:name="_Toc230353663"/>
      <w:r w:rsidRPr="009430BD">
        <w:t>Final decision in relation to sodium hydroxide and potassium hydroxide</w:t>
      </w:r>
      <w:bookmarkEnd w:id="38"/>
      <w:bookmarkEnd w:id="39"/>
    </w:p>
    <w:p w14:paraId="31C5B7F1" w14:textId="77777777" w:rsidR="009430BD" w:rsidRPr="009430BD" w:rsidRDefault="009430BD" w:rsidP="009430BD">
      <w:pPr>
        <w:keepNext/>
        <w:keepLines/>
        <w:spacing w:before="360" w:line="240" w:lineRule="atLeast"/>
        <w:outlineLvl w:val="3"/>
        <w:rPr>
          <w:rFonts w:eastAsia="Cambria" w:cs="Times New Roman"/>
          <w:bCs/>
          <w:color w:val="001871"/>
          <w:sz w:val="28"/>
          <w:szCs w:val="26"/>
        </w:rPr>
      </w:pPr>
      <w:r w:rsidRPr="009430BD">
        <w:rPr>
          <w:rFonts w:eastAsia="Cambria" w:cs="Times New Roman"/>
          <w:bCs/>
          <w:color w:val="001871"/>
          <w:sz w:val="28"/>
          <w:szCs w:val="26"/>
        </w:rPr>
        <w:t>Proposal</w:t>
      </w:r>
    </w:p>
    <w:p w14:paraId="092E7996" w14:textId="77777777" w:rsidR="009430BD" w:rsidRPr="009430BD" w:rsidRDefault="009430BD" w:rsidP="009430BD">
      <w:pPr>
        <w:rPr>
          <w:rFonts w:cs="Arial"/>
          <w:color w:val="auto"/>
          <w:szCs w:val="20"/>
        </w:rPr>
      </w:pPr>
      <w:r w:rsidRPr="009430BD">
        <w:rPr>
          <w:color w:val="auto"/>
          <w:szCs w:val="20"/>
        </w:rPr>
        <w:t xml:space="preserve">The applicant proposed a </w:t>
      </w:r>
      <w:r w:rsidRPr="009430BD">
        <w:rPr>
          <w:rFonts w:cs="Arial"/>
          <w:color w:val="auto"/>
          <w:szCs w:val="20"/>
        </w:rPr>
        <w:t>new Dangerous Poisons (Schedule 7) entry and amendments to the Caution (Schedule 5) and Poisons (Schedule 6) entries for sodium hydroxide and potassium hydroxide. The proposed amendments would classify:</w:t>
      </w:r>
    </w:p>
    <w:p w14:paraId="56FB2B95" w14:textId="77777777" w:rsidR="009430BD" w:rsidRPr="009430BD" w:rsidRDefault="009430BD" w:rsidP="00F26607">
      <w:pPr>
        <w:pStyle w:val="ListBullet"/>
        <w:numPr>
          <w:ilvl w:val="0"/>
          <w:numId w:val="18"/>
        </w:numPr>
      </w:pPr>
      <w:r w:rsidRPr="009430BD">
        <w:t>high concentrations (greater than 5%) and high pH (greater than 12.5) preparations of sodium hydroxide and potassium hydroxide as Dangerous poisons (Schedule 7).</w:t>
      </w:r>
    </w:p>
    <w:p w14:paraId="7CC3E6E4" w14:textId="77777777" w:rsidR="009430BD" w:rsidRPr="009430BD" w:rsidRDefault="009430BD" w:rsidP="00F26607">
      <w:pPr>
        <w:pStyle w:val="ListBullet"/>
        <w:numPr>
          <w:ilvl w:val="0"/>
          <w:numId w:val="18"/>
        </w:numPr>
      </w:pPr>
      <w:r w:rsidRPr="009430BD">
        <w:t>preparations containing 5% or less of these substances and greater than pH 12.5 or preparations containing greater than 5% of these substances with a pH of 12.5 or less as Poisons (Schedule 6)</w:t>
      </w:r>
    </w:p>
    <w:p w14:paraId="027DAB06" w14:textId="77777777" w:rsidR="009430BD" w:rsidRPr="009430BD" w:rsidRDefault="009430BD" w:rsidP="00F26607">
      <w:pPr>
        <w:pStyle w:val="ListBullet"/>
        <w:numPr>
          <w:ilvl w:val="0"/>
          <w:numId w:val="18"/>
        </w:numPr>
      </w:pPr>
      <w:r w:rsidRPr="009430BD">
        <w:t>preparations containing 5% or less of the substances that are greater than pH 11.5, but less than or equal to pH 12.5 as Caution (Schedule 5).</w:t>
      </w:r>
    </w:p>
    <w:p w14:paraId="2A16B1C4" w14:textId="77777777" w:rsidR="009430BD" w:rsidRPr="009430BD" w:rsidRDefault="009430BD" w:rsidP="009430BD">
      <w:pPr>
        <w:rPr>
          <w:rFonts w:cs="Arial"/>
          <w:color w:val="auto"/>
          <w:szCs w:val="20"/>
        </w:rPr>
      </w:pPr>
      <w:r w:rsidRPr="009430BD">
        <w:rPr>
          <w:rFonts w:cs="Arial"/>
          <w:color w:val="auto"/>
          <w:szCs w:val="20"/>
        </w:rPr>
        <w:t>All preparations containing sodium hydroxide or potassium hydroxide in liquid or semi-solid food additive preparations for domestic use, with a pH greater than 11.5, will continue to be considered as Schedule 10 substances.</w:t>
      </w:r>
    </w:p>
    <w:p w14:paraId="43AE629A" w14:textId="77777777" w:rsidR="009430BD" w:rsidRPr="009430BD" w:rsidRDefault="009430BD" w:rsidP="009430BD">
      <w:pPr>
        <w:jc w:val="both"/>
      </w:pPr>
      <w:r w:rsidRPr="009430BD">
        <w:rPr>
          <w:rFonts w:cs="Arial"/>
          <w:color w:val="auto"/>
          <w:szCs w:val="20"/>
        </w:rPr>
        <w:t>The applicant also proposed to create an Appendix J entry for both the substances requiring that Schedule 7 preparations only be supplied to a person who is appropriately authorised or licensed under the law of the jurisdiction where the person will receive the poison.</w:t>
      </w:r>
    </w:p>
    <w:p w14:paraId="140999D8" w14:textId="77777777" w:rsidR="009430BD" w:rsidRPr="009430BD" w:rsidRDefault="009430BD" w:rsidP="009430BD">
      <w:pPr>
        <w:keepNext/>
        <w:keepLines/>
        <w:spacing w:before="360" w:line="240" w:lineRule="atLeast"/>
        <w:outlineLvl w:val="3"/>
        <w:rPr>
          <w:rFonts w:eastAsia="Cambria" w:cs="Times New Roman"/>
          <w:bCs/>
          <w:color w:val="001871"/>
          <w:sz w:val="28"/>
          <w:szCs w:val="26"/>
        </w:rPr>
      </w:pPr>
      <w:r w:rsidRPr="009430BD">
        <w:rPr>
          <w:rFonts w:eastAsia="Cambria" w:cs="Times New Roman"/>
          <w:bCs/>
          <w:color w:val="001871"/>
          <w:sz w:val="28"/>
          <w:szCs w:val="26"/>
        </w:rPr>
        <w:t>Final decision</w:t>
      </w:r>
    </w:p>
    <w:p w14:paraId="4F5FBC86" w14:textId="77777777" w:rsidR="009430BD" w:rsidRPr="009430BD" w:rsidRDefault="009430BD" w:rsidP="009430BD">
      <w:pPr>
        <w:rPr>
          <w:highlight w:val="yellow"/>
        </w:rPr>
      </w:pPr>
      <w:r w:rsidRPr="009430BD">
        <w:t xml:space="preserve">Pursuant to regulation </w:t>
      </w:r>
      <w:proofErr w:type="spellStart"/>
      <w:r w:rsidRPr="009430BD">
        <w:t>42ZCZR</w:t>
      </w:r>
      <w:proofErr w:type="spellEnd"/>
      <w:r w:rsidRPr="009430BD">
        <w:t xml:space="preserve"> of the Regulations, the delegate has decided to confirm the interim decision and not amend the current Poisons Standard in relation to sodium hydroxide and potassium hydroxide.</w:t>
      </w:r>
    </w:p>
    <w:p w14:paraId="26D03E58" w14:textId="77777777" w:rsidR="009430BD" w:rsidRPr="009430BD" w:rsidRDefault="009430BD" w:rsidP="009430BD">
      <w:pPr>
        <w:keepNext/>
        <w:keepLines/>
        <w:spacing w:before="360" w:line="240" w:lineRule="atLeast"/>
        <w:outlineLvl w:val="3"/>
        <w:rPr>
          <w:rFonts w:eastAsia="Cambria" w:cs="Times New Roman"/>
          <w:bCs/>
          <w:color w:val="001871"/>
          <w:sz w:val="28"/>
          <w:szCs w:val="26"/>
        </w:rPr>
      </w:pPr>
      <w:r w:rsidRPr="009430BD">
        <w:rPr>
          <w:rFonts w:eastAsia="Cambria" w:cs="Times New Roman"/>
          <w:bCs/>
          <w:color w:val="001871"/>
          <w:sz w:val="28"/>
          <w:szCs w:val="26"/>
        </w:rPr>
        <w:t>Materials considered</w:t>
      </w:r>
    </w:p>
    <w:p w14:paraId="1DF46B65" w14:textId="77777777" w:rsidR="009430BD" w:rsidRPr="009430BD" w:rsidRDefault="009430BD" w:rsidP="009430BD">
      <w:r w:rsidRPr="009430BD">
        <w:t>In making this final decision, the Delegate considered the following materials:</w:t>
      </w:r>
    </w:p>
    <w:p w14:paraId="44C8C8B9" w14:textId="296DB7A2" w:rsidR="009430BD" w:rsidRPr="009430BD" w:rsidRDefault="00723BA7" w:rsidP="00F26607">
      <w:pPr>
        <w:pStyle w:val="ListBullet"/>
        <w:numPr>
          <w:ilvl w:val="0"/>
          <w:numId w:val="19"/>
        </w:numPr>
      </w:pPr>
      <w:r>
        <w:t>t</w:t>
      </w:r>
      <w:r w:rsidR="009430BD" w:rsidRPr="009430BD">
        <w:t>he</w:t>
      </w:r>
      <w:sdt>
        <w:sdtPr>
          <w:alias w:val="Hyperlink to TGA website"/>
          <w:tag w:val="Hyperlink to TGA website"/>
          <w:id w:val="-1934419110"/>
          <w:placeholder>
            <w:docPart w:val="9A990261E00F4EB5BA2201BFE06249E3"/>
          </w:placeholder>
        </w:sdtPr>
        <w:sdtEndPr/>
        <w:sdtContent>
          <w:r w:rsidR="009430BD" w:rsidRPr="009430BD">
            <w:t xml:space="preserve"> application</w:t>
          </w:r>
        </w:sdtContent>
      </w:sdt>
      <w:r w:rsidR="009430BD" w:rsidRPr="009430BD">
        <w:t xml:space="preserve"> to amend the current Poisons Standard with respect to </w:t>
      </w:r>
      <w:sdt>
        <w:sdtPr>
          <w:id w:val="-2041274307"/>
          <w:placeholder>
            <w:docPart w:val="2D7D4C069B7F4221B3361A99C96DCDDB"/>
          </w:placeholder>
        </w:sdtPr>
        <w:sdtEndPr>
          <w:rPr>
            <w:highlight w:val="yellow"/>
          </w:rPr>
        </w:sdtEndPr>
        <w:sdtContent>
          <w:r w:rsidR="009430BD" w:rsidRPr="009430BD">
            <w:t>sodium hydroxide and potassium hydroxide</w:t>
          </w:r>
        </w:sdtContent>
      </w:sdt>
      <w:r w:rsidR="009430BD" w:rsidRPr="009430BD">
        <w:t xml:space="preserve"> (the </w:t>
      </w:r>
      <w:r w:rsidR="009430BD" w:rsidRPr="009430BD">
        <w:rPr>
          <w:b/>
          <w:bCs/>
        </w:rPr>
        <w:t>Application</w:t>
      </w:r>
      <w:r w:rsidR="009430BD" w:rsidRPr="009430BD">
        <w:t>)</w:t>
      </w:r>
    </w:p>
    <w:p w14:paraId="65C94289" w14:textId="394B706F" w:rsidR="009430BD" w:rsidRPr="009430BD" w:rsidRDefault="00E25235" w:rsidP="00F26607">
      <w:pPr>
        <w:pStyle w:val="ListBullet"/>
        <w:numPr>
          <w:ilvl w:val="0"/>
          <w:numId w:val="19"/>
        </w:numPr>
      </w:pPr>
      <w:sdt>
        <w:sdtPr>
          <w:id w:val="508495618"/>
          <w:placeholder>
            <w:docPart w:val="AD4F7CAC1B3549D291E5A0D2710AF0DE"/>
          </w:placeholder>
        </w:sdtPr>
        <w:sdtEndPr/>
        <w:sdtContent>
          <w:r w:rsidR="009430BD" w:rsidRPr="009430BD">
            <w:t xml:space="preserve">26 </w:t>
          </w:r>
          <w:r w:rsidR="009430BD" w:rsidRPr="00723BA7">
            <w:rPr>
              <w:color w:val="auto"/>
            </w:rPr>
            <w:t>public submissions,</w:t>
          </w:r>
          <w:r w:rsidR="009430BD" w:rsidRPr="009430BD">
            <w:t xml:space="preserve"> with 22 including a written component, received in response to the </w:t>
          </w:r>
          <w:hyperlink r:id="rId34" w:history="1">
            <w:r w:rsidR="00CE7F12" w:rsidRPr="00CE7F12">
              <w:rPr>
                <w:rStyle w:val="Hyperlink"/>
              </w:rPr>
              <w:t>pre-meeting consultation</w:t>
            </w:r>
          </w:hyperlink>
          <w:r w:rsidR="009430BD" w:rsidRPr="009430BD">
            <w:t xml:space="preserve"> under regulation </w:t>
          </w:r>
          <w:proofErr w:type="spellStart"/>
          <w:r w:rsidR="009430BD" w:rsidRPr="009430BD">
            <w:t>42ZCZK</w:t>
          </w:r>
          <w:proofErr w:type="spellEnd"/>
          <w:r w:rsidR="009430BD" w:rsidRPr="009430BD">
            <w:t xml:space="preserve"> of the Regulations</w:t>
          </w:r>
        </w:sdtContent>
      </w:sdt>
      <w:r w:rsidR="009430BD" w:rsidRPr="009430BD">
        <w:t xml:space="preserve"> (the </w:t>
      </w:r>
      <w:r w:rsidR="009430BD" w:rsidRPr="009430BD">
        <w:rPr>
          <w:b/>
          <w:bCs/>
        </w:rPr>
        <w:t>Submissions</w:t>
      </w:r>
      <w:r w:rsidR="009430BD" w:rsidRPr="009430BD">
        <w:t>)</w:t>
      </w:r>
    </w:p>
    <w:p w14:paraId="750A8019" w14:textId="08480223" w:rsidR="009430BD" w:rsidRPr="009430BD" w:rsidRDefault="00E25235" w:rsidP="00F26607">
      <w:pPr>
        <w:pStyle w:val="ListBullet"/>
        <w:numPr>
          <w:ilvl w:val="0"/>
          <w:numId w:val="19"/>
        </w:numPr>
      </w:pPr>
      <w:sdt>
        <w:sdtPr>
          <w:id w:val="319002281"/>
          <w:placeholder>
            <w:docPart w:val="2D7D4C069B7F4221B3361A99C96DCDDB"/>
          </w:placeholder>
        </w:sdtPr>
        <w:sdtEndPr/>
        <w:sdtContent>
          <w:r w:rsidR="00723BA7">
            <w:t>t</w:t>
          </w:r>
          <w:r w:rsidR="009430BD" w:rsidRPr="009430BD">
            <w:t>he advice received from the 40</w:t>
          </w:r>
          <w:r w:rsidR="009430BD" w:rsidRPr="009430BD">
            <w:rPr>
              <w:vertAlign w:val="superscript"/>
            </w:rPr>
            <w:t>th</w:t>
          </w:r>
          <w:r w:rsidR="009430BD" w:rsidRPr="009430BD">
            <w:t xml:space="preserve"> meeting of the Advisory Committee on Chemicals Scheduling</w:t>
          </w:r>
        </w:sdtContent>
      </w:sdt>
      <w:r w:rsidR="009430BD" w:rsidRPr="009430BD">
        <w:t xml:space="preserve"> (the</w:t>
      </w:r>
      <w:r w:rsidR="009430BD" w:rsidRPr="009430BD">
        <w:rPr>
          <w:b/>
          <w:bCs/>
        </w:rPr>
        <w:t xml:space="preserve"> Committee</w:t>
      </w:r>
      <w:r w:rsidR="009430BD" w:rsidRPr="009430BD">
        <w:t>)</w:t>
      </w:r>
    </w:p>
    <w:p w14:paraId="2EE1225D" w14:textId="3E851815" w:rsidR="009430BD" w:rsidRPr="009430BD" w:rsidRDefault="00723BA7" w:rsidP="00F26607">
      <w:pPr>
        <w:pStyle w:val="ListBullet"/>
        <w:numPr>
          <w:ilvl w:val="0"/>
          <w:numId w:val="19"/>
        </w:numPr>
        <w:rPr>
          <w:rFonts w:cs="Arial"/>
          <w:szCs w:val="20"/>
        </w:rPr>
      </w:pPr>
      <w:r>
        <w:rPr>
          <w:rFonts w:cs="Arial"/>
          <w:szCs w:val="20"/>
        </w:rPr>
        <w:lastRenderedPageBreak/>
        <w:t>t</w:t>
      </w:r>
      <w:r w:rsidR="009430BD" w:rsidRPr="009430BD">
        <w:rPr>
          <w:rFonts w:cs="Arial"/>
          <w:szCs w:val="20"/>
        </w:rPr>
        <w:t xml:space="preserve">he </w:t>
      </w:r>
      <w:hyperlink r:id="rId35" w:history="1">
        <w:r w:rsidR="00CE7F12" w:rsidRPr="00CE7F12">
          <w:rPr>
            <w:rStyle w:val="Hyperlink"/>
          </w:rPr>
          <w:t>interim decision</w:t>
        </w:r>
      </w:hyperlink>
      <w:r w:rsidR="009430BD" w:rsidRPr="009430BD">
        <w:rPr>
          <w:rFonts w:cs="Arial"/>
          <w:szCs w:val="20"/>
        </w:rPr>
        <w:t xml:space="preserve"> and the materials considered as part of the interim decision, as published on 18 December 2025.</w:t>
      </w:r>
    </w:p>
    <w:p w14:paraId="0DF01731" w14:textId="5F2FC689" w:rsidR="009430BD" w:rsidRPr="009430BD" w:rsidRDefault="009430BD" w:rsidP="00F26607">
      <w:pPr>
        <w:pStyle w:val="ListBullet"/>
        <w:numPr>
          <w:ilvl w:val="0"/>
          <w:numId w:val="19"/>
        </w:numPr>
        <w:rPr>
          <w:rFonts w:cs="Arial"/>
        </w:rPr>
      </w:pPr>
      <w:r w:rsidRPr="009430BD">
        <w:rPr>
          <w:rFonts w:cs="Arial"/>
        </w:rPr>
        <w:t xml:space="preserve">7 public </w:t>
      </w:r>
      <w:hyperlink r:id="rId36">
        <w:r w:rsidRPr="009430BD">
          <w:t>submissions</w:t>
        </w:r>
      </w:hyperlink>
      <w:r w:rsidRPr="009430BD">
        <w:t xml:space="preserve">, 5 of which included a written component, </w:t>
      </w:r>
      <w:r w:rsidRPr="009430BD">
        <w:rPr>
          <w:rFonts w:cs="Arial"/>
        </w:rPr>
        <w:t>received in response to the</w:t>
      </w:r>
      <w:r w:rsidRPr="009430BD">
        <w:t xml:space="preserve"> </w:t>
      </w:r>
      <w:hyperlink r:id="rId37" w:history="1">
        <w:r w:rsidR="00CE7F12" w:rsidRPr="00CE7F12">
          <w:rPr>
            <w:rStyle w:val="Hyperlink"/>
          </w:rPr>
          <w:t>public consultation on the interim decision</w:t>
        </w:r>
      </w:hyperlink>
      <w:r w:rsidRPr="009430BD">
        <w:rPr>
          <w:rFonts w:cs="Arial"/>
        </w:rPr>
        <w:t xml:space="preserve"> under regulation </w:t>
      </w:r>
      <w:proofErr w:type="spellStart"/>
      <w:r w:rsidRPr="009430BD">
        <w:rPr>
          <w:rFonts w:cs="Arial"/>
        </w:rPr>
        <w:t>42ZCZP</w:t>
      </w:r>
      <w:proofErr w:type="spellEnd"/>
      <w:r w:rsidRPr="009430BD">
        <w:rPr>
          <w:rFonts w:cs="Arial"/>
        </w:rPr>
        <w:t xml:space="preserve"> of the Regulations.</w:t>
      </w:r>
    </w:p>
    <w:p w14:paraId="4EB65844" w14:textId="306AB644" w:rsidR="009430BD" w:rsidRPr="007E6B25" w:rsidRDefault="00723BA7" w:rsidP="00F26607">
      <w:pPr>
        <w:pStyle w:val="ListBullet"/>
        <w:numPr>
          <w:ilvl w:val="0"/>
          <w:numId w:val="19"/>
        </w:numPr>
      </w:pPr>
      <w:r>
        <w:t>s</w:t>
      </w:r>
      <w:r w:rsidR="009430BD" w:rsidRPr="007E6B25">
        <w:t xml:space="preserve">ubsection </w:t>
      </w:r>
      <w:proofErr w:type="spellStart"/>
      <w:r w:rsidR="009430BD" w:rsidRPr="007E6B25">
        <w:t>52E</w:t>
      </w:r>
      <w:proofErr w:type="spellEnd"/>
      <w:r w:rsidR="009430BD" w:rsidRPr="007E6B25">
        <w:t>(1)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4464FBA6" w14:textId="77777777" w:rsidR="009430BD" w:rsidRPr="007E6B25" w:rsidRDefault="009430BD" w:rsidP="00F26607">
      <w:pPr>
        <w:pStyle w:val="ListBullet"/>
        <w:numPr>
          <w:ilvl w:val="0"/>
          <w:numId w:val="19"/>
        </w:numPr>
      </w:pPr>
      <w:r w:rsidRPr="007E6B25">
        <w:t xml:space="preserve">pursuant to paragraph </w:t>
      </w:r>
      <w:proofErr w:type="spellStart"/>
      <w:r w:rsidRPr="007E6B25">
        <w:t>52E</w:t>
      </w:r>
      <w:proofErr w:type="spellEnd"/>
      <w:r w:rsidRPr="007E6B25">
        <w:t>(2)(a) of the Act, the SPF, and</w:t>
      </w:r>
    </w:p>
    <w:p w14:paraId="7116EC10" w14:textId="77777777" w:rsidR="009430BD" w:rsidRPr="007E6B25" w:rsidRDefault="009430BD" w:rsidP="00F26607">
      <w:pPr>
        <w:pStyle w:val="ListBullet"/>
        <w:numPr>
          <w:ilvl w:val="0"/>
          <w:numId w:val="19"/>
        </w:numPr>
      </w:pPr>
      <w:r w:rsidRPr="007E6B25">
        <w:t>the Handbook.</w:t>
      </w:r>
    </w:p>
    <w:p w14:paraId="176B1D13" w14:textId="77777777" w:rsidR="009430BD" w:rsidRPr="00EE07DB" w:rsidRDefault="009430BD" w:rsidP="00EE07DB">
      <w:pPr>
        <w:pStyle w:val="Heading4"/>
      </w:pPr>
      <w:r w:rsidRPr="00EE07DB">
        <w:t>Reasons for the final decision (including findings on material questions of fact)</w:t>
      </w:r>
    </w:p>
    <w:p w14:paraId="03470DBD" w14:textId="62087B57" w:rsidR="009430BD" w:rsidRPr="009430BD" w:rsidRDefault="009430BD" w:rsidP="009430BD">
      <w:r w:rsidRPr="009430BD">
        <w:t>I have made a final decision to confirm my interim decision to not amend the current Poisons Standard with respect to sodium hydroxide and potassium hydroxide. My reasons for making the final decision are those set out in the interim decision.</w:t>
      </w:r>
    </w:p>
    <w:p w14:paraId="57E6C91A" w14:textId="7A7099B6" w:rsidR="009430BD" w:rsidRPr="009430BD" w:rsidRDefault="009430BD" w:rsidP="009430BD">
      <w:r w:rsidRPr="009430BD">
        <w:t>In making my final decision, I have considered the material in the interim decision and the 7 submissions received in response to the public consultation on the interim decision. All the submissions were in favour of the interim decision with 5 providing written justifications. However, none provided any information not considered in making the interim decision. No responses were submitted in opposition or partial support of the interim decision.</w:t>
      </w:r>
    </w:p>
    <w:p w14:paraId="3F9B4082" w14:textId="7D45D4F0" w:rsidR="000D68D0" w:rsidRDefault="009430BD" w:rsidP="009430BD">
      <w:r w:rsidRPr="009430BD">
        <w:t xml:space="preserve">While I acknowledge the severity of accidental ingestion of high pH products containing these substances, particularly in children and the impact on affected families, I remain of the view that amending the scheduling of these substances is unlikely to significantly reduce the frequency of accidental ingestion by children. The substantial regulatory burden of the proposed </w:t>
      </w:r>
      <w:proofErr w:type="gramStart"/>
      <w:r w:rsidRPr="009430BD">
        <w:t>up-scheduling</w:t>
      </w:r>
      <w:proofErr w:type="gramEnd"/>
      <w:r w:rsidRPr="009430BD">
        <w:t xml:space="preserve"> on domestic and commercial consumers, as well as the industrial, manufacturing, and educational sectors is not justified based on the current evidence of the risk.</w:t>
      </w:r>
    </w:p>
    <w:p w14:paraId="467EBFD2" w14:textId="43CAF671" w:rsidR="000D68D0" w:rsidRPr="00A55C43" w:rsidRDefault="000D68D0" w:rsidP="000D68D0">
      <w:r w:rsidRPr="00A55C43">
        <w:t>Preventing poisoning in the home relies on a small number of consistent, practical behaviours that reduce exposure to hazardous substances before harm occurs. As most poisonings occur in the home, first</w:t>
      </w:r>
      <w:r w:rsidRPr="00A55C43">
        <w:noBreakHyphen/>
        <w:t>line prevention should focus on safe storage, appropriate use</w:t>
      </w:r>
      <w:r w:rsidR="00CA44C2" w:rsidRPr="00A55C43">
        <w:t xml:space="preserve"> and handling</w:t>
      </w:r>
      <w:r w:rsidRPr="00A55C43">
        <w:t>, and active supervision.</w:t>
      </w:r>
    </w:p>
    <w:p w14:paraId="2D12AF44" w14:textId="496B3A23" w:rsidR="000D68D0" w:rsidRPr="00A55C43" w:rsidRDefault="000D68D0" w:rsidP="000D68D0">
      <w:r w:rsidRPr="00A55C43">
        <w:t>Together,</w:t>
      </w:r>
      <w:r w:rsidR="00CA44C2" w:rsidRPr="00A55C43">
        <w:t xml:space="preserve"> e</w:t>
      </w:r>
      <w:r w:rsidRPr="00A55C43">
        <w:t>mbedding these practices in everyday household routines can substantially reduce the likelihood of accidental poisoning and support safer home environments.</w:t>
      </w:r>
    </w:p>
    <w:p w14:paraId="690D312B" w14:textId="77777777" w:rsidR="00926D96" w:rsidRPr="00926D96" w:rsidRDefault="00926D96" w:rsidP="00926D96">
      <w:pPr>
        <w:pStyle w:val="Heading3"/>
      </w:pPr>
      <w:bookmarkStart w:id="40" w:name="_Toc230353664"/>
      <w:r w:rsidRPr="00926D96">
        <w:t>Final decision in relation to cyanoacrylate esters</w:t>
      </w:r>
      <w:bookmarkEnd w:id="40"/>
    </w:p>
    <w:p w14:paraId="3A243742" w14:textId="77777777" w:rsidR="00926D96" w:rsidRPr="00926D96" w:rsidRDefault="00926D96" w:rsidP="00926D96">
      <w:pPr>
        <w:pStyle w:val="Heading4"/>
      </w:pPr>
      <w:r w:rsidRPr="00926D96">
        <w:t>Proposal</w:t>
      </w:r>
    </w:p>
    <w:p w14:paraId="1A68A364" w14:textId="77777777" w:rsidR="00926D96" w:rsidRPr="00926D96" w:rsidRDefault="00926D96" w:rsidP="00926D96">
      <w:pPr>
        <w:rPr>
          <w:color w:val="auto"/>
          <w:szCs w:val="20"/>
        </w:rPr>
      </w:pPr>
      <w:r w:rsidRPr="00926D96">
        <w:t>The Delegate proposed amendments to the current Poisons Standard to amend the current scheduling of cyanoacrylate esters and create a new Dangerous poisons (Schedule 7) entry for eyelash adhesives containing cyanoacrylate esters to restrict their usage to professional settings. The proposal was based on the recommendation from the Australian Industrial Chemicals Introduction Scheme (</w:t>
      </w:r>
      <w:proofErr w:type="spellStart"/>
      <w:r w:rsidRPr="00926D96">
        <w:t>AICIS</w:t>
      </w:r>
      <w:proofErr w:type="spellEnd"/>
      <w:r w:rsidRPr="00926D96">
        <w:t>) evaluation of cyanoacrylate esters published in June 2024</w:t>
      </w:r>
      <w:r w:rsidRPr="00926D96">
        <w:rPr>
          <w:color w:val="auto"/>
          <w:szCs w:val="20"/>
        </w:rPr>
        <w:t>.</w:t>
      </w:r>
      <w:r w:rsidRPr="00926D96">
        <w:rPr>
          <w:color w:val="auto"/>
          <w:szCs w:val="20"/>
          <w:vertAlign w:val="superscript"/>
        </w:rPr>
        <w:footnoteReference w:id="8"/>
      </w:r>
    </w:p>
    <w:p w14:paraId="3B50E096" w14:textId="77777777" w:rsidR="00926D96" w:rsidRPr="00926D96" w:rsidRDefault="00926D96" w:rsidP="00926D96">
      <w:pPr>
        <w:pStyle w:val="Heading4"/>
      </w:pPr>
      <w:r w:rsidRPr="00926D96">
        <w:lastRenderedPageBreak/>
        <w:t xml:space="preserve">Final decision </w:t>
      </w:r>
    </w:p>
    <w:p w14:paraId="28C4A93E" w14:textId="77777777" w:rsidR="00926D96" w:rsidRPr="00926D96" w:rsidRDefault="00926D96" w:rsidP="00926D96">
      <w:pPr>
        <w:rPr>
          <w:rFonts w:cs="Arial"/>
          <w:b/>
          <w:bCs/>
        </w:rPr>
      </w:pPr>
      <w:r w:rsidRPr="00926D96">
        <w:rPr>
          <w:rFonts w:cs="Arial"/>
        </w:rPr>
        <w:t xml:space="preserve">Pursuant to regulation </w:t>
      </w:r>
      <w:proofErr w:type="spellStart"/>
      <w:r w:rsidRPr="00926D96">
        <w:rPr>
          <w:rFonts w:cs="Arial"/>
        </w:rPr>
        <w:t>42ZCZR</w:t>
      </w:r>
      <w:proofErr w:type="spellEnd"/>
      <w:r w:rsidRPr="00926D96">
        <w:rPr>
          <w:rFonts w:cs="Arial"/>
        </w:rPr>
        <w:t xml:space="preserve"> of the Regulations, the Delegate has made a final decision to amend the current Poisons Standard in relation to </w:t>
      </w:r>
      <w:r w:rsidRPr="00926D96">
        <w:t>cyanoacrylate esters</w:t>
      </w:r>
      <w:r w:rsidRPr="00926D96">
        <w:rPr>
          <w:rFonts w:cs="Arial"/>
        </w:rPr>
        <w:t xml:space="preserve"> as follows:</w:t>
      </w:r>
      <w:r w:rsidRPr="00926D96">
        <w:rPr>
          <w:vertAlign w:val="superscript"/>
        </w:rPr>
        <w:footnoteReference w:id="9"/>
      </w:r>
    </w:p>
    <w:p w14:paraId="1B9D85B2" w14:textId="77777777" w:rsidR="00926D96" w:rsidRPr="00926D96" w:rsidRDefault="00926D96" w:rsidP="00926D96">
      <w:pPr>
        <w:ind w:left="284"/>
        <w:textAlignment w:val="baseline"/>
        <w:rPr>
          <w:rFonts w:eastAsia="Calibri" w:cs="Arial"/>
          <w:b/>
          <w:bCs/>
        </w:rPr>
      </w:pPr>
      <w:r w:rsidRPr="00926D96">
        <w:rPr>
          <w:rFonts w:eastAsia="Calibri" w:cs="Arial"/>
          <w:b/>
          <w:bCs/>
        </w:rPr>
        <w:t>Schedule 5 – Amend Entry</w:t>
      </w:r>
    </w:p>
    <w:p w14:paraId="051EACCC" w14:textId="77777777" w:rsidR="00926D96" w:rsidRPr="00926D96" w:rsidRDefault="00926D96" w:rsidP="00926D96">
      <w:pPr>
        <w:ind w:left="567"/>
        <w:textAlignment w:val="baseline"/>
        <w:rPr>
          <w:rFonts w:eastAsia="Cambria" w:cs="Arial"/>
        </w:rPr>
      </w:pPr>
      <w:r w:rsidRPr="00926D96">
        <w:rPr>
          <w:rFonts w:eastAsia="Cambria" w:cs="Arial"/>
        </w:rPr>
        <w:t xml:space="preserve">CYANOACRYLATE ESTERS in contact adhesives </w:t>
      </w:r>
      <w:r w:rsidRPr="00926D96">
        <w:rPr>
          <w:rFonts w:eastAsia="Cambria" w:cs="Arial"/>
          <w:b/>
          <w:bCs/>
        </w:rPr>
        <w:t>except</w:t>
      </w:r>
      <w:r w:rsidRPr="00926D96">
        <w:rPr>
          <w:rFonts w:eastAsia="Cambria" w:cs="Arial"/>
        </w:rPr>
        <w:t>:</w:t>
      </w:r>
    </w:p>
    <w:p w14:paraId="04D7CB41" w14:textId="77777777" w:rsidR="00926D96" w:rsidRPr="00926D96" w:rsidRDefault="00926D96" w:rsidP="00926D96">
      <w:pPr>
        <w:tabs>
          <w:tab w:val="right" w:pos="851"/>
        </w:tabs>
        <w:spacing w:before="120"/>
        <w:ind w:left="1276" w:hanging="425"/>
        <w:textAlignment w:val="baseline"/>
      </w:pPr>
      <w:r w:rsidRPr="00926D96">
        <w:t>when labelled with the warning:</w:t>
      </w:r>
    </w:p>
    <w:p w14:paraId="659D387B" w14:textId="77777777" w:rsidR="00926D96" w:rsidRPr="00926D96" w:rsidRDefault="00926D96" w:rsidP="00926D96">
      <w:pPr>
        <w:ind w:left="1814"/>
        <w:textAlignment w:val="baseline"/>
        <w:rPr>
          <w:rFonts w:eastAsia="Cambria" w:cs="Arial"/>
        </w:rPr>
      </w:pPr>
      <w:r w:rsidRPr="00926D96">
        <w:rPr>
          <w:rFonts w:eastAsia="Cambria" w:cs="Arial"/>
        </w:rPr>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and</w:t>
      </w:r>
    </w:p>
    <w:p w14:paraId="5B8CA58B" w14:textId="77777777" w:rsidR="00926D96" w:rsidRPr="00926D96" w:rsidRDefault="00926D96" w:rsidP="00926D96">
      <w:pPr>
        <w:ind w:left="1814"/>
        <w:textAlignment w:val="baseline"/>
        <w:rPr>
          <w:rFonts w:eastAsia="Cambria" w:cs="Arial"/>
        </w:rPr>
      </w:pPr>
      <w:r w:rsidRPr="00926D96">
        <w:rPr>
          <w:rFonts w:eastAsia="Cambria" w:cs="Arial"/>
          <w:color w:val="00B050"/>
          <w:u w:val="single"/>
        </w:rPr>
        <w:t>WARNING – This product contains ingredients which may cause skin sensitisation in certain individuals;</w:t>
      </w:r>
      <w:r w:rsidRPr="00926D96">
        <w:rPr>
          <w:rFonts w:eastAsia="Cambria" w:cs="Arial"/>
          <w:color w:val="00B050"/>
        </w:rPr>
        <w:t xml:space="preserve"> </w:t>
      </w:r>
      <w:r w:rsidRPr="00926D96">
        <w:rPr>
          <w:rFonts w:eastAsia="Cambria" w:cs="Arial"/>
        </w:rPr>
        <w:t>or</w:t>
      </w:r>
    </w:p>
    <w:p w14:paraId="3DB79DB0" w14:textId="77777777" w:rsidR="00926D96" w:rsidRPr="00926D96" w:rsidRDefault="00926D96" w:rsidP="00926D96">
      <w:pPr>
        <w:tabs>
          <w:tab w:val="right" w:pos="851"/>
        </w:tabs>
        <w:spacing w:before="120"/>
        <w:ind w:left="1276" w:hanging="425"/>
        <w:textAlignment w:val="baseline"/>
      </w:pPr>
      <w:r w:rsidRPr="00926D96">
        <w:t>when packed in sealed measure packs each containing 0.5 g or less of cyanoacrylate esters:</w:t>
      </w:r>
    </w:p>
    <w:p w14:paraId="48293AC2" w14:textId="77777777" w:rsidR="00926D96" w:rsidRPr="00926D96" w:rsidRDefault="00926D96" w:rsidP="00D01B9D">
      <w:pPr>
        <w:numPr>
          <w:ilvl w:val="0"/>
          <w:numId w:val="8"/>
        </w:numPr>
        <w:tabs>
          <w:tab w:val="right" w:pos="851"/>
        </w:tabs>
        <w:spacing w:before="120"/>
        <w:textAlignment w:val="baseline"/>
      </w:pPr>
      <w:r w:rsidRPr="00926D96">
        <w:t>labelled with the approved name or trade name of the poison, the quantity and the warning:</w:t>
      </w:r>
    </w:p>
    <w:p w14:paraId="70C00BCD" w14:textId="5BA71764" w:rsidR="00926D96" w:rsidRPr="00926D96" w:rsidRDefault="00926D96" w:rsidP="00F26607">
      <w:pPr>
        <w:ind w:left="2268" w:firstLine="142"/>
        <w:textAlignment w:val="baseline"/>
        <w:rPr>
          <w:rFonts w:eastAsia="Cambria" w:cs="Arial"/>
        </w:rPr>
      </w:pPr>
      <w:r w:rsidRPr="00926D96">
        <w:rPr>
          <w:rFonts w:eastAsia="Cambria" w:cs="Arial"/>
        </w:rPr>
        <w:t>Can cause eye injury. Instantly bonds skin</w:t>
      </w:r>
      <w:r w:rsidRPr="00AB08AA">
        <w:rPr>
          <w:rFonts w:eastAsia="Cambria" w:cs="Arial"/>
          <w:color w:val="auto"/>
        </w:rPr>
        <w:t>; and</w:t>
      </w:r>
    </w:p>
    <w:p w14:paraId="1291A3D2" w14:textId="633EF384" w:rsidR="00926D96" w:rsidRPr="00926D96" w:rsidRDefault="00926D96" w:rsidP="00D01B9D">
      <w:pPr>
        <w:numPr>
          <w:ilvl w:val="0"/>
          <w:numId w:val="8"/>
        </w:numPr>
        <w:tabs>
          <w:tab w:val="right" w:pos="851"/>
        </w:tabs>
        <w:spacing w:before="120"/>
        <w:textAlignment w:val="baseline"/>
      </w:pPr>
      <w:r w:rsidRPr="00926D96">
        <w:t>enclosed in a primary pack labelled with the warning:</w:t>
      </w:r>
    </w:p>
    <w:p w14:paraId="78467BF0" w14:textId="77777777" w:rsidR="00926D96" w:rsidRPr="00926D96" w:rsidRDefault="00926D96" w:rsidP="00F26607">
      <w:pPr>
        <w:ind w:left="2410"/>
        <w:textAlignment w:val="baseline"/>
        <w:rPr>
          <w:rFonts w:eastAsia="Cambria" w:cs="Arial"/>
        </w:rPr>
      </w:pPr>
      <w:r w:rsidRPr="00926D96">
        <w:rPr>
          <w:rFonts w:eastAsia="Cambria" w:cs="Arial"/>
        </w:rPr>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and</w:t>
      </w:r>
    </w:p>
    <w:p w14:paraId="430D9F6C" w14:textId="186FA61D" w:rsidR="00926D96" w:rsidRPr="00926D96" w:rsidRDefault="00926D96" w:rsidP="00F26607">
      <w:pPr>
        <w:ind w:left="2410"/>
        <w:textAlignment w:val="baseline"/>
        <w:rPr>
          <w:rFonts w:eastAsia="Cambria" w:cs="Arial"/>
          <w:u w:val="single"/>
        </w:rPr>
      </w:pPr>
      <w:r w:rsidRPr="00926D96">
        <w:rPr>
          <w:rFonts w:eastAsia="Cambria" w:cs="Arial"/>
          <w:color w:val="00B050"/>
          <w:u w:val="single"/>
        </w:rPr>
        <w:t>WARNING – This product contains ingredients which may cause skin sensitisation in certain individuals.</w:t>
      </w:r>
    </w:p>
    <w:p w14:paraId="7CA9C82C" w14:textId="77777777" w:rsidR="00926D96" w:rsidRPr="00926D96" w:rsidRDefault="00926D96" w:rsidP="00EE07DB">
      <w:pPr>
        <w:ind w:left="284"/>
        <w:textAlignment w:val="baseline"/>
        <w:rPr>
          <w:rFonts w:eastAsia="Calibri" w:cs="Arial"/>
          <w:b/>
          <w:bCs/>
        </w:rPr>
      </w:pPr>
      <w:r w:rsidRPr="00926D96">
        <w:rPr>
          <w:rFonts w:eastAsia="Calibri" w:cs="Arial"/>
          <w:b/>
          <w:bCs/>
        </w:rPr>
        <w:t>Index </w:t>
      </w:r>
    </w:p>
    <w:p w14:paraId="18714D4D" w14:textId="77777777" w:rsidR="00926D96" w:rsidRPr="00926D96" w:rsidRDefault="00926D96" w:rsidP="00926D96">
      <w:pPr>
        <w:ind w:left="567"/>
        <w:textAlignment w:val="baseline"/>
        <w:rPr>
          <w:rFonts w:eastAsia="Cambria" w:cs="Arial"/>
        </w:rPr>
      </w:pPr>
      <w:r w:rsidRPr="00926D96">
        <w:rPr>
          <w:rFonts w:eastAsia="Cambria" w:cs="Arial"/>
        </w:rPr>
        <w:t>CYANOACRYLATE ESTERS</w:t>
      </w:r>
    </w:p>
    <w:p w14:paraId="4DAF4CA0" w14:textId="77777777" w:rsidR="00926D96" w:rsidRPr="00926D96" w:rsidRDefault="00926D96" w:rsidP="00926D96">
      <w:pPr>
        <w:ind w:left="567"/>
        <w:textAlignment w:val="baseline"/>
        <w:rPr>
          <w:rFonts w:eastAsia="Cambria" w:cs="Arial"/>
        </w:rPr>
      </w:pPr>
      <w:r w:rsidRPr="00926D96">
        <w:rPr>
          <w:rFonts w:eastAsia="Cambria" w:cs="Arial"/>
        </w:rPr>
        <w:t>Schedule 5</w:t>
      </w:r>
    </w:p>
    <w:p w14:paraId="591B852B" w14:textId="77777777" w:rsidR="00926D96" w:rsidRPr="00926D96" w:rsidRDefault="00926D96" w:rsidP="00926D96">
      <w:pPr>
        <w:ind w:left="567"/>
        <w:textAlignment w:val="baseline"/>
        <w:rPr>
          <w:rFonts w:eastAsia="Times New Roman" w:cs="Arial"/>
          <w:color w:val="00B050"/>
          <w:u w:val="single"/>
          <w:lang w:eastAsia="zh-TW"/>
        </w:rPr>
      </w:pPr>
      <w:r w:rsidRPr="00926D96">
        <w:rPr>
          <w:rFonts w:eastAsia="Times New Roman" w:cs="Arial"/>
          <w:color w:val="00B050"/>
          <w:u w:val="single"/>
          <w:lang w:eastAsia="zh-TW"/>
        </w:rPr>
        <w:t>Appendix F, Clause 4</w:t>
      </w:r>
    </w:p>
    <w:p w14:paraId="5228DFDD" w14:textId="77777777" w:rsidR="00926D96" w:rsidRPr="00926D96" w:rsidRDefault="00926D96" w:rsidP="00926D96">
      <w:pPr>
        <w:spacing w:line="240" w:lineRule="auto"/>
        <w:ind w:left="420" w:hanging="135"/>
        <w:textAlignment w:val="baseline"/>
        <w:rPr>
          <w:rFonts w:eastAsia="Arial" w:cs="Arial"/>
          <w:b/>
          <w:bCs/>
        </w:rPr>
      </w:pPr>
      <w:r w:rsidRPr="00926D96">
        <w:rPr>
          <w:rFonts w:eastAsia="Arial" w:cs="Arial"/>
          <w:b/>
          <w:bCs/>
        </w:rPr>
        <w:t>Appendix F, clause 4 – Warning statements and safety directions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2977"/>
        <w:gridCol w:w="5332"/>
      </w:tblGrid>
      <w:tr w:rsidR="00926D96" w:rsidRPr="00926D96" w14:paraId="39BD1314" w14:textId="77777777" w:rsidTr="00F432E8">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0047BB"/>
            <w:tcMar>
              <w:left w:w="113" w:type="dxa"/>
            </w:tcMar>
            <w:hideMark/>
          </w:tcPr>
          <w:p w14:paraId="05210CD0" w14:textId="77777777" w:rsidR="00926D96" w:rsidRPr="0075667C" w:rsidRDefault="00926D96" w:rsidP="0075667C">
            <w:pPr>
              <w:spacing w:before="120" w:line="240" w:lineRule="auto"/>
              <w:textAlignment w:val="baseline"/>
              <w:rPr>
                <w:rFonts w:ascii="Times New Roman" w:eastAsia="Times New Roman" w:hAnsi="Times New Roman" w:cs="Times New Roman"/>
                <w:b/>
                <w:bCs/>
                <w:color w:val="000000"/>
                <w:lang w:eastAsia="zh-TW"/>
              </w:rPr>
            </w:pPr>
            <w:r w:rsidRPr="0075667C">
              <w:rPr>
                <w:rFonts w:eastAsia="Times New Roman" w:cs="Arial"/>
                <w:b/>
                <w:bCs/>
                <w:color w:val="FFFFFF"/>
                <w:lang w:eastAsia="zh-TW"/>
              </w:rPr>
              <w:t>Item</w:t>
            </w:r>
          </w:p>
        </w:tc>
        <w:tc>
          <w:tcPr>
            <w:tcW w:w="2977" w:type="dxa"/>
            <w:tcBorders>
              <w:top w:val="single" w:sz="6" w:space="0" w:color="auto"/>
              <w:left w:val="nil"/>
              <w:bottom w:val="single" w:sz="6" w:space="0" w:color="auto"/>
              <w:right w:val="single" w:sz="6" w:space="0" w:color="auto"/>
            </w:tcBorders>
            <w:shd w:val="clear" w:color="auto" w:fill="0047BB"/>
            <w:tcMar>
              <w:left w:w="113" w:type="dxa"/>
            </w:tcMar>
            <w:hideMark/>
          </w:tcPr>
          <w:p w14:paraId="5FF52DC6" w14:textId="77777777" w:rsidR="00926D96" w:rsidRPr="0075667C" w:rsidRDefault="00926D96" w:rsidP="0075667C">
            <w:pPr>
              <w:spacing w:before="120" w:line="240" w:lineRule="auto"/>
              <w:textAlignment w:val="baseline"/>
              <w:rPr>
                <w:rFonts w:ascii="Times New Roman" w:eastAsia="Times New Roman" w:hAnsi="Times New Roman" w:cs="Times New Roman"/>
                <w:b/>
                <w:bCs/>
                <w:color w:val="000000"/>
                <w:lang w:eastAsia="zh-TW"/>
              </w:rPr>
            </w:pPr>
            <w:r w:rsidRPr="0075667C">
              <w:rPr>
                <w:rFonts w:eastAsia="Times New Roman" w:cs="Arial"/>
                <w:b/>
                <w:bCs/>
                <w:color w:val="FFFFFF"/>
                <w:lang w:eastAsia="zh-TW"/>
              </w:rPr>
              <w:t>Poison</w:t>
            </w:r>
          </w:p>
        </w:tc>
        <w:tc>
          <w:tcPr>
            <w:tcW w:w="5332" w:type="dxa"/>
            <w:tcBorders>
              <w:top w:val="single" w:sz="6" w:space="0" w:color="auto"/>
              <w:left w:val="nil"/>
              <w:bottom w:val="single" w:sz="6" w:space="0" w:color="auto"/>
              <w:right w:val="single" w:sz="6" w:space="0" w:color="auto"/>
            </w:tcBorders>
            <w:shd w:val="clear" w:color="auto" w:fill="0047BB"/>
            <w:tcMar>
              <w:left w:w="113" w:type="dxa"/>
            </w:tcMar>
            <w:hideMark/>
          </w:tcPr>
          <w:p w14:paraId="5BE9F732" w14:textId="77777777" w:rsidR="00926D96" w:rsidRPr="0075667C" w:rsidRDefault="00926D96" w:rsidP="0075667C">
            <w:pPr>
              <w:spacing w:before="120" w:line="240" w:lineRule="auto"/>
              <w:textAlignment w:val="baseline"/>
              <w:rPr>
                <w:rFonts w:ascii="Times New Roman" w:eastAsia="Times New Roman" w:hAnsi="Times New Roman" w:cs="Times New Roman"/>
                <w:b/>
                <w:bCs/>
                <w:color w:val="000000"/>
                <w:lang w:eastAsia="zh-TW"/>
              </w:rPr>
            </w:pPr>
            <w:r w:rsidRPr="0075667C">
              <w:rPr>
                <w:rFonts w:eastAsia="Times New Roman" w:cs="Arial"/>
                <w:b/>
                <w:bCs/>
                <w:color w:val="FFFFFF"/>
                <w:lang w:eastAsia="zh-TW"/>
              </w:rPr>
              <w:t>Safety direction item number and statement</w:t>
            </w:r>
          </w:p>
        </w:tc>
      </w:tr>
      <w:tr w:rsidR="00926D96" w:rsidRPr="00926D96" w14:paraId="559710E2" w14:textId="77777777" w:rsidTr="00F432E8">
        <w:trPr>
          <w:trHeight w:val="300"/>
        </w:trPr>
        <w:tc>
          <w:tcPr>
            <w:tcW w:w="701" w:type="dxa"/>
            <w:tcBorders>
              <w:top w:val="nil"/>
              <w:left w:val="single" w:sz="6" w:space="0" w:color="auto"/>
              <w:bottom w:val="single" w:sz="6" w:space="0" w:color="auto"/>
              <w:right w:val="single" w:sz="6" w:space="0" w:color="auto"/>
            </w:tcBorders>
            <w:tcMar>
              <w:left w:w="113" w:type="dxa"/>
            </w:tcMar>
            <w:hideMark/>
          </w:tcPr>
          <w:p w14:paraId="2591BEE8" w14:textId="77777777" w:rsidR="00926D96" w:rsidRPr="00926D96" w:rsidRDefault="00926D96" w:rsidP="0075667C">
            <w:pPr>
              <w:spacing w:before="120" w:line="240" w:lineRule="auto"/>
              <w:textAlignment w:val="baseline"/>
              <w:rPr>
                <w:rFonts w:ascii="Times New Roman" w:eastAsia="Times New Roman" w:hAnsi="Times New Roman" w:cs="Times New Roman"/>
                <w:lang w:eastAsia="zh-TW"/>
              </w:rPr>
            </w:pPr>
            <w:r w:rsidRPr="00926D96">
              <w:rPr>
                <w:rFonts w:eastAsia="Arial" w:cs="Arial"/>
                <w:color w:val="00B050"/>
              </w:rPr>
              <w:t>87</w:t>
            </w:r>
          </w:p>
        </w:tc>
        <w:tc>
          <w:tcPr>
            <w:tcW w:w="2977" w:type="dxa"/>
            <w:tcBorders>
              <w:top w:val="nil"/>
              <w:left w:val="nil"/>
              <w:bottom w:val="single" w:sz="6" w:space="0" w:color="auto"/>
              <w:right w:val="single" w:sz="6" w:space="0" w:color="auto"/>
            </w:tcBorders>
            <w:tcMar>
              <w:left w:w="113" w:type="dxa"/>
            </w:tcMar>
            <w:hideMark/>
          </w:tcPr>
          <w:p w14:paraId="63559F8C" w14:textId="77777777" w:rsidR="00926D96" w:rsidRPr="00926D96" w:rsidRDefault="00926D96" w:rsidP="0075667C">
            <w:pPr>
              <w:spacing w:before="120" w:line="240" w:lineRule="auto"/>
              <w:textAlignment w:val="baseline"/>
              <w:rPr>
                <w:rFonts w:ascii="Times New Roman" w:eastAsia="Times New Roman" w:hAnsi="Times New Roman" w:cs="Times New Roman"/>
                <w:color w:val="000000"/>
                <w:lang w:eastAsia="zh-TW"/>
              </w:rPr>
            </w:pPr>
            <w:r w:rsidRPr="00926D96">
              <w:rPr>
                <w:rFonts w:eastAsia="Arial" w:cs="Arial"/>
                <w:color w:val="00B050"/>
              </w:rPr>
              <w:t>CYANOACRYLATE ESTERS</w:t>
            </w:r>
          </w:p>
        </w:tc>
        <w:tc>
          <w:tcPr>
            <w:tcW w:w="5332" w:type="dxa"/>
            <w:tcBorders>
              <w:top w:val="nil"/>
              <w:left w:val="nil"/>
              <w:bottom w:val="single" w:sz="6" w:space="0" w:color="auto"/>
              <w:right w:val="single" w:sz="6" w:space="0" w:color="auto"/>
            </w:tcBorders>
            <w:tcMar>
              <w:left w:w="113" w:type="dxa"/>
            </w:tcMar>
            <w:hideMark/>
          </w:tcPr>
          <w:p w14:paraId="66D6B2D2" w14:textId="400D701A" w:rsidR="00926D96" w:rsidRPr="00926D96" w:rsidRDefault="00926D96" w:rsidP="0075667C">
            <w:pPr>
              <w:spacing w:before="120" w:line="240" w:lineRule="auto"/>
              <w:textAlignment w:val="baseline"/>
              <w:rPr>
                <w:rFonts w:ascii="Times New Roman" w:eastAsia="Times New Roman" w:hAnsi="Times New Roman" w:cs="Times New Roman"/>
                <w:color w:val="000000"/>
                <w:lang w:eastAsia="zh-TW"/>
              </w:rPr>
            </w:pPr>
            <w:r w:rsidRPr="00926D96">
              <w:rPr>
                <w:rFonts w:eastAsia="Times New Roman" w:cs="Arial"/>
                <w:color w:val="00B050"/>
                <w:lang w:eastAsia="zh-TW"/>
              </w:rPr>
              <w:t>28 –</w:t>
            </w:r>
            <w:r w:rsidR="00F432E8">
              <w:rPr>
                <w:rFonts w:eastAsia="Times New Roman" w:cs="Arial"/>
                <w:color w:val="00B050"/>
                <w:lang w:eastAsia="zh-TW"/>
              </w:rPr>
              <w:t xml:space="preserve"> </w:t>
            </w:r>
            <w:r w:rsidRPr="00926D96">
              <w:rPr>
                <w:rFonts w:eastAsia="Times New Roman" w:cs="Arial"/>
                <w:color w:val="00B050"/>
                <w:lang w:eastAsia="zh-TW"/>
              </w:rPr>
              <w:t>(Over) (Repeated) exposure may cause sensitisation.</w:t>
            </w:r>
          </w:p>
        </w:tc>
      </w:tr>
    </w:tbl>
    <w:p w14:paraId="15547380" w14:textId="77777777" w:rsidR="00926D96" w:rsidRPr="00926D96" w:rsidRDefault="00926D96" w:rsidP="00EE07DB">
      <w:pPr>
        <w:pStyle w:val="Heading4"/>
      </w:pPr>
      <w:r w:rsidRPr="00926D96">
        <w:t xml:space="preserve">Materials considered </w:t>
      </w:r>
    </w:p>
    <w:p w14:paraId="63DFB869" w14:textId="77777777" w:rsidR="00926D96" w:rsidRPr="00926D96" w:rsidRDefault="00926D96" w:rsidP="00926D96">
      <w:pPr>
        <w:rPr>
          <w:rFonts w:cs="Arial"/>
        </w:rPr>
      </w:pPr>
      <w:r w:rsidRPr="00926D96">
        <w:rPr>
          <w:rFonts w:cs="Arial"/>
        </w:rPr>
        <w:t>In making this final decision, the Delegate considered the following material:</w:t>
      </w:r>
    </w:p>
    <w:p w14:paraId="18B275DB" w14:textId="77777777" w:rsidR="00926D96" w:rsidRPr="00926D96" w:rsidRDefault="00926D96" w:rsidP="00F26607">
      <w:pPr>
        <w:pStyle w:val="ListBullet"/>
        <w:numPr>
          <w:ilvl w:val="0"/>
          <w:numId w:val="20"/>
        </w:numPr>
      </w:pPr>
      <w:r w:rsidRPr="00926D96">
        <w:t>the application to amend the current Poisons Standard with respect to cyanoacrylate esters</w:t>
      </w:r>
      <w:r w:rsidRPr="00926D96">
        <w:rPr>
          <w:lang w:eastAsia="en-AU"/>
        </w:rPr>
        <w:t xml:space="preserve"> </w:t>
      </w:r>
      <w:r w:rsidRPr="00926D96">
        <w:t xml:space="preserve">(the </w:t>
      </w:r>
      <w:r w:rsidRPr="00CE7F12">
        <w:rPr>
          <w:b/>
          <w:bCs/>
        </w:rPr>
        <w:t>Application</w:t>
      </w:r>
      <w:r w:rsidRPr="00926D96">
        <w:t>)</w:t>
      </w:r>
    </w:p>
    <w:p w14:paraId="116000A5" w14:textId="73D4F41C" w:rsidR="00926D96" w:rsidRPr="00926D96" w:rsidRDefault="00926D96" w:rsidP="00F26607">
      <w:pPr>
        <w:pStyle w:val="ListBullet"/>
        <w:numPr>
          <w:ilvl w:val="0"/>
          <w:numId w:val="20"/>
        </w:numPr>
      </w:pPr>
      <w:r w:rsidRPr="00926D96">
        <w:lastRenderedPageBreak/>
        <w:t>11 public submissions, with</w:t>
      </w:r>
      <w:r w:rsidRPr="00926D96">
        <w:rPr>
          <w:color w:val="auto"/>
          <w:szCs w:val="20"/>
        </w:rPr>
        <w:t xml:space="preserve"> 7 including </w:t>
      </w:r>
      <w:r w:rsidR="003F6A09">
        <w:rPr>
          <w:color w:val="auto"/>
          <w:szCs w:val="20"/>
        </w:rPr>
        <w:t xml:space="preserve">the </w:t>
      </w:r>
      <w:hyperlink r:id="rId38" w:history="1">
        <w:r w:rsidR="003F6A09" w:rsidRPr="003F6A09">
          <w:rPr>
            <w:rStyle w:val="Hyperlink"/>
            <w:szCs w:val="20"/>
          </w:rPr>
          <w:t>pre-meeting consultation</w:t>
        </w:r>
      </w:hyperlink>
      <w:r w:rsidR="003F6A09" w:rsidRPr="003F6A09">
        <w:rPr>
          <w:color w:val="auto"/>
          <w:szCs w:val="20"/>
        </w:rPr>
        <w:t xml:space="preserve"> </w:t>
      </w:r>
      <w:r w:rsidRPr="00926D96">
        <w:t xml:space="preserve">under regulation </w:t>
      </w:r>
      <w:proofErr w:type="spellStart"/>
      <w:r w:rsidRPr="00926D96">
        <w:t>42ZCZK</w:t>
      </w:r>
      <w:proofErr w:type="spellEnd"/>
      <w:r w:rsidRPr="00926D96">
        <w:t xml:space="preserve"> of the Regulations</w:t>
      </w:r>
    </w:p>
    <w:p w14:paraId="2B056241" w14:textId="77777777" w:rsidR="00926D96" w:rsidRPr="00926D96" w:rsidRDefault="00926D96" w:rsidP="00F26607">
      <w:pPr>
        <w:pStyle w:val="ListBullet"/>
        <w:numPr>
          <w:ilvl w:val="0"/>
          <w:numId w:val="20"/>
        </w:numPr>
      </w:pPr>
      <w:r w:rsidRPr="00926D96">
        <w:t xml:space="preserve">the advice received from the 40th meeting of the Advisory Committee on Chemicals Scheduling (the </w:t>
      </w:r>
      <w:r w:rsidRPr="00CE7F12">
        <w:rPr>
          <w:b/>
          <w:bCs/>
        </w:rPr>
        <w:t>Committee</w:t>
      </w:r>
      <w:r w:rsidRPr="00926D96">
        <w:t>)</w:t>
      </w:r>
    </w:p>
    <w:p w14:paraId="089726D1" w14:textId="3101E8D3" w:rsidR="00926D96" w:rsidRPr="00926D96" w:rsidRDefault="00926D96" w:rsidP="00F26607">
      <w:pPr>
        <w:pStyle w:val="ListBullet"/>
        <w:numPr>
          <w:ilvl w:val="0"/>
          <w:numId w:val="20"/>
        </w:numPr>
      </w:pPr>
      <w:r w:rsidRPr="00926D96">
        <w:t xml:space="preserve">the </w:t>
      </w:r>
      <w:hyperlink r:id="rId39" w:history="1">
        <w:r w:rsidR="00CE7F12" w:rsidRPr="00CE7F12">
          <w:rPr>
            <w:rStyle w:val="Hyperlink"/>
          </w:rPr>
          <w:t>interim decision</w:t>
        </w:r>
      </w:hyperlink>
      <w:r w:rsidR="00CE7F12" w:rsidRPr="00CE7F12">
        <w:t xml:space="preserve"> </w:t>
      </w:r>
      <w:r w:rsidRPr="00926D96">
        <w:t>relating to cyanoacrylate esters and the materials considered as part of the interim decision, as published on 18 December 2025</w:t>
      </w:r>
    </w:p>
    <w:p w14:paraId="29B8D32E" w14:textId="5B7E0AD7" w:rsidR="00926D96" w:rsidRPr="00926D96" w:rsidRDefault="00926D96" w:rsidP="00F26607">
      <w:pPr>
        <w:pStyle w:val="ListBullet"/>
        <w:numPr>
          <w:ilvl w:val="0"/>
          <w:numId w:val="20"/>
        </w:numPr>
      </w:pPr>
      <w:r w:rsidRPr="00926D96">
        <w:t>2 public submissions</w:t>
      </w:r>
      <w:r w:rsidR="003F6A09">
        <w:t>, both</w:t>
      </w:r>
      <w:r w:rsidRPr="00926D96">
        <w:t xml:space="preserve"> with written components, received in response to </w:t>
      </w:r>
      <w:hyperlink r:id="rId40" w:history="1">
        <w:r w:rsidR="003F6A09" w:rsidRPr="003F6A09">
          <w:rPr>
            <w:rStyle w:val="Hyperlink"/>
          </w:rPr>
          <w:t>public consultation on the interim decision</w:t>
        </w:r>
      </w:hyperlink>
      <w:r w:rsidRPr="00926D96">
        <w:t xml:space="preserve"> under regulation </w:t>
      </w:r>
      <w:proofErr w:type="spellStart"/>
      <w:r w:rsidRPr="00926D96">
        <w:t>42ZCZP</w:t>
      </w:r>
      <w:proofErr w:type="spellEnd"/>
    </w:p>
    <w:p w14:paraId="328A487B" w14:textId="77777777" w:rsidR="00926D96" w:rsidRPr="00926D96" w:rsidRDefault="00926D96" w:rsidP="00F26607">
      <w:pPr>
        <w:pStyle w:val="ListBullet"/>
        <w:numPr>
          <w:ilvl w:val="0"/>
          <w:numId w:val="20"/>
        </w:numPr>
      </w:pPr>
      <w:r w:rsidRPr="00926D96">
        <w:t xml:space="preserve">subsection </w:t>
      </w:r>
      <w:proofErr w:type="spellStart"/>
      <w:r w:rsidRPr="00926D96">
        <w:t>52E</w:t>
      </w:r>
      <w:proofErr w:type="spellEnd"/>
      <w:r w:rsidRPr="00926D96">
        <w:t>(1)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7E0B5612" w14:textId="77777777" w:rsidR="00926D96" w:rsidRPr="00926D96" w:rsidRDefault="00926D96" w:rsidP="00F26607">
      <w:pPr>
        <w:pStyle w:val="ListBullet"/>
        <w:numPr>
          <w:ilvl w:val="0"/>
          <w:numId w:val="20"/>
        </w:numPr>
      </w:pPr>
      <w:r w:rsidRPr="00926D96">
        <w:t xml:space="preserve">pursuant to paragraph </w:t>
      </w:r>
      <w:proofErr w:type="spellStart"/>
      <w:r w:rsidRPr="00926D96">
        <w:t>52E</w:t>
      </w:r>
      <w:proofErr w:type="spellEnd"/>
      <w:r w:rsidRPr="00926D96">
        <w:t>(2)(a) of the Act, the SPF, and</w:t>
      </w:r>
    </w:p>
    <w:p w14:paraId="13F1E402" w14:textId="2BD94117" w:rsidR="00926D96" w:rsidRPr="00926D96" w:rsidRDefault="00926D96" w:rsidP="00F26607">
      <w:pPr>
        <w:pStyle w:val="ListBullet"/>
        <w:numPr>
          <w:ilvl w:val="0"/>
          <w:numId w:val="20"/>
        </w:numPr>
      </w:pPr>
      <w:r w:rsidRPr="00926D96">
        <w:t>the Handbook.</w:t>
      </w:r>
    </w:p>
    <w:p w14:paraId="41C4D0C1" w14:textId="77777777" w:rsidR="00926D96" w:rsidRPr="00926D96" w:rsidRDefault="00926D96" w:rsidP="00EE07DB">
      <w:pPr>
        <w:pStyle w:val="Heading4"/>
      </w:pPr>
      <w:r w:rsidRPr="00926D96">
        <w:t>Reasons for the final decision (including findings on material questions of fact)</w:t>
      </w:r>
    </w:p>
    <w:p w14:paraId="36896683" w14:textId="0F8DCADD" w:rsidR="00926D96" w:rsidRPr="00926D96" w:rsidRDefault="00926D96" w:rsidP="00926D96">
      <w:pPr>
        <w:spacing w:before="180" w:after="180" w:line="240" w:lineRule="atLeast"/>
        <w:rPr>
          <w:rFonts w:cs="Arial"/>
          <w:szCs w:val="20"/>
        </w:rPr>
      </w:pPr>
      <w:r w:rsidRPr="00926D96">
        <w:rPr>
          <w:rFonts w:cs="Arial"/>
          <w:szCs w:val="20"/>
        </w:rPr>
        <w:t xml:space="preserve">I have made a final decision </w:t>
      </w:r>
      <w:r w:rsidR="00705425">
        <w:rPr>
          <w:rFonts w:cs="Arial"/>
          <w:szCs w:val="20"/>
        </w:rPr>
        <w:t>to confirm</w:t>
      </w:r>
      <w:r w:rsidRPr="00926D96">
        <w:rPr>
          <w:rFonts w:cs="Arial"/>
          <w:szCs w:val="20"/>
        </w:rPr>
        <w:t xml:space="preserve"> the </w:t>
      </w:r>
      <w:hyperlink r:id="rId41" w:history="1">
        <w:r w:rsidRPr="00926D96">
          <w:rPr>
            <w:color w:val="0000FF"/>
            <w:u w:val="single"/>
          </w:rPr>
          <w:t>interim decision</w:t>
        </w:r>
      </w:hyperlink>
      <w:r w:rsidRPr="00926D96">
        <w:rPr>
          <w:rFonts w:cs="Arial"/>
          <w:szCs w:val="20"/>
        </w:rPr>
        <w:t xml:space="preserve"> to not include a Dangerous Poisons </w:t>
      </w:r>
      <w:r w:rsidRPr="00926D96">
        <w:t xml:space="preserve">(Schedule 7) entry for eyelash adhesives containing cyanoacrylate esters. The existing Caution (Schedule 5) classification remains appropriate for these substances. However, I have decided that contact adhesives containing cyanoacrylate esters must carry an additional warning about skin sensitisation </w:t>
      </w:r>
      <w:proofErr w:type="gramStart"/>
      <w:r w:rsidRPr="00926D96">
        <w:t>in order to</w:t>
      </w:r>
      <w:proofErr w:type="gramEnd"/>
      <w:r w:rsidRPr="00926D96">
        <w:t xml:space="preserve"> be exempted from Schedule 5 classification.</w:t>
      </w:r>
      <w:r w:rsidRPr="00926D96">
        <w:rPr>
          <w:rFonts w:cs="Arial"/>
          <w:szCs w:val="20"/>
        </w:rPr>
        <w:t xml:space="preserve"> </w:t>
      </w:r>
      <w:r w:rsidR="006F191D" w:rsidRPr="006F191D">
        <w:rPr>
          <w:rFonts w:cs="Arial"/>
          <w:szCs w:val="20"/>
        </w:rPr>
        <w:t>My reasons for making the final decision are set out in the interim decision.</w:t>
      </w:r>
    </w:p>
    <w:p w14:paraId="502E86BB" w14:textId="77777777" w:rsidR="00926D96" w:rsidRPr="00926D96" w:rsidRDefault="00926D96" w:rsidP="00926D96">
      <w:pPr>
        <w:spacing w:before="180" w:after="180" w:line="240" w:lineRule="atLeast"/>
        <w:rPr>
          <w:rFonts w:cs="Arial"/>
          <w:szCs w:val="20"/>
        </w:rPr>
      </w:pPr>
      <w:r w:rsidRPr="00926D96">
        <w:t>In making this decision, I have considered the information set out in the</w:t>
      </w:r>
      <w:r w:rsidRPr="00926D96">
        <w:rPr>
          <w:rFonts w:cs="Arial"/>
          <w:szCs w:val="20"/>
        </w:rPr>
        <w:t xml:space="preserve"> </w:t>
      </w:r>
      <w:hyperlink r:id="rId42" w:history="1">
        <w:r w:rsidRPr="00926D96">
          <w:rPr>
            <w:color w:val="0000FF"/>
            <w:u w:val="single"/>
          </w:rPr>
          <w:t>interim decision</w:t>
        </w:r>
      </w:hyperlink>
      <w:r w:rsidRPr="00926D96">
        <w:t>, as well as 2</w:t>
      </w:r>
      <w:r w:rsidRPr="00926D96">
        <w:rPr>
          <w:rFonts w:cs="Arial"/>
          <w:szCs w:val="20"/>
        </w:rPr>
        <w:t xml:space="preserve"> </w:t>
      </w:r>
      <w:r w:rsidRPr="00926D96">
        <w:t>public submissions from organisations received during the interim consultation period. Both submissions included written components and supported amending Schedule 5 to include the warning label regarding skin sensitisation.</w:t>
      </w:r>
    </w:p>
    <w:p w14:paraId="23F3974A" w14:textId="0D72C81B" w:rsidR="00926D96" w:rsidRPr="00926D96" w:rsidRDefault="00926D96" w:rsidP="00EE07DB">
      <w:r w:rsidRPr="00926D96">
        <w:t>One submission indicated full support for the interim decision, while the other expressed partial support. The partial</w:t>
      </w:r>
      <w:r w:rsidR="003F6A09">
        <w:t>ly</w:t>
      </w:r>
      <w:r w:rsidRPr="00926D96">
        <w:t xml:space="preserve"> support</w:t>
      </w:r>
      <w:r w:rsidR="003F6A09">
        <w:t>ive</w:t>
      </w:r>
      <w:r w:rsidRPr="00926D96">
        <w:t xml:space="preserve"> submission recommended extending the transition period to at least 18 months to accommodate the broad impact on cosmetic and non-cosmetic product industry.</w:t>
      </w:r>
    </w:p>
    <w:p w14:paraId="52FFC62D" w14:textId="077359CD" w:rsidR="00926D96" w:rsidRPr="00926D96" w:rsidRDefault="00926D96" w:rsidP="00EE07DB">
      <w:r w:rsidRPr="00926D96">
        <w:t>I acknowledge that the primary concern associated with cyanoacrylate esters is the risk of skin sensitisation, particularly where products are applied directly to the skin. This risk is well recognised and may be exacerbated by repeated or prolonged skin contact. A review of 893 single-substance cyanoacrylate exposure cases from 2005-2015 found that most exposures were in children, with a median age of 11 years and resulted in no or only minor clinical effects, with no major effects reported. Most cases were managed on-site without the need for medical intervention, and the identified effects were predominantly local in nature, involving skin or eye contact rather than systemic toxicity.</w:t>
      </w:r>
      <w:r w:rsidRPr="00926D96">
        <w:rPr>
          <w:vertAlign w:val="superscript"/>
        </w:rPr>
        <w:footnoteReference w:id="10"/>
      </w:r>
      <w:r w:rsidRPr="00926D96">
        <w:t xml:space="preserve"> This would support the conclusion that, while cyanoacrylate esters present a recognised hazard, particularly in relation to direct contact and repeated exposure, the severity and outcomes of reported exposures do not demonstrate a level of risk that would justify classification in Schedule 7. Retention </w:t>
      </w:r>
      <w:r w:rsidRPr="00926D96">
        <w:lastRenderedPageBreak/>
        <w:t>of the Schedule 5 classification, with the addition of a warning statement addressing skin sensitisation, provides an appropriate, proportionate, and effective regulatory response to the risks identified.</w:t>
      </w:r>
    </w:p>
    <w:p w14:paraId="39629373" w14:textId="6F48C478" w:rsidR="00926D96" w:rsidRPr="00926D96" w:rsidRDefault="00926D96" w:rsidP="00EE07DB">
      <w:r w:rsidRPr="00926D96">
        <w:t>Finally, I acknowledge that the amendment to the Schedule 5 entry will affect a wide range of cosmetic and non-cosmetic products currently in the market. In response to the public submission, particularly the recommendation for a longer transition period, I agree that an extended transition period is appropriate to allow industry sufficient time to update product labelling in accordance with the new requirements.</w:t>
      </w:r>
    </w:p>
    <w:p w14:paraId="15BF7A39" w14:textId="0E5147F6" w:rsidR="00926D96" w:rsidRPr="00926D96" w:rsidRDefault="00926D96" w:rsidP="00EE07DB">
      <w:pPr>
        <w:pStyle w:val="Heading4"/>
      </w:pPr>
      <w:r w:rsidRPr="00926D96">
        <w:t>Implementation date</w:t>
      </w:r>
    </w:p>
    <w:p w14:paraId="6DC08F35" w14:textId="77777777" w:rsidR="00926D96" w:rsidRPr="00926D96" w:rsidRDefault="00926D96" w:rsidP="00EE07DB">
      <w:r w:rsidRPr="00B20038">
        <w:t>1 February 2028</w:t>
      </w:r>
    </w:p>
    <w:p w14:paraId="50D1BB97" w14:textId="77777777" w:rsidR="00057394" w:rsidRDefault="00057394" w:rsidP="00E25235">
      <w:bookmarkStart w:id="41" w:name="_Toc219385674"/>
      <w:bookmarkStart w:id="42" w:name="_Toc198028600"/>
      <w:r>
        <w:br w:type="page"/>
      </w:r>
    </w:p>
    <w:p w14:paraId="7F1D4A9D" w14:textId="3BA8ABC0" w:rsidR="006C30BE" w:rsidRPr="00F41DCE" w:rsidRDefault="006C30BE" w:rsidP="006C30BE">
      <w:pPr>
        <w:pStyle w:val="Heading2"/>
      </w:pPr>
      <w:bookmarkStart w:id="43" w:name="_Toc230353665"/>
      <w:r>
        <w:lastRenderedPageBreak/>
        <w:t>Final</w:t>
      </w:r>
      <w:r w:rsidRPr="00FA029A">
        <w:t xml:space="preserve"> decisions on proposed amendments referred to the </w:t>
      </w:r>
      <w:r w:rsidRPr="00F41DCE">
        <w:t>Advisory Committee on Medicines and Chemicals Scheduling in jo</w:t>
      </w:r>
      <w:r>
        <w:t xml:space="preserve">int session (Joint </w:t>
      </w:r>
      <w:r w:rsidRPr="00F024E9">
        <w:t>ACMS-ACCS #3</w:t>
      </w:r>
      <w:r w:rsidR="00FF5169">
        <w:t>9</w:t>
      </w:r>
      <w:r w:rsidRPr="00F024E9">
        <w:t xml:space="preserve">, </w:t>
      </w:r>
      <w:r w:rsidR="00FF5169">
        <w:t>March</w:t>
      </w:r>
      <w:r w:rsidRPr="00F024E9">
        <w:t xml:space="preserve"> 202</w:t>
      </w:r>
      <w:r w:rsidR="00FF5169">
        <w:t>5</w:t>
      </w:r>
      <w:r w:rsidRPr="00F41DCE">
        <w:t>)</w:t>
      </w:r>
      <w:bookmarkEnd w:id="43"/>
    </w:p>
    <w:p w14:paraId="2AAFAFEC" w14:textId="0C4281FE" w:rsidR="008644E7" w:rsidRDefault="008644E7" w:rsidP="008644E7">
      <w:pPr>
        <w:pStyle w:val="Heading3"/>
      </w:pPr>
      <w:bookmarkStart w:id="44" w:name="_Toc230353666"/>
      <w:r>
        <w:t xml:space="preserve">Final decision in relation to </w:t>
      </w:r>
      <w:bookmarkEnd w:id="41"/>
      <w:r w:rsidRPr="00E969E0">
        <w:t>chromium-DL methionine</w:t>
      </w:r>
      <w:bookmarkEnd w:id="44"/>
    </w:p>
    <w:p w14:paraId="30FCBB24" w14:textId="77777777" w:rsidR="008644E7" w:rsidRPr="00FF5169" w:rsidRDefault="008644E7" w:rsidP="00FF5169">
      <w:pPr>
        <w:pStyle w:val="Heading4"/>
      </w:pPr>
      <w:r w:rsidRPr="00FF5169">
        <w:t>Proposal</w:t>
      </w:r>
    </w:p>
    <w:p w14:paraId="6AA415B7" w14:textId="77777777" w:rsidR="008644E7" w:rsidRDefault="008644E7" w:rsidP="008644E7">
      <w:pPr>
        <w:rPr>
          <w:rFonts w:cs="Arial"/>
          <w:color w:val="auto"/>
          <w:szCs w:val="20"/>
        </w:rPr>
      </w:pPr>
      <w:r w:rsidRPr="00FB65A1">
        <w:rPr>
          <w:rFonts w:cs="Arial"/>
          <w:color w:val="auto"/>
          <w:szCs w:val="20"/>
        </w:rPr>
        <w:t>The Delegate received an application to amend the current Poisons Standard to</w:t>
      </w:r>
      <w:r w:rsidRPr="00FB65A1">
        <w:rPr>
          <w:rFonts w:ascii="Times New Roman" w:eastAsia="Times New Roman" w:hAnsi="Times New Roman" w:cs="Times New Roman"/>
          <w:color w:val="auto"/>
          <w:szCs w:val="20"/>
          <w:lang w:eastAsia="en-AU"/>
        </w:rPr>
        <w:t xml:space="preserve"> </w:t>
      </w:r>
      <w:r w:rsidRPr="00FB65A1">
        <w:rPr>
          <w:rFonts w:cs="Arial"/>
          <w:color w:val="auto"/>
          <w:szCs w:val="20"/>
        </w:rPr>
        <w:t>include chromium</w:t>
      </w:r>
      <w:r w:rsidRPr="00FB65A1">
        <w:rPr>
          <w:rFonts w:cs="Arial"/>
          <w:color w:val="auto"/>
          <w:szCs w:val="20"/>
        </w:rPr>
        <w:noBreakHyphen/>
        <w:t>DL</w:t>
      </w:r>
      <w:r w:rsidRPr="00FB65A1">
        <w:rPr>
          <w:rFonts w:cs="Arial"/>
          <w:color w:val="auto"/>
          <w:szCs w:val="20"/>
        </w:rPr>
        <w:noBreakHyphen/>
        <w:t>methionine in Schedule 6</w:t>
      </w:r>
      <w:r>
        <w:rPr>
          <w:rFonts w:cs="Arial"/>
          <w:color w:val="auto"/>
          <w:szCs w:val="20"/>
        </w:rPr>
        <w:t xml:space="preserve"> (Poison)</w:t>
      </w:r>
      <w:r w:rsidRPr="00FB65A1">
        <w:rPr>
          <w:rFonts w:cs="Arial"/>
          <w:color w:val="auto"/>
          <w:szCs w:val="20"/>
        </w:rPr>
        <w:t xml:space="preserve"> of the Poisons Standard under a new generic entry, </w:t>
      </w:r>
      <w:r>
        <w:rPr>
          <w:rFonts w:cs="Arial"/>
          <w:color w:val="auto"/>
          <w:szCs w:val="20"/>
        </w:rPr>
        <w:t>chromium organic chelates</w:t>
      </w:r>
      <w:r w:rsidRPr="00FB65A1">
        <w:rPr>
          <w:rFonts w:cs="Arial"/>
          <w:color w:val="auto"/>
          <w:szCs w:val="20"/>
        </w:rPr>
        <w:t xml:space="preserve">, with specific exceptions for certain preparations for human internal use and animal feed premixes. Chromium-DL-methionine is not currently </w:t>
      </w:r>
      <w:r>
        <w:rPr>
          <w:rFonts w:cs="Arial"/>
          <w:color w:val="auto"/>
          <w:szCs w:val="20"/>
        </w:rPr>
        <w:t>included</w:t>
      </w:r>
      <w:r w:rsidRPr="00FB65A1">
        <w:rPr>
          <w:rFonts w:cs="Arial"/>
          <w:color w:val="auto"/>
          <w:szCs w:val="20"/>
        </w:rPr>
        <w:t xml:space="preserve"> in the current Poisons Standard and is not covered by other entries for chromium compounds.</w:t>
      </w:r>
    </w:p>
    <w:p w14:paraId="33E1EBD1" w14:textId="55A615DF" w:rsidR="008644E7" w:rsidRPr="00FF5169" w:rsidRDefault="008644E7" w:rsidP="00FF5169">
      <w:pPr>
        <w:pStyle w:val="Heading4"/>
      </w:pPr>
      <w:r w:rsidRPr="00FF5169">
        <w:t>Final decision</w:t>
      </w:r>
    </w:p>
    <w:p w14:paraId="7D207EB3" w14:textId="77777777" w:rsidR="008644E7" w:rsidRPr="00B01737" w:rsidRDefault="008644E7" w:rsidP="008644E7">
      <w:pPr>
        <w:rPr>
          <w:rFonts w:cs="Arial"/>
        </w:rPr>
      </w:pPr>
      <w:r w:rsidRPr="00595BA4">
        <w:rPr>
          <w:rFonts w:cs="Arial"/>
        </w:rPr>
        <w:t xml:space="preserve">Pursuant to regulation </w:t>
      </w:r>
      <w:proofErr w:type="spellStart"/>
      <w:r w:rsidRPr="00595BA4">
        <w:rPr>
          <w:rFonts w:cs="Arial"/>
        </w:rPr>
        <w:t>42ZCZR</w:t>
      </w:r>
      <w:proofErr w:type="spellEnd"/>
      <w:r w:rsidRPr="00595BA4">
        <w:rPr>
          <w:rFonts w:cs="Arial"/>
        </w:rPr>
        <w:t xml:space="preserve"> of the Regulations, the Delegate has made a final decision to</w:t>
      </w:r>
      <w:r w:rsidRPr="00A91C69">
        <w:rPr>
          <w:rFonts w:cs="Arial"/>
        </w:rPr>
        <w:t xml:space="preserve"> not amend the current Poisons Standard in relation to Chromium-DL-methionine (CHROMIUM ORGANIC CHELATES).</w:t>
      </w:r>
    </w:p>
    <w:p w14:paraId="62A987B2" w14:textId="5FA1E39A" w:rsidR="008644E7" w:rsidRPr="00FF5169" w:rsidRDefault="008644E7" w:rsidP="00FF5169">
      <w:pPr>
        <w:pStyle w:val="Heading4"/>
      </w:pPr>
      <w:r w:rsidRPr="00FF5169">
        <w:t>Materials considered</w:t>
      </w:r>
    </w:p>
    <w:p w14:paraId="1CC79C72" w14:textId="77777777" w:rsidR="008644E7" w:rsidRPr="00595BA4" w:rsidRDefault="008644E7" w:rsidP="008644E7">
      <w:pPr>
        <w:rPr>
          <w:rFonts w:cs="Arial"/>
        </w:rPr>
      </w:pPr>
      <w:r w:rsidRPr="00595BA4">
        <w:rPr>
          <w:rFonts w:cs="Arial"/>
        </w:rPr>
        <w:t>In making this final decision, the Delegate considered the following material:</w:t>
      </w:r>
    </w:p>
    <w:p w14:paraId="30C980A8" w14:textId="77777777" w:rsidR="008644E7" w:rsidRPr="007E6B25" w:rsidRDefault="008644E7" w:rsidP="00F26607">
      <w:pPr>
        <w:pStyle w:val="ListBullet"/>
        <w:numPr>
          <w:ilvl w:val="0"/>
          <w:numId w:val="21"/>
        </w:numPr>
      </w:pPr>
      <w:r w:rsidRPr="007E6B25">
        <w:t xml:space="preserve">the application to amend the current Poisons Standard with respect to chromium-DL methionine (the </w:t>
      </w:r>
      <w:r w:rsidRPr="003F6A09">
        <w:rPr>
          <w:b/>
          <w:bCs/>
        </w:rPr>
        <w:t>Application</w:t>
      </w:r>
      <w:r w:rsidRPr="007E6B25">
        <w:t>)</w:t>
      </w:r>
    </w:p>
    <w:p w14:paraId="4ECAF72B" w14:textId="60A571BF" w:rsidR="000C5DBC" w:rsidRDefault="008644E7" w:rsidP="00F26607">
      <w:pPr>
        <w:pStyle w:val="ListBullet"/>
        <w:numPr>
          <w:ilvl w:val="0"/>
          <w:numId w:val="21"/>
        </w:numPr>
      </w:pPr>
      <w:r w:rsidRPr="00072710">
        <w:t xml:space="preserve">6 </w:t>
      </w:r>
      <w:r w:rsidRPr="00D4033F">
        <w:rPr>
          <w:rFonts w:eastAsiaTheme="minorHAnsi"/>
          <w:color w:val="auto"/>
        </w:rPr>
        <w:t>public submissions</w:t>
      </w:r>
      <w:r w:rsidRPr="00D4033F">
        <w:t>, w</w:t>
      </w:r>
      <w:r w:rsidRPr="00072710">
        <w:t xml:space="preserve">ith 3 including a written component, received in response to the </w:t>
      </w:r>
      <w:hyperlink r:id="rId43" w:history="1">
        <w:r w:rsidR="003F6A09" w:rsidRPr="003F6A09">
          <w:rPr>
            <w:rStyle w:val="Hyperlink"/>
          </w:rPr>
          <w:t>pre-meeting consultation</w:t>
        </w:r>
      </w:hyperlink>
      <w:r w:rsidRPr="00072710">
        <w:t xml:space="preserve"> under regulation </w:t>
      </w:r>
      <w:proofErr w:type="spellStart"/>
      <w:r w:rsidRPr="00072710">
        <w:t>42ZCZK</w:t>
      </w:r>
      <w:proofErr w:type="spellEnd"/>
      <w:r w:rsidRPr="00072710">
        <w:t xml:space="preserve"> of the Regulations </w:t>
      </w:r>
      <w:r w:rsidRPr="00072710">
        <w:rPr>
          <w:rFonts w:eastAsiaTheme="minorHAnsi"/>
          <w:color w:val="auto"/>
        </w:rPr>
        <w:t xml:space="preserve">(the </w:t>
      </w:r>
      <w:r w:rsidRPr="003F6A09">
        <w:rPr>
          <w:rFonts w:eastAsiaTheme="minorHAnsi"/>
          <w:b/>
          <w:bCs/>
          <w:color w:val="auto"/>
        </w:rPr>
        <w:t>Submissions</w:t>
      </w:r>
      <w:r w:rsidRPr="00072710">
        <w:rPr>
          <w:rFonts w:eastAsiaTheme="minorHAnsi"/>
          <w:color w:val="auto"/>
        </w:rPr>
        <w:t>)</w:t>
      </w:r>
    </w:p>
    <w:p w14:paraId="3D596C32" w14:textId="7B89CBA2" w:rsidR="008644E7" w:rsidRPr="00072710" w:rsidRDefault="006F79F6" w:rsidP="00F26607">
      <w:pPr>
        <w:pStyle w:val="ListBullet"/>
        <w:numPr>
          <w:ilvl w:val="0"/>
          <w:numId w:val="21"/>
        </w:numPr>
      </w:pPr>
      <w:r w:rsidRPr="006F79F6">
        <w:t xml:space="preserve">the advice received from the 39th meeting of the Advisory Committee on Medicines and the Advisory Committee on Chemicals Scheduling in a </w:t>
      </w:r>
      <w:r w:rsidR="003F6A09">
        <w:t>j</w:t>
      </w:r>
      <w:r w:rsidRPr="006F79F6">
        <w:t xml:space="preserve">oint session (the </w:t>
      </w:r>
      <w:r w:rsidRPr="003F6A09">
        <w:rPr>
          <w:b/>
          <w:bCs/>
        </w:rPr>
        <w:t>Committee</w:t>
      </w:r>
      <w:r w:rsidRPr="006F79F6">
        <w:t>)</w:t>
      </w:r>
    </w:p>
    <w:p w14:paraId="3B27D3E3" w14:textId="4B2B315C" w:rsidR="008644E7" w:rsidRPr="001C7582" w:rsidRDefault="008644E7" w:rsidP="00F26607">
      <w:pPr>
        <w:pStyle w:val="ListBullet"/>
        <w:numPr>
          <w:ilvl w:val="0"/>
          <w:numId w:val="21"/>
        </w:numPr>
      </w:pPr>
      <w:r w:rsidRPr="00B012FC">
        <w:t xml:space="preserve">the </w:t>
      </w:r>
      <w:hyperlink r:id="rId44" w:history="1">
        <w:r w:rsidR="003F6A09" w:rsidRPr="003F6A09">
          <w:rPr>
            <w:rStyle w:val="Hyperlink"/>
          </w:rPr>
          <w:t>interim decision</w:t>
        </w:r>
      </w:hyperlink>
      <w:r w:rsidRPr="00B012FC">
        <w:t xml:space="preserve"> </w:t>
      </w:r>
      <w:r w:rsidRPr="001C7582">
        <w:t>and the materials considered as part of the interim decision, as published on 18 December 2025</w:t>
      </w:r>
    </w:p>
    <w:p w14:paraId="01F88DC6" w14:textId="21F31313" w:rsidR="008644E7" w:rsidRPr="001C7582" w:rsidRDefault="008644E7" w:rsidP="00F26607">
      <w:pPr>
        <w:pStyle w:val="ListBullet"/>
        <w:numPr>
          <w:ilvl w:val="0"/>
          <w:numId w:val="21"/>
        </w:numPr>
      </w:pPr>
      <w:r w:rsidRPr="001C7582">
        <w:t xml:space="preserve">2 </w:t>
      </w:r>
      <w:r w:rsidRPr="00CA0F45">
        <w:t>public submissions</w:t>
      </w:r>
      <w:r w:rsidRPr="001C7582">
        <w:t xml:space="preserve"> received in response to the </w:t>
      </w:r>
      <w:hyperlink r:id="rId45" w:history="1">
        <w:r w:rsidR="006F191D" w:rsidRPr="006F191D">
          <w:rPr>
            <w:rStyle w:val="Hyperlink"/>
          </w:rPr>
          <w:t>public consultation on the interim decision</w:t>
        </w:r>
      </w:hyperlink>
      <w:r w:rsidR="006F191D" w:rsidRPr="006F191D">
        <w:t xml:space="preserve"> </w:t>
      </w:r>
      <w:r w:rsidRPr="001C7582">
        <w:t xml:space="preserve">under regulation </w:t>
      </w:r>
      <w:proofErr w:type="spellStart"/>
      <w:r w:rsidRPr="001C7582">
        <w:t>42ZCZP</w:t>
      </w:r>
      <w:proofErr w:type="spellEnd"/>
      <w:r w:rsidRPr="001C7582">
        <w:t xml:space="preserve"> of the Regulations</w:t>
      </w:r>
    </w:p>
    <w:p w14:paraId="3763A465" w14:textId="46098E51" w:rsidR="008644E7" w:rsidRPr="00B012FC" w:rsidRDefault="008644E7" w:rsidP="00F26607">
      <w:pPr>
        <w:pStyle w:val="ListBullet"/>
        <w:numPr>
          <w:ilvl w:val="0"/>
          <w:numId w:val="21"/>
        </w:numPr>
      </w:pPr>
      <w:r w:rsidRPr="00B012FC">
        <w:t xml:space="preserve">subsection </w:t>
      </w:r>
      <w:proofErr w:type="spellStart"/>
      <w:r w:rsidRPr="00B012FC">
        <w:t>52E</w:t>
      </w:r>
      <w:proofErr w:type="spellEnd"/>
      <w:r w:rsidRPr="00B012FC">
        <w:t>(1)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04A68AC4" w14:textId="77777777" w:rsidR="008644E7" w:rsidRPr="00B012FC" w:rsidRDefault="008644E7" w:rsidP="00F26607">
      <w:pPr>
        <w:pStyle w:val="ListBullet"/>
        <w:numPr>
          <w:ilvl w:val="0"/>
          <w:numId w:val="21"/>
        </w:numPr>
      </w:pPr>
      <w:r w:rsidRPr="00B012FC">
        <w:t xml:space="preserve">pursuant to paragraph </w:t>
      </w:r>
      <w:proofErr w:type="spellStart"/>
      <w:r w:rsidRPr="00B012FC">
        <w:t>52E</w:t>
      </w:r>
      <w:proofErr w:type="spellEnd"/>
      <w:r w:rsidRPr="00B012FC">
        <w:t>(2)(a) of the Act, the SPF, and</w:t>
      </w:r>
    </w:p>
    <w:p w14:paraId="0426440B" w14:textId="2CB881BE" w:rsidR="008644E7" w:rsidRPr="00B012FC" w:rsidRDefault="008644E7" w:rsidP="00F26607">
      <w:pPr>
        <w:pStyle w:val="ListBullet"/>
        <w:numPr>
          <w:ilvl w:val="0"/>
          <w:numId w:val="21"/>
        </w:numPr>
      </w:pPr>
      <w:r w:rsidRPr="00B012FC">
        <w:t>the Handbook.</w:t>
      </w:r>
    </w:p>
    <w:p w14:paraId="4B0D0E5F" w14:textId="77777777" w:rsidR="008644E7" w:rsidRPr="00CE434F" w:rsidRDefault="008644E7" w:rsidP="008644E7">
      <w:pPr>
        <w:keepNext/>
        <w:keepLines/>
        <w:spacing w:before="360" w:line="240" w:lineRule="atLeast"/>
        <w:outlineLvl w:val="3"/>
        <w:rPr>
          <w:rFonts w:eastAsia="Cambria" w:cs="Times New Roman"/>
          <w:bCs/>
          <w:color w:val="001871"/>
          <w:sz w:val="28"/>
          <w:szCs w:val="26"/>
        </w:rPr>
      </w:pPr>
      <w:r w:rsidRPr="00CE434F">
        <w:rPr>
          <w:rFonts w:eastAsia="Cambria" w:cs="Times New Roman"/>
          <w:bCs/>
          <w:color w:val="001871"/>
          <w:sz w:val="28"/>
          <w:szCs w:val="26"/>
        </w:rPr>
        <w:lastRenderedPageBreak/>
        <w:t>Reasons for the final decision (including findings on material questions of fact)</w:t>
      </w:r>
    </w:p>
    <w:p w14:paraId="4EED2B14" w14:textId="710AD6F7" w:rsidR="008644E7" w:rsidRPr="00AD10DE" w:rsidRDefault="008644E7" w:rsidP="008644E7">
      <w:pPr>
        <w:rPr>
          <w:rFonts w:cs="Arial"/>
          <w:color w:val="000000"/>
        </w:rPr>
      </w:pPr>
      <w:r w:rsidRPr="00595BA4">
        <w:t xml:space="preserve">I have made a final decision </w:t>
      </w:r>
      <w:r>
        <w:t>not</w:t>
      </w:r>
      <w:r w:rsidRPr="00595BA4">
        <w:t xml:space="preserve"> to amend the current Poisons Standard with respect to</w:t>
      </w:r>
      <w:r w:rsidRPr="00134383">
        <w:t xml:space="preserve"> chromium-DL-methionine</w:t>
      </w:r>
      <w:r>
        <w:t>.</w:t>
      </w:r>
      <w:r w:rsidRPr="00F256B0">
        <w:rPr>
          <w:szCs w:val="20"/>
        </w:rPr>
        <w:t xml:space="preserve"> </w:t>
      </w:r>
      <w:r>
        <w:rPr>
          <w:szCs w:val="20"/>
        </w:rPr>
        <w:t xml:space="preserve">My reasons for making the final decision are set out in the </w:t>
      </w:r>
      <w:hyperlink r:id="rId46" w:history="1">
        <w:r w:rsidRPr="002D0DB5">
          <w:rPr>
            <w:rStyle w:val="Hyperlink"/>
            <w:szCs w:val="20"/>
          </w:rPr>
          <w:t>interim decision</w:t>
        </w:r>
      </w:hyperlink>
      <w:r>
        <w:rPr>
          <w:szCs w:val="20"/>
        </w:rPr>
        <w:t>.</w:t>
      </w:r>
      <w:r>
        <w:t xml:space="preserve"> </w:t>
      </w:r>
      <w:r w:rsidRPr="00595BA4">
        <w:t>In making my final decision, I have considered the information previously considered in the interim decision</w:t>
      </w:r>
      <w:r>
        <w:t xml:space="preserve">, as well as the </w:t>
      </w:r>
      <w:r w:rsidR="00705425">
        <w:t>2</w:t>
      </w:r>
      <w:r w:rsidR="00705425" w:rsidRPr="00595BA4">
        <w:t xml:space="preserve"> </w:t>
      </w:r>
      <w:r w:rsidRPr="00595BA4">
        <w:t xml:space="preserve">public </w:t>
      </w:r>
      <w:r w:rsidRPr="00AD10DE">
        <w:rPr>
          <w:szCs w:val="20"/>
        </w:rPr>
        <w:t xml:space="preserve">submissions from professional peak bodies that were received via public consultation on the interim decision. </w:t>
      </w:r>
      <w:r w:rsidRPr="00AD10DE">
        <w:rPr>
          <w:rFonts w:cs="Arial"/>
          <w:color w:val="000000"/>
          <w:szCs w:val="20"/>
        </w:rPr>
        <w:t>No written components were provided with these submissions.</w:t>
      </w:r>
    </w:p>
    <w:p w14:paraId="7B9A6C90" w14:textId="28626E9B" w:rsidR="008644E7" w:rsidRDefault="008644E7" w:rsidP="008644E7">
      <w:pPr>
        <w:spacing w:after="160"/>
        <w:rPr>
          <w:rFonts w:cs="Arial"/>
          <w:szCs w:val="20"/>
        </w:rPr>
      </w:pPr>
      <w:r w:rsidRPr="00B51368">
        <w:rPr>
          <w:rFonts w:cs="Arial"/>
          <w:szCs w:val="20"/>
        </w:rPr>
        <w:t>The submissions supported the interim decision not to amend the current Poisons Standard in relation to chromium-DL-methionine (CHROMIUM ORGANIC CHELATES).</w:t>
      </w:r>
    </w:p>
    <w:p w14:paraId="6E43C965" w14:textId="13AB388C" w:rsidR="008644E7" w:rsidRPr="00B51368" w:rsidRDefault="008644E7" w:rsidP="008644E7">
      <w:pPr>
        <w:rPr>
          <w:rFonts w:cs="Arial"/>
          <w:szCs w:val="20"/>
        </w:rPr>
      </w:pPr>
      <w:r w:rsidRPr="00B51368">
        <w:rPr>
          <w:rFonts w:cs="Arial"/>
          <w:szCs w:val="20"/>
        </w:rPr>
        <w:t>Furthermore, I note that</w:t>
      </w:r>
      <w:r w:rsidRPr="00B51368">
        <w:rPr>
          <w:rFonts w:cs="Arial"/>
          <w:color w:val="000000"/>
          <w:szCs w:val="20"/>
        </w:rPr>
        <w:t xml:space="preserve"> European Food Safety Authority</w:t>
      </w:r>
      <w:r>
        <w:rPr>
          <w:rFonts w:cs="Arial"/>
          <w:color w:val="000000"/>
          <w:szCs w:val="20"/>
        </w:rPr>
        <w:t>, in 2020, concluded that the product containing chelated chromium was safe for consumers of products derived from the animals fed this additive. The Panel concluded that the additive should be considered a skin sensitiser, however</w:t>
      </w:r>
      <w:r w:rsidR="00705425">
        <w:rPr>
          <w:rFonts w:cs="Arial"/>
          <w:color w:val="000000"/>
          <w:szCs w:val="20"/>
        </w:rPr>
        <w:t>,</w:t>
      </w:r>
      <w:r>
        <w:rPr>
          <w:rFonts w:cs="Arial"/>
          <w:color w:val="000000"/>
          <w:szCs w:val="20"/>
        </w:rPr>
        <w:t xml:space="preserve"> I consider the risk to farmers to be minimal</w:t>
      </w:r>
      <w:r w:rsidRPr="00B51368">
        <w:rPr>
          <w:rFonts w:cs="Arial"/>
          <w:color w:val="000000"/>
          <w:szCs w:val="20"/>
        </w:rPr>
        <w:t>.</w:t>
      </w:r>
      <w:r w:rsidRPr="00B51368">
        <w:rPr>
          <w:rStyle w:val="FootnoteReference"/>
          <w:rFonts w:cs="Arial"/>
          <w:szCs w:val="20"/>
        </w:rPr>
        <w:footnoteReference w:id="11"/>
      </w:r>
    </w:p>
    <w:bookmarkEnd w:id="42"/>
    <w:p w14:paraId="33AB0A7D" w14:textId="513A2301" w:rsidR="0075667C" w:rsidRDefault="008644E7" w:rsidP="0075667C">
      <w:pPr>
        <w:rPr>
          <w:rFonts w:cs="Arial"/>
          <w:szCs w:val="20"/>
        </w:rPr>
      </w:pPr>
      <w:r>
        <w:rPr>
          <w:rFonts w:cs="Arial"/>
          <w:szCs w:val="20"/>
        </w:rPr>
        <w:t xml:space="preserve">I maintain that the </w:t>
      </w:r>
      <w:r w:rsidRPr="00BF09CA">
        <w:rPr>
          <w:rFonts w:cs="Arial"/>
          <w:szCs w:val="20"/>
        </w:rPr>
        <w:t>limited data available d</w:t>
      </w:r>
      <w:r>
        <w:rPr>
          <w:rFonts w:cs="Arial"/>
          <w:szCs w:val="20"/>
        </w:rPr>
        <w:t>oes</w:t>
      </w:r>
      <w:r w:rsidRPr="00BF09CA">
        <w:rPr>
          <w:rFonts w:cs="Arial"/>
          <w:szCs w:val="20"/>
        </w:rPr>
        <w:t xml:space="preserve"> not align with the criteria for chromium-DL-methionine to be</w:t>
      </w:r>
      <w:r>
        <w:rPr>
          <w:rFonts w:cs="Arial"/>
          <w:szCs w:val="20"/>
        </w:rPr>
        <w:t xml:space="preserve"> included in </w:t>
      </w:r>
      <w:r w:rsidRPr="00BF09CA">
        <w:rPr>
          <w:rFonts w:cs="Arial"/>
          <w:szCs w:val="20"/>
        </w:rPr>
        <w:t xml:space="preserve">Schedule 6 </w:t>
      </w:r>
      <w:r>
        <w:rPr>
          <w:rFonts w:cs="Arial"/>
          <w:szCs w:val="20"/>
        </w:rPr>
        <w:t>(</w:t>
      </w:r>
      <w:r w:rsidRPr="00BF09CA">
        <w:rPr>
          <w:rFonts w:cs="Arial"/>
          <w:szCs w:val="20"/>
        </w:rPr>
        <w:t>Poison</w:t>
      </w:r>
      <w:r>
        <w:rPr>
          <w:rFonts w:cs="Arial"/>
          <w:szCs w:val="20"/>
        </w:rPr>
        <w:t>)</w:t>
      </w:r>
      <w:r w:rsidRPr="00BF09CA">
        <w:rPr>
          <w:rFonts w:cs="Arial"/>
          <w:szCs w:val="20"/>
        </w:rPr>
        <w:t xml:space="preserve">, under the Scheduling Policy Framework. </w:t>
      </w:r>
      <w:r w:rsidRPr="00B51368">
        <w:rPr>
          <w:rFonts w:cs="Arial"/>
          <w:szCs w:val="20"/>
        </w:rPr>
        <w:t xml:space="preserve">Consequently, I have decided that maintaining the </w:t>
      </w:r>
      <w:proofErr w:type="gramStart"/>
      <w:r w:rsidRPr="00B51368">
        <w:rPr>
          <w:rFonts w:cs="Arial"/>
          <w:szCs w:val="20"/>
        </w:rPr>
        <w:t>current status</w:t>
      </w:r>
      <w:proofErr w:type="gramEnd"/>
      <w:r w:rsidRPr="00B51368">
        <w:rPr>
          <w:rFonts w:cs="Arial"/>
          <w:szCs w:val="20"/>
        </w:rPr>
        <w:t xml:space="preserve"> is appropriate</w:t>
      </w:r>
      <w:r w:rsidR="0075667C">
        <w:rPr>
          <w:rFonts w:cs="Arial"/>
          <w:szCs w:val="20"/>
        </w:rPr>
        <w:t xml:space="preserve"> and </w:t>
      </w:r>
      <w:r w:rsidR="00705425">
        <w:rPr>
          <w:rFonts w:cs="Arial"/>
          <w:szCs w:val="20"/>
        </w:rPr>
        <w:t xml:space="preserve">will </w:t>
      </w:r>
      <w:r w:rsidR="0075667C">
        <w:rPr>
          <w:rFonts w:cs="Arial"/>
          <w:szCs w:val="20"/>
        </w:rPr>
        <w:t>e</w:t>
      </w:r>
      <w:r w:rsidRPr="00B51368">
        <w:rPr>
          <w:rFonts w:cs="Arial"/>
          <w:szCs w:val="20"/>
        </w:rPr>
        <w:t>nsur</w:t>
      </w:r>
      <w:r w:rsidR="0075667C">
        <w:rPr>
          <w:rFonts w:cs="Arial"/>
          <w:szCs w:val="20"/>
        </w:rPr>
        <w:t xml:space="preserve">e </w:t>
      </w:r>
      <w:r w:rsidRPr="00B51368">
        <w:rPr>
          <w:rFonts w:cs="Arial"/>
          <w:szCs w:val="20"/>
        </w:rPr>
        <w:t xml:space="preserve">that regulatory measures continue to adequately protect public health without </w:t>
      </w:r>
      <w:r>
        <w:rPr>
          <w:rFonts w:cs="Arial"/>
          <w:szCs w:val="20"/>
        </w:rPr>
        <w:t>inadvertently impacting</w:t>
      </w:r>
      <w:r w:rsidRPr="00B51368">
        <w:rPr>
          <w:rFonts w:cs="Arial"/>
          <w:szCs w:val="20"/>
        </w:rPr>
        <w:t xml:space="preserve"> existing therapeutic goods</w:t>
      </w:r>
      <w:bookmarkStart w:id="45" w:name="_Toc164149822"/>
      <w:r w:rsidR="006D53F3">
        <w:rPr>
          <w:rFonts w:cs="Arial"/>
          <w:szCs w:val="20"/>
        </w:rPr>
        <w:t>.</w:t>
      </w:r>
      <w:bookmarkEnd w:id="45"/>
    </w:p>
    <w:p w14:paraId="50E2E01D" w14:textId="77777777" w:rsidR="0075667C" w:rsidRDefault="0075667C" w:rsidP="00E25235">
      <w:r>
        <w:br w:type="page"/>
      </w:r>
    </w:p>
    <w:p w14:paraId="25C47215" w14:textId="13D44189" w:rsidR="005951C6" w:rsidRPr="0075667C" w:rsidRDefault="005951C6" w:rsidP="0075667C">
      <w:pPr>
        <w:pStyle w:val="Heading2"/>
      </w:pPr>
      <w:bookmarkStart w:id="46" w:name="_Toc230353667"/>
      <w:r w:rsidRPr="00014258">
        <w:lastRenderedPageBreak/>
        <w:t xml:space="preserve">Final decisions on proposed amendments to the current Poisons Standard under regulation </w:t>
      </w:r>
      <w:proofErr w:type="spellStart"/>
      <w:r w:rsidRPr="00014258">
        <w:t>42ZCZ</w:t>
      </w:r>
      <w:r w:rsidR="00706696">
        <w:t>W</w:t>
      </w:r>
      <w:bookmarkEnd w:id="46"/>
      <w:proofErr w:type="spellEnd"/>
    </w:p>
    <w:p w14:paraId="0AC30E34" w14:textId="18EF888F" w:rsidR="005951C6" w:rsidRDefault="00014258" w:rsidP="00014258">
      <w:pPr>
        <w:pStyle w:val="Heading3"/>
      </w:pPr>
      <w:bookmarkStart w:id="47" w:name="_Toc230353668"/>
      <w:r>
        <w:t>Final decision in relation to</w:t>
      </w:r>
      <w:r w:rsidRPr="008F62CE">
        <w:rPr>
          <w:rFonts w:eastAsia="Cambria"/>
        </w:rPr>
        <w:t xml:space="preserve"> </w:t>
      </w:r>
      <w:r w:rsidR="00A73969" w:rsidRPr="00A73969">
        <w:rPr>
          <w:rFonts w:eastAsia="Cambria"/>
        </w:rPr>
        <w:t>bromoxynil</w:t>
      </w:r>
      <w:bookmarkEnd w:id="47"/>
    </w:p>
    <w:p w14:paraId="6AB745AC" w14:textId="2791DBBD" w:rsidR="00706696" w:rsidRPr="00BB34CD" w:rsidRDefault="00706696" w:rsidP="00706696">
      <w:pPr>
        <w:pStyle w:val="Heading4"/>
      </w:pPr>
      <w:r w:rsidRPr="00BB34CD">
        <w:t>Final Decision</w:t>
      </w:r>
    </w:p>
    <w:p w14:paraId="13F9AB05" w14:textId="68D3864B" w:rsidR="00706696" w:rsidRPr="002A208F" w:rsidRDefault="00A73969" w:rsidP="00706696">
      <w:r w:rsidRPr="00A73969">
        <w:t xml:space="preserve">Pursuant to r </w:t>
      </w:r>
      <w:proofErr w:type="spellStart"/>
      <w:r w:rsidRPr="00A73969">
        <w:t>42ZCZW</w:t>
      </w:r>
      <w:proofErr w:type="spellEnd"/>
      <w:r w:rsidRPr="00A73969">
        <w:t xml:space="preserve"> of the Regulations, the Delegate has made a final decision not to amend the current Poisons Standard in relation to bromoxynil.</w:t>
      </w:r>
    </w:p>
    <w:p w14:paraId="14EFF1A0" w14:textId="77777777" w:rsidR="00706696" w:rsidRPr="00215D48" w:rsidRDefault="00706696" w:rsidP="00706696">
      <w:pPr>
        <w:pStyle w:val="Heading4"/>
      </w:pPr>
      <w:bookmarkStart w:id="48" w:name="_Toc164061985"/>
      <w:r>
        <w:t>Materials considered</w:t>
      </w:r>
      <w:bookmarkEnd w:id="48"/>
    </w:p>
    <w:p w14:paraId="54154A09" w14:textId="77777777" w:rsidR="00706696" w:rsidRPr="002A208F" w:rsidRDefault="00706696" w:rsidP="00706696">
      <w:r w:rsidRPr="002A208F">
        <w:t>In making this final decision, the Delegate considered the following material:</w:t>
      </w:r>
    </w:p>
    <w:p w14:paraId="4FC61CFA" w14:textId="173434EC" w:rsidR="00706696" w:rsidRDefault="00F26607" w:rsidP="00F26607">
      <w:pPr>
        <w:pStyle w:val="ListBullet"/>
        <w:numPr>
          <w:ilvl w:val="0"/>
          <w:numId w:val="22"/>
        </w:numPr>
      </w:pPr>
      <w:r w:rsidRPr="007E6B25">
        <w:t xml:space="preserve">the application to amend the current Poisons Standard with respect to </w:t>
      </w:r>
      <w:r w:rsidRPr="00A73969">
        <w:t>bromoxynil</w:t>
      </w:r>
      <w:r w:rsidRPr="007E6B25">
        <w:t xml:space="preserve"> (the </w:t>
      </w:r>
      <w:r w:rsidRPr="003F6A09">
        <w:rPr>
          <w:b/>
          <w:bCs/>
        </w:rPr>
        <w:t>Application</w:t>
      </w:r>
      <w:r w:rsidRPr="007E6B25">
        <w:t>)</w:t>
      </w:r>
    </w:p>
    <w:p w14:paraId="1BDED576" w14:textId="73481616" w:rsidR="00165900" w:rsidRPr="008D13D3" w:rsidRDefault="00165900" w:rsidP="00F26607">
      <w:pPr>
        <w:pStyle w:val="ListBullet"/>
        <w:numPr>
          <w:ilvl w:val="0"/>
          <w:numId w:val="22"/>
        </w:numPr>
      </w:pPr>
      <w:r>
        <w:t xml:space="preserve">the interim decision notified in writing to the applicant on </w:t>
      </w:r>
      <w:r w:rsidR="00A73969" w:rsidRPr="00A73969">
        <w:t>27 February 2026</w:t>
      </w:r>
    </w:p>
    <w:p w14:paraId="1E9919E3" w14:textId="77777777" w:rsidR="00A73969" w:rsidRDefault="00706696" w:rsidP="00F26607">
      <w:pPr>
        <w:pStyle w:val="ListBullet"/>
        <w:numPr>
          <w:ilvl w:val="0"/>
          <w:numId w:val="22"/>
        </w:numPr>
      </w:pPr>
      <w:r w:rsidRPr="002A208F">
        <w:t xml:space="preserve">subsection </w:t>
      </w:r>
      <w:proofErr w:type="spellStart"/>
      <w:r w:rsidRPr="002A208F">
        <w:t>52E</w:t>
      </w:r>
      <w:proofErr w:type="spellEnd"/>
      <w:r w:rsidRPr="002A208F">
        <w:t xml:space="preserve">(1) of the </w:t>
      </w:r>
      <w:r w:rsidRPr="002A208F">
        <w:rPr>
          <w:i/>
          <w:iCs/>
        </w:rPr>
        <w:t>Therapeutic Goods Act 1989</w:t>
      </w:r>
      <w:r w:rsidRPr="002A208F">
        <w:t xml:space="preserve"> (</w:t>
      </w:r>
      <w:proofErr w:type="spellStart"/>
      <w:r w:rsidRPr="002A208F">
        <w:t>Cth</w:t>
      </w:r>
      <w:proofErr w:type="spellEnd"/>
      <w:r w:rsidRPr="002A208F">
        <w:t xml:space="preserve">) </w:t>
      </w:r>
      <w:r w:rsidRPr="002A208F">
        <w:rPr>
          <w:iCs/>
        </w:rPr>
        <w:t xml:space="preserve">(the </w:t>
      </w:r>
      <w:r w:rsidRPr="002A208F">
        <w:rPr>
          <w:b/>
          <w:bCs/>
          <w:iCs/>
        </w:rPr>
        <w:t>Act</w:t>
      </w:r>
      <w:r w:rsidRPr="002A208F">
        <w:rPr>
          <w:iCs/>
        </w:rPr>
        <w:t>)</w:t>
      </w:r>
      <w:r w:rsidRPr="002A208F">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6E9AD631" w14:textId="7113F87B" w:rsidR="00A73969" w:rsidRDefault="00A539E6" w:rsidP="00F26607">
      <w:pPr>
        <w:pStyle w:val="ListBullet"/>
        <w:numPr>
          <w:ilvl w:val="0"/>
          <w:numId w:val="22"/>
        </w:numPr>
      </w:pPr>
      <w:r w:rsidRPr="007A0C0C">
        <w:t xml:space="preserve">pursuant to paragraph </w:t>
      </w:r>
      <w:proofErr w:type="spellStart"/>
      <w:r w:rsidRPr="007A0C0C">
        <w:t>52E</w:t>
      </w:r>
      <w:proofErr w:type="spellEnd"/>
      <w:r w:rsidRPr="007A0C0C">
        <w:t>(2)(a) of the Act, the SPF</w:t>
      </w:r>
      <w:r w:rsidR="00A73969" w:rsidRPr="002A208F">
        <w:t>, and</w:t>
      </w:r>
    </w:p>
    <w:p w14:paraId="0D9860A3" w14:textId="2E65E7A1" w:rsidR="00A73969" w:rsidRDefault="00A539E6" w:rsidP="00F26607">
      <w:pPr>
        <w:pStyle w:val="ListBullet"/>
        <w:numPr>
          <w:ilvl w:val="0"/>
          <w:numId w:val="22"/>
        </w:numPr>
      </w:pPr>
      <w:r>
        <w:rPr>
          <w:szCs w:val="20"/>
        </w:rPr>
        <w:t>t</w:t>
      </w:r>
      <w:r w:rsidR="00A73969" w:rsidRPr="00A73969">
        <w:rPr>
          <w:szCs w:val="20"/>
        </w:rPr>
        <w:t xml:space="preserve">he </w:t>
      </w:r>
      <w:r w:rsidR="00A73969" w:rsidRPr="00A73969">
        <w:t>Handbook</w:t>
      </w:r>
      <w:r w:rsidR="00A73969">
        <w:t>.</w:t>
      </w:r>
    </w:p>
    <w:p w14:paraId="586ACAFA" w14:textId="7D07E40A" w:rsidR="00706696" w:rsidRDefault="00706696" w:rsidP="00F26607">
      <w:r>
        <w:t>The applicant did not make a submission on the interim decision.</w:t>
      </w:r>
    </w:p>
    <w:p w14:paraId="41094898" w14:textId="77777777" w:rsidR="00706696" w:rsidRPr="00A73969" w:rsidRDefault="00706696" w:rsidP="00A73969">
      <w:pPr>
        <w:pStyle w:val="Heading4"/>
      </w:pPr>
      <w:r w:rsidRPr="00A73969">
        <w:t>Proposal</w:t>
      </w:r>
    </w:p>
    <w:p w14:paraId="1C32D75F" w14:textId="31A29171" w:rsidR="00706696" w:rsidRDefault="00A73969" w:rsidP="00706696">
      <w:r w:rsidRPr="00A73969">
        <w:t>Bromoxynil is listed in the current Poisons Standard as Dangerous poison (Schedule 7) except for preparations containing 1.5% or less of bromoxynil that are considered Poison (Schedule 6). The Application proposes to down schedule all bromoxynil preparations for agricultural or industrial use in containers with a nominal capacity of 20 L or more from Schedule 7 to Schedule 6 irrespective of bromoxynil content. The purpose is to make these high-volume preparations intended for agricultural or industrial use available without the additional restrictions on the availability, possession, storage or use applicable to Schedule 7 substances.</w:t>
      </w:r>
    </w:p>
    <w:p w14:paraId="657D1D6B" w14:textId="21A1411A" w:rsidR="00706696" w:rsidRPr="00A620B8" w:rsidRDefault="00832F38" w:rsidP="00706696">
      <w:pPr>
        <w:pStyle w:val="Heading4"/>
      </w:pPr>
      <w:bookmarkStart w:id="49" w:name="_Toc164061987"/>
      <w:r>
        <w:t>Reasons for the f</w:t>
      </w:r>
      <w:r w:rsidR="00B16C83">
        <w:t>inal</w:t>
      </w:r>
      <w:r w:rsidR="00B16C83" w:rsidRPr="00A620B8">
        <w:t xml:space="preserve"> </w:t>
      </w:r>
      <w:r w:rsidR="00706696" w:rsidRPr="00A620B8">
        <w:t>decision</w:t>
      </w:r>
      <w:bookmarkEnd w:id="49"/>
    </w:p>
    <w:p w14:paraId="57A1B1EB" w14:textId="4D6497C5" w:rsidR="00A73969" w:rsidRDefault="00A73969" w:rsidP="00A73969">
      <w:r>
        <w:t xml:space="preserve">The proposal was not referred to an advisory committee for advice. Pursuant to r </w:t>
      </w:r>
      <w:proofErr w:type="spellStart"/>
      <w:r w:rsidR="00B16C83">
        <w:t>42ZCZW</w:t>
      </w:r>
      <w:proofErr w:type="spellEnd"/>
      <w:r w:rsidR="00B16C83">
        <w:t xml:space="preserve"> </w:t>
      </w:r>
      <w:r>
        <w:t xml:space="preserve">of the Regulations, I made a </w:t>
      </w:r>
      <w:r w:rsidR="00B16C83">
        <w:t xml:space="preserve">final </w:t>
      </w:r>
      <w:r>
        <w:t xml:space="preserve">decision to not amend the current Poisons Standard in relation to bromoxynil. </w:t>
      </w:r>
      <w:r w:rsidR="00B16C83">
        <w:t xml:space="preserve">My reasons for making the final decision are those set out in the interim decision sent to the applicant. </w:t>
      </w:r>
      <w:r w:rsidR="00A23F19" w:rsidRPr="00A23F19">
        <w:t xml:space="preserve">In accordance with r </w:t>
      </w:r>
      <w:proofErr w:type="spellStart"/>
      <w:r w:rsidR="00A23F19" w:rsidRPr="00A23F19">
        <w:t>42ZCZV</w:t>
      </w:r>
      <w:proofErr w:type="spellEnd"/>
      <w:r w:rsidR="00A23F19" w:rsidRPr="00A23F19">
        <w:t xml:space="preserve"> of the Regulations, the interim decision was communicated to the applicant on 27 February 2026 and written submissions on the interim decision was invited.</w:t>
      </w:r>
      <w:r w:rsidR="00A23F19">
        <w:t xml:space="preserve"> </w:t>
      </w:r>
      <w:r w:rsidR="00B16C83">
        <w:t xml:space="preserve">No submission on the interim decision was received from the applicant. </w:t>
      </w:r>
      <w:r>
        <w:t>The reasons for my decision follow.</w:t>
      </w:r>
    </w:p>
    <w:p w14:paraId="71335EE2" w14:textId="48C9AC14" w:rsidR="00A73969" w:rsidRDefault="00A73969" w:rsidP="00A73969">
      <w:r>
        <w:lastRenderedPageBreak/>
        <w:t>Bromoxynil is an herbicide used to control broad-leaf weeds in domestic (particularly useful in Buffalo lawns), agricultural (crops including wheat, oats, barley, rye, linseed and lucerne) and commercial (turf) settings and for environmental management of invasive weeds. It disrupts energy production and respiration via uncoupling oxidative phosphorylation in mitochondria in plants, animals and humans. To date, there is no specific antidote available for use in bromoxynil poisonings. Fatalities from the ingestion of bromoxynil containing products have been reported to the jurisdictional Poison Information Centres (</w:t>
      </w:r>
      <w:proofErr w:type="spellStart"/>
      <w:r>
        <w:t>PICs</w:t>
      </w:r>
      <w:proofErr w:type="spellEnd"/>
      <w:r>
        <w:t>) and in the literature. Considering the serious harm including death from intentional ingestion of high concertation bromoxynil products, preparations containing more than 1.5% bromoxynil were placed in Schedule 7.</w:t>
      </w:r>
    </w:p>
    <w:p w14:paraId="5ACBEE20" w14:textId="77777777" w:rsidR="00A73969" w:rsidRDefault="00A73969" w:rsidP="00A73969">
      <w:r>
        <w:t>Due to the associated high risk, Schedule 7 substances should be available only to specialised or authorised users who have the skills necessary to handle them safely. Further, products containing Schedule 7 substances must be stored in an area and a manner, that does not allow access by the public. No such restrictions apply to products containing Schedule 6 substances. The applicant argues that exempting bromoxynil products in containers with more than 20 L from Schedule 7 will reduce the high compliance burden on agricultural and industrial end users by removing the additional regulatory requirements relating to transport, logistics and storage of Schedule 7 substances.</w:t>
      </w:r>
    </w:p>
    <w:p w14:paraId="5C7B1C5D" w14:textId="77777777" w:rsidR="00A73969" w:rsidRDefault="00A73969" w:rsidP="00A73969">
      <w:r>
        <w:t>The applicant further stated that their proposed changes would maintain controls on access for the domestic user at the same level as achieved by the current scheduling of bromoxynil. The applicant considers that in domestic settings, herbicides are not used in large volumes and therefore, domestic user access to large volume products containing more than 1.5% bromoxynil will be limited. Smaller volumes of products containing more than 1.5% bromoxynil will remain in Schedule 7 and would not be accessible to domestic users, while lower concentration Schedule 6 bromoxynil products in appropriate container sizes will continue to be available for domestic use.</w:t>
      </w:r>
    </w:p>
    <w:p w14:paraId="79FBF459" w14:textId="1D821674" w:rsidR="00A73969" w:rsidRDefault="00A73969" w:rsidP="00A73969">
      <w:r>
        <w:t>As of April 2026, there are 125 herbicide products registered in the Australian Pesticides and Veterinary Medicines Authority (</w:t>
      </w:r>
      <w:proofErr w:type="spellStart"/>
      <w:r>
        <w:t>APVMA</w:t>
      </w:r>
      <w:proofErr w:type="spellEnd"/>
      <w:r>
        <w:t xml:space="preserve">) Public Chemical Registration Information System that contain bromoxynil, of which 108 are marketed for commercial operators. Almost all are available in containers of more than 20 L, with the majority (87 products) containing 20-25% bromoxynil. It is important to note, that there is no regulatory mechanism that can prohibit a domestic user from buying ≥ 20 L herbicide products containing more than 1.5% bromoxynil, should it be classified as a </w:t>
      </w:r>
      <w:r w:rsidR="00705425">
        <w:t>Schedule </w:t>
      </w:r>
      <w:r>
        <w:t>6 substance. The applicant has not proposed any mechanism to ensure that high volume</w:t>
      </w:r>
      <w:r w:rsidR="00705425">
        <w:t>-</w:t>
      </w:r>
      <w:r>
        <w:t>high concentration bromoxynil preparations are only available to commercial or broad acre agricultural operators, should the proposed down-scheduling of bromoxynil be implemented. I am not convinced that existing general arrangements for preparations containing Schedule 6 substances will be effective in limiting general consumer access to 20 L or larger bromoxynil products which typically contains 14-40% bromoxynil. Ingestion of products containing high concentrations of bromoxynil can be fatal.</w:t>
      </w:r>
    </w:p>
    <w:p w14:paraId="51D9EEFF" w14:textId="77777777" w:rsidR="00A73969" w:rsidRDefault="00A73969" w:rsidP="00A73969">
      <w:r>
        <w:t xml:space="preserve">The applicant, based on their emergency response and adverse incident records, claimed their products intended for agricultural and industrial use have been widely and safely used for many years. Access control through scheduling applies to substances rather than individual products. However, jurisdictional </w:t>
      </w:r>
      <w:proofErr w:type="spellStart"/>
      <w:r>
        <w:t>PICs</w:t>
      </w:r>
      <w:proofErr w:type="spellEnd"/>
      <w:r>
        <w:t xml:space="preserve"> reported 11 cases of bromoxynil self-poisonings between April 2023 and February 2025. Four of these incidents resulted in deaths while 4 were severely life-threating, and at least 5 of these incidents involved preparations containing 20% bromoxynil.</w:t>
      </w:r>
    </w:p>
    <w:p w14:paraId="30B27F6F" w14:textId="77777777" w:rsidR="00A73969" w:rsidRDefault="00A73969" w:rsidP="00A73969">
      <w:r>
        <w:t xml:space="preserve">The applicant, with reference to my earlier decision to classify products containing more than 1.5% bromoxynil as Schedule 7 substances, noted that intentional ingestion of concentrated bromoxynil products resulting in serious harm have occurred in urban or domestic settings. My reasoning did not exclude incidents from regional or rural areas. Further, analysis of the April 2023–February 2025 data from </w:t>
      </w:r>
      <w:proofErr w:type="spellStart"/>
      <w:r>
        <w:t>PICs</w:t>
      </w:r>
      <w:proofErr w:type="spellEnd"/>
      <w:r>
        <w:t xml:space="preserve"> indicate that incidents of intentional self-poisoning with bromoxynil were not limited to city or urban areas. Therefore, I am not satisfied that restricting domestic user access to smaller volumes of high concentration bromoxynil products as the sole regulatory measure will mitigate the risk of self-harm in rural or agricultural settings.</w:t>
      </w:r>
    </w:p>
    <w:p w14:paraId="4ACF9426" w14:textId="28A0FB89" w:rsidR="00A73969" w:rsidRDefault="00A73969" w:rsidP="00A73969">
      <w:r>
        <w:t xml:space="preserve">The applicant also referred to the classification of methylcyclopentadienyl manganese tricarbonyl (MMT), which is exempted from its Schedule 7 classification when packed for industrial use in </w:t>
      </w:r>
      <w:r>
        <w:lastRenderedPageBreak/>
        <w:t>containers with a nominal capacity of 100 L or more. MMT is an additive in automotive lead replacement petrol (</w:t>
      </w:r>
      <w:proofErr w:type="spellStart"/>
      <w:r>
        <w:t>LRP</w:t>
      </w:r>
      <w:proofErr w:type="spellEnd"/>
      <w:r>
        <w:t xml:space="preserve">) which is either pre-blended at the refinery or added to unleaded petrol by the consumer. Preparations containing more than 10% MMT </w:t>
      </w:r>
      <w:proofErr w:type="gramStart"/>
      <w:r>
        <w:t>were considered to be</w:t>
      </w:r>
      <w:proofErr w:type="gramEnd"/>
      <w:r>
        <w:t xml:space="preserve"> a Schedule 7 poison because of its acute toxic effects in animals and possible lethal effect in children in case of accidental ingestion. Unlike the reports of self-harm from bromoxynil, I have not received any reports of accidental or intentional poisoning from MMT. </w:t>
      </w:r>
      <w:r w:rsidR="00B16C83">
        <w:t>I do not consider that t</w:t>
      </w:r>
      <w:r>
        <w:t>he risk</w:t>
      </w:r>
      <w:r w:rsidR="00B16C83">
        <w:t>s</w:t>
      </w:r>
      <w:r>
        <w:t xml:space="preserve"> for bromoxynil are </w:t>
      </w:r>
      <w:r w:rsidR="00B16C83">
        <w:t xml:space="preserve">directly </w:t>
      </w:r>
      <w:r>
        <w:t>comparable to that of MMT.</w:t>
      </w:r>
    </w:p>
    <w:p w14:paraId="187352F1" w14:textId="77777777" w:rsidR="00A73969" w:rsidRDefault="00A73969" w:rsidP="00A73969">
      <w:r>
        <w:t>I also note that the container volumes of commercial bromoxynil products vary form 1-1000 L and 122 of them have a nominal volume of 20 L or less as well as more than 20 L (April 2026 data). Exempting containers of more than 20 L of bromoxynil poses the challenge of having single products with different scheduling based on volumes and will impact all businesses producing different pack sizes as it would not be possible to market products with the different signal headings and access controls. It is not clear whether broader consultation within the industry was undertaken in preparing this application.</w:t>
      </w:r>
    </w:p>
    <w:p w14:paraId="1B41B8ED" w14:textId="1867FD5D" w:rsidR="00A73969" w:rsidRDefault="00A73969" w:rsidP="00A73969">
      <w:r>
        <w:t>My earlier decision dated 4 September 2023 to change the scheduling of bromoxynil was made following the consideration of advice from the Advisory Committee on Chemicals Scheduling (ACCS 36, March 2023), poisoning and self-harm data provided by the PICS, and submissions received through two public consultations conducted in January 2023 and July–August 2023.</w:t>
      </w:r>
      <w:r w:rsidR="005C23D3">
        <w:rPr>
          <w:rStyle w:val="FootnoteReference"/>
        </w:rPr>
        <w:footnoteReference w:id="12"/>
      </w:r>
      <w:r>
        <w:t xml:space="preserve"> My decision to up-schedule bromoxynil aligned with the ACCS advice. In my interim decision, I set an implementation date of 1 June 2024 to allow the industry sufficient time to make necessary arrangements to comply with the changed regulatory requirements. I did not receive any submissions opposing the proposal or opposing my interim decision including the implementation date.</w:t>
      </w:r>
    </w:p>
    <w:p w14:paraId="6EBEF2B9" w14:textId="3009B850" w:rsidR="00706696" w:rsidRPr="001E4336" w:rsidRDefault="00A73969" w:rsidP="00A73969">
      <w:r>
        <w:t>However, in February 2024, I received an application to defer the implementation date to 1 January 2025. The applicant raised concerns about the logistical challenges of complying with the additional restrictions placed on Schedule 7 bromoxynil products that could disrupt supply chain during peak usage period. Approximately 80–90% of bromoxynil products are supplied, purchased and used between May and July. In recognition of the significant potential impact of the disruptive changes on broad acre agriculture, I deferred the implementation date to 1 February 2025 allowing more time than requested.</w:t>
      </w:r>
      <w:r w:rsidR="005C23D3">
        <w:rPr>
          <w:rStyle w:val="FootnoteReference"/>
        </w:rPr>
        <w:footnoteReference w:id="13"/>
      </w:r>
      <w:r>
        <w:t xml:space="preserve"> In making this decision I consulted the applicant, one major supplier/manufacturer and the industry peak body, none of whom raised any concern about the decision on scheduling of bromoxynil.</w:t>
      </w:r>
    </w:p>
    <w:p w14:paraId="25B7B3CB" w14:textId="1262C941" w:rsidR="00084016" w:rsidRDefault="00014258" w:rsidP="00014258">
      <w:pPr>
        <w:pStyle w:val="Heading3"/>
        <w:rPr>
          <w:rFonts w:eastAsia="Cambria" w:cstheme="minorHAnsi"/>
        </w:rPr>
      </w:pPr>
      <w:bookmarkStart w:id="50" w:name="_Toc230353669"/>
      <w:r>
        <w:t>Final decision in relation to</w:t>
      </w:r>
      <w:r>
        <w:rPr>
          <w:rFonts w:eastAsia="Cambria" w:cstheme="minorHAnsi"/>
        </w:rPr>
        <w:t xml:space="preserve"> </w:t>
      </w:r>
      <w:proofErr w:type="spellStart"/>
      <w:r w:rsidR="00A73969" w:rsidRPr="00A73969">
        <w:rPr>
          <w:rFonts w:eastAsia="Cambria" w:cstheme="minorHAnsi"/>
          <w:i/>
          <w:iCs/>
        </w:rPr>
        <w:t>Mitragyna</w:t>
      </w:r>
      <w:proofErr w:type="spellEnd"/>
      <w:r w:rsidR="00A73969" w:rsidRPr="00A73969">
        <w:rPr>
          <w:rFonts w:eastAsia="Cambria" w:cstheme="minorHAnsi"/>
          <w:i/>
          <w:iCs/>
        </w:rPr>
        <w:t xml:space="preserve"> speciosa</w:t>
      </w:r>
      <w:r w:rsidR="00A73969" w:rsidRPr="00A73969">
        <w:rPr>
          <w:rFonts w:eastAsia="Cambria" w:cstheme="minorHAnsi"/>
        </w:rPr>
        <w:t xml:space="preserve"> (kratom)</w:t>
      </w:r>
      <w:bookmarkEnd w:id="50"/>
    </w:p>
    <w:p w14:paraId="5A44C198" w14:textId="77777777" w:rsidR="00A73969" w:rsidRPr="00A73969" w:rsidRDefault="00A73969" w:rsidP="00A73969">
      <w:pPr>
        <w:pStyle w:val="Heading4"/>
      </w:pPr>
      <w:r w:rsidRPr="00A73969">
        <w:t>Final Decision</w:t>
      </w:r>
    </w:p>
    <w:p w14:paraId="1AC3CEEB" w14:textId="77777777" w:rsidR="00A73969" w:rsidRPr="00A73969" w:rsidRDefault="00A73969" w:rsidP="00A73969">
      <w:r w:rsidRPr="00A73969">
        <w:t xml:space="preserve">Pursuant to r </w:t>
      </w:r>
      <w:proofErr w:type="spellStart"/>
      <w:r w:rsidRPr="00A73969">
        <w:t>42ZCZW</w:t>
      </w:r>
      <w:proofErr w:type="spellEnd"/>
      <w:r w:rsidRPr="00A73969">
        <w:t xml:space="preserve"> of the Regulations, the Delegate has made a final decision not to amend the current Poisons Standard in relation to </w:t>
      </w:r>
      <w:proofErr w:type="spellStart"/>
      <w:r w:rsidRPr="00A73969">
        <w:rPr>
          <w:i/>
          <w:iCs/>
        </w:rPr>
        <w:t>Mitragyna</w:t>
      </w:r>
      <w:proofErr w:type="spellEnd"/>
      <w:r w:rsidRPr="00A73969">
        <w:rPr>
          <w:i/>
          <w:iCs/>
        </w:rPr>
        <w:t xml:space="preserve"> speciosa</w:t>
      </w:r>
      <w:r w:rsidRPr="00A73969">
        <w:t xml:space="preserve"> (kratom).</w:t>
      </w:r>
    </w:p>
    <w:p w14:paraId="64E5DA05" w14:textId="77777777" w:rsidR="00A73969" w:rsidRPr="00A73969" w:rsidRDefault="00A73969" w:rsidP="00A73969">
      <w:pPr>
        <w:pStyle w:val="Heading4"/>
      </w:pPr>
      <w:r w:rsidRPr="00A73969">
        <w:t>Materials considered</w:t>
      </w:r>
    </w:p>
    <w:p w14:paraId="60E9EB0C" w14:textId="77777777" w:rsidR="00A73969" w:rsidRPr="00A73969" w:rsidRDefault="00A73969" w:rsidP="00B05C1F">
      <w:pPr>
        <w:pStyle w:val="ListBullet"/>
      </w:pPr>
      <w:r w:rsidRPr="00A73969">
        <w:t>In making this final decision, the Delegate considered the following material:</w:t>
      </w:r>
    </w:p>
    <w:p w14:paraId="08EB2785" w14:textId="77777777" w:rsidR="00A73969" w:rsidRPr="00A73969" w:rsidRDefault="00A73969" w:rsidP="00014179">
      <w:pPr>
        <w:pStyle w:val="ListBullet"/>
        <w:numPr>
          <w:ilvl w:val="0"/>
          <w:numId w:val="11"/>
        </w:numPr>
      </w:pPr>
      <w:r w:rsidRPr="00A73969">
        <w:t xml:space="preserve">the application to amend the current Poisons Standard with respect to </w:t>
      </w:r>
      <w:proofErr w:type="spellStart"/>
      <w:r w:rsidRPr="00A73969">
        <w:rPr>
          <w:i/>
          <w:iCs/>
        </w:rPr>
        <w:t>Mitragyna</w:t>
      </w:r>
      <w:proofErr w:type="spellEnd"/>
      <w:r w:rsidRPr="00A73969">
        <w:rPr>
          <w:i/>
          <w:iCs/>
        </w:rPr>
        <w:t xml:space="preserve"> speciosa</w:t>
      </w:r>
      <w:r w:rsidRPr="00A73969">
        <w:t xml:space="preserve"> (kratom) (the </w:t>
      </w:r>
      <w:r w:rsidRPr="00A73969">
        <w:rPr>
          <w:b/>
          <w:bCs/>
        </w:rPr>
        <w:t>Application</w:t>
      </w:r>
      <w:r w:rsidRPr="00A73969">
        <w:t>)</w:t>
      </w:r>
    </w:p>
    <w:p w14:paraId="4057CBF8" w14:textId="77777777" w:rsidR="00A73969" w:rsidRPr="00A73969" w:rsidRDefault="00A73969" w:rsidP="00014179">
      <w:pPr>
        <w:pStyle w:val="ListBullet"/>
        <w:numPr>
          <w:ilvl w:val="0"/>
          <w:numId w:val="11"/>
        </w:numPr>
      </w:pPr>
      <w:r w:rsidRPr="00A73969">
        <w:t>the interim decision notified in writing to the applicant on 12 February 2026</w:t>
      </w:r>
    </w:p>
    <w:p w14:paraId="0338BAD8" w14:textId="77777777" w:rsidR="00A73969" w:rsidRPr="00A73969" w:rsidRDefault="00A73969" w:rsidP="00014179">
      <w:pPr>
        <w:pStyle w:val="ListBullet"/>
        <w:numPr>
          <w:ilvl w:val="0"/>
          <w:numId w:val="11"/>
        </w:numPr>
      </w:pPr>
      <w:r w:rsidRPr="00A73969">
        <w:lastRenderedPageBreak/>
        <w:t xml:space="preserve">subsection </w:t>
      </w:r>
      <w:proofErr w:type="spellStart"/>
      <w:r w:rsidRPr="00A73969">
        <w:t>52E</w:t>
      </w:r>
      <w:proofErr w:type="spellEnd"/>
      <w:r w:rsidRPr="00A73969">
        <w:t xml:space="preserve">(1) of the </w:t>
      </w:r>
      <w:r w:rsidRPr="00A73969">
        <w:rPr>
          <w:i/>
          <w:iCs/>
        </w:rPr>
        <w:t>Therapeutic Goods Act 1989</w:t>
      </w:r>
      <w:r w:rsidRPr="00A73969">
        <w:t xml:space="preserve"> (</w:t>
      </w:r>
      <w:proofErr w:type="spellStart"/>
      <w:r w:rsidRPr="00A73969">
        <w:t>Cth</w:t>
      </w:r>
      <w:proofErr w:type="spellEnd"/>
      <w:r w:rsidRPr="00A73969">
        <w:t xml:space="preserve">) </w:t>
      </w:r>
      <w:r w:rsidRPr="00A73969">
        <w:rPr>
          <w:iCs/>
        </w:rPr>
        <w:t xml:space="preserve">(the </w:t>
      </w:r>
      <w:r w:rsidRPr="00A73969">
        <w:rPr>
          <w:b/>
          <w:bCs/>
          <w:iCs/>
        </w:rPr>
        <w:t>Act</w:t>
      </w:r>
      <w:r w:rsidRPr="00A73969">
        <w:rPr>
          <w:iCs/>
        </w:rPr>
        <w:t>)</w:t>
      </w:r>
      <w:r w:rsidRPr="00A73969">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3264AA77" w14:textId="4D86A7EB" w:rsidR="00A73969" w:rsidRPr="00A73969" w:rsidRDefault="00A539E6" w:rsidP="00014179">
      <w:pPr>
        <w:pStyle w:val="ListBullet"/>
        <w:numPr>
          <w:ilvl w:val="0"/>
          <w:numId w:val="11"/>
        </w:numPr>
      </w:pPr>
      <w:r w:rsidRPr="007A0C0C">
        <w:t xml:space="preserve">pursuant to paragraph </w:t>
      </w:r>
      <w:proofErr w:type="spellStart"/>
      <w:r w:rsidRPr="007A0C0C">
        <w:t>52E</w:t>
      </w:r>
      <w:proofErr w:type="spellEnd"/>
      <w:r w:rsidRPr="007A0C0C">
        <w:t>(2)(a) of the Act, the SPF</w:t>
      </w:r>
    </w:p>
    <w:p w14:paraId="5AEC6156" w14:textId="41E4B17F" w:rsidR="00A73969" w:rsidRPr="00A73969" w:rsidRDefault="00A539E6" w:rsidP="00014179">
      <w:pPr>
        <w:pStyle w:val="ListBullet"/>
        <w:numPr>
          <w:ilvl w:val="0"/>
          <w:numId w:val="11"/>
        </w:numPr>
      </w:pPr>
      <w:r>
        <w:t>t</w:t>
      </w:r>
      <w:r w:rsidR="00A73969" w:rsidRPr="00A73969">
        <w:t>he Handbook</w:t>
      </w:r>
      <w:r w:rsidRPr="00A73969">
        <w:t>, and</w:t>
      </w:r>
    </w:p>
    <w:p w14:paraId="395F0360" w14:textId="347DE4A5" w:rsidR="00A73969" w:rsidRPr="00A73969" w:rsidRDefault="00A73969" w:rsidP="00014179">
      <w:pPr>
        <w:pStyle w:val="ListBullet"/>
        <w:numPr>
          <w:ilvl w:val="0"/>
          <w:numId w:val="11"/>
        </w:numPr>
      </w:pPr>
      <w:r w:rsidRPr="00A73969">
        <w:t>applicant’s written submission on the interim decision.</w:t>
      </w:r>
    </w:p>
    <w:p w14:paraId="0D113945" w14:textId="77777777" w:rsidR="00A73969" w:rsidRPr="00A73969" w:rsidRDefault="00A73969" w:rsidP="00A73969">
      <w:pPr>
        <w:pStyle w:val="Heading4"/>
      </w:pPr>
      <w:r w:rsidRPr="00A73969">
        <w:t>Proposal</w:t>
      </w:r>
    </w:p>
    <w:p w14:paraId="68CEB2CD" w14:textId="30DF2A46" w:rsidR="00A73969" w:rsidRPr="00A73969" w:rsidRDefault="00A73969" w:rsidP="00B05C1F">
      <w:r w:rsidRPr="00A73969">
        <w:t xml:space="preserve">The applicant proposed to amend the current Poisons Standard in relation to </w:t>
      </w:r>
      <w:proofErr w:type="spellStart"/>
      <w:r w:rsidRPr="00A73969">
        <w:rPr>
          <w:i/>
          <w:iCs/>
        </w:rPr>
        <w:t>Mitragyna</w:t>
      </w:r>
      <w:proofErr w:type="spellEnd"/>
      <w:r w:rsidRPr="00A73969">
        <w:rPr>
          <w:i/>
          <w:iCs/>
        </w:rPr>
        <w:t xml:space="preserve"> speciosa</w:t>
      </w:r>
      <w:r w:rsidRPr="00A73969">
        <w:t xml:space="preserve"> (kratom) to create a Prescription only medicine (Schedule 4) or a Controlled drug (Schedule 8) entry for human therapeutic use of kratom</w:t>
      </w:r>
      <w:r w:rsidR="00B05C1F">
        <w:t xml:space="preserve"> for pain relief, mental health, and opioid withdrawal support</w:t>
      </w:r>
      <w:r w:rsidRPr="00A73969">
        <w:t>. Kratom is currently classified as a Prohibited substance (Schedule 9).</w:t>
      </w:r>
    </w:p>
    <w:p w14:paraId="5CAE5F27" w14:textId="447BD74D" w:rsidR="00A73969" w:rsidRPr="00A73969" w:rsidRDefault="00A23F19" w:rsidP="00A73969">
      <w:pPr>
        <w:pStyle w:val="Heading4"/>
      </w:pPr>
      <w:r>
        <w:t>Reasons for the f</w:t>
      </w:r>
      <w:r w:rsidR="00B16C83">
        <w:t>inal</w:t>
      </w:r>
      <w:r w:rsidR="00B16C83" w:rsidRPr="00A73969">
        <w:t xml:space="preserve"> </w:t>
      </w:r>
      <w:r w:rsidR="00A73969" w:rsidRPr="00A73969">
        <w:t>decision</w:t>
      </w:r>
    </w:p>
    <w:p w14:paraId="65B3BA24" w14:textId="2D505F84" w:rsidR="009C4D28" w:rsidRDefault="00A73969" w:rsidP="00A73969">
      <w:r w:rsidRPr="00A73969">
        <w:t xml:space="preserve">The proposal was not referred to an advisory committee for advice. Pursuant to r </w:t>
      </w:r>
      <w:proofErr w:type="spellStart"/>
      <w:r w:rsidR="00B16C83" w:rsidRPr="00B16C83">
        <w:t>42ZCZW</w:t>
      </w:r>
      <w:proofErr w:type="spellEnd"/>
      <w:r w:rsidR="00B16C83" w:rsidRPr="00B16C83" w:rsidDel="00B16C83">
        <w:t xml:space="preserve"> </w:t>
      </w:r>
      <w:r w:rsidRPr="00A73969">
        <w:t xml:space="preserve">of the Regulations, I </w:t>
      </w:r>
      <w:r w:rsidR="00B16C83">
        <w:t xml:space="preserve">have </w:t>
      </w:r>
      <w:r w:rsidRPr="00A73969">
        <w:t>made a</w:t>
      </w:r>
      <w:r w:rsidR="00B16C83">
        <w:t xml:space="preserve"> final</w:t>
      </w:r>
      <w:r w:rsidRPr="00A73969">
        <w:t xml:space="preserve"> decision to not amend the current Poisons Standard in relation to </w:t>
      </w:r>
      <w:proofErr w:type="spellStart"/>
      <w:r w:rsidRPr="00A73969">
        <w:rPr>
          <w:i/>
          <w:iCs/>
        </w:rPr>
        <w:t>Mitragyna</w:t>
      </w:r>
      <w:proofErr w:type="spellEnd"/>
      <w:r w:rsidRPr="00A73969">
        <w:rPr>
          <w:i/>
          <w:iCs/>
        </w:rPr>
        <w:t xml:space="preserve"> speciosa</w:t>
      </w:r>
      <w:r w:rsidRPr="00A73969">
        <w:t xml:space="preserve"> (kratom). </w:t>
      </w:r>
      <w:r w:rsidR="009C4D28" w:rsidRPr="00A73969">
        <w:t>My reasons for making the final decision are those set out in the interim decision sent to the applicant.</w:t>
      </w:r>
    </w:p>
    <w:p w14:paraId="4C961A60" w14:textId="7F4B75EF" w:rsidR="009C4D28" w:rsidRDefault="009C4D28" w:rsidP="009C4D28">
      <w:pPr>
        <w:rPr>
          <w:rFonts w:cstheme="minorHAnsi"/>
        </w:rPr>
      </w:pPr>
      <w:r w:rsidRPr="00A73969">
        <w:rPr>
          <w:rFonts w:cstheme="minorHAnsi"/>
        </w:rPr>
        <w:t xml:space="preserve">In accordance with </w:t>
      </w:r>
      <w:r w:rsidRPr="00A73969">
        <w:t xml:space="preserve">r </w:t>
      </w:r>
      <w:proofErr w:type="spellStart"/>
      <w:r w:rsidRPr="00A73969">
        <w:t>42ZCZV</w:t>
      </w:r>
      <w:proofErr w:type="spellEnd"/>
      <w:r w:rsidRPr="00A73969">
        <w:t xml:space="preserve"> of the Regulations, t</w:t>
      </w:r>
      <w:r w:rsidRPr="00A73969">
        <w:rPr>
          <w:rFonts w:cstheme="minorHAnsi"/>
        </w:rPr>
        <w:t>he interim decision was communicated to the applicant on 12 February 2026 and written submission on the interim decision was invited on or before 27 February 2026. The applicant provided a late response on 19 March 2026.</w:t>
      </w:r>
    </w:p>
    <w:p w14:paraId="72B57FFD" w14:textId="54457B23" w:rsidR="009C4D28" w:rsidRDefault="009C4D28" w:rsidP="00A73969">
      <w:r w:rsidRPr="00A73969">
        <w:t xml:space="preserve">Although not required to consider any submission made after the time specified in the written notice on </w:t>
      </w:r>
      <w:r>
        <w:t xml:space="preserve">the </w:t>
      </w:r>
      <w:r w:rsidRPr="00A73969">
        <w:t>interim decision, I have considered the late submission by the applicant in arriving at my final decision.</w:t>
      </w:r>
    </w:p>
    <w:p w14:paraId="698DD2C4" w14:textId="77777777" w:rsidR="00F26607" w:rsidRDefault="00A73969" w:rsidP="00A73969">
      <w:r w:rsidRPr="00A73969">
        <w:t xml:space="preserve">The applicant provided limited information to support their application and </w:t>
      </w:r>
      <w:r w:rsidR="00B16C83" w:rsidRPr="00A73969">
        <w:t>therefore</w:t>
      </w:r>
      <w:r w:rsidRPr="00A73969">
        <w:t xml:space="preserve"> in making my decision, I also relied on assessments from comparable overseas regulatory bodies and organisations and broader peer-reviewed scientific literature. The detailed reasons for my decision follow.</w:t>
      </w:r>
    </w:p>
    <w:p w14:paraId="1ABF4ED9" w14:textId="304BDDEE" w:rsidR="00A73969" w:rsidRPr="00A73969" w:rsidRDefault="00A73969" w:rsidP="00A73969">
      <w:r w:rsidRPr="00A73969">
        <w:t>Kratom is a tree native to south-east Asia that has long been used by labourers and farmers as a stimulant and to reduce fatigue.</w:t>
      </w:r>
      <w:r w:rsidRPr="00A73969">
        <w:rPr>
          <w:vertAlign w:val="superscript"/>
        </w:rPr>
        <w:footnoteReference w:id="14"/>
      </w:r>
      <w:r w:rsidRPr="00A73969">
        <w:t xml:space="preserve"> It is typically consumed by chewing the leaves, smoking, or preparations as tea. In traditional medicine, kratom is used to relieve chronic pain, insomnia, anxiety and diarrhoea, boost energy and stamina, and assist with opium substitution or withdrawal. While kratom contain over 40 structurally related alkaloids, </w:t>
      </w:r>
      <w:r w:rsidR="00CE790E">
        <w:t>2</w:t>
      </w:r>
      <w:r w:rsidR="00CE790E" w:rsidRPr="00A73969">
        <w:t xml:space="preserve"> </w:t>
      </w:r>
      <w:r w:rsidRPr="00A73969">
        <w:t xml:space="preserve">major alkaloids, </w:t>
      </w:r>
      <w:proofErr w:type="spellStart"/>
      <w:r w:rsidRPr="00A73969">
        <w:t>mitragynine</w:t>
      </w:r>
      <w:proofErr w:type="spellEnd"/>
      <w:r w:rsidRPr="00A73969">
        <w:t xml:space="preserve"> (CAS 4098-40-2) and 7</w:t>
      </w:r>
      <w:r w:rsidRPr="00A73969">
        <w:noBreakHyphen/>
      </w:r>
      <w:proofErr w:type="spellStart"/>
      <w:r w:rsidRPr="00A73969">
        <w:t>hydroxymitragynine</w:t>
      </w:r>
      <w:proofErr w:type="spellEnd"/>
      <w:r w:rsidRPr="00A73969">
        <w:t xml:space="preserve"> (CAS 174418-82-7) are known to be pharmacologically active. These 2 compounds are potent µ-opioid receptor agonists and exhibit psychotropic and opioid-like effects.</w:t>
      </w:r>
      <w:bookmarkStart w:id="51" w:name="_Hlk212027268"/>
      <w:r w:rsidRPr="00A73969">
        <w:rPr>
          <w:vertAlign w:val="superscript"/>
        </w:rPr>
        <w:footnoteReference w:id="15"/>
      </w:r>
      <w:bookmarkEnd w:id="51"/>
    </w:p>
    <w:p w14:paraId="38409773" w14:textId="3E185C44" w:rsidR="00A73969" w:rsidRPr="00A73969" w:rsidRDefault="00A73969" w:rsidP="00A73969">
      <w:r w:rsidRPr="00A73969">
        <w:t xml:space="preserve">In relation to s </w:t>
      </w:r>
      <w:proofErr w:type="spellStart"/>
      <w:r w:rsidRPr="00A73969">
        <w:t>52E</w:t>
      </w:r>
      <w:proofErr w:type="spellEnd"/>
      <w:r w:rsidRPr="00A73969">
        <w:t xml:space="preserve">(1)(a), and (b) of the Act, the applicant claimed that kratom has potential therapeutic benefits for pain relief and opioid withdrawal. However, the applicant </w:t>
      </w:r>
      <w:r w:rsidR="009C4D28">
        <w:t>did</w:t>
      </w:r>
      <w:r w:rsidR="009C4D28" w:rsidRPr="00A73969">
        <w:t xml:space="preserve"> </w:t>
      </w:r>
      <w:r w:rsidRPr="00A73969">
        <w:t xml:space="preserve">not </w:t>
      </w:r>
      <w:r w:rsidR="008E07F2" w:rsidRPr="00A73969">
        <w:t>provide</w:t>
      </w:r>
      <w:r w:rsidRPr="00A73969">
        <w:t xml:space="preserve"> credible evidence for its efficacy or therapeutic benefit. While the articles cited by the applicant support </w:t>
      </w:r>
      <w:r w:rsidRPr="00A73969">
        <w:lastRenderedPageBreak/>
        <w:t>potential therapeutic benefits of kratom based on its traditional use, they also conclude that further research is required to establish the safety and efficacy of kratom.</w:t>
      </w:r>
      <w:r w:rsidRPr="00A73969">
        <w:rPr>
          <w:vertAlign w:val="superscript"/>
        </w:rPr>
        <w:footnoteReference w:id="16"/>
      </w:r>
      <w:r w:rsidRPr="00A73969">
        <w:rPr>
          <w:vertAlign w:val="superscript"/>
        </w:rPr>
        <w:t>,</w:t>
      </w:r>
      <w:r w:rsidRPr="00A73969">
        <w:rPr>
          <w:vertAlign w:val="superscript"/>
        </w:rPr>
        <w:footnoteReference w:id="17"/>
      </w:r>
      <w:r w:rsidRPr="00A73969">
        <w:rPr>
          <w:vertAlign w:val="superscript"/>
        </w:rPr>
        <w:t>,</w:t>
      </w:r>
      <w:r w:rsidRPr="00A73969">
        <w:rPr>
          <w:vertAlign w:val="superscript"/>
        </w:rPr>
        <w:footnoteReference w:id="18"/>
      </w:r>
      <w:r w:rsidRPr="00A73969">
        <w:rPr>
          <w:vertAlign w:val="superscript"/>
        </w:rPr>
        <w:t>,</w:t>
      </w:r>
      <w:r w:rsidRPr="00A73969">
        <w:rPr>
          <w:vertAlign w:val="superscript"/>
        </w:rPr>
        <w:footnoteReference w:id="19"/>
      </w:r>
    </w:p>
    <w:p w14:paraId="20FEEE98" w14:textId="77777777" w:rsidR="00A73969" w:rsidRPr="00A73969" w:rsidRDefault="00A73969" w:rsidP="00A73969">
      <w:r w:rsidRPr="00A73969">
        <w:t>A recent systematic review identified 18 clinical studies, all of which were conducted in south-east Asian populations.</w:t>
      </w:r>
      <w:r w:rsidRPr="00A73969">
        <w:rPr>
          <w:vertAlign w:val="superscript"/>
        </w:rPr>
        <w:footnoteReference w:id="20"/>
      </w:r>
      <w:r w:rsidRPr="00A73969">
        <w:t xml:space="preserve"> Of these, only one randomised, double-blind, placebo-controlled trial found that kratom leaf extract, prepared as a decoction, increased pain tolerance an hour after use.</w:t>
      </w:r>
      <w:r w:rsidRPr="00A73969">
        <w:rPr>
          <w:vertAlign w:val="superscript"/>
        </w:rPr>
        <w:footnoteReference w:id="21"/>
      </w:r>
      <w:r w:rsidRPr="00A73969">
        <w:t xml:space="preserve"> However, the sample size was small (36), and the participants were chronic kratom users.</w:t>
      </w:r>
      <w:r w:rsidRPr="00A73969">
        <w:rPr>
          <w:vertAlign w:val="superscript"/>
        </w:rPr>
        <w:t xml:space="preserve"> </w:t>
      </w:r>
      <w:r w:rsidRPr="00A73969">
        <w:t>Both the randomised trial and the systemic review emphasised the need for rigorous research on kratom’s therapeutic use and safety profile.</w:t>
      </w:r>
    </w:p>
    <w:p w14:paraId="6F14128F" w14:textId="7B1BA3B0" w:rsidR="00A73969" w:rsidRPr="00A73969" w:rsidRDefault="00A73969" w:rsidP="00A73969">
      <w:r w:rsidRPr="00A73969">
        <w:t xml:space="preserve">Regarding s </w:t>
      </w:r>
      <w:proofErr w:type="spellStart"/>
      <w:r w:rsidRPr="00A73969">
        <w:t>52E</w:t>
      </w:r>
      <w:proofErr w:type="spellEnd"/>
      <w:r w:rsidRPr="00A73969">
        <w:t>(1)(c) and (e) of the Act, I note that the physiologic</w:t>
      </w:r>
      <w:r w:rsidR="009C4D28">
        <w:t>al</w:t>
      </w:r>
      <w:r w:rsidRPr="00A73969">
        <w:t xml:space="preserve"> effects of kratom are dose dependent where stimulant-like effects are often seen at lower doses and opioid-like effects are observed at higher doses. Toxicities typically occur when the ingested dose exceeds 8 grams.</w:t>
      </w:r>
      <w:r w:rsidRPr="00A73969">
        <w:rPr>
          <w:vertAlign w:val="superscript"/>
        </w:rPr>
        <w:footnoteReference w:id="22"/>
      </w:r>
      <w:r w:rsidRPr="00A73969">
        <w:t xml:space="preserve"> Adverse effects of kratom intoxication include neuropsychiatric (agitation, confusion, sedation, hallucinations, tremor, seizure, coma), cardiovascular (tachycardia, hypertension) and gastrointestinal (abdominal pain, nausea, vomiting) </w:t>
      </w:r>
      <w:r w:rsidR="00CE790E">
        <w:t>effects</w:t>
      </w:r>
      <w:r w:rsidR="00CE790E" w:rsidRPr="00A73969">
        <w:t xml:space="preserve"> </w:t>
      </w:r>
      <w:r w:rsidRPr="00A73969">
        <w:t>as well as respiratory depression.</w:t>
      </w:r>
      <w:r w:rsidRPr="00A73969">
        <w:rPr>
          <w:vertAlign w:val="superscript"/>
        </w:rPr>
        <w:footnoteReference w:id="23"/>
      </w:r>
      <w:r w:rsidRPr="00A73969">
        <w:rPr>
          <w:vertAlign w:val="superscript"/>
        </w:rPr>
        <w:t>,</w:t>
      </w:r>
      <w:r w:rsidRPr="00A73969">
        <w:rPr>
          <w:vertAlign w:val="superscript"/>
        </w:rPr>
        <w:footnoteReference w:id="24"/>
      </w:r>
    </w:p>
    <w:p w14:paraId="7018F3E1" w14:textId="410644F6" w:rsidR="00A73969" w:rsidRPr="00A73969" w:rsidRDefault="00A73969" w:rsidP="00A73969">
      <w:r w:rsidRPr="00A73969">
        <w:t xml:space="preserve">Chronic recreational use of kratom, in rare cases, has been associated with acute liver injury and may </w:t>
      </w:r>
      <w:r w:rsidR="00CE790E">
        <w:t>also cause</w:t>
      </w:r>
      <w:r w:rsidR="00CE790E" w:rsidRPr="00A73969">
        <w:t xml:space="preserve"> </w:t>
      </w:r>
      <w:r w:rsidRPr="00A73969">
        <w:t>complications such as acute renal failure and bone marrow toxicity.</w:t>
      </w:r>
      <w:r w:rsidRPr="00A73969">
        <w:rPr>
          <w:vertAlign w:val="superscript"/>
        </w:rPr>
        <w:footnoteReference w:id="25"/>
      </w:r>
      <w:r w:rsidRPr="00A73969">
        <w:t xml:space="preserve"> In animal studies, repeated dosing with </w:t>
      </w:r>
      <w:proofErr w:type="spellStart"/>
      <w:r w:rsidRPr="00A73969">
        <w:t>mitragynine</w:t>
      </w:r>
      <w:proofErr w:type="spellEnd"/>
      <w:r w:rsidRPr="00A73969">
        <w:t xml:space="preserve"> led to dependence as shown by naloxone-induced withdrawal. Based on limited epidemiological data, opioid-like withdrawal symptoms that are typically mild have been reported in human</w:t>
      </w:r>
      <w:r w:rsidR="009C4D28">
        <w:t>s</w:t>
      </w:r>
      <w:r w:rsidRPr="00A73969">
        <w:t xml:space="preserve"> after cessation of kratom use. A few cases of neonatal withdrawal have also been documented in infants born to mothers who regularly used kratom.</w:t>
      </w:r>
      <w:r w:rsidRPr="00A73969">
        <w:rPr>
          <w:vertAlign w:val="superscript"/>
        </w:rPr>
        <w:footnoteReference w:id="26"/>
      </w:r>
    </w:p>
    <w:p w14:paraId="0850E95D" w14:textId="77777777" w:rsidR="00A73969" w:rsidRPr="00A73969" w:rsidRDefault="00A73969" w:rsidP="00A73969">
      <w:r w:rsidRPr="00A73969">
        <w:t>Notably, from 2017 to 2020, 127 deaths were associated with kratom and recorded by the United Nations Office on Drugs and Crime (UNODC) Early Warning Advisory Tox-Portal, with 63.8% from the United States (US, mainly California), 30.7% from Thailand, and smaller percentages from Sweden, Australia, and Finland.</w:t>
      </w:r>
      <w:r w:rsidRPr="00A73969">
        <w:rPr>
          <w:vertAlign w:val="superscript"/>
        </w:rPr>
        <w:footnoteReference w:id="27"/>
      </w:r>
      <w:r w:rsidRPr="00A73969">
        <w:t xml:space="preserve"> The World Health Organisation Expert Committee on Drug Dependence </w:t>
      </w:r>
      <w:hyperlink r:id="rId47" w:history="1">
        <w:r w:rsidRPr="00A73969">
          <w:rPr>
            <w:color w:val="0000FF"/>
            <w:u w:val="single"/>
          </w:rPr>
          <w:t>Pre-Review Report: Kratom (</w:t>
        </w:r>
        <w:proofErr w:type="spellStart"/>
        <w:r w:rsidRPr="00A73969">
          <w:rPr>
            <w:i/>
            <w:iCs/>
            <w:color w:val="0000FF"/>
            <w:u w:val="single"/>
          </w:rPr>
          <w:t>Mitragyna</w:t>
        </w:r>
        <w:proofErr w:type="spellEnd"/>
        <w:r w:rsidRPr="00A73969">
          <w:rPr>
            <w:i/>
            <w:iCs/>
            <w:color w:val="0000FF"/>
            <w:u w:val="single"/>
          </w:rPr>
          <w:t xml:space="preserve"> speciosa</w:t>
        </w:r>
        <w:r w:rsidRPr="00A73969">
          <w:rPr>
            <w:color w:val="0000FF"/>
            <w:u w:val="single"/>
          </w:rPr>
          <w:t xml:space="preserve">), </w:t>
        </w:r>
        <w:proofErr w:type="spellStart"/>
        <w:r w:rsidRPr="00A73969">
          <w:rPr>
            <w:color w:val="0000FF"/>
            <w:u w:val="single"/>
          </w:rPr>
          <w:t>mitragynine</w:t>
        </w:r>
        <w:proofErr w:type="spellEnd"/>
        <w:r w:rsidRPr="00A73969">
          <w:rPr>
            <w:color w:val="0000FF"/>
            <w:u w:val="single"/>
          </w:rPr>
          <w:t>, and 7-</w:t>
        </w:r>
        <w:proofErr w:type="spellStart"/>
        <w:r w:rsidRPr="00A73969">
          <w:rPr>
            <w:color w:val="0000FF"/>
            <w:u w:val="single"/>
          </w:rPr>
          <w:t>hydroxymitragynine</w:t>
        </w:r>
        <w:proofErr w:type="spellEnd"/>
      </w:hyperlink>
      <w:r w:rsidRPr="00A73969">
        <w:t xml:space="preserve"> (</w:t>
      </w:r>
      <w:proofErr w:type="spellStart"/>
      <w:r w:rsidRPr="00A73969">
        <w:t>ECDD</w:t>
      </w:r>
      <w:proofErr w:type="spellEnd"/>
      <w:r w:rsidRPr="00A73969">
        <w:t xml:space="preserve"> Report) conceded attributing causality in kratom-associated deaths is complex due to challenges in detecting its active compounds, limited toxicological testing, and frequent polysubstance involvement. While </w:t>
      </w:r>
      <w:r w:rsidRPr="00A73969">
        <w:lastRenderedPageBreak/>
        <w:t xml:space="preserve">kratom has been implicated in some deaths, multiple studies indicate </w:t>
      </w:r>
      <w:proofErr w:type="spellStart"/>
      <w:r w:rsidRPr="00A73969">
        <w:t>mitragynine</w:t>
      </w:r>
      <w:proofErr w:type="spellEnd"/>
      <w:r w:rsidRPr="00A73969">
        <w:t xml:space="preserve"> is most often detected alongside other drugs such as opioids, stimulants and sedatives. However, the </w:t>
      </w:r>
      <w:proofErr w:type="spellStart"/>
      <w:r w:rsidRPr="00A73969">
        <w:t>ECDD</w:t>
      </w:r>
      <w:proofErr w:type="spellEnd"/>
      <w:r w:rsidRPr="00A73969">
        <w:t xml:space="preserve"> Report also included information on individuals presenting for drug dependence treatment related to the use of kratom, </w:t>
      </w:r>
      <w:proofErr w:type="spellStart"/>
      <w:r w:rsidRPr="00A73969">
        <w:t>mitragynine</w:t>
      </w:r>
      <w:proofErr w:type="spellEnd"/>
      <w:r w:rsidRPr="00A73969">
        <w:t xml:space="preserve"> or 7-</w:t>
      </w:r>
      <w:proofErr w:type="spellStart"/>
      <w:r w:rsidRPr="00A73969">
        <w:t>hydroxymitragynine</w:t>
      </w:r>
      <w:proofErr w:type="spellEnd"/>
      <w:r w:rsidRPr="00A73969">
        <w:t xml:space="preserve">. The </w:t>
      </w:r>
      <w:proofErr w:type="spellStart"/>
      <w:r w:rsidRPr="00A73969">
        <w:t>ECDD</w:t>
      </w:r>
      <w:proofErr w:type="spellEnd"/>
      <w:r w:rsidRPr="00A73969">
        <w:t xml:space="preserve"> Report further indicated that kratom consumption generally can impair quality of life, particularly in cases of severe dependence, which may deteriorate physical health. Reports of kratom being mixed with substances like Coca-Cola and cough syrup suggest misuse and possibly abuse, raising significant public health concerns due to its potential for dependence.</w:t>
      </w:r>
    </w:p>
    <w:p w14:paraId="23155A8C" w14:textId="2DFFBA37" w:rsidR="00A73969" w:rsidRPr="00A73969" w:rsidRDefault="00A73969" w:rsidP="00A73969">
      <w:r w:rsidRPr="00A73969">
        <w:t xml:space="preserve">Internationally, kratom use is prohibited in many countries (including </w:t>
      </w:r>
      <w:r w:rsidR="002E2B20">
        <w:t>some</w:t>
      </w:r>
      <w:r w:rsidRPr="00A73969">
        <w:t xml:space="preserve"> US</w:t>
      </w:r>
      <w:r w:rsidR="002E2B20">
        <w:t xml:space="preserve"> states</w:t>
      </w:r>
      <w:r w:rsidRPr="00A73969">
        <w:t>) due to concerns about its safety and potential for abuse. Currently, neither kratom nor any kratom-derived substances are lawful as ingredients in any US Food and Drug Administration approved drug or as dietary supplements in conventional foods.</w:t>
      </w:r>
      <w:r w:rsidRPr="00A73969">
        <w:rPr>
          <w:vertAlign w:val="superscript"/>
        </w:rPr>
        <w:footnoteReference w:id="28"/>
      </w:r>
      <w:r w:rsidRPr="00A73969">
        <w:t xml:space="preserve"> Canada bans the marketing of kratom for human consumption.</w:t>
      </w:r>
      <w:r w:rsidRPr="00A73969">
        <w:rPr>
          <w:vertAlign w:val="superscript"/>
        </w:rPr>
        <w:footnoteReference w:id="29"/>
      </w:r>
      <w:r w:rsidR="0011004C">
        <w:t xml:space="preserve"> In Europe, the regulation of kratom varies from county to country and ranges from complete prohibition (the United Kingdom, Ireland, France, Italy) to unregulated (Spain, Germany and the Netherlands) through controlled (psychoactive or narcotic substance; Finland, Norway, Sweden) or regulated (</w:t>
      </w:r>
      <w:proofErr w:type="spellStart"/>
      <w:r w:rsidR="009706AC" w:rsidRPr="009706AC">
        <w:t>psychomodulatory</w:t>
      </w:r>
      <w:proofErr w:type="spellEnd"/>
      <w:r w:rsidR="009706AC" w:rsidRPr="009706AC">
        <w:t xml:space="preserve"> substance</w:t>
      </w:r>
      <w:r w:rsidR="009706AC">
        <w:t xml:space="preserve"> requiring licence for sale and age verification; </w:t>
      </w:r>
      <w:r w:rsidR="009706AC" w:rsidRPr="009706AC">
        <w:t>Czech Republic</w:t>
      </w:r>
      <w:r w:rsidR="009706AC">
        <w:t>).</w:t>
      </w:r>
      <w:r w:rsidR="009706AC">
        <w:rPr>
          <w:rStyle w:val="FootnoteReference"/>
        </w:rPr>
        <w:footnoteReference w:id="30"/>
      </w:r>
      <w:r w:rsidRPr="00A73969">
        <w:t xml:space="preserve"> In New Zealand, </w:t>
      </w:r>
      <w:proofErr w:type="spellStart"/>
      <w:r w:rsidRPr="00A73969">
        <w:t>mitragynine</w:t>
      </w:r>
      <w:proofErr w:type="spellEnd"/>
      <w:r w:rsidRPr="00A73969">
        <w:t xml:space="preserve"> is classified as a prescription medicine, and its use in herbal remedies is prohibited under section 2 of the </w:t>
      </w:r>
      <w:r w:rsidRPr="00E51948">
        <w:rPr>
          <w:i/>
          <w:iCs/>
        </w:rPr>
        <w:t>Medicines Act 1981</w:t>
      </w:r>
      <w:r w:rsidRPr="00A73969">
        <w:t>.</w:t>
      </w:r>
      <w:r w:rsidRPr="00A73969">
        <w:rPr>
          <w:vertAlign w:val="superscript"/>
        </w:rPr>
        <w:footnoteReference w:id="31"/>
      </w:r>
      <w:r w:rsidRPr="00A73969">
        <w:t xml:space="preserve"> Kratom was removed from Thailand’s list of prohibited substances, effectively decriminalising its consumption and possession in 2021.</w:t>
      </w:r>
      <w:r w:rsidRPr="00A73969">
        <w:rPr>
          <w:vertAlign w:val="superscript"/>
        </w:rPr>
        <w:footnoteReference w:id="32"/>
      </w:r>
      <w:r w:rsidRPr="00A73969">
        <w:t xml:space="preserve"> However, the Association of Southeast Asian Nations banned its inclusion in traditional medicine and health supplements in 2013 categorising them as “harmful to human health”.</w:t>
      </w:r>
      <w:r w:rsidRPr="00A73969">
        <w:rPr>
          <w:vertAlign w:val="superscript"/>
        </w:rPr>
        <w:footnoteReference w:id="33"/>
      </w:r>
    </w:p>
    <w:p w14:paraId="053F6476" w14:textId="334637F9" w:rsidR="00A73969" w:rsidRPr="00A73969" w:rsidRDefault="00A73969" w:rsidP="00A73969">
      <w:r w:rsidRPr="00A73969">
        <w:t xml:space="preserve">Turning my mind to s </w:t>
      </w:r>
      <w:proofErr w:type="spellStart"/>
      <w:r w:rsidRPr="00A73969">
        <w:t>52E</w:t>
      </w:r>
      <w:proofErr w:type="spellEnd"/>
      <w:r w:rsidRPr="00A73969">
        <w:t xml:space="preserve">(1)(d) of the Act, neither a cutoff limit nor any justification was proposed for the inclusion of kratom in Schedule 4 </w:t>
      </w:r>
      <w:r w:rsidR="006D5909">
        <w:t>or</w:t>
      </w:r>
      <w:r w:rsidR="006D5909" w:rsidRPr="00A73969">
        <w:t xml:space="preserve"> </w:t>
      </w:r>
      <w:r w:rsidRPr="00A73969">
        <w:t>Schedule 8. The applicant proposed various forms of kratom (i.e. powder, capsule, liquid extract, dry leaves) without any information regarding the dosage, labelling, or packaging to enable any assessment against the scheduling framework criteria.</w:t>
      </w:r>
    </w:p>
    <w:p w14:paraId="21B30308" w14:textId="77C97835" w:rsidR="00A73969" w:rsidRDefault="009C4D28" w:rsidP="00A73969">
      <w:pPr>
        <w:rPr>
          <w:rFonts w:eastAsia="Arial" w:cs="Arial"/>
          <w:szCs w:val="20"/>
        </w:rPr>
      </w:pPr>
      <w:r>
        <w:t xml:space="preserve">Following </w:t>
      </w:r>
      <w:r w:rsidR="006D5909">
        <w:t xml:space="preserve">communication of </w:t>
      </w:r>
      <w:r>
        <w:t>the interim decision</w:t>
      </w:r>
      <w:r w:rsidR="006D5909">
        <w:t>,</w:t>
      </w:r>
      <w:r>
        <w:t xml:space="preserve"> the app</w:t>
      </w:r>
      <w:r w:rsidR="00A73969" w:rsidRPr="00A73969">
        <w:t xml:space="preserve">licant </w:t>
      </w:r>
      <w:r w:rsidR="00CF53C1">
        <w:t>submitted</w:t>
      </w:r>
      <w:r w:rsidR="00C079D9">
        <w:t xml:space="preserve"> that a </w:t>
      </w:r>
      <w:r w:rsidR="00A73969" w:rsidRPr="00A73969">
        <w:t xml:space="preserve">Schedule 8 </w:t>
      </w:r>
      <w:r w:rsidR="00C079D9">
        <w:t xml:space="preserve">classification </w:t>
      </w:r>
      <w:r w:rsidR="00A73969" w:rsidRPr="00A73969">
        <w:t xml:space="preserve">can provide an appropriate framework for substances with potential therapeutic utility </w:t>
      </w:r>
      <w:r w:rsidR="006D5909">
        <w:t>that</w:t>
      </w:r>
      <w:r w:rsidR="006D5909" w:rsidRPr="00A73969">
        <w:t xml:space="preserve"> </w:t>
      </w:r>
      <w:r w:rsidR="00A73969" w:rsidRPr="00A73969">
        <w:t xml:space="preserve">require controlled access due to their opioid-like properties. The applicant </w:t>
      </w:r>
      <w:r w:rsidR="00CF53C1">
        <w:t>argued</w:t>
      </w:r>
      <w:r w:rsidR="00CF53C1" w:rsidRPr="00A73969">
        <w:t xml:space="preserve"> </w:t>
      </w:r>
      <w:r w:rsidR="00A73969" w:rsidRPr="00A73969">
        <w:t xml:space="preserve">that </w:t>
      </w:r>
      <w:r w:rsidR="00C079D9">
        <w:t xml:space="preserve">the proposed </w:t>
      </w:r>
      <w:r w:rsidR="00A73969" w:rsidRPr="00A73969">
        <w:t>Schedule 8 kratom preparation</w:t>
      </w:r>
      <w:r w:rsidR="00C079D9">
        <w:t>s would</w:t>
      </w:r>
      <w:r w:rsidR="00A73969" w:rsidRPr="00A73969">
        <w:t xml:space="preserve"> be used for short-term adjunct treatment for opioid withdrawal syndrome in adults where first-line opioid substitution therapy (methadone, buprenorphine) is contraindicated, refused, or inaccessible. The proposed presentations are </w:t>
      </w:r>
      <w:r w:rsidR="00A73969" w:rsidRPr="00A73969">
        <w:rPr>
          <w:rFonts w:eastAsia="Arial" w:cs="Arial"/>
          <w:szCs w:val="20"/>
        </w:rPr>
        <w:t>oral tablets or liquid formulations containing</w:t>
      </w:r>
      <w:r w:rsidR="00A73969" w:rsidRPr="00A73969">
        <w:t xml:space="preserve"> 1</w:t>
      </w:r>
      <w:r w:rsidR="00363019">
        <w:t>-</w:t>
      </w:r>
      <w:r w:rsidR="00A73969" w:rsidRPr="00A73969">
        <w:t xml:space="preserve">5 mg </w:t>
      </w:r>
      <w:proofErr w:type="spellStart"/>
      <w:r w:rsidR="00A73969" w:rsidRPr="00A73969">
        <w:rPr>
          <w:rFonts w:eastAsia="Arial" w:cs="Arial"/>
          <w:szCs w:val="20"/>
        </w:rPr>
        <w:t>mitragynine</w:t>
      </w:r>
      <w:proofErr w:type="spellEnd"/>
      <w:r w:rsidR="00A73969" w:rsidRPr="00A73969">
        <w:rPr>
          <w:rFonts w:eastAsia="Arial" w:cs="Arial"/>
          <w:szCs w:val="20"/>
        </w:rPr>
        <w:t xml:space="preserve"> per unit dose with a daily maximum dosage of 15 mg </w:t>
      </w:r>
      <w:proofErr w:type="spellStart"/>
      <w:r w:rsidR="00A73969" w:rsidRPr="00A73969">
        <w:rPr>
          <w:rFonts w:eastAsia="Arial" w:cs="Arial"/>
          <w:szCs w:val="20"/>
        </w:rPr>
        <w:t>mitragynine</w:t>
      </w:r>
      <w:proofErr w:type="spellEnd"/>
      <w:r w:rsidR="00A73969" w:rsidRPr="00A73969">
        <w:rPr>
          <w:rFonts w:eastAsia="Arial" w:cs="Arial"/>
          <w:szCs w:val="20"/>
        </w:rPr>
        <w:t>.</w:t>
      </w:r>
    </w:p>
    <w:p w14:paraId="570382EE" w14:textId="24CE3DC8" w:rsidR="009F57C6" w:rsidRPr="00A73969" w:rsidRDefault="009F57C6" w:rsidP="009F57C6">
      <w:r w:rsidRPr="00A73969">
        <w:t>The applicant has proposed that the prescription of kratom as a Schedule 8 medicine will be limited to addiction medicine specialists and general physicians with relevant authorisation. However, it is unclear who such prescribers will be or how the process will be regulated. Similarly, the applicant’s proposals to include kratom prescription</w:t>
      </w:r>
      <w:r>
        <w:t>s</w:t>
      </w:r>
      <w:r w:rsidRPr="00A73969">
        <w:t xml:space="preserve"> </w:t>
      </w:r>
      <w:r>
        <w:t>in</w:t>
      </w:r>
      <w:r w:rsidRPr="00A73969">
        <w:t xml:space="preserve"> real-time prescription monitoring system</w:t>
      </w:r>
      <w:r>
        <w:t>s</w:t>
      </w:r>
      <w:r w:rsidRPr="00A73969">
        <w:t xml:space="preserve">, mandatory enrolment in a national kratom pharmacovigilance registry, mandatory co-prescription of an opioid antagonist do not provide any details </w:t>
      </w:r>
      <w:r>
        <w:t>regarding</w:t>
      </w:r>
      <w:r w:rsidRPr="00A73969">
        <w:t xml:space="preserve"> implementation. Lastly, the</w:t>
      </w:r>
      <w:r>
        <w:t xml:space="preserve"> applicant</w:t>
      </w:r>
      <w:r w:rsidRPr="00A73969">
        <w:t xml:space="preserve"> proposed listing </w:t>
      </w:r>
      <w:r>
        <w:t xml:space="preserve">kratom </w:t>
      </w:r>
      <w:r w:rsidRPr="00A73969">
        <w:t>in Schedule 8 conditional on a formal review by the Advisory Committee on Medicines Scheduling within 36 months of commencement, based on pharmacovigilance data is not a mechanism available under the current legislation.</w:t>
      </w:r>
    </w:p>
    <w:p w14:paraId="3CC2D049" w14:textId="4F58AC6D" w:rsidR="009F57C6" w:rsidRPr="00405E59" w:rsidRDefault="009F57C6" w:rsidP="009F57C6">
      <w:r w:rsidRPr="00A73969">
        <w:lastRenderedPageBreak/>
        <w:t xml:space="preserve">The applicant also argued that classifying kratom as a Schedule 9 substance prevents all legitimate research and therefore gathering of information on safety and efficacy. Schedule 9 classification does </w:t>
      </w:r>
      <w:r w:rsidRPr="008E07F2">
        <w:rPr>
          <w:i/>
          <w:iCs/>
        </w:rPr>
        <w:t>not</w:t>
      </w:r>
      <w:r w:rsidRPr="00A73969">
        <w:t xml:space="preserve"> prevent any medical or scientific research or use for analytical, teaching or training purposes with prohibited substances, but requires approval </w:t>
      </w:r>
      <w:r w:rsidR="00363019">
        <w:t>by</w:t>
      </w:r>
      <w:r w:rsidRPr="00A73969">
        <w:t xml:space="preserve"> Commonwealth and/or </w:t>
      </w:r>
      <w:r>
        <w:t>s</w:t>
      </w:r>
      <w:r w:rsidRPr="00A73969">
        <w:t xml:space="preserve">tate or </w:t>
      </w:r>
      <w:r>
        <w:t>t</w:t>
      </w:r>
      <w:r w:rsidRPr="00A73969">
        <w:t xml:space="preserve">erritory </w:t>
      </w:r>
      <w:r>
        <w:t>h</w:t>
      </w:r>
      <w:r w:rsidRPr="00A73969">
        <w:t xml:space="preserve">ealth </w:t>
      </w:r>
      <w:r>
        <w:t>a</w:t>
      </w:r>
      <w:r w:rsidRPr="00A73969">
        <w:t>uthorities.</w:t>
      </w:r>
      <w:r>
        <w:rPr>
          <w:rStyle w:val="FootnoteReference"/>
        </w:rPr>
        <w:footnoteReference w:id="34"/>
      </w:r>
      <w:r>
        <w:t xml:space="preserve"> </w:t>
      </w:r>
    </w:p>
    <w:p w14:paraId="6B88156E" w14:textId="2EA7E153" w:rsidR="00A73969" w:rsidRPr="00A73969" w:rsidRDefault="00CF53C1" w:rsidP="00A73969">
      <w:pPr>
        <w:rPr>
          <w:rFonts w:eastAsia="Arial" w:cs="Arial"/>
          <w:szCs w:val="20"/>
        </w:rPr>
      </w:pPr>
      <w:r>
        <w:rPr>
          <w:rFonts w:eastAsia="Arial" w:cs="Arial"/>
          <w:szCs w:val="20"/>
        </w:rPr>
        <w:t>To be included in</w:t>
      </w:r>
      <w:r w:rsidR="00A73969" w:rsidRPr="00A73969">
        <w:rPr>
          <w:rFonts w:eastAsia="Arial" w:cs="Arial"/>
          <w:szCs w:val="20"/>
        </w:rPr>
        <w:t xml:space="preserve"> Schedule 8</w:t>
      </w:r>
      <w:r>
        <w:rPr>
          <w:rFonts w:eastAsia="Arial" w:cs="Arial"/>
          <w:szCs w:val="20"/>
        </w:rPr>
        <w:t>, a</w:t>
      </w:r>
      <w:r w:rsidR="00A73969" w:rsidRPr="00A73969">
        <w:rPr>
          <w:rFonts w:eastAsia="Arial" w:cs="Arial"/>
          <w:szCs w:val="20"/>
        </w:rPr>
        <w:t xml:space="preserve"> substance </w:t>
      </w:r>
      <w:r>
        <w:rPr>
          <w:rFonts w:eastAsia="Arial" w:cs="Arial"/>
          <w:szCs w:val="20"/>
        </w:rPr>
        <w:t>must have</w:t>
      </w:r>
      <w:r w:rsidR="00A73969" w:rsidRPr="00A73969">
        <w:rPr>
          <w:rFonts w:eastAsia="Arial" w:cs="Arial"/>
          <w:szCs w:val="20"/>
        </w:rPr>
        <w:t xml:space="preserve"> an established therapeutic value but its use, at established therapeutic dosage levels, is recognised to produce dependency </w:t>
      </w:r>
      <w:r>
        <w:rPr>
          <w:rFonts w:eastAsia="Arial" w:cs="Arial"/>
          <w:szCs w:val="20"/>
        </w:rPr>
        <w:t>with</w:t>
      </w:r>
      <w:r w:rsidR="00A73969" w:rsidRPr="00A73969">
        <w:rPr>
          <w:rFonts w:eastAsia="Arial" w:cs="Arial"/>
          <w:szCs w:val="20"/>
        </w:rPr>
        <w:t xml:space="preserve"> a high propensity for misuse, abuse or illicit use (Schedule 8, factor 2). The applicant has not provided any data demonstrating safety or efficacy for the proposed presentations, dosage or indication. The </w:t>
      </w:r>
      <w:r w:rsidR="007B4704">
        <w:rPr>
          <w:rFonts w:eastAsia="Arial" w:cs="Arial"/>
          <w:szCs w:val="20"/>
        </w:rPr>
        <w:t>5</w:t>
      </w:r>
      <w:r w:rsidR="00A73969" w:rsidRPr="00A73969">
        <w:rPr>
          <w:rFonts w:eastAsia="Arial" w:cs="Arial"/>
          <w:szCs w:val="20"/>
        </w:rPr>
        <w:t xml:space="preserve"> additional review articles cited by the applicant in support of kratom’s efficacy appraised animal studies, case reports, traditional usage or self-reports that are at best suggestive of potential medicinal use.</w:t>
      </w:r>
      <w:r w:rsidR="0012641E">
        <w:rPr>
          <w:rStyle w:val="FootnoteReference"/>
          <w:rFonts w:eastAsia="Arial" w:cs="Arial"/>
          <w:szCs w:val="20"/>
        </w:rPr>
        <w:footnoteReference w:id="35"/>
      </w:r>
      <w:r w:rsidR="007B4704" w:rsidRPr="007B4704">
        <w:rPr>
          <w:rFonts w:eastAsia="Arial" w:cs="Arial"/>
          <w:szCs w:val="20"/>
          <w:vertAlign w:val="superscript"/>
        </w:rPr>
        <w:t>,</w:t>
      </w:r>
      <w:r w:rsidR="007B4704">
        <w:rPr>
          <w:rFonts w:eastAsia="Arial" w:cs="Arial"/>
          <w:szCs w:val="20"/>
        </w:rPr>
        <w:t xml:space="preserve"> </w:t>
      </w:r>
      <w:r w:rsidR="007B4704">
        <w:rPr>
          <w:rStyle w:val="FootnoteReference"/>
          <w:rFonts w:eastAsia="Arial" w:cs="Arial"/>
          <w:szCs w:val="20"/>
        </w:rPr>
        <w:footnoteReference w:id="36"/>
      </w:r>
      <w:r w:rsidR="007B4704" w:rsidRPr="007B4704">
        <w:rPr>
          <w:rFonts w:eastAsia="Arial" w:cs="Arial"/>
          <w:szCs w:val="20"/>
          <w:vertAlign w:val="superscript"/>
        </w:rPr>
        <w:t>,</w:t>
      </w:r>
      <w:r w:rsidR="007B4704">
        <w:rPr>
          <w:rFonts w:eastAsia="Arial" w:cs="Arial"/>
          <w:szCs w:val="20"/>
        </w:rPr>
        <w:t xml:space="preserve"> </w:t>
      </w:r>
      <w:r w:rsidR="007B4704">
        <w:rPr>
          <w:rStyle w:val="FootnoteReference"/>
          <w:rFonts w:eastAsia="Arial" w:cs="Arial"/>
          <w:szCs w:val="20"/>
        </w:rPr>
        <w:footnoteReference w:id="37"/>
      </w:r>
      <w:r w:rsidR="007B4704" w:rsidRPr="007B4704">
        <w:rPr>
          <w:rFonts w:eastAsia="Arial" w:cs="Arial"/>
          <w:szCs w:val="20"/>
          <w:vertAlign w:val="superscript"/>
        </w:rPr>
        <w:t>,</w:t>
      </w:r>
      <w:r w:rsidR="007B4704">
        <w:rPr>
          <w:rFonts w:eastAsia="Arial" w:cs="Arial"/>
          <w:szCs w:val="20"/>
        </w:rPr>
        <w:t xml:space="preserve"> </w:t>
      </w:r>
      <w:r w:rsidR="007B4704">
        <w:rPr>
          <w:rStyle w:val="FootnoteReference"/>
          <w:rFonts w:eastAsia="Arial" w:cs="Arial"/>
          <w:szCs w:val="20"/>
        </w:rPr>
        <w:footnoteReference w:id="38"/>
      </w:r>
      <w:r w:rsidR="007B4704" w:rsidRPr="007B4704">
        <w:rPr>
          <w:rFonts w:eastAsia="Arial" w:cs="Arial"/>
          <w:szCs w:val="20"/>
          <w:vertAlign w:val="superscript"/>
        </w:rPr>
        <w:t>,</w:t>
      </w:r>
      <w:r w:rsidR="007B4704">
        <w:rPr>
          <w:rFonts w:eastAsia="Arial" w:cs="Arial"/>
          <w:szCs w:val="20"/>
        </w:rPr>
        <w:t xml:space="preserve"> </w:t>
      </w:r>
      <w:r w:rsidR="007B4704">
        <w:rPr>
          <w:rStyle w:val="FootnoteReference"/>
          <w:rFonts w:eastAsia="Arial" w:cs="Arial"/>
          <w:szCs w:val="20"/>
        </w:rPr>
        <w:footnoteReference w:id="39"/>
      </w:r>
      <w:r w:rsidR="00A73969" w:rsidRPr="00A73969">
        <w:rPr>
          <w:rFonts w:eastAsia="Arial" w:cs="Arial"/>
          <w:szCs w:val="20"/>
        </w:rPr>
        <w:t xml:space="preserve"> All </w:t>
      </w:r>
      <w:r>
        <w:rPr>
          <w:rFonts w:eastAsia="Arial" w:cs="Arial"/>
          <w:szCs w:val="20"/>
        </w:rPr>
        <w:t>5</w:t>
      </w:r>
      <w:r w:rsidR="00A73969" w:rsidRPr="00A73969">
        <w:rPr>
          <w:rFonts w:eastAsia="Arial" w:cs="Arial"/>
          <w:szCs w:val="20"/>
        </w:rPr>
        <w:t xml:space="preserve"> reviews highlighted the need for additional controlled clinical trials to establish the safety and efficacy of kratom and cautioned against kratom use in a therapeutic setting in view of its high abuse liability, potential for drug interactions and adverse events, and inadequate research into the balance of benefits to harm.</w:t>
      </w:r>
    </w:p>
    <w:p w14:paraId="5EAB20C2" w14:textId="605BF80C" w:rsidR="00A73969" w:rsidRPr="00A73969" w:rsidRDefault="00A73969" w:rsidP="00A73969">
      <w:pPr>
        <w:rPr>
          <w:rFonts w:eastAsia="Arial" w:cs="Arial"/>
          <w:szCs w:val="20"/>
        </w:rPr>
      </w:pPr>
      <w:r w:rsidRPr="00A73969">
        <w:rPr>
          <w:rFonts w:eastAsia="Arial" w:cs="Arial"/>
          <w:szCs w:val="20"/>
        </w:rPr>
        <w:t xml:space="preserve">While </w:t>
      </w:r>
      <w:proofErr w:type="spellStart"/>
      <w:r w:rsidRPr="00A73969">
        <w:rPr>
          <w:rFonts w:eastAsia="Arial" w:cs="Arial"/>
          <w:szCs w:val="20"/>
        </w:rPr>
        <w:t>mitragyine</w:t>
      </w:r>
      <w:proofErr w:type="spellEnd"/>
      <w:r w:rsidRPr="00A73969">
        <w:rPr>
          <w:rFonts w:eastAsia="Arial" w:cs="Arial"/>
          <w:szCs w:val="20"/>
        </w:rPr>
        <w:t xml:space="preserve"> is a Schedule 4 medicine in New Zealand, there </w:t>
      </w:r>
      <w:r w:rsidR="009F57C6">
        <w:rPr>
          <w:rFonts w:eastAsia="Arial" w:cs="Arial"/>
          <w:szCs w:val="20"/>
        </w:rPr>
        <w:t>are</w:t>
      </w:r>
      <w:r w:rsidR="009F57C6" w:rsidRPr="00A73969">
        <w:rPr>
          <w:rFonts w:eastAsia="Arial" w:cs="Arial"/>
          <w:szCs w:val="20"/>
        </w:rPr>
        <w:t xml:space="preserve"> </w:t>
      </w:r>
      <w:r w:rsidR="00CF53C1" w:rsidRPr="00A73969">
        <w:rPr>
          <w:rFonts w:eastAsia="Arial" w:cs="Arial"/>
          <w:szCs w:val="20"/>
        </w:rPr>
        <w:t xml:space="preserve">currently </w:t>
      </w:r>
      <w:r w:rsidRPr="00A73969">
        <w:rPr>
          <w:rFonts w:eastAsia="Arial" w:cs="Arial"/>
          <w:szCs w:val="20"/>
        </w:rPr>
        <w:t xml:space="preserve">no </w:t>
      </w:r>
      <w:r w:rsidR="009F57C6">
        <w:rPr>
          <w:rFonts w:eastAsia="Arial" w:cs="Arial"/>
          <w:szCs w:val="20"/>
        </w:rPr>
        <w:t>products</w:t>
      </w:r>
      <w:r w:rsidR="009F57C6" w:rsidRPr="00A73969">
        <w:rPr>
          <w:rFonts w:eastAsia="Arial" w:cs="Arial"/>
          <w:szCs w:val="20"/>
        </w:rPr>
        <w:t xml:space="preserve"> </w:t>
      </w:r>
      <w:r w:rsidRPr="00A73969">
        <w:rPr>
          <w:rFonts w:eastAsia="Arial" w:cs="Arial"/>
          <w:szCs w:val="20"/>
        </w:rPr>
        <w:t xml:space="preserve">containing </w:t>
      </w:r>
      <w:proofErr w:type="spellStart"/>
      <w:r w:rsidRPr="00A73969">
        <w:rPr>
          <w:rFonts w:eastAsia="Arial" w:cs="Arial"/>
          <w:szCs w:val="20"/>
        </w:rPr>
        <w:t>mitragyine</w:t>
      </w:r>
      <w:proofErr w:type="spellEnd"/>
      <w:r w:rsidRPr="00A73969">
        <w:rPr>
          <w:rFonts w:eastAsia="Arial" w:cs="Arial"/>
          <w:szCs w:val="20"/>
        </w:rPr>
        <w:t xml:space="preserve"> available</w:t>
      </w:r>
      <w:r w:rsidR="009F57C6">
        <w:rPr>
          <w:rFonts w:eastAsia="Arial" w:cs="Arial"/>
          <w:szCs w:val="20"/>
        </w:rPr>
        <w:t xml:space="preserve"> for sale</w:t>
      </w:r>
      <w:r w:rsidRPr="00A73969">
        <w:rPr>
          <w:rFonts w:eastAsia="Arial" w:cs="Arial"/>
          <w:szCs w:val="20"/>
        </w:rPr>
        <w:t xml:space="preserve"> in New Zealand. </w:t>
      </w:r>
      <w:r w:rsidR="009F57C6">
        <w:rPr>
          <w:rFonts w:eastAsia="Arial" w:cs="Arial"/>
          <w:szCs w:val="20"/>
        </w:rPr>
        <w:t>T</w:t>
      </w:r>
      <w:r w:rsidRPr="00A73969">
        <w:rPr>
          <w:rFonts w:eastAsia="Arial" w:cs="Arial"/>
          <w:szCs w:val="20"/>
        </w:rPr>
        <w:t xml:space="preserve">here are no </w:t>
      </w:r>
      <w:r w:rsidR="009F57C6">
        <w:rPr>
          <w:rFonts w:eastAsia="Arial" w:cs="Arial"/>
          <w:szCs w:val="20"/>
        </w:rPr>
        <w:t>products</w:t>
      </w:r>
      <w:r w:rsidRPr="00A73969">
        <w:rPr>
          <w:rFonts w:eastAsia="Arial" w:cs="Arial"/>
          <w:szCs w:val="20"/>
        </w:rPr>
        <w:t xml:space="preserve"> containing kratom or its alkaloids approved by the US FDA</w:t>
      </w:r>
      <w:r w:rsidR="009F57C6">
        <w:rPr>
          <w:rFonts w:eastAsia="Arial" w:cs="Arial"/>
          <w:szCs w:val="20"/>
        </w:rPr>
        <w:t>,</w:t>
      </w:r>
      <w:r w:rsidRPr="00A73969">
        <w:rPr>
          <w:rFonts w:eastAsia="Arial" w:cs="Arial"/>
          <w:szCs w:val="20"/>
        </w:rPr>
        <w:t xml:space="preserve"> although some</w:t>
      </w:r>
      <w:r w:rsidR="009F57C6">
        <w:rPr>
          <w:rFonts w:eastAsia="Arial" w:cs="Arial"/>
          <w:szCs w:val="20"/>
        </w:rPr>
        <w:t xml:space="preserve"> US</w:t>
      </w:r>
      <w:r w:rsidRPr="00A73969">
        <w:rPr>
          <w:rFonts w:eastAsia="Arial" w:cs="Arial"/>
          <w:szCs w:val="20"/>
        </w:rPr>
        <w:t xml:space="preserve"> states </w:t>
      </w:r>
      <w:r w:rsidR="009F57C6">
        <w:rPr>
          <w:rFonts w:eastAsia="Arial" w:cs="Arial"/>
          <w:szCs w:val="20"/>
        </w:rPr>
        <w:t>permit</w:t>
      </w:r>
      <w:r w:rsidRPr="00A73969">
        <w:rPr>
          <w:rFonts w:eastAsia="Arial" w:cs="Arial"/>
          <w:szCs w:val="20"/>
        </w:rPr>
        <w:t xml:space="preserve"> sale of kratom products with additional restrictions and requirements.</w:t>
      </w:r>
    </w:p>
    <w:p w14:paraId="66149FCC" w14:textId="39C0FC83" w:rsidR="00A73969" w:rsidRPr="00A73969" w:rsidRDefault="00A73969" w:rsidP="00A73969">
      <w:pPr>
        <w:rPr>
          <w:rFonts w:eastAsia="Arial" w:cs="Arial"/>
          <w:szCs w:val="20"/>
        </w:rPr>
      </w:pPr>
      <w:r w:rsidRPr="00A73969">
        <w:rPr>
          <w:rFonts w:eastAsia="Arial" w:cs="Arial"/>
          <w:szCs w:val="20"/>
        </w:rPr>
        <w:t xml:space="preserve">Overall, I maintain my view that </w:t>
      </w:r>
      <w:r w:rsidRPr="00A73969">
        <w:t xml:space="preserve">the </w:t>
      </w:r>
      <w:r w:rsidR="009F57C6" w:rsidRPr="00A73969">
        <w:t>potential for misuse</w:t>
      </w:r>
      <w:r w:rsidR="009F57C6">
        <w:t xml:space="preserve">, </w:t>
      </w:r>
      <w:r w:rsidR="009F57C6" w:rsidRPr="00A73969">
        <w:t>abuse</w:t>
      </w:r>
      <w:r w:rsidR="009F57C6">
        <w:t xml:space="preserve"> and dependence of kratom</w:t>
      </w:r>
      <w:r w:rsidR="009F57C6" w:rsidRPr="00A73969">
        <w:t xml:space="preserve"> is well documented while its </w:t>
      </w:r>
      <w:r w:rsidRPr="00A73969">
        <w:t xml:space="preserve">therapeutic value </w:t>
      </w:r>
      <w:r w:rsidR="009F57C6">
        <w:t>has</w:t>
      </w:r>
      <w:r w:rsidRPr="00A73969">
        <w:t xml:space="preserve"> not</w:t>
      </w:r>
      <w:r w:rsidR="009F57C6">
        <w:t xml:space="preserve"> been</w:t>
      </w:r>
      <w:r w:rsidRPr="00A73969">
        <w:t xml:space="preserve"> established. Therefore, kratom must remain listed as a Prohibited substance (Schedule 9, factor 2).</w:t>
      </w:r>
    </w:p>
    <w:p w14:paraId="2B745B8D" w14:textId="5582DA14" w:rsidR="009C4D28" w:rsidRPr="00A73969" w:rsidRDefault="00C079D9" w:rsidP="009C4D28">
      <w:r w:rsidRPr="00A73969">
        <w:t>Based on</w:t>
      </w:r>
      <w:r w:rsidR="009C4D28" w:rsidRPr="00A73969">
        <w:t xml:space="preserve"> the above considerations, and in particular, the unsubstantiated claims about therapeutic benefits compared with risks and potential for misuse</w:t>
      </w:r>
      <w:r w:rsidR="00363019">
        <w:t>,</w:t>
      </w:r>
      <w:r w:rsidR="009C4D28" w:rsidRPr="00A73969">
        <w:t xml:space="preserve"> abuse</w:t>
      </w:r>
      <w:r w:rsidR="00363019">
        <w:t xml:space="preserve"> and dependence</w:t>
      </w:r>
      <w:r w:rsidR="009C4D28" w:rsidRPr="00A73969">
        <w:t>, I am not convinced kratom can be moved from Schedule 9 to Schedule 4 or Schedule 8. Therefore, I have decided not to amend the current Poisons Standard in relation to kratom.</w:t>
      </w:r>
    </w:p>
    <w:p w14:paraId="163423F8" w14:textId="19167DB4" w:rsidR="006D53F3" w:rsidRDefault="006D53F3" w:rsidP="006D53F3">
      <w:pPr>
        <w:pStyle w:val="Heading2"/>
      </w:pPr>
      <w:bookmarkStart w:id="52" w:name="_Toc230353670"/>
      <w:r>
        <w:lastRenderedPageBreak/>
        <w:t>D</w:t>
      </w:r>
      <w:r w:rsidRPr="00B41852">
        <w:t xml:space="preserve">ecision </w:t>
      </w:r>
      <w:bookmarkStart w:id="53" w:name="_Toc178340912"/>
      <w:r w:rsidRPr="00B41852">
        <w:t xml:space="preserve">to </w:t>
      </w:r>
      <w:r>
        <w:t xml:space="preserve">amend </w:t>
      </w:r>
      <w:r w:rsidRPr="00B41852">
        <w:t xml:space="preserve">the current Poisons Standard under </w:t>
      </w:r>
      <w:r>
        <w:t xml:space="preserve">section </w:t>
      </w:r>
      <w:proofErr w:type="spellStart"/>
      <w:r>
        <w:t>52</w:t>
      </w:r>
      <w:proofErr w:type="gramStart"/>
      <w:r>
        <w:t>D</w:t>
      </w:r>
      <w:proofErr w:type="spellEnd"/>
      <w:r>
        <w:t>(</w:t>
      </w:r>
      <w:proofErr w:type="gramEnd"/>
      <w:r>
        <w:t>2) of the Act</w:t>
      </w:r>
      <w:bookmarkEnd w:id="53"/>
      <w:bookmarkEnd w:id="52"/>
    </w:p>
    <w:p w14:paraId="69549072" w14:textId="77777777" w:rsidR="006D53F3" w:rsidRDefault="006D53F3" w:rsidP="006D53F3">
      <w:pPr>
        <w:pStyle w:val="Heading3"/>
      </w:pPr>
      <w:bookmarkStart w:id="54" w:name="_Toc178340895"/>
      <w:bookmarkStart w:id="55" w:name="_Toc230353671"/>
      <w:r>
        <w:t xml:space="preserve">Decision in relation to </w:t>
      </w:r>
      <w:bookmarkEnd w:id="54"/>
      <w:r w:rsidRPr="00351949">
        <w:t>WIN 55,212-2</w:t>
      </w:r>
      <w:bookmarkEnd w:id="55"/>
    </w:p>
    <w:p w14:paraId="6C365DD2" w14:textId="5AB2C2C2" w:rsidR="006D53F3" w:rsidRPr="00967490" w:rsidRDefault="006D53F3" w:rsidP="006D53F3">
      <w:pPr>
        <w:pStyle w:val="Heading4"/>
      </w:pPr>
      <w:r>
        <w:t>D</w:t>
      </w:r>
      <w:r w:rsidRPr="00967490">
        <w:t>ecision</w:t>
      </w:r>
    </w:p>
    <w:p w14:paraId="7CBA3D84" w14:textId="77777777" w:rsidR="006D53F3" w:rsidRDefault="006D53F3" w:rsidP="006D53F3">
      <w:pPr>
        <w:jc w:val="both"/>
      </w:pPr>
      <w:r w:rsidRPr="00AB01CC">
        <w:t xml:space="preserve">Pursuant to regulation </w:t>
      </w:r>
      <w:proofErr w:type="spellStart"/>
      <w:r>
        <w:t>52D</w:t>
      </w:r>
      <w:proofErr w:type="spellEnd"/>
      <w:r>
        <w:t xml:space="preserve"> (2)</w:t>
      </w:r>
      <w:r w:rsidRPr="00AB01CC">
        <w:t xml:space="preserve"> of the Regulations, a Delegate of the Secretary has made a final decision to amend the current Poisons Standard in relation to </w:t>
      </w:r>
      <w:r w:rsidRPr="00FF1621">
        <w:t xml:space="preserve">WIN 55,212-2 </w:t>
      </w:r>
      <w:r w:rsidRPr="00AB01CC">
        <w:t xml:space="preserve">as </w:t>
      </w:r>
      <w:r>
        <w:t>below.</w:t>
      </w:r>
      <w:r>
        <w:rPr>
          <w:rStyle w:val="FootnoteReference"/>
        </w:rPr>
        <w:footnoteReference w:id="40"/>
      </w:r>
      <w:r>
        <w:t xml:space="preserve"> This decision does not change the scheduling of </w:t>
      </w:r>
      <w:proofErr w:type="spellStart"/>
      <w:r w:rsidRPr="00E611C8">
        <w:t>naphthoylindoles</w:t>
      </w:r>
      <w:proofErr w:type="spellEnd"/>
      <w:r>
        <w:t xml:space="preserve"> which remain listed as </w:t>
      </w:r>
      <w:r w:rsidRPr="00E611C8">
        <w:t>Prohibited substances (Schedule 9)</w:t>
      </w:r>
      <w:r>
        <w:t xml:space="preserve"> and only clarifies that </w:t>
      </w:r>
      <w:r w:rsidRPr="00FF1621">
        <w:t>WIN 55,212-2</w:t>
      </w:r>
      <w:r>
        <w:t xml:space="preserve"> is captured under the entry for </w:t>
      </w:r>
      <w:proofErr w:type="spellStart"/>
      <w:r w:rsidRPr="00E611C8">
        <w:t>naphthoylindoles</w:t>
      </w:r>
      <w:proofErr w:type="spellEnd"/>
      <w:r>
        <w:t>.</w:t>
      </w:r>
    </w:p>
    <w:p w14:paraId="0FD6F774" w14:textId="77777777" w:rsidR="006D53F3" w:rsidRDefault="006D53F3" w:rsidP="006D53F3">
      <w:pPr>
        <w:ind w:left="426"/>
        <w:rPr>
          <w:rFonts w:cstheme="minorHAnsi"/>
          <w:b/>
          <w:bCs/>
          <w:color w:val="auto"/>
        </w:rPr>
      </w:pPr>
      <w:r w:rsidRPr="00B150E2">
        <w:rPr>
          <w:rFonts w:cstheme="minorHAnsi"/>
          <w:b/>
          <w:bCs/>
          <w:color w:val="auto"/>
        </w:rPr>
        <w:t xml:space="preserve">Index – </w:t>
      </w:r>
      <w:r>
        <w:rPr>
          <w:rFonts w:cstheme="minorHAnsi"/>
          <w:b/>
          <w:bCs/>
          <w:color w:val="auto"/>
        </w:rPr>
        <w:t>Amend</w:t>
      </w:r>
      <w:r w:rsidRPr="00B150E2">
        <w:rPr>
          <w:rFonts w:cstheme="minorHAnsi"/>
          <w:b/>
          <w:bCs/>
          <w:color w:val="auto"/>
        </w:rPr>
        <w:t xml:space="preserve"> entry</w:t>
      </w:r>
    </w:p>
    <w:p w14:paraId="44DFD26A" w14:textId="77777777" w:rsidR="006D53F3" w:rsidRPr="00CE260F" w:rsidRDefault="006D53F3" w:rsidP="006D53F3">
      <w:pPr>
        <w:ind w:left="709"/>
        <w:rPr>
          <w:rFonts w:cstheme="minorHAnsi"/>
          <w:b/>
          <w:bCs/>
          <w:color w:val="auto"/>
        </w:rPr>
      </w:pPr>
      <w:proofErr w:type="spellStart"/>
      <w:r w:rsidRPr="00CE260F">
        <w:rPr>
          <w:rFonts w:cstheme="minorHAnsi"/>
          <w:b/>
          <w:bCs/>
          <w:color w:val="auto"/>
        </w:rPr>
        <w:t>NAPHTHOYLINDOLES</w:t>
      </w:r>
      <w:proofErr w:type="spellEnd"/>
    </w:p>
    <w:p w14:paraId="59980BF7" w14:textId="77777777" w:rsidR="006D53F3" w:rsidRPr="004E1795" w:rsidRDefault="006D53F3" w:rsidP="006D53F3">
      <w:pPr>
        <w:ind w:left="709"/>
        <w:rPr>
          <w:rFonts w:cstheme="minorHAnsi"/>
          <w:b/>
          <w:bCs/>
          <w:color w:val="00B050"/>
          <w:u w:val="single"/>
        </w:rPr>
      </w:pPr>
      <w:r w:rsidRPr="004E1795">
        <w:rPr>
          <w:rFonts w:cstheme="minorHAnsi"/>
        </w:rPr>
        <w:t>cross reference:</w:t>
      </w:r>
      <w:r w:rsidRPr="004E1795">
        <w:rPr>
          <w:rFonts w:cstheme="minorHAnsi"/>
          <w:b/>
          <w:bCs/>
        </w:rPr>
        <w:t xml:space="preserve"> </w:t>
      </w:r>
      <w:r w:rsidRPr="004E1795">
        <w:rPr>
          <w:rFonts w:cs="Arial"/>
          <w:color w:val="00B050"/>
          <w:szCs w:val="20"/>
          <w:u w:val="single"/>
        </w:rPr>
        <w:t>WIN 55,212-</w:t>
      </w:r>
      <w:r w:rsidRPr="0082110B">
        <w:rPr>
          <w:rFonts w:cs="Arial"/>
          <w:color w:val="00B050"/>
          <w:szCs w:val="20"/>
          <w:u w:val="single"/>
        </w:rPr>
        <w:t>2 (CAS 137795-17-6)</w:t>
      </w:r>
    </w:p>
    <w:p w14:paraId="390FEC4E" w14:textId="77777777" w:rsidR="006D53F3" w:rsidRPr="004E1795" w:rsidRDefault="006D53F3" w:rsidP="006D53F3">
      <w:pPr>
        <w:ind w:left="709"/>
        <w:rPr>
          <w:rFonts w:cstheme="minorHAnsi"/>
        </w:rPr>
      </w:pPr>
      <w:r w:rsidRPr="004E1795">
        <w:rPr>
          <w:rFonts w:cstheme="minorHAnsi"/>
        </w:rPr>
        <w:t>Schedule 9</w:t>
      </w:r>
    </w:p>
    <w:p w14:paraId="32E9438E" w14:textId="77777777" w:rsidR="006D53F3" w:rsidRPr="00967490" w:rsidRDefault="006D53F3" w:rsidP="006D53F3">
      <w:pPr>
        <w:pStyle w:val="Heading4"/>
      </w:pPr>
      <w:r w:rsidRPr="00967490">
        <w:t>Materials considered</w:t>
      </w:r>
    </w:p>
    <w:p w14:paraId="39D1628C" w14:textId="77777777" w:rsidR="006D53F3" w:rsidRDefault="006D53F3" w:rsidP="006D53F3">
      <w:r>
        <w:t>In making this final decision, the Delegate considered the following material:</w:t>
      </w:r>
    </w:p>
    <w:p w14:paraId="30BE6509" w14:textId="77777777" w:rsidR="006D53F3" w:rsidRPr="00335538" w:rsidRDefault="006D53F3" w:rsidP="00B05C1F">
      <w:pPr>
        <w:pStyle w:val="ListBullet"/>
      </w:pPr>
      <w:r>
        <w:t>s</w:t>
      </w:r>
      <w:r w:rsidRPr="00335538">
        <w:t xml:space="preserve">ubsection </w:t>
      </w:r>
      <w:proofErr w:type="spellStart"/>
      <w:r w:rsidRPr="00335538">
        <w:t>52E</w:t>
      </w:r>
      <w:proofErr w:type="spellEnd"/>
      <w:r w:rsidRPr="00335538">
        <w:t xml:space="preserve">(1) of </w:t>
      </w:r>
      <w:r w:rsidRPr="00335538">
        <w:rPr>
          <w:iCs/>
        </w:rPr>
        <w:t>the Act</w:t>
      </w:r>
      <w:r w:rsidRPr="00335538">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1336CB63" w14:textId="77777777" w:rsidR="006D53F3" w:rsidRPr="00F24669" w:rsidRDefault="006D53F3" w:rsidP="00B05C1F">
      <w:pPr>
        <w:pStyle w:val="ListBullet"/>
      </w:pPr>
      <w:r>
        <w:t>p</w:t>
      </w:r>
      <w:r w:rsidRPr="00F24669">
        <w:t xml:space="preserve">ursuant to paragraph </w:t>
      </w:r>
      <w:proofErr w:type="spellStart"/>
      <w:r w:rsidRPr="00F24669">
        <w:t>52E</w:t>
      </w:r>
      <w:proofErr w:type="spellEnd"/>
      <w:r w:rsidRPr="00F24669">
        <w:t>(2)(a) of the Act, the SPF, and</w:t>
      </w:r>
    </w:p>
    <w:p w14:paraId="38254286" w14:textId="77777777" w:rsidR="006D53F3" w:rsidRPr="00F24669" w:rsidRDefault="006D53F3" w:rsidP="00B05C1F">
      <w:pPr>
        <w:pStyle w:val="ListBullet"/>
      </w:pPr>
      <w:r>
        <w:t>t</w:t>
      </w:r>
      <w:r w:rsidRPr="00F24669">
        <w:t>he Handbook.</w:t>
      </w:r>
    </w:p>
    <w:p w14:paraId="0875D2F1" w14:textId="77777777" w:rsidR="006D53F3" w:rsidRPr="005E2F5E" w:rsidRDefault="006D53F3" w:rsidP="006D53F3">
      <w:pPr>
        <w:pStyle w:val="Heading4"/>
      </w:pPr>
      <w:r w:rsidRPr="005E2F5E">
        <w:t>Reasons for the final decision (including findings on material questions of fact)</w:t>
      </w:r>
    </w:p>
    <w:p w14:paraId="2B2A2D3C" w14:textId="77777777" w:rsidR="006D53F3" w:rsidRPr="0011509A" w:rsidRDefault="006D53F3" w:rsidP="006D53F3">
      <w:r>
        <w:t xml:space="preserve">In exercising my power under section </w:t>
      </w:r>
      <w:proofErr w:type="spellStart"/>
      <w:r>
        <w:t>52</w:t>
      </w:r>
      <w:proofErr w:type="gramStart"/>
      <w:r>
        <w:t>D</w:t>
      </w:r>
      <w:proofErr w:type="spellEnd"/>
      <w:r>
        <w:t>(</w:t>
      </w:r>
      <w:proofErr w:type="gramEnd"/>
      <w:r>
        <w:t xml:space="preserve">2) of the Act, I have </w:t>
      </w:r>
      <w:proofErr w:type="gramStart"/>
      <w:r>
        <w:t>taken into account</w:t>
      </w:r>
      <w:proofErr w:type="gramEnd"/>
      <w:r>
        <w:t xml:space="preserve"> the information provided in the materials listed above. </w:t>
      </w:r>
      <w:r w:rsidRPr="0011509A">
        <w:t>My reasons for making the final decision are as follows.</w:t>
      </w:r>
    </w:p>
    <w:p w14:paraId="0C162DCB" w14:textId="4DCC81CB" w:rsidR="006D53F3" w:rsidRPr="00940F30" w:rsidRDefault="006D53F3" w:rsidP="006D53F3">
      <w:pPr>
        <w:rPr>
          <w:szCs w:val="20"/>
        </w:rPr>
      </w:pPr>
      <w:r w:rsidRPr="0011509A">
        <w:rPr>
          <w:rFonts w:cs="Arial"/>
          <w:color w:val="000000"/>
          <w:szCs w:val="20"/>
        </w:rPr>
        <w:t>WIN</w:t>
      </w:r>
      <w:r w:rsidRPr="0011509A">
        <w:rPr>
          <w:rFonts w:cs="Arial"/>
          <w:szCs w:val="20"/>
        </w:rPr>
        <w:t xml:space="preserve"> 55,212-2, is an </w:t>
      </w:r>
      <w:proofErr w:type="spellStart"/>
      <w:r w:rsidRPr="0011509A">
        <w:rPr>
          <w:rFonts w:cs="Arial"/>
          <w:szCs w:val="20"/>
        </w:rPr>
        <w:t>aminoalkylindole</w:t>
      </w:r>
      <w:proofErr w:type="spellEnd"/>
      <w:r w:rsidRPr="0011509A">
        <w:rPr>
          <w:rFonts w:cs="Arial"/>
          <w:szCs w:val="20"/>
        </w:rPr>
        <w:t xml:space="preserve"> (family of </w:t>
      </w:r>
      <w:proofErr w:type="spellStart"/>
      <w:r w:rsidRPr="0011509A">
        <w:rPr>
          <w:rFonts w:cs="Arial"/>
          <w:szCs w:val="20"/>
        </w:rPr>
        <w:t>cannabinergic</w:t>
      </w:r>
      <w:proofErr w:type="spellEnd"/>
      <w:r w:rsidRPr="0011509A">
        <w:rPr>
          <w:rFonts w:cs="Arial"/>
          <w:szCs w:val="20"/>
        </w:rPr>
        <w:t xml:space="preserve"> compounds that act as a cannabinoid receptor agonist) derivative</w:t>
      </w:r>
      <w:r w:rsidR="00F432E8">
        <w:rPr>
          <w:rFonts w:cs="Arial"/>
          <w:szCs w:val="20"/>
        </w:rPr>
        <w:t>. It is not specifically scheduled but</w:t>
      </w:r>
      <w:r>
        <w:rPr>
          <w:rFonts w:cs="Arial"/>
          <w:szCs w:val="20"/>
        </w:rPr>
        <w:t xml:space="preserve"> can be </w:t>
      </w:r>
      <w:r w:rsidRPr="0011509A">
        <w:rPr>
          <w:rFonts w:eastAsia="Calibri" w:cs="Arial"/>
          <w:color w:val="auto"/>
          <w:kern w:val="2"/>
          <w:szCs w:val="20"/>
          <w14:ligatures w14:val="standardContextual"/>
        </w:rPr>
        <w:t xml:space="preserve">captured under the class entries for </w:t>
      </w:r>
      <w:proofErr w:type="spellStart"/>
      <w:r w:rsidRPr="0011509A">
        <w:rPr>
          <w:rFonts w:eastAsia="Calibri" w:cs="Arial"/>
          <w:color w:val="auto"/>
          <w:kern w:val="2"/>
          <w:szCs w:val="20"/>
          <w14:ligatures w14:val="standardContextual"/>
        </w:rPr>
        <w:t>naphthoylindole</w:t>
      </w:r>
      <w:proofErr w:type="spellEnd"/>
      <w:r w:rsidRPr="0011509A">
        <w:rPr>
          <w:rFonts w:eastAsia="Calibri" w:cs="Arial"/>
          <w:color w:val="auto"/>
          <w:kern w:val="2"/>
          <w:szCs w:val="20"/>
          <w14:ligatures w14:val="standardContextual"/>
        </w:rPr>
        <w:t xml:space="preserve"> or </w:t>
      </w:r>
      <w:r w:rsidRPr="0011509A">
        <w:rPr>
          <w:rFonts w:eastAsia="Calibri" w:cs="Arial"/>
          <w:color w:val="auto"/>
          <w:szCs w:val="20"/>
        </w:rPr>
        <w:t xml:space="preserve">synthetic </w:t>
      </w:r>
      <w:proofErr w:type="spellStart"/>
      <w:r w:rsidRPr="0011509A">
        <w:rPr>
          <w:rFonts w:eastAsia="Calibri" w:cs="Arial"/>
          <w:color w:val="auto"/>
          <w:szCs w:val="20"/>
        </w:rPr>
        <w:t>cannabinomimetics</w:t>
      </w:r>
      <w:proofErr w:type="spellEnd"/>
      <w:r w:rsidRPr="00DA0A67">
        <w:rPr>
          <w:szCs w:val="20"/>
        </w:rPr>
        <w:t xml:space="preserve"> </w:t>
      </w:r>
      <w:r>
        <w:rPr>
          <w:szCs w:val="20"/>
        </w:rPr>
        <w:t>both of which are</w:t>
      </w:r>
      <w:r w:rsidRPr="00A53A8B">
        <w:rPr>
          <w:szCs w:val="20"/>
        </w:rPr>
        <w:t xml:space="preserve"> </w:t>
      </w:r>
      <w:r>
        <w:t>P</w:t>
      </w:r>
      <w:r w:rsidRPr="006F191D">
        <w:t>rohibited substance</w:t>
      </w:r>
      <w:r>
        <w:t>s (</w:t>
      </w:r>
      <w:r w:rsidRPr="0011509A">
        <w:t>Schedule 9</w:t>
      </w:r>
      <w:r>
        <w:t>).</w:t>
      </w:r>
      <w:r>
        <w:rPr>
          <w:rFonts w:eastAsia="Calibri" w:cs="Arial"/>
          <w:color w:val="auto"/>
          <w:kern w:val="2"/>
          <w:szCs w:val="20"/>
          <w14:ligatures w14:val="standardContextual"/>
        </w:rPr>
        <w:t xml:space="preserve"> </w:t>
      </w:r>
      <w:bookmarkStart w:id="56" w:name="_Toc97640264"/>
      <w:r>
        <w:rPr>
          <w:rFonts w:cs="Arial"/>
          <w:color w:val="000000"/>
          <w:szCs w:val="20"/>
        </w:rPr>
        <w:t>WIN</w:t>
      </w:r>
      <w:r w:rsidRPr="004C5793">
        <w:rPr>
          <w:rFonts w:cs="Arial"/>
          <w:szCs w:val="20"/>
        </w:rPr>
        <w:t xml:space="preserve"> 55,212-2</w:t>
      </w:r>
      <w:r>
        <w:rPr>
          <w:rFonts w:cs="Arial"/>
          <w:szCs w:val="20"/>
        </w:rPr>
        <w:t xml:space="preserve"> was discussed at the October 2011 meeting of the Advisory Committee of Medicines Scheduling where it was </w:t>
      </w:r>
      <w:r w:rsidR="00F432E8">
        <w:rPr>
          <w:rFonts w:cs="Arial"/>
          <w:szCs w:val="20"/>
        </w:rPr>
        <w:t>ascertained</w:t>
      </w:r>
      <w:r>
        <w:rPr>
          <w:rFonts w:cs="Arial"/>
          <w:szCs w:val="20"/>
        </w:rPr>
        <w:t xml:space="preserve"> that </w:t>
      </w:r>
      <w:r>
        <w:rPr>
          <w:rFonts w:cs="Arial"/>
          <w:color w:val="000000"/>
          <w:szCs w:val="20"/>
        </w:rPr>
        <w:t>WIN </w:t>
      </w:r>
      <w:r w:rsidRPr="004C5793">
        <w:rPr>
          <w:rFonts w:cs="Arial"/>
          <w:szCs w:val="20"/>
        </w:rPr>
        <w:t>55,212</w:t>
      </w:r>
      <w:r>
        <w:rPr>
          <w:rFonts w:cs="Arial"/>
          <w:szCs w:val="20"/>
        </w:rPr>
        <w:t xml:space="preserve"> </w:t>
      </w:r>
      <w:r w:rsidRPr="006B1600">
        <w:rPr>
          <w:rFonts w:cs="Arial"/>
          <w:szCs w:val="20"/>
        </w:rPr>
        <w:t xml:space="preserve">should be included in the group entry for </w:t>
      </w:r>
      <w:proofErr w:type="spellStart"/>
      <w:r w:rsidRPr="006B1600">
        <w:rPr>
          <w:rFonts w:cs="Arial"/>
          <w:szCs w:val="20"/>
        </w:rPr>
        <w:t>napthoylindoles</w:t>
      </w:r>
      <w:proofErr w:type="spellEnd"/>
      <w:r>
        <w:rPr>
          <w:rFonts w:cs="Arial"/>
          <w:szCs w:val="20"/>
        </w:rPr>
        <w:t>.</w:t>
      </w:r>
      <w:r w:rsidRPr="00DA0A67">
        <w:rPr>
          <w:szCs w:val="20"/>
        </w:rPr>
        <w:t xml:space="preserve"> </w:t>
      </w:r>
      <w:r>
        <w:rPr>
          <w:szCs w:val="20"/>
        </w:rPr>
        <w:t xml:space="preserve">Therefore, </w:t>
      </w:r>
      <w:r w:rsidR="00F432E8">
        <w:rPr>
          <w:szCs w:val="20"/>
        </w:rPr>
        <w:t xml:space="preserve">to improve clarity, </w:t>
      </w:r>
      <w:r w:rsidRPr="00A53A8B">
        <w:rPr>
          <w:szCs w:val="20"/>
        </w:rPr>
        <w:t xml:space="preserve">I </w:t>
      </w:r>
      <w:r>
        <w:rPr>
          <w:szCs w:val="20"/>
        </w:rPr>
        <w:t>have decided</w:t>
      </w:r>
      <w:r w:rsidRPr="00A53A8B">
        <w:rPr>
          <w:szCs w:val="20"/>
        </w:rPr>
        <w:t xml:space="preserve"> to include </w:t>
      </w:r>
      <w:r>
        <w:rPr>
          <w:rFonts w:cs="Arial"/>
          <w:color w:val="000000"/>
          <w:szCs w:val="20"/>
        </w:rPr>
        <w:t>WIN</w:t>
      </w:r>
      <w:r w:rsidRPr="004C5793">
        <w:rPr>
          <w:rFonts w:cs="Arial"/>
          <w:szCs w:val="20"/>
        </w:rPr>
        <w:t xml:space="preserve"> 55,212-2</w:t>
      </w:r>
      <w:r>
        <w:rPr>
          <w:rFonts w:cs="Arial"/>
          <w:szCs w:val="20"/>
        </w:rPr>
        <w:t xml:space="preserve"> in the Poisons Standard </w:t>
      </w:r>
      <w:r w:rsidRPr="00A53A8B">
        <w:rPr>
          <w:szCs w:val="20"/>
        </w:rPr>
        <w:t xml:space="preserve">as a cross reference </w:t>
      </w:r>
      <w:r>
        <w:rPr>
          <w:szCs w:val="20"/>
        </w:rPr>
        <w:t>to</w:t>
      </w:r>
      <w:r w:rsidRPr="00A53A8B">
        <w:rPr>
          <w:szCs w:val="20"/>
        </w:rPr>
        <w:t xml:space="preserve"> </w:t>
      </w:r>
      <w:proofErr w:type="spellStart"/>
      <w:r w:rsidRPr="00A53A8B">
        <w:rPr>
          <w:szCs w:val="20"/>
        </w:rPr>
        <w:t>naphthoylindoles</w:t>
      </w:r>
      <w:proofErr w:type="spellEnd"/>
      <w:r>
        <w:rPr>
          <w:szCs w:val="20"/>
        </w:rPr>
        <w:t>. The</w:t>
      </w:r>
      <w:r w:rsidRPr="00084FB0">
        <w:rPr>
          <w:szCs w:val="20"/>
        </w:rPr>
        <w:t xml:space="preserve"> proposed amendment was not referred to an expert advisory committee</w:t>
      </w:r>
      <w:r>
        <w:rPr>
          <w:szCs w:val="20"/>
        </w:rPr>
        <w:t>.</w:t>
      </w:r>
    </w:p>
    <w:p w14:paraId="49E773CD" w14:textId="77777777" w:rsidR="006D53F3" w:rsidRPr="00E42057" w:rsidRDefault="006D53F3" w:rsidP="006D53F3">
      <w:pPr>
        <w:pStyle w:val="Heading4"/>
      </w:pPr>
      <w:r w:rsidRPr="00E42057">
        <w:lastRenderedPageBreak/>
        <w:t>Implementation date</w:t>
      </w:r>
    </w:p>
    <w:bookmarkEnd w:id="56"/>
    <w:p w14:paraId="38906309" w14:textId="4F525C02" w:rsidR="00D55CED" w:rsidRDefault="006D53F3" w:rsidP="006D53F3">
      <w:r w:rsidRPr="008C116A">
        <w:t xml:space="preserve">1 </w:t>
      </w:r>
      <w:r>
        <w:t>June</w:t>
      </w:r>
      <w:r w:rsidRPr="008C116A">
        <w:t xml:space="preserve"> 202</w:t>
      </w:r>
      <w:r>
        <w:t>6</w:t>
      </w:r>
    </w:p>
    <w:p w14:paraId="747E1050" w14:textId="77777777" w:rsidR="006D53F3" w:rsidRDefault="006D53F3" w:rsidP="00E25235">
      <w:r>
        <w:br w:type="page"/>
      </w:r>
    </w:p>
    <w:p w14:paraId="7166D417" w14:textId="60FD67A5" w:rsidR="000D7942" w:rsidRPr="005069D2" w:rsidRDefault="000D7942" w:rsidP="000D7942">
      <w:pPr>
        <w:pStyle w:val="Heading2"/>
      </w:pPr>
      <w:bookmarkStart w:id="57" w:name="_Toc230353672"/>
      <w:r w:rsidRPr="005069D2">
        <w:lastRenderedPageBreak/>
        <w:t>Amendments to the Poison Standard in relation to New Chemical Entities (</w:t>
      </w:r>
      <w:proofErr w:type="spellStart"/>
      <w:r w:rsidRPr="005069D2">
        <w:t>NCEs</w:t>
      </w:r>
      <w:proofErr w:type="spellEnd"/>
      <w:r w:rsidRPr="005069D2">
        <w:t>)</w:t>
      </w:r>
      <w:bookmarkEnd w:id="57"/>
    </w:p>
    <w:p w14:paraId="45F463D8" w14:textId="77777777" w:rsidR="00B53EF5" w:rsidRDefault="00B53EF5" w:rsidP="00B53EF5">
      <w:r>
        <w:t xml:space="preserve">The </w:t>
      </w:r>
      <w:proofErr w:type="spellStart"/>
      <w:r>
        <w:t>NCEs</w:t>
      </w:r>
      <w:proofErr w:type="spellEnd"/>
      <w:r>
        <w:t xml:space="preserve"> liste</w:t>
      </w:r>
      <w:r w:rsidRPr="00A27362">
        <w:t>d below will be inc</w:t>
      </w:r>
      <w:r w:rsidRPr="003C7F4C">
        <w:t xml:space="preserve">luded in the new Poisons Standard that will come into effect on </w:t>
      </w:r>
      <w:r w:rsidRPr="00EE5C3B">
        <w:t>1 June 2026</w:t>
      </w:r>
      <w:r w:rsidRPr="003C7F4C">
        <w:t>.</w:t>
      </w:r>
    </w:p>
    <w:p w14:paraId="37AE3240" w14:textId="77777777" w:rsidR="00EE5C3B" w:rsidRPr="00612683" w:rsidRDefault="00EE5C3B" w:rsidP="00B53EF5">
      <w:pPr>
        <w:pStyle w:val="Heading3"/>
        <w:spacing w:before="240" w:line="220" w:lineRule="atLeast"/>
      </w:pPr>
      <w:bookmarkStart w:id="58" w:name="_Toc227317185"/>
      <w:bookmarkStart w:id="59" w:name="_Toc230353673"/>
      <w:proofErr w:type="spellStart"/>
      <w:r w:rsidRPr="0060549E">
        <w:t>ANACAULASE-BCDB</w:t>
      </w:r>
      <w:bookmarkEnd w:id="58"/>
      <w:bookmarkEnd w:id="59"/>
      <w:proofErr w:type="spellEnd"/>
    </w:p>
    <w:tbl>
      <w:tblPr>
        <w:tblStyle w:val="TableGrid"/>
        <w:tblW w:w="0" w:type="auto"/>
        <w:tblInd w:w="988" w:type="dxa"/>
        <w:tblLook w:val="04A0" w:firstRow="1" w:lastRow="0" w:firstColumn="1" w:lastColumn="0" w:noHBand="0" w:noVBand="1"/>
      </w:tblPr>
      <w:tblGrid>
        <w:gridCol w:w="8072"/>
      </w:tblGrid>
      <w:tr w:rsidR="00EE5C3B" w14:paraId="51E67928" w14:textId="77777777" w:rsidTr="00D62A45">
        <w:tc>
          <w:tcPr>
            <w:tcW w:w="8072" w:type="dxa"/>
          </w:tcPr>
          <w:p w14:paraId="30CA94CC"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66BB1DE3" w14:textId="77777777" w:rsidR="00EE5C3B" w:rsidRPr="00247188" w:rsidRDefault="00EE5C3B" w:rsidP="00D62A45">
            <w:pPr>
              <w:spacing w:before="120" w:after="120"/>
              <w:rPr>
                <w:rFonts w:cs="Arial"/>
                <w:color w:val="00B050"/>
                <w:sz w:val="20"/>
                <w:szCs w:val="20"/>
                <w:u w:val="single"/>
              </w:rPr>
            </w:pPr>
            <w:proofErr w:type="spellStart"/>
            <w:r w:rsidRPr="0060549E">
              <w:rPr>
                <w:rFonts w:cs="Arial"/>
                <w:color w:val="00B050"/>
                <w:sz w:val="20"/>
                <w:szCs w:val="20"/>
                <w:u w:val="single"/>
              </w:rPr>
              <w:t>ANACAULASE-BCDB</w:t>
            </w:r>
            <w:proofErr w:type="spellEnd"/>
          </w:p>
          <w:p w14:paraId="33768E1E"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6636EA04" w14:textId="77777777" w:rsidR="00EE5C3B" w:rsidRPr="00247188" w:rsidRDefault="00EE5C3B" w:rsidP="00D62A45">
            <w:pPr>
              <w:spacing w:before="120" w:after="120"/>
              <w:rPr>
                <w:rFonts w:cs="Arial"/>
                <w:b/>
                <w:bCs/>
                <w:color w:val="00B050"/>
                <w:sz w:val="20"/>
                <w:szCs w:val="20"/>
                <w:u w:val="single"/>
              </w:rPr>
            </w:pPr>
            <w:proofErr w:type="spellStart"/>
            <w:r w:rsidRPr="0060549E">
              <w:rPr>
                <w:rFonts w:cs="Arial"/>
                <w:b/>
                <w:bCs/>
                <w:color w:val="00B050"/>
                <w:sz w:val="20"/>
                <w:szCs w:val="20"/>
                <w:u w:val="single"/>
              </w:rPr>
              <w:t>ANACAULASE-BCDB</w:t>
            </w:r>
            <w:proofErr w:type="spellEnd"/>
          </w:p>
          <w:p w14:paraId="63BC827A"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11C2D085" w14:textId="77777777" w:rsidR="00EE5C3B" w:rsidRPr="00872958" w:rsidRDefault="00EE5C3B" w:rsidP="00B53EF5">
      <w:pPr>
        <w:pStyle w:val="Heading3"/>
      </w:pPr>
      <w:bookmarkStart w:id="60" w:name="_Toc227317191"/>
      <w:bookmarkStart w:id="61" w:name="_Toc230353674"/>
      <w:proofErr w:type="spellStart"/>
      <w:r w:rsidRPr="00872958">
        <w:t>APADAMTASE</w:t>
      </w:r>
      <w:proofErr w:type="spellEnd"/>
      <w:r w:rsidRPr="00872958">
        <w:t xml:space="preserve"> ALFA</w:t>
      </w:r>
      <w:bookmarkEnd w:id="60"/>
      <w:bookmarkEnd w:id="61"/>
    </w:p>
    <w:tbl>
      <w:tblPr>
        <w:tblStyle w:val="TableGrid"/>
        <w:tblW w:w="0" w:type="auto"/>
        <w:tblInd w:w="988" w:type="dxa"/>
        <w:tblLook w:val="04A0" w:firstRow="1" w:lastRow="0" w:firstColumn="1" w:lastColumn="0" w:noHBand="0" w:noVBand="1"/>
      </w:tblPr>
      <w:tblGrid>
        <w:gridCol w:w="8072"/>
      </w:tblGrid>
      <w:tr w:rsidR="00EE5C3B" w14:paraId="49C51D36" w14:textId="77777777" w:rsidTr="00D62A45">
        <w:tc>
          <w:tcPr>
            <w:tcW w:w="8072" w:type="dxa"/>
          </w:tcPr>
          <w:p w14:paraId="79C641C0"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45D54EDF" w14:textId="77777777" w:rsidR="00EE5C3B" w:rsidRPr="00247188" w:rsidRDefault="00EE5C3B" w:rsidP="00D62A45">
            <w:pPr>
              <w:spacing w:before="120" w:after="120"/>
              <w:rPr>
                <w:rFonts w:cs="Arial"/>
                <w:color w:val="00B050"/>
                <w:sz w:val="20"/>
                <w:szCs w:val="20"/>
                <w:u w:val="single"/>
              </w:rPr>
            </w:pPr>
            <w:proofErr w:type="spellStart"/>
            <w:r w:rsidRPr="000845CF">
              <w:rPr>
                <w:rFonts w:cs="Arial"/>
                <w:color w:val="00B050"/>
                <w:sz w:val="20"/>
                <w:szCs w:val="20"/>
                <w:u w:val="single"/>
              </w:rPr>
              <w:t>APADAMTASE</w:t>
            </w:r>
            <w:proofErr w:type="spellEnd"/>
            <w:r w:rsidRPr="000845CF">
              <w:rPr>
                <w:rFonts w:cs="Arial"/>
                <w:color w:val="00B050"/>
                <w:sz w:val="20"/>
                <w:szCs w:val="20"/>
                <w:u w:val="single"/>
              </w:rPr>
              <w:t xml:space="preserve"> ALFA</w:t>
            </w:r>
          </w:p>
          <w:p w14:paraId="233F9F0C"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5AC567A0" w14:textId="77777777" w:rsidR="00EE5C3B" w:rsidRPr="00247188" w:rsidRDefault="00EE5C3B" w:rsidP="00D62A45">
            <w:pPr>
              <w:spacing w:before="120" w:after="120"/>
              <w:rPr>
                <w:rFonts w:cs="Arial"/>
                <w:b/>
                <w:bCs/>
                <w:color w:val="00B050"/>
                <w:sz w:val="20"/>
                <w:szCs w:val="20"/>
                <w:u w:val="single"/>
              </w:rPr>
            </w:pPr>
            <w:proofErr w:type="spellStart"/>
            <w:r w:rsidRPr="000845CF">
              <w:rPr>
                <w:rFonts w:cs="Arial"/>
                <w:b/>
                <w:bCs/>
                <w:color w:val="00B050"/>
                <w:sz w:val="20"/>
                <w:szCs w:val="20"/>
                <w:u w:val="single"/>
              </w:rPr>
              <w:t>APADAMTASE</w:t>
            </w:r>
            <w:proofErr w:type="spellEnd"/>
            <w:r w:rsidRPr="000845CF">
              <w:rPr>
                <w:rFonts w:cs="Arial"/>
                <w:b/>
                <w:bCs/>
                <w:color w:val="00B050"/>
                <w:sz w:val="20"/>
                <w:szCs w:val="20"/>
                <w:u w:val="single"/>
              </w:rPr>
              <w:t xml:space="preserve"> ALFA</w:t>
            </w:r>
          </w:p>
          <w:p w14:paraId="62253DEA"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29FE8D57" w14:textId="77777777" w:rsidR="00EE5C3B" w:rsidRPr="00612683" w:rsidRDefault="00EE5C3B" w:rsidP="00B53EF5">
      <w:pPr>
        <w:pStyle w:val="Heading3"/>
        <w:spacing w:before="240" w:line="220" w:lineRule="atLeast"/>
      </w:pPr>
      <w:bookmarkStart w:id="62" w:name="_Toc227317189"/>
      <w:bookmarkStart w:id="63" w:name="_Toc230353675"/>
      <w:proofErr w:type="spellStart"/>
      <w:r w:rsidRPr="00F87C50">
        <w:t>AVACINCAPTAD</w:t>
      </w:r>
      <w:proofErr w:type="spellEnd"/>
      <w:r w:rsidRPr="00F87C50">
        <w:t xml:space="preserve"> PEGOL</w:t>
      </w:r>
      <w:bookmarkEnd w:id="62"/>
      <w:bookmarkEnd w:id="63"/>
    </w:p>
    <w:tbl>
      <w:tblPr>
        <w:tblStyle w:val="TableGrid"/>
        <w:tblW w:w="0" w:type="auto"/>
        <w:tblInd w:w="988" w:type="dxa"/>
        <w:tblLook w:val="04A0" w:firstRow="1" w:lastRow="0" w:firstColumn="1" w:lastColumn="0" w:noHBand="0" w:noVBand="1"/>
      </w:tblPr>
      <w:tblGrid>
        <w:gridCol w:w="8072"/>
      </w:tblGrid>
      <w:tr w:rsidR="00EE5C3B" w14:paraId="0C623499" w14:textId="77777777" w:rsidTr="00D62A45">
        <w:tc>
          <w:tcPr>
            <w:tcW w:w="8072" w:type="dxa"/>
          </w:tcPr>
          <w:p w14:paraId="25810B96"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62A6502F" w14:textId="77777777" w:rsidR="00EE5C3B" w:rsidRPr="00247188" w:rsidRDefault="00EE5C3B" w:rsidP="00D62A45">
            <w:pPr>
              <w:spacing w:before="120" w:after="120"/>
              <w:rPr>
                <w:rFonts w:cs="Arial"/>
                <w:color w:val="00B050"/>
                <w:sz w:val="20"/>
                <w:szCs w:val="20"/>
                <w:u w:val="single"/>
              </w:rPr>
            </w:pPr>
            <w:proofErr w:type="spellStart"/>
            <w:r w:rsidRPr="00F87C50">
              <w:rPr>
                <w:rFonts w:cs="Arial"/>
                <w:color w:val="00B050"/>
                <w:sz w:val="20"/>
                <w:szCs w:val="20"/>
                <w:u w:val="single"/>
              </w:rPr>
              <w:t>AVACINCAPTAD</w:t>
            </w:r>
            <w:proofErr w:type="spellEnd"/>
            <w:r w:rsidRPr="00F87C50">
              <w:rPr>
                <w:rFonts w:cs="Arial"/>
                <w:color w:val="00B050"/>
                <w:sz w:val="20"/>
                <w:szCs w:val="20"/>
                <w:u w:val="single"/>
              </w:rPr>
              <w:t xml:space="preserve"> PEGOL</w:t>
            </w:r>
          </w:p>
          <w:p w14:paraId="215EFAFC"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53CF5C34" w14:textId="77777777" w:rsidR="00EE5C3B" w:rsidRPr="00247188" w:rsidRDefault="00EE5C3B" w:rsidP="00D62A45">
            <w:pPr>
              <w:spacing w:before="120" w:after="120"/>
              <w:rPr>
                <w:rFonts w:cs="Arial"/>
                <w:b/>
                <w:bCs/>
                <w:color w:val="00B050"/>
                <w:sz w:val="20"/>
                <w:szCs w:val="20"/>
                <w:u w:val="single"/>
              </w:rPr>
            </w:pPr>
            <w:proofErr w:type="spellStart"/>
            <w:r w:rsidRPr="00F87C50">
              <w:rPr>
                <w:rFonts w:cs="Arial"/>
                <w:b/>
                <w:bCs/>
                <w:color w:val="00B050"/>
                <w:sz w:val="20"/>
                <w:szCs w:val="20"/>
                <w:u w:val="single"/>
              </w:rPr>
              <w:t>AVACINCAPTAD</w:t>
            </w:r>
            <w:proofErr w:type="spellEnd"/>
            <w:r w:rsidRPr="00F87C50">
              <w:rPr>
                <w:rFonts w:cs="Arial"/>
                <w:b/>
                <w:bCs/>
                <w:color w:val="00B050"/>
                <w:sz w:val="20"/>
                <w:szCs w:val="20"/>
                <w:u w:val="single"/>
              </w:rPr>
              <w:t xml:space="preserve"> PEGOL</w:t>
            </w:r>
          </w:p>
          <w:p w14:paraId="55111BBE"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2E888CA0" w14:textId="1E967DA4" w:rsidR="00EE5C3B" w:rsidRPr="00872958" w:rsidRDefault="00EE5C3B" w:rsidP="00B53EF5">
      <w:pPr>
        <w:pStyle w:val="Heading3"/>
      </w:pPr>
      <w:bookmarkStart w:id="64" w:name="_Toc230353676"/>
      <w:proofErr w:type="spellStart"/>
      <w:r w:rsidRPr="00872958">
        <w:t>CAPMATINIB</w:t>
      </w:r>
      <w:bookmarkEnd w:id="64"/>
      <w:proofErr w:type="spellEnd"/>
    </w:p>
    <w:tbl>
      <w:tblPr>
        <w:tblStyle w:val="TableGrid"/>
        <w:tblW w:w="0" w:type="auto"/>
        <w:tblInd w:w="988" w:type="dxa"/>
        <w:tblLook w:val="04A0" w:firstRow="1" w:lastRow="0" w:firstColumn="1" w:lastColumn="0" w:noHBand="0" w:noVBand="1"/>
      </w:tblPr>
      <w:tblGrid>
        <w:gridCol w:w="8072"/>
      </w:tblGrid>
      <w:tr w:rsidR="00EE5C3B" w14:paraId="473F064F" w14:textId="77777777" w:rsidTr="00D62A45">
        <w:tc>
          <w:tcPr>
            <w:tcW w:w="8072" w:type="dxa"/>
          </w:tcPr>
          <w:p w14:paraId="4787B50F"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3C39DF9C" w14:textId="6B5DFE6E" w:rsidR="00EE5C3B" w:rsidRPr="00247188" w:rsidRDefault="00EE5C3B" w:rsidP="00D62A45">
            <w:pPr>
              <w:spacing w:before="120" w:after="120"/>
              <w:rPr>
                <w:rFonts w:cs="Arial"/>
                <w:color w:val="00B050"/>
                <w:sz w:val="20"/>
                <w:szCs w:val="20"/>
                <w:u w:val="single"/>
              </w:rPr>
            </w:pPr>
            <w:proofErr w:type="spellStart"/>
            <w:r w:rsidRPr="004E75E5">
              <w:rPr>
                <w:rFonts w:cs="Arial"/>
                <w:color w:val="00B050"/>
                <w:sz w:val="20"/>
                <w:szCs w:val="20"/>
                <w:u w:val="single"/>
              </w:rPr>
              <w:t>CAPMATINIB</w:t>
            </w:r>
            <w:proofErr w:type="spellEnd"/>
          </w:p>
          <w:p w14:paraId="13443160"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3A26F137" w14:textId="165CC24E" w:rsidR="00EE5C3B" w:rsidRPr="00247188" w:rsidRDefault="00EE5C3B" w:rsidP="00D62A45">
            <w:pPr>
              <w:spacing w:before="120" w:after="120"/>
              <w:rPr>
                <w:rFonts w:cs="Arial"/>
                <w:b/>
                <w:bCs/>
                <w:color w:val="00B050"/>
                <w:sz w:val="20"/>
                <w:szCs w:val="20"/>
                <w:u w:val="single"/>
              </w:rPr>
            </w:pPr>
            <w:proofErr w:type="spellStart"/>
            <w:r w:rsidRPr="004E75E5">
              <w:rPr>
                <w:rFonts w:cs="Arial"/>
                <w:b/>
                <w:bCs/>
                <w:color w:val="00B050"/>
                <w:sz w:val="20"/>
                <w:szCs w:val="20"/>
                <w:u w:val="single"/>
              </w:rPr>
              <w:t>CAPMATINIB</w:t>
            </w:r>
            <w:proofErr w:type="spellEnd"/>
          </w:p>
          <w:p w14:paraId="03008D72"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57E1F1DF" w14:textId="77777777" w:rsidR="00EE5C3B" w:rsidRPr="00872958" w:rsidRDefault="00EE5C3B" w:rsidP="00B53EF5">
      <w:pPr>
        <w:pStyle w:val="Heading3"/>
      </w:pPr>
      <w:bookmarkStart w:id="65" w:name="_Toc227317194"/>
      <w:bookmarkStart w:id="66" w:name="_Toc230353677"/>
      <w:proofErr w:type="spellStart"/>
      <w:r w:rsidRPr="00872958">
        <w:lastRenderedPageBreak/>
        <w:t>DEPEMOKIMAB</w:t>
      </w:r>
      <w:bookmarkEnd w:id="65"/>
      <w:bookmarkEnd w:id="66"/>
      <w:proofErr w:type="spellEnd"/>
    </w:p>
    <w:tbl>
      <w:tblPr>
        <w:tblStyle w:val="TableGrid"/>
        <w:tblW w:w="0" w:type="auto"/>
        <w:tblInd w:w="988" w:type="dxa"/>
        <w:tblLook w:val="04A0" w:firstRow="1" w:lastRow="0" w:firstColumn="1" w:lastColumn="0" w:noHBand="0" w:noVBand="1"/>
      </w:tblPr>
      <w:tblGrid>
        <w:gridCol w:w="8072"/>
      </w:tblGrid>
      <w:tr w:rsidR="00EE5C3B" w14:paraId="2739119D" w14:textId="77777777" w:rsidTr="00D62A45">
        <w:tc>
          <w:tcPr>
            <w:tcW w:w="8072" w:type="dxa"/>
          </w:tcPr>
          <w:p w14:paraId="1208DB72"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78D7594F" w14:textId="77777777" w:rsidR="00EE5C3B" w:rsidRPr="00247188" w:rsidRDefault="00EE5C3B" w:rsidP="00D62A45">
            <w:pPr>
              <w:spacing w:before="120" w:after="120"/>
              <w:rPr>
                <w:rFonts w:cs="Arial"/>
                <w:color w:val="00B050"/>
                <w:sz w:val="20"/>
                <w:szCs w:val="20"/>
                <w:u w:val="single"/>
              </w:rPr>
            </w:pPr>
            <w:proofErr w:type="spellStart"/>
            <w:r w:rsidRPr="00A0427E">
              <w:rPr>
                <w:rFonts w:cs="Arial"/>
                <w:color w:val="00B050"/>
                <w:sz w:val="20"/>
                <w:szCs w:val="20"/>
                <w:u w:val="single"/>
              </w:rPr>
              <w:t>DEPEMOKIMAB</w:t>
            </w:r>
            <w:proofErr w:type="spellEnd"/>
          </w:p>
          <w:p w14:paraId="788A350A"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6921BEE3" w14:textId="77777777" w:rsidR="00EE5C3B" w:rsidRPr="00247188" w:rsidRDefault="00EE5C3B" w:rsidP="00D62A45">
            <w:pPr>
              <w:spacing w:before="120" w:after="120"/>
              <w:rPr>
                <w:rFonts w:cs="Arial"/>
                <w:b/>
                <w:bCs/>
                <w:color w:val="00B050"/>
                <w:sz w:val="20"/>
                <w:szCs w:val="20"/>
                <w:u w:val="single"/>
              </w:rPr>
            </w:pPr>
            <w:proofErr w:type="spellStart"/>
            <w:r w:rsidRPr="00A0427E">
              <w:rPr>
                <w:rFonts w:cs="Arial"/>
                <w:b/>
                <w:bCs/>
                <w:color w:val="00B050"/>
                <w:sz w:val="20"/>
                <w:szCs w:val="20"/>
                <w:u w:val="single"/>
              </w:rPr>
              <w:t>DEPEMOKIMAB</w:t>
            </w:r>
            <w:proofErr w:type="spellEnd"/>
          </w:p>
          <w:p w14:paraId="4EA4E6DA"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4BD09680" w14:textId="046FCF55" w:rsidR="00F93683" w:rsidRPr="00612683" w:rsidRDefault="00F93683" w:rsidP="00F93683">
      <w:pPr>
        <w:pStyle w:val="Heading3"/>
        <w:spacing w:before="240" w:line="220" w:lineRule="atLeast"/>
      </w:pPr>
      <w:bookmarkStart w:id="67" w:name="_Toc230353678"/>
      <w:proofErr w:type="spellStart"/>
      <w:r w:rsidRPr="00467420">
        <w:t>DEUTIVACAFTOR</w:t>
      </w:r>
      <w:bookmarkEnd w:id="67"/>
      <w:proofErr w:type="spellEnd"/>
    </w:p>
    <w:tbl>
      <w:tblPr>
        <w:tblStyle w:val="TableGrid"/>
        <w:tblW w:w="0" w:type="auto"/>
        <w:tblInd w:w="988" w:type="dxa"/>
        <w:tblLook w:val="04A0" w:firstRow="1" w:lastRow="0" w:firstColumn="1" w:lastColumn="0" w:noHBand="0" w:noVBand="1"/>
      </w:tblPr>
      <w:tblGrid>
        <w:gridCol w:w="8072"/>
      </w:tblGrid>
      <w:tr w:rsidR="00F93683" w14:paraId="7E57AC09" w14:textId="77777777" w:rsidTr="006F3B82">
        <w:tc>
          <w:tcPr>
            <w:tcW w:w="8072" w:type="dxa"/>
          </w:tcPr>
          <w:p w14:paraId="1C2A82BF" w14:textId="77777777" w:rsidR="00F93683" w:rsidRPr="00247188" w:rsidRDefault="00F93683" w:rsidP="006F3B82">
            <w:pPr>
              <w:spacing w:before="120" w:after="120"/>
              <w:rPr>
                <w:rFonts w:cs="Arial"/>
                <w:sz w:val="20"/>
                <w:szCs w:val="20"/>
              </w:rPr>
            </w:pPr>
            <w:r w:rsidRPr="00247188">
              <w:rPr>
                <w:rStyle w:val="Strong"/>
                <w:rFonts w:cs="Arial"/>
                <w:color w:val="000000"/>
                <w:sz w:val="20"/>
                <w:szCs w:val="20"/>
              </w:rPr>
              <w:t>Schedule 4 – New Entry</w:t>
            </w:r>
          </w:p>
          <w:p w14:paraId="25E68F7D" w14:textId="50719F4F" w:rsidR="00F93683" w:rsidRPr="00247188" w:rsidRDefault="00F93683" w:rsidP="006F3B82">
            <w:pPr>
              <w:spacing w:before="120" w:after="120"/>
              <w:rPr>
                <w:rFonts w:cs="Arial"/>
                <w:color w:val="00B050"/>
                <w:sz w:val="20"/>
                <w:szCs w:val="20"/>
                <w:u w:val="single"/>
              </w:rPr>
            </w:pPr>
            <w:proofErr w:type="spellStart"/>
            <w:r w:rsidRPr="00467420">
              <w:rPr>
                <w:rFonts w:cs="Arial"/>
                <w:color w:val="00B050"/>
                <w:sz w:val="20"/>
                <w:szCs w:val="20"/>
                <w:u w:val="single"/>
              </w:rPr>
              <w:t>DEUTIVACAFTOR</w:t>
            </w:r>
            <w:proofErr w:type="spellEnd"/>
          </w:p>
          <w:p w14:paraId="191B676F" w14:textId="77777777" w:rsidR="00F93683" w:rsidRPr="00247188" w:rsidRDefault="00F93683" w:rsidP="006F3B82">
            <w:pPr>
              <w:spacing w:before="120" w:after="120"/>
              <w:rPr>
                <w:rFonts w:cs="Arial"/>
                <w:sz w:val="20"/>
                <w:szCs w:val="20"/>
              </w:rPr>
            </w:pPr>
            <w:r w:rsidRPr="00247188">
              <w:rPr>
                <w:rStyle w:val="Strong"/>
                <w:rFonts w:cs="Arial"/>
                <w:color w:val="000000"/>
                <w:sz w:val="20"/>
                <w:szCs w:val="20"/>
              </w:rPr>
              <w:t>Index – New Entry</w:t>
            </w:r>
          </w:p>
          <w:p w14:paraId="4B5BC991" w14:textId="49B2A83A" w:rsidR="00F93683" w:rsidRPr="00247188" w:rsidRDefault="00F93683" w:rsidP="006F3B82">
            <w:pPr>
              <w:spacing w:before="120" w:after="120"/>
              <w:rPr>
                <w:rFonts w:cs="Arial"/>
                <w:b/>
                <w:bCs/>
                <w:color w:val="00B050"/>
                <w:sz w:val="20"/>
                <w:szCs w:val="20"/>
                <w:u w:val="single"/>
              </w:rPr>
            </w:pPr>
            <w:proofErr w:type="spellStart"/>
            <w:r w:rsidRPr="00467420">
              <w:rPr>
                <w:rFonts w:cs="Arial"/>
                <w:b/>
                <w:bCs/>
                <w:color w:val="00B050"/>
                <w:sz w:val="20"/>
                <w:szCs w:val="20"/>
                <w:u w:val="single"/>
              </w:rPr>
              <w:t>DEUTIVACAFTOR</w:t>
            </w:r>
            <w:proofErr w:type="spellEnd"/>
          </w:p>
          <w:p w14:paraId="1B509B04" w14:textId="77777777" w:rsidR="00F93683" w:rsidRPr="00013BFF" w:rsidRDefault="00F93683" w:rsidP="006F3B82">
            <w:pPr>
              <w:spacing w:before="120" w:after="120"/>
              <w:rPr>
                <w:color w:val="00B050"/>
              </w:rPr>
            </w:pPr>
            <w:r w:rsidRPr="00247188">
              <w:rPr>
                <w:rFonts w:cs="Arial"/>
                <w:color w:val="00B050"/>
                <w:sz w:val="20"/>
                <w:szCs w:val="20"/>
                <w:u w:val="single"/>
              </w:rPr>
              <w:t>Schedule 4</w:t>
            </w:r>
          </w:p>
        </w:tc>
      </w:tr>
    </w:tbl>
    <w:p w14:paraId="6393B825" w14:textId="77777777" w:rsidR="00EE5C3B" w:rsidRPr="00612683" w:rsidRDefault="00EE5C3B" w:rsidP="00B53EF5">
      <w:pPr>
        <w:pStyle w:val="Heading3"/>
        <w:spacing w:before="240" w:line="220" w:lineRule="atLeast"/>
      </w:pPr>
      <w:bookmarkStart w:id="68" w:name="_Toc227317187"/>
      <w:bookmarkStart w:id="69" w:name="_Toc230353679"/>
      <w:proofErr w:type="spellStart"/>
      <w:r w:rsidRPr="0060549E">
        <w:t>OREBRUTINIB</w:t>
      </w:r>
      <w:bookmarkEnd w:id="68"/>
      <w:bookmarkEnd w:id="69"/>
      <w:proofErr w:type="spellEnd"/>
    </w:p>
    <w:tbl>
      <w:tblPr>
        <w:tblStyle w:val="TableGrid"/>
        <w:tblW w:w="0" w:type="auto"/>
        <w:tblInd w:w="988" w:type="dxa"/>
        <w:tblLook w:val="04A0" w:firstRow="1" w:lastRow="0" w:firstColumn="1" w:lastColumn="0" w:noHBand="0" w:noVBand="1"/>
      </w:tblPr>
      <w:tblGrid>
        <w:gridCol w:w="8072"/>
      </w:tblGrid>
      <w:tr w:rsidR="00EE5C3B" w14:paraId="5D6CE11B" w14:textId="77777777" w:rsidTr="00D62A45">
        <w:tc>
          <w:tcPr>
            <w:tcW w:w="8072" w:type="dxa"/>
          </w:tcPr>
          <w:p w14:paraId="350C59C1"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35DC13AF" w14:textId="77777777" w:rsidR="00EE5C3B" w:rsidRPr="00247188" w:rsidRDefault="00EE5C3B" w:rsidP="00D62A45">
            <w:pPr>
              <w:spacing w:before="120" w:after="120"/>
              <w:rPr>
                <w:rFonts w:cs="Arial"/>
                <w:color w:val="00B050"/>
                <w:sz w:val="20"/>
                <w:szCs w:val="20"/>
                <w:u w:val="single"/>
              </w:rPr>
            </w:pPr>
            <w:proofErr w:type="spellStart"/>
            <w:r w:rsidRPr="0060549E">
              <w:rPr>
                <w:rFonts w:cs="Arial"/>
                <w:color w:val="00B050"/>
                <w:sz w:val="20"/>
                <w:szCs w:val="20"/>
                <w:u w:val="single"/>
              </w:rPr>
              <w:t>OREBRUTINIB</w:t>
            </w:r>
            <w:proofErr w:type="spellEnd"/>
          </w:p>
          <w:p w14:paraId="56EC00DB"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36E9BB0F" w14:textId="77777777" w:rsidR="00EE5C3B" w:rsidRPr="00247188" w:rsidRDefault="00EE5C3B" w:rsidP="00D62A45">
            <w:pPr>
              <w:spacing w:before="120" w:after="120"/>
              <w:rPr>
                <w:rFonts w:cs="Arial"/>
                <w:b/>
                <w:bCs/>
                <w:color w:val="00B050"/>
                <w:sz w:val="20"/>
                <w:szCs w:val="20"/>
                <w:u w:val="single"/>
              </w:rPr>
            </w:pPr>
            <w:proofErr w:type="spellStart"/>
            <w:r w:rsidRPr="0060549E">
              <w:rPr>
                <w:rFonts w:cs="Arial"/>
                <w:b/>
                <w:bCs/>
                <w:color w:val="00B050"/>
                <w:sz w:val="20"/>
                <w:szCs w:val="20"/>
                <w:u w:val="single"/>
              </w:rPr>
              <w:t>OREBRUTINIB</w:t>
            </w:r>
            <w:proofErr w:type="spellEnd"/>
          </w:p>
          <w:p w14:paraId="3FB9FEB3"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3504BEF9" w14:textId="77777777" w:rsidR="00EE5C3B" w:rsidRPr="00612683" w:rsidRDefault="00EE5C3B" w:rsidP="00B53EF5">
      <w:pPr>
        <w:pStyle w:val="Heading3"/>
        <w:spacing w:before="240" w:line="220" w:lineRule="atLeast"/>
      </w:pPr>
      <w:bookmarkStart w:id="70" w:name="_Toc227317186"/>
      <w:bookmarkStart w:id="71" w:name="_Toc230353680"/>
      <w:proofErr w:type="spellStart"/>
      <w:r w:rsidRPr="0060549E">
        <w:t>PIRTOBRUTINIB</w:t>
      </w:r>
      <w:bookmarkEnd w:id="70"/>
      <w:bookmarkEnd w:id="71"/>
      <w:proofErr w:type="spellEnd"/>
    </w:p>
    <w:tbl>
      <w:tblPr>
        <w:tblStyle w:val="TableGrid"/>
        <w:tblW w:w="0" w:type="auto"/>
        <w:tblInd w:w="988" w:type="dxa"/>
        <w:tblLook w:val="04A0" w:firstRow="1" w:lastRow="0" w:firstColumn="1" w:lastColumn="0" w:noHBand="0" w:noVBand="1"/>
      </w:tblPr>
      <w:tblGrid>
        <w:gridCol w:w="8072"/>
      </w:tblGrid>
      <w:tr w:rsidR="00EE5C3B" w14:paraId="224F84D8" w14:textId="77777777" w:rsidTr="00D62A45">
        <w:tc>
          <w:tcPr>
            <w:tcW w:w="8072" w:type="dxa"/>
          </w:tcPr>
          <w:p w14:paraId="121F1B18"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4E5F29E1" w14:textId="77777777" w:rsidR="00EE5C3B" w:rsidRPr="00247188" w:rsidRDefault="00EE5C3B" w:rsidP="00D62A45">
            <w:pPr>
              <w:spacing w:before="120" w:after="120"/>
              <w:rPr>
                <w:rFonts w:cs="Arial"/>
                <w:color w:val="00B050"/>
                <w:sz w:val="20"/>
                <w:szCs w:val="20"/>
                <w:u w:val="single"/>
              </w:rPr>
            </w:pPr>
            <w:proofErr w:type="spellStart"/>
            <w:r w:rsidRPr="0060549E">
              <w:rPr>
                <w:rFonts w:cs="Arial"/>
                <w:color w:val="00B050"/>
                <w:sz w:val="20"/>
                <w:szCs w:val="20"/>
                <w:u w:val="single"/>
              </w:rPr>
              <w:t>PIRTOBRUTINIB</w:t>
            </w:r>
            <w:proofErr w:type="spellEnd"/>
          </w:p>
          <w:p w14:paraId="33D6857D"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47CBE3B4" w14:textId="77777777" w:rsidR="00EE5C3B" w:rsidRPr="00247188" w:rsidRDefault="00EE5C3B" w:rsidP="00D62A45">
            <w:pPr>
              <w:spacing w:before="120" w:after="120"/>
              <w:rPr>
                <w:rFonts w:cs="Arial"/>
                <w:b/>
                <w:bCs/>
                <w:color w:val="00B050"/>
                <w:sz w:val="20"/>
                <w:szCs w:val="20"/>
                <w:u w:val="single"/>
              </w:rPr>
            </w:pPr>
            <w:proofErr w:type="spellStart"/>
            <w:r w:rsidRPr="0060549E">
              <w:rPr>
                <w:rFonts w:cs="Arial"/>
                <w:b/>
                <w:bCs/>
                <w:color w:val="00B050"/>
                <w:sz w:val="20"/>
                <w:szCs w:val="20"/>
                <w:u w:val="single"/>
              </w:rPr>
              <w:t>PIRTOBRUTINIB</w:t>
            </w:r>
            <w:proofErr w:type="spellEnd"/>
          </w:p>
          <w:p w14:paraId="73EB3B51"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5FA81408" w14:textId="77777777" w:rsidR="00EE5C3B" w:rsidRPr="00872958" w:rsidRDefault="00EE5C3B" w:rsidP="00B53EF5">
      <w:pPr>
        <w:pStyle w:val="Heading3"/>
      </w:pPr>
      <w:bookmarkStart w:id="72" w:name="_Toc227317192"/>
      <w:bookmarkStart w:id="73" w:name="_Toc230353681"/>
      <w:proofErr w:type="spellStart"/>
      <w:r w:rsidRPr="00872958">
        <w:t>PLOZASIRAN</w:t>
      </w:r>
      <w:bookmarkEnd w:id="72"/>
      <w:bookmarkEnd w:id="73"/>
      <w:proofErr w:type="spellEnd"/>
    </w:p>
    <w:tbl>
      <w:tblPr>
        <w:tblStyle w:val="TableGrid"/>
        <w:tblW w:w="0" w:type="auto"/>
        <w:tblInd w:w="988" w:type="dxa"/>
        <w:tblLook w:val="04A0" w:firstRow="1" w:lastRow="0" w:firstColumn="1" w:lastColumn="0" w:noHBand="0" w:noVBand="1"/>
      </w:tblPr>
      <w:tblGrid>
        <w:gridCol w:w="8072"/>
      </w:tblGrid>
      <w:tr w:rsidR="00EE5C3B" w14:paraId="5A0759EA" w14:textId="77777777" w:rsidTr="00D62A45">
        <w:tc>
          <w:tcPr>
            <w:tcW w:w="8072" w:type="dxa"/>
          </w:tcPr>
          <w:p w14:paraId="4E154E46"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2268A554" w14:textId="77777777" w:rsidR="00EE5C3B" w:rsidRPr="00247188" w:rsidRDefault="00EE5C3B" w:rsidP="00D62A45">
            <w:pPr>
              <w:spacing w:before="120" w:after="120"/>
              <w:rPr>
                <w:rFonts w:cs="Arial"/>
                <w:color w:val="00B050"/>
                <w:sz w:val="20"/>
                <w:szCs w:val="20"/>
                <w:u w:val="single"/>
              </w:rPr>
            </w:pPr>
            <w:proofErr w:type="spellStart"/>
            <w:r w:rsidRPr="00DA7613">
              <w:rPr>
                <w:rFonts w:cs="Arial"/>
                <w:color w:val="00B050"/>
                <w:sz w:val="20"/>
                <w:szCs w:val="20"/>
                <w:u w:val="single"/>
              </w:rPr>
              <w:t>PLOZASIRAN</w:t>
            </w:r>
            <w:proofErr w:type="spellEnd"/>
          </w:p>
          <w:p w14:paraId="239B4F73"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1843B0A4" w14:textId="77777777" w:rsidR="00EE5C3B" w:rsidRPr="00247188" w:rsidRDefault="00EE5C3B" w:rsidP="00D62A45">
            <w:pPr>
              <w:spacing w:before="120" w:after="120"/>
              <w:rPr>
                <w:rFonts w:cs="Arial"/>
                <w:b/>
                <w:bCs/>
                <w:color w:val="00B050"/>
                <w:sz w:val="20"/>
                <w:szCs w:val="20"/>
                <w:u w:val="single"/>
              </w:rPr>
            </w:pPr>
            <w:proofErr w:type="spellStart"/>
            <w:r w:rsidRPr="00DA7613">
              <w:rPr>
                <w:rFonts w:cs="Arial"/>
                <w:b/>
                <w:bCs/>
                <w:color w:val="00B050"/>
                <w:sz w:val="20"/>
                <w:szCs w:val="20"/>
                <w:u w:val="single"/>
              </w:rPr>
              <w:t>PLOZASIRAN</w:t>
            </w:r>
            <w:proofErr w:type="spellEnd"/>
          </w:p>
          <w:p w14:paraId="77DC5074"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671155E0" w14:textId="7687C6AC" w:rsidR="00EE5C3B" w:rsidRPr="00872958" w:rsidRDefault="00EE5C3B" w:rsidP="00B53EF5">
      <w:pPr>
        <w:pStyle w:val="Heading3"/>
      </w:pPr>
      <w:bookmarkStart w:id="74" w:name="_Toc227317195"/>
      <w:bookmarkStart w:id="75" w:name="_Toc230353682"/>
      <w:proofErr w:type="spellStart"/>
      <w:r w:rsidRPr="00872958">
        <w:lastRenderedPageBreak/>
        <w:t>REMIBRUTINIB</w:t>
      </w:r>
      <w:bookmarkEnd w:id="74"/>
      <w:bookmarkEnd w:id="75"/>
      <w:proofErr w:type="spellEnd"/>
    </w:p>
    <w:tbl>
      <w:tblPr>
        <w:tblStyle w:val="TableGrid"/>
        <w:tblW w:w="0" w:type="auto"/>
        <w:tblInd w:w="988" w:type="dxa"/>
        <w:tblLook w:val="04A0" w:firstRow="1" w:lastRow="0" w:firstColumn="1" w:lastColumn="0" w:noHBand="0" w:noVBand="1"/>
      </w:tblPr>
      <w:tblGrid>
        <w:gridCol w:w="8072"/>
      </w:tblGrid>
      <w:tr w:rsidR="00EE5C3B" w14:paraId="3566BA25" w14:textId="77777777" w:rsidTr="00D62A45">
        <w:tc>
          <w:tcPr>
            <w:tcW w:w="8072" w:type="dxa"/>
          </w:tcPr>
          <w:p w14:paraId="1F18537C"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03477F1D" w14:textId="77777777" w:rsidR="00EE5C3B" w:rsidRPr="00247188" w:rsidRDefault="00EE5C3B" w:rsidP="00D62A45">
            <w:pPr>
              <w:spacing w:before="120" w:after="120"/>
              <w:rPr>
                <w:rFonts w:cs="Arial"/>
                <w:color w:val="00B050"/>
                <w:sz w:val="20"/>
                <w:szCs w:val="20"/>
                <w:u w:val="single"/>
              </w:rPr>
            </w:pPr>
            <w:proofErr w:type="spellStart"/>
            <w:r w:rsidRPr="0003377D">
              <w:rPr>
                <w:rFonts w:cs="Arial"/>
                <w:color w:val="00B050"/>
                <w:sz w:val="20"/>
                <w:szCs w:val="20"/>
                <w:u w:val="single"/>
              </w:rPr>
              <w:t>REMIBRUTINIB</w:t>
            </w:r>
            <w:proofErr w:type="spellEnd"/>
          </w:p>
          <w:p w14:paraId="68E41E73"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12711459" w14:textId="77777777" w:rsidR="00EE5C3B" w:rsidRPr="00247188" w:rsidRDefault="00EE5C3B" w:rsidP="00D62A45">
            <w:pPr>
              <w:spacing w:before="120" w:after="120"/>
              <w:rPr>
                <w:rFonts w:cs="Arial"/>
                <w:b/>
                <w:bCs/>
                <w:color w:val="00B050"/>
                <w:sz w:val="20"/>
                <w:szCs w:val="20"/>
                <w:u w:val="single"/>
              </w:rPr>
            </w:pPr>
            <w:proofErr w:type="spellStart"/>
            <w:r w:rsidRPr="0003377D">
              <w:rPr>
                <w:rFonts w:cs="Arial"/>
                <w:b/>
                <w:bCs/>
                <w:color w:val="00B050"/>
                <w:sz w:val="20"/>
                <w:szCs w:val="20"/>
                <w:u w:val="single"/>
              </w:rPr>
              <w:t>REMIBRUTINIB</w:t>
            </w:r>
            <w:proofErr w:type="spellEnd"/>
          </w:p>
          <w:p w14:paraId="17265A66"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40FFF508" w14:textId="77777777" w:rsidR="00EE5C3B" w:rsidRPr="00872958" w:rsidRDefault="00EE5C3B" w:rsidP="00B53EF5">
      <w:pPr>
        <w:pStyle w:val="Heading3"/>
      </w:pPr>
      <w:bookmarkStart w:id="76" w:name="_Toc227317193"/>
      <w:bookmarkStart w:id="77" w:name="_Toc230353683"/>
      <w:proofErr w:type="spellStart"/>
      <w:r w:rsidRPr="00872958">
        <w:t>RETIFANLIMAB</w:t>
      </w:r>
      <w:bookmarkEnd w:id="76"/>
      <w:bookmarkEnd w:id="77"/>
      <w:proofErr w:type="spellEnd"/>
    </w:p>
    <w:tbl>
      <w:tblPr>
        <w:tblStyle w:val="TableGrid"/>
        <w:tblW w:w="0" w:type="auto"/>
        <w:tblInd w:w="988" w:type="dxa"/>
        <w:tblLook w:val="04A0" w:firstRow="1" w:lastRow="0" w:firstColumn="1" w:lastColumn="0" w:noHBand="0" w:noVBand="1"/>
      </w:tblPr>
      <w:tblGrid>
        <w:gridCol w:w="8072"/>
      </w:tblGrid>
      <w:tr w:rsidR="00EE5C3B" w14:paraId="69B629A4" w14:textId="77777777" w:rsidTr="00D62A45">
        <w:tc>
          <w:tcPr>
            <w:tcW w:w="8072" w:type="dxa"/>
          </w:tcPr>
          <w:p w14:paraId="36681AB5"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Schedule 4 – New Entry</w:t>
            </w:r>
          </w:p>
          <w:p w14:paraId="52D573AF" w14:textId="77777777" w:rsidR="00EE5C3B" w:rsidRPr="00247188" w:rsidRDefault="00EE5C3B" w:rsidP="00D62A45">
            <w:pPr>
              <w:spacing w:before="120" w:after="120"/>
              <w:rPr>
                <w:rFonts w:cs="Arial"/>
                <w:color w:val="00B050"/>
                <w:sz w:val="20"/>
                <w:szCs w:val="20"/>
                <w:u w:val="single"/>
              </w:rPr>
            </w:pPr>
            <w:proofErr w:type="spellStart"/>
            <w:r w:rsidRPr="000B2B7B">
              <w:rPr>
                <w:rFonts w:cs="Arial"/>
                <w:color w:val="00B050"/>
                <w:sz w:val="20"/>
                <w:szCs w:val="20"/>
                <w:u w:val="single"/>
              </w:rPr>
              <w:t>RETIFANLIMAB</w:t>
            </w:r>
            <w:proofErr w:type="spellEnd"/>
          </w:p>
          <w:p w14:paraId="61C3E9EC" w14:textId="77777777" w:rsidR="00EE5C3B" w:rsidRPr="00247188" w:rsidRDefault="00EE5C3B" w:rsidP="00D62A45">
            <w:pPr>
              <w:spacing w:before="120" w:after="120"/>
              <w:rPr>
                <w:rFonts w:cs="Arial"/>
                <w:sz w:val="20"/>
                <w:szCs w:val="20"/>
              </w:rPr>
            </w:pPr>
            <w:r w:rsidRPr="00247188">
              <w:rPr>
                <w:rStyle w:val="Strong"/>
                <w:rFonts w:cs="Arial"/>
                <w:color w:val="000000"/>
                <w:sz w:val="20"/>
                <w:szCs w:val="20"/>
              </w:rPr>
              <w:t>Index – New Entry</w:t>
            </w:r>
          </w:p>
          <w:p w14:paraId="33F1EB69" w14:textId="77777777" w:rsidR="00EE5C3B" w:rsidRPr="00247188" w:rsidRDefault="00EE5C3B" w:rsidP="00D62A45">
            <w:pPr>
              <w:spacing w:before="120" w:after="120"/>
              <w:rPr>
                <w:rFonts w:cs="Arial"/>
                <w:b/>
                <w:bCs/>
                <w:color w:val="00B050"/>
                <w:sz w:val="20"/>
                <w:szCs w:val="20"/>
                <w:u w:val="single"/>
              </w:rPr>
            </w:pPr>
            <w:proofErr w:type="spellStart"/>
            <w:r w:rsidRPr="000B2B7B">
              <w:rPr>
                <w:rFonts w:cs="Arial"/>
                <w:b/>
                <w:bCs/>
                <w:color w:val="00B050"/>
                <w:sz w:val="20"/>
                <w:szCs w:val="20"/>
                <w:u w:val="single"/>
              </w:rPr>
              <w:t>RETIFANLIMAB</w:t>
            </w:r>
            <w:proofErr w:type="spellEnd"/>
          </w:p>
          <w:p w14:paraId="62E0EB77" w14:textId="77777777" w:rsidR="00EE5C3B" w:rsidRPr="00013BFF" w:rsidRDefault="00EE5C3B" w:rsidP="00D62A45">
            <w:pPr>
              <w:spacing w:before="120" w:after="120"/>
              <w:rPr>
                <w:color w:val="00B050"/>
              </w:rPr>
            </w:pPr>
            <w:r w:rsidRPr="00247188">
              <w:rPr>
                <w:rFonts w:cs="Arial"/>
                <w:color w:val="00B050"/>
                <w:sz w:val="20"/>
                <w:szCs w:val="20"/>
                <w:u w:val="single"/>
              </w:rPr>
              <w:t>Schedule 4</w:t>
            </w:r>
          </w:p>
        </w:tc>
      </w:tr>
    </w:tbl>
    <w:p w14:paraId="1C2302D0" w14:textId="6FDD2F05" w:rsidR="00F93683" w:rsidRPr="00612683" w:rsidRDefault="00F93683" w:rsidP="00F93683">
      <w:pPr>
        <w:pStyle w:val="Heading3"/>
        <w:spacing w:before="240" w:line="220" w:lineRule="atLeast"/>
      </w:pPr>
      <w:bookmarkStart w:id="78" w:name="_Toc230353684"/>
      <w:proofErr w:type="spellStart"/>
      <w:r w:rsidRPr="00467420">
        <w:t>VANZACAFTOR</w:t>
      </w:r>
      <w:bookmarkEnd w:id="78"/>
      <w:proofErr w:type="spellEnd"/>
    </w:p>
    <w:tbl>
      <w:tblPr>
        <w:tblStyle w:val="TableGrid"/>
        <w:tblW w:w="0" w:type="auto"/>
        <w:tblInd w:w="988" w:type="dxa"/>
        <w:tblLook w:val="04A0" w:firstRow="1" w:lastRow="0" w:firstColumn="1" w:lastColumn="0" w:noHBand="0" w:noVBand="1"/>
      </w:tblPr>
      <w:tblGrid>
        <w:gridCol w:w="8072"/>
      </w:tblGrid>
      <w:tr w:rsidR="00F93683" w14:paraId="34A0D58A" w14:textId="77777777" w:rsidTr="006F3B82">
        <w:tc>
          <w:tcPr>
            <w:tcW w:w="8072" w:type="dxa"/>
          </w:tcPr>
          <w:p w14:paraId="062F966B" w14:textId="77777777" w:rsidR="00F93683" w:rsidRPr="00247188" w:rsidRDefault="00F93683" w:rsidP="006F3B82">
            <w:pPr>
              <w:spacing w:before="120" w:after="120"/>
              <w:rPr>
                <w:rFonts w:cs="Arial"/>
                <w:sz w:val="20"/>
                <w:szCs w:val="20"/>
              </w:rPr>
            </w:pPr>
            <w:r w:rsidRPr="00247188">
              <w:rPr>
                <w:rStyle w:val="Strong"/>
                <w:rFonts w:cs="Arial"/>
                <w:color w:val="000000"/>
                <w:sz w:val="20"/>
                <w:szCs w:val="20"/>
              </w:rPr>
              <w:t>Schedule 4 – New Entry</w:t>
            </w:r>
          </w:p>
          <w:p w14:paraId="6AAA4AD4" w14:textId="2A64FE84" w:rsidR="00F93683" w:rsidRPr="00247188" w:rsidRDefault="00F93683" w:rsidP="006F3B82">
            <w:pPr>
              <w:spacing w:before="120" w:after="120"/>
              <w:rPr>
                <w:rFonts w:cs="Arial"/>
                <w:color w:val="00B050"/>
                <w:sz w:val="20"/>
                <w:szCs w:val="20"/>
                <w:u w:val="single"/>
              </w:rPr>
            </w:pPr>
            <w:proofErr w:type="spellStart"/>
            <w:r w:rsidRPr="00467420">
              <w:rPr>
                <w:rFonts w:cs="Arial"/>
                <w:color w:val="00B050"/>
                <w:sz w:val="20"/>
                <w:szCs w:val="20"/>
                <w:u w:val="single"/>
              </w:rPr>
              <w:t>VANZACAFTOR</w:t>
            </w:r>
            <w:proofErr w:type="spellEnd"/>
          </w:p>
          <w:p w14:paraId="22059D8E" w14:textId="77777777" w:rsidR="00F93683" w:rsidRPr="00247188" w:rsidRDefault="00F93683" w:rsidP="006F3B82">
            <w:pPr>
              <w:spacing w:before="120" w:after="120"/>
              <w:rPr>
                <w:rFonts w:cs="Arial"/>
                <w:sz w:val="20"/>
                <w:szCs w:val="20"/>
              </w:rPr>
            </w:pPr>
            <w:r w:rsidRPr="00247188">
              <w:rPr>
                <w:rStyle w:val="Strong"/>
                <w:rFonts w:cs="Arial"/>
                <w:color w:val="000000"/>
                <w:sz w:val="20"/>
                <w:szCs w:val="20"/>
              </w:rPr>
              <w:t>Index – New Entry</w:t>
            </w:r>
          </w:p>
          <w:p w14:paraId="4C7A11B3" w14:textId="23A14343" w:rsidR="00F93683" w:rsidRPr="00247188" w:rsidRDefault="00F93683" w:rsidP="006F3B82">
            <w:pPr>
              <w:spacing w:before="120" w:after="120"/>
              <w:rPr>
                <w:rFonts w:cs="Arial"/>
                <w:b/>
                <w:bCs/>
                <w:color w:val="00B050"/>
                <w:sz w:val="20"/>
                <w:szCs w:val="20"/>
                <w:u w:val="single"/>
              </w:rPr>
            </w:pPr>
            <w:proofErr w:type="spellStart"/>
            <w:r w:rsidRPr="00467420">
              <w:rPr>
                <w:rFonts w:cs="Arial"/>
                <w:b/>
                <w:bCs/>
                <w:color w:val="00B050"/>
                <w:sz w:val="20"/>
                <w:szCs w:val="20"/>
                <w:u w:val="single"/>
              </w:rPr>
              <w:t>VANZACAFTOR</w:t>
            </w:r>
            <w:proofErr w:type="spellEnd"/>
          </w:p>
          <w:p w14:paraId="0205D3F3" w14:textId="77777777" w:rsidR="00F93683" w:rsidRPr="00013BFF" w:rsidRDefault="00F93683" w:rsidP="006F3B82">
            <w:pPr>
              <w:spacing w:before="120" w:after="120"/>
              <w:rPr>
                <w:color w:val="00B050"/>
              </w:rPr>
            </w:pPr>
            <w:r w:rsidRPr="00247188">
              <w:rPr>
                <w:rFonts w:cs="Arial"/>
                <w:color w:val="00B050"/>
                <w:sz w:val="20"/>
                <w:szCs w:val="20"/>
                <w:u w:val="single"/>
              </w:rPr>
              <w:t>Schedule 4</w:t>
            </w:r>
          </w:p>
        </w:tc>
      </w:tr>
    </w:tbl>
    <w:p w14:paraId="1AB00417" w14:textId="77777777" w:rsidR="00F93683" w:rsidRDefault="00F93683" w:rsidP="00E25235">
      <w:bookmarkStart w:id="79" w:name="_Toc227317188"/>
    </w:p>
    <w:bookmarkEnd w:id="79"/>
    <w:p w14:paraId="1C7DEDBF" w14:textId="272AA0AA" w:rsidR="00EE2006" w:rsidRPr="00EE2006" w:rsidRDefault="00EE2006" w:rsidP="00EE2006">
      <w:pPr>
        <w:tabs>
          <w:tab w:val="left" w:pos="811"/>
        </w:tabs>
        <w:sectPr w:rsidR="00EE2006" w:rsidRPr="00EE2006" w:rsidSect="008C6CF9">
          <w:headerReference w:type="default" r:id="rId48"/>
          <w:footerReference w:type="default" r:id="rId49"/>
          <w:pgSz w:w="11906" w:h="16838" w:code="9"/>
          <w:pgMar w:top="1418" w:right="1418" w:bottom="1843"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50"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2AEC" w:rsidP="00300CBB">
            <w:pPr>
              <w:pStyle w:val="Address"/>
              <w:jc w:val="center"/>
              <w:rPr>
                <w:rStyle w:val="Hyperlink"/>
                <w:b/>
                <w:color w:val="auto"/>
                <w:sz w:val="22"/>
              </w:rPr>
            </w:pPr>
            <w:hyperlink r:id="rId51" w:history="1">
              <w:r w:rsidRPr="00C4721A">
                <w:rPr>
                  <w:rStyle w:val="Hyperlink"/>
                  <w:b/>
                </w:rPr>
                <w:t>https://www.tga.gov.au</w:t>
              </w:r>
            </w:hyperlink>
          </w:p>
        </w:tc>
      </w:tr>
    </w:tbl>
    <w:p w14:paraId="221B1587" w14:textId="77777777" w:rsidR="004B4802" w:rsidRDefault="004B4802" w:rsidP="00967490"/>
    <w:sectPr w:rsidR="004B4802" w:rsidSect="00AE7C6A">
      <w:headerReference w:type="first" r:id="rId52"/>
      <w:footerReference w:type="first" r:id="rId5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5097" w14:textId="77777777" w:rsidR="004F0810" w:rsidRDefault="004F0810" w:rsidP="00967490">
      <w:r>
        <w:separator/>
      </w:r>
    </w:p>
    <w:p w14:paraId="13E494BD" w14:textId="77777777" w:rsidR="004F0810" w:rsidRDefault="004F0810" w:rsidP="00967490"/>
    <w:p w14:paraId="432ACF02" w14:textId="77777777" w:rsidR="004F0810" w:rsidRDefault="004F0810" w:rsidP="00967490"/>
  </w:endnote>
  <w:endnote w:type="continuationSeparator" w:id="0">
    <w:p w14:paraId="28A6FC40" w14:textId="77777777" w:rsidR="004F0810" w:rsidRDefault="004F0810" w:rsidP="00967490">
      <w:r>
        <w:continuationSeparator/>
      </w:r>
    </w:p>
    <w:p w14:paraId="2927E377" w14:textId="77777777" w:rsidR="004F0810" w:rsidRDefault="004F0810" w:rsidP="00967490"/>
    <w:p w14:paraId="7A4E1941" w14:textId="77777777" w:rsidR="004F0810" w:rsidRDefault="004F0810"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DCC1" w14:textId="7A104E07" w:rsidR="00101462" w:rsidRDefault="00101462">
    <w:pPr>
      <w:pStyle w:val="Footer"/>
    </w:pPr>
    <w:r>
      <w:rPr>
        <w:noProof/>
      </w:rPr>
      <mc:AlternateContent>
        <mc:Choice Requires="wps">
          <w:drawing>
            <wp:anchor distT="0" distB="0" distL="0" distR="0" simplePos="0" relativeHeight="251668480" behindDoc="0" locked="0" layoutInCell="1" allowOverlap="1" wp14:anchorId="5E8E643E" wp14:editId="195242AB">
              <wp:simplePos x="635" y="635"/>
              <wp:positionH relativeFrom="page">
                <wp:align>center</wp:align>
              </wp:positionH>
              <wp:positionV relativeFrom="page">
                <wp:align>bottom</wp:align>
              </wp:positionV>
              <wp:extent cx="622300" cy="391160"/>
              <wp:effectExtent l="0" t="0" r="6350" b="0"/>
              <wp:wrapNone/>
              <wp:docPr id="112876731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C40F46" w14:textId="438AE937"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E643E"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3C40F46" w14:textId="438AE937"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047AC3B2" w:rsidR="00F02AEC" w:rsidRDefault="00101462" w:rsidP="00967490">
          <w:pPr>
            <w:pStyle w:val="Footer"/>
          </w:pPr>
          <w:r>
            <w:rPr>
              <w:noProof/>
            </w:rPr>
            <mc:AlternateContent>
              <mc:Choice Requires="wps">
                <w:drawing>
                  <wp:anchor distT="0" distB="0" distL="0" distR="0" simplePos="0" relativeHeight="251669504" behindDoc="0" locked="0" layoutInCell="1" allowOverlap="1" wp14:anchorId="74B2339E" wp14:editId="0E72500A">
                    <wp:simplePos x="635" y="635"/>
                    <wp:positionH relativeFrom="page">
                      <wp:align>center</wp:align>
                    </wp:positionH>
                    <wp:positionV relativeFrom="page">
                      <wp:align>bottom</wp:align>
                    </wp:positionV>
                    <wp:extent cx="622300" cy="391160"/>
                    <wp:effectExtent l="0" t="0" r="6350" b="0"/>
                    <wp:wrapNone/>
                    <wp:docPr id="203370187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06895B8" w14:textId="27448E82"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2339E"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06895B8" w14:textId="27448E82"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v:textbox>
                    <w10:wrap anchorx="page" anchory="page"/>
                  </v:shape>
                </w:pict>
              </mc:Fallback>
            </mc:AlternateContent>
          </w: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2DC6921F" w:rsidR="00CE580A" w:rsidRPr="00DE78C9" w:rsidRDefault="00557AF7" w:rsidP="0075667C">
          <w:pPr>
            <w:ind w:left="-110"/>
            <w:rPr>
              <w:rFonts w:asciiTheme="minorHAnsi" w:hAnsiTheme="minorHAnsi" w:cstheme="minorHAnsi"/>
              <w:sz w:val="18"/>
              <w:szCs w:val="18"/>
            </w:rPr>
          </w:pPr>
          <w:r w:rsidRPr="00557AF7">
            <w:rPr>
              <w:rFonts w:asciiTheme="minorHAnsi" w:hAnsiTheme="minorHAnsi" w:cstheme="minorHAnsi"/>
              <w:sz w:val="18"/>
              <w:szCs w:val="18"/>
            </w:rPr>
            <w:t>Notice of final decisions to amend (or not amend) the current Poisons Standar</w:t>
          </w:r>
          <w:r>
            <w:rPr>
              <w:rFonts w:asciiTheme="minorHAnsi" w:hAnsiTheme="minorHAnsi" w:cstheme="minorHAnsi"/>
              <w:sz w:val="18"/>
              <w:szCs w:val="18"/>
            </w:rPr>
            <w:t xml:space="preserve">d – </w:t>
          </w:r>
          <w:r w:rsidR="00D835BE">
            <w:rPr>
              <w:rFonts w:asciiTheme="minorHAnsi" w:hAnsiTheme="minorHAnsi" w:cstheme="minorHAnsi"/>
              <w:sz w:val="18"/>
              <w:szCs w:val="18"/>
            </w:rPr>
            <w:t>March</w:t>
          </w:r>
          <w:r w:rsidR="00CE580A">
            <w:rPr>
              <w:rFonts w:asciiTheme="minorHAnsi" w:hAnsiTheme="minorHAnsi" w:cstheme="minorHAnsi"/>
              <w:sz w:val="18"/>
              <w:szCs w:val="18"/>
            </w:rPr>
            <w:t xml:space="preserve"> 202</w:t>
          </w:r>
          <w:r w:rsidR="00D835BE">
            <w:rPr>
              <w:rFonts w:asciiTheme="minorHAnsi" w:hAnsiTheme="minorHAnsi" w:cstheme="minorHAnsi"/>
              <w:sz w:val="18"/>
              <w:szCs w:val="18"/>
            </w:rPr>
            <w:t>5</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75667C">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793FAC98" w:rsidR="004B4802" w:rsidRPr="008E3C43" w:rsidRDefault="004B480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7837" w14:textId="77777777" w:rsidR="004F0810" w:rsidRDefault="004F0810" w:rsidP="00967490">
      <w:r>
        <w:separator/>
      </w:r>
    </w:p>
  </w:footnote>
  <w:footnote w:type="continuationSeparator" w:id="0">
    <w:p w14:paraId="25A711BA" w14:textId="77777777" w:rsidR="004F0810" w:rsidRDefault="004F0810" w:rsidP="00967490">
      <w:r>
        <w:continuationSeparator/>
      </w:r>
    </w:p>
    <w:p w14:paraId="155FDF5E" w14:textId="77777777" w:rsidR="004F0810" w:rsidRDefault="004F0810" w:rsidP="00967490"/>
    <w:p w14:paraId="1A08E7FA" w14:textId="77777777" w:rsidR="004F0810" w:rsidRDefault="004F0810" w:rsidP="00967490"/>
  </w:footnote>
  <w:footnote w:id="1">
    <w:p w14:paraId="799494EA" w14:textId="7CE74680" w:rsidR="00457050" w:rsidRPr="00ED1763" w:rsidRDefault="00457050" w:rsidP="00757E6A">
      <w:pPr>
        <w:pStyle w:val="FootnoteText"/>
        <w:keepLines w:val="0"/>
        <w:rPr>
          <w:rFonts w:cs="Arial"/>
          <w:szCs w:val="16"/>
        </w:rPr>
      </w:pPr>
      <w:r w:rsidRPr="00ED1763">
        <w:rPr>
          <w:rStyle w:val="FootnoteReference"/>
          <w:rFonts w:cs="Arial"/>
          <w:szCs w:val="16"/>
        </w:rPr>
        <w:footnoteRef/>
      </w:r>
      <w:r w:rsidRPr="00ED1763">
        <w:rPr>
          <w:rFonts w:cs="Arial"/>
          <w:szCs w:val="16"/>
        </w:rPr>
        <w:t xml:space="preserve"> For the purposes of s 52D of the </w:t>
      </w:r>
      <w:r w:rsidRPr="00ED1763">
        <w:rPr>
          <w:rFonts w:cs="Arial"/>
          <w:i/>
          <w:iCs/>
          <w:szCs w:val="16"/>
        </w:rPr>
        <w:t>Therapeutic Goods Act 1989</w:t>
      </w:r>
      <w:r w:rsidRPr="00ED1763">
        <w:rPr>
          <w:rFonts w:cs="Arial"/>
          <w:szCs w:val="16"/>
        </w:rPr>
        <w:t xml:space="preserve"> (Cth).</w:t>
      </w:r>
    </w:p>
  </w:footnote>
  <w:footnote w:id="2">
    <w:p w14:paraId="0FE05505" w14:textId="77777777" w:rsidR="00637610" w:rsidRDefault="00637610" w:rsidP="00637610">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3">
    <w:p w14:paraId="4711DEDD" w14:textId="77777777" w:rsidR="002069D1" w:rsidRPr="00967490" w:rsidRDefault="002069D1" w:rsidP="002069D1">
      <w:r w:rsidRPr="00D15E47">
        <w:rPr>
          <w:rStyle w:val="FootnoteReference"/>
          <w:sz w:val="14"/>
          <w:szCs w:val="14"/>
        </w:rPr>
        <w:footnoteRef/>
      </w:r>
      <w:r w:rsidRPr="00D15E47">
        <w:rPr>
          <w:sz w:val="18"/>
          <w:szCs w:val="18"/>
        </w:rPr>
        <w:t xml:space="preserve"> Established under sections 52B and 52C of the </w:t>
      </w:r>
      <w:r w:rsidRPr="00D15E47">
        <w:rPr>
          <w:i/>
          <w:iCs/>
          <w:sz w:val="18"/>
          <w:szCs w:val="18"/>
        </w:rPr>
        <w:t>Therapeutic Goods Act 1989</w:t>
      </w:r>
      <w:r w:rsidRPr="00D15E47">
        <w:rPr>
          <w:sz w:val="18"/>
          <w:szCs w:val="18"/>
        </w:rPr>
        <w:t xml:space="preserve"> (Cth).</w:t>
      </w:r>
    </w:p>
  </w:footnote>
  <w:footnote w:id="4">
    <w:p w14:paraId="3078129C" w14:textId="77777777" w:rsidR="000A5B1C" w:rsidRDefault="000A5B1C" w:rsidP="000A5B1C">
      <w:pPr>
        <w:pStyle w:val="FootnoteText"/>
      </w:pPr>
      <w:r>
        <w:rPr>
          <w:rStyle w:val="FootnoteReference"/>
        </w:rPr>
        <w:footnoteRef/>
      </w:r>
      <w:r>
        <w:t xml:space="preserve"> </w:t>
      </w:r>
      <w:hyperlink r:id="rId1" w:history="1">
        <w:r w:rsidRPr="00420B93">
          <w:rPr>
            <w:rStyle w:val="Hyperlink"/>
          </w:rPr>
          <w:t>Final decisions and reasons for decisions by delegates of the Secretary to the Department of Health, 27 March 2015</w:t>
        </w:r>
      </w:hyperlink>
    </w:p>
  </w:footnote>
  <w:footnote w:id="5">
    <w:p w14:paraId="096EC0FE" w14:textId="77777777" w:rsidR="000A5B1C" w:rsidRDefault="000A5B1C" w:rsidP="000A5B1C">
      <w:pPr>
        <w:pStyle w:val="FootnoteText"/>
      </w:pPr>
      <w:r>
        <w:rPr>
          <w:rStyle w:val="FootnoteReference"/>
        </w:rPr>
        <w:footnoteRef/>
      </w:r>
      <w:r>
        <w:t xml:space="preserve"> </w:t>
      </w:r>
      <w:hyperlink r:id="rId2" w:history="1">
        <w:r>
          <w:rPr>
            <w:rStyle w:val="Hyperlink"/>
          </w:rPr>
          <w:t>Health Canada, Consultation document on proposed new risk management actions for 2-butanone, oxime</w:t>
        </w:r>
      </w:hyperlink>
    </w:p>
  </w:footnote>
  <w:footnote w:id="6">
    <w:p w14:paraId="6A726B3A" w14:textId="77777777" w:rsidR="00997916" w:rsidRDefault="00997916" w:rsidP="00997916">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7">
    <w:p w14:paraId="2F9ADE44" w14:textId="77777777" w:rsidR="007A0C0C" w:rsidRDefault="007A0C0C" w:rsidP="007A0C0C">
      <w:pPr>
        <w:pStyle w:val="FootnoteText"/>
      </w:pPr>
      <w:r>
        <w:rPr>
          <w:rStyle w:val="FootnoteReference"/>
        </w:rPr>
        <w:footnoteRef/>
      </w:r>
      <w:r>
        <w:t xml:space="preserve"> </w:t>
      </w:r>
      <w:r w:rsidRPr="00BE6F0A">
        <w:t>Proposed additions are shown in green underlined font, proposed deletions are shown in red strikethrough font, and text without this formatting represents the current text in the Poisons Standard.</w:t>
      </w:r>
    </w:p>
  </w:footnote>
  <w:footnote w:id="8">
    <w:p w14:paraId="5E54FD2A" w14:textId="77777777" w:rsidR="00926D96" w:rsidRPr="009B576B" w:rsidRDefault="00926D96" w:rsidP="00926D96">
      <w:pPr>
        <w:pStyle w:val="FootnoteText"/>
        <w:rPr>
          <w:szCs w:val="16"/>
        </w:rPr>
      </w:pPr>
      <w:r w:rsidRPr="009B576B">
        <w:rPr>
          <w:rStyle w:val="FootnoteReference"/>
          <w:szCs w:val="16"/>
        </w:rPr>
        <w:footnoteRef/>
      </w:r>
      <w:r w:rsidRPr="009B576B">
        <w:rPr>
          <w:szCs w:val="16"/>
        </w:rPr>
        <w:t xml:space="preserve"> </w:t>
      </w:r>
      <w:hyperlink r:id="rId3" w:history="1">
        <w:r w:rsidRPr="009B576B">
          <w:rPr>
            <w:rStyle w:val="Hyperlink"/>
            <w:szCs w:val="16"/>
          </w:rPr>
          <w:t>Cyanoacrylates - Evaluation Statement - 26 June 2024</w:t>
        </w:r>
      </w:hyperlink>
    </w:p>
  </w:footnote>
  <w:footnote w:id="9">
    <w:p w14:paraId="7D812EC3" w14:textId="77777777" w:rsidR="00926D96" w:rsidRDefault="00926D96" w:rsidP="00926D96">
      <w:pPr>
        <w:pStyle w:val="FootnoteText"/>
      </w:pPr>
      <w:r w:rsidRPr="009B576B">
        <w:rPr>
          <w:rFonts w:cs="Arial"/>
          <w:color w:val="000000" w:themeColor="text1"/>
          <w:szCs w:val="16"/>
          <w:vertAlign w:val="superscript"/>
        </w:rPr>
        <w:footnoteRef/>
      </w:r>
      <w:r w:rsidRPr="009B576B">
        <w:rPr>
          <w:rFonts w:cs="Arial"/>
          <w:color w:val="000000" w:themeColor="text1"/>
          <w:szCs w:val="16"/>
          <w:vertAlign w:val="superscript"/>
        </w:rPr>
        <w:t xml:space="preserve"> </w:t>
      </w:r>
      <w:r w:rsidRPr="009B576B">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10">
    <w:p w14:paraId="79246BFB" w14:textId="77777777" w:rsidR="00926D96" w:rsidRPr="008073A3" w:rsidRDefault="00926D96" w:rsidP="00926D96">
      <w:pPr>
        <w:pStyle w:val="FootnoteText"/>
        <w:rPr>
          <w:rFonts w:cs="Arial"/>
          <w:szCs w:val="16"/>
        </w:rPr>
      </w:pPr>
      <w:r w:rsidRPr="008073A3">
        <w:rPr>
          <w:rStyle w:val="FootnoteReference"/>
          <w:rFonts w:cs="Arial"/>
          <w:szCs w:val="16"/>
        </w:rPr>
        <w:footnoteRef/>
      </w:r>
      <w:r w:rsidRPr="008073A3">
        <w:rPr>
          <w:rFonts w:cs="Arial"/>
          <w:szCs w:val="16"/>
        </w:rPr>
        <w:t xml:space="preserve"> </w:t>
      </w:r>
      <w:r w:rsidRPr="008073A3">
        <w:rPr>
          <w:rFonts w:cs="Arial"/>
          <w:color w:val="212121"/>
          <w:szCs w:val="16"/>
          <w:shd w:val="clear" w:color="auto" w:fill="FFFFFF"/>
        </w:rPr>
        <w:t>Carstairs, S. D., Koh, C., Qian, L., Qozi, M., Seivard, G., &amp; Cantrell, F. L. (2017). Sticky situations: cyanoacrylate exposures reported to a poison control system. </w:t>
      </w:r>
      <w:r w:rsidRPr="008073A3">
        <w:rPr>
          <w:rFonts w:cs="Arial"/>
          <w:i/>
          <w:iCs/>
          <w:color w:val="212121"/>
          <w:szCs w:val="16"/>
          <w:shd w:val="clear" w:color="auto" w:fill="FFFFFF"/>
        </w:rPr>
        <w:t>Clinical toxicology (Philadelphia, Pa.)</w:t>
      </w:r>
      <w:r w:rsidRPr="008073A3">
        <w:rPr>
          <w:rFonts w:cs="Arial"/>
          <w:color w:val="212121"/>
          <w:szCs w:val="16"/>
          <w:shd w:val="clear" w:color="auto" w:fill="FFFFFF"/>
        </w:rPr>
        <w:t>, </w:t>
      </w:r>
      <w:r w:rsidRPr="008073A3">
        <w:rPr>
          <w:rFonts w:cs="Arial"/>
          <w:i/>
          <w:iCs/>
          <w:color w:val="212121"/>
          <w:szCs w:val="16"/>
          <w:shd w:val="clear" w:color="auto" w:fill="FFFFFF"/>
        </w:rPr>
        <w:t>55</w:t>
      </w:r>
      <w:r w:rsidRPr="008073A3">
        <w:rPr>
          <w:rFonts w:cs="Arial"/>
          <w:color w:val="212121"/>
          <w:szCs w:val="16"/>
          <w:shd w:val="clear" w:color="auto" w:fill="FFFFFF"/>
        </w:rPr>
        <w:t xml:space="preserve">(9), 1001–1003. </w:t>
      </w:r>
      <w:hyperlink r:id="rId4" w:history="1">
        <w:r w:rsidRPr="00280337">
          <w:rPr>
            <w:rStyle w:val="Hyperlink"/>
            <w:rFonts w:cs="Arial"/>
            <w:szCs w:val="16"/>
            <w:shd w:val="clear" w:color="auto" w:fill="FFFFFF"/>
          </w:rPr>
          <w:t>https://doi.org/10.1080/15563650.2017.1327067</w:t>
        </w:r>
      </w:hyperlink>
      <w:r>
        <w:rPr>
          <w:rFonts w:cs="Arial"/>
          <w:color w:val="212121"/>
          <w:szCs w:val="16"/>
          <w:shd w:val="clear" w:color="auto" w:fill="FFFFFF"/>
        </w:rPr>
        <w:t>.</w:t>
      </w:r>
    </w:p>
  </w:footnote>
  <w:footnote w:id="11">
    <w:p w14:paraId="3B59FD86" w14:textId="77777777" w:rsidR="008644E7" w:rsidRDefault="008644E7" w:rsidP="008644E7">
      <w:pPr>
        <w:pStyle w:val="FootnoteText"/>
      </w:pPr>
      <w:r>
        <w:rPr>
          <w:rStyle w:val="FootnoteReference"/>
        </w:rPr>
        <w:footnoteRef/>
      </w:r>
      <w:r>
        <w:t xml:space="preserve"> </w:t>
      </w:r>
      <w:r w:rsidRPr="00711E75">
        <w:rPr>
          <w:szCs w:val="16"/>
        </w:rPr>
        <w:t xml:space="preserve">EFSA Panel on Additives and Products or Substances used in Animal Feed (FEEDAP), Bampidis, V., Azimonti, G., Bastos, M. L., Christensen, H., Durjava, M., Dusemund, B., Kouba, M., López-Alonso, M., López Puente, S., Marcon, F., Mayo, B., Pechová, A., Petkova, M., Ramos, F., Villa, R. E., Woutersen, R., Galobart, J., Innocenti, M. L., Ortuño, J., … Navarro-Villa, A. (2023). Efficacy of Availa®Cr (chromium chelate of dl-methionine) as a feed additive for dairy cows (Zinpro Animal Nutrition (Europe), Inc). EFSA journal. European Food Safety Authority, 21(12), e8455. </w:t>
      </w:r>
      <w:hyperlink r:id="rId5" w:history="1">
        <w:r w:rsidRPr="003C0CEC">
          <w:rPr>
            <w:rStyle w:val="Hyperlink"/>
            <w:szCs w:val="16"/>
          </w:rPr>
          <w:t>https://doi.org/10.2903/j.efsa.2023.8455</w:t>
        </w:r>
      </w:hyperlink>
    </w:p>
  </w:footnote>
  <w:footnote w:id="12">
    <w:p w14:paraId="686F9D44" w14:textId="42C8E519" w:rsidR="005C23D3" w:rsidRDefault="005C23D3" w:rsidP="005C23D3">
      <w:pPr>
        <w:pStyle w:val="FootnoteText"/>
      </w:pPr>
      <w:r>
        <w:rPr>
          <w:rStyle w:val="FootnoteReference"/>
        </w:rPr>
        <w:footnoteRef/>
      </w:r>
      <w:r>
        <w:t xml:space="preserve"> </w:t>
      </w:r>
      <w:hyperlink r:id="rId6" w:history="1">
        <w:r w:rsidRPr="005C23D3">
          <w:rPr>
            <w:rStyle w:val="Hyperlink"/>
          </w:rPr>
          <w:t>Notice of final decisions to amend (or not amend) the current Poisons Standard</w:t>
        </w:r>
      </w:hyperlink>
      <w:r>
        <w:t>, published 4 September 2023</w:t>
      </w:r>
    </w:p>
  </w:footnote>
  <w:footnote w:id="13">
    <w:p w14:paraId="7FF0B2CB" w14:textId="17125CC3" w:rsidR="005C23D3" w:rsidRDefault="005C23D3">
      <w:pPr>
        <w:pStyle w:val="FootnoteText"/>
      </w:pPr>
      <w:r>
        <w:rPr>
          <w:rStyle w:val="FootnoteReference"/>
        </w:rPr>
        <w:footnoteRef/>
      </w:r>
      <w:r>
        <w:t xml:space="preserve"> </w:t>
      </w:r>
      <w:hyperlink r:id="rId7" w:history="1">
        <w:r w:rsidRPr="005C23D3">
          <w:rPr>
            <w:rStyle w:val="Hyperlink"/>
          </w:rPr>
          <w:t>Notice of final decision to amend the current Poisons Standard in relation to bromoxynil</w:t>
        </w:r>
      </w:hyperlink>
      <w:r>
        <w:t>, published 17 April 2024</w:t>
      </w:r>
    </w:p>
  </w:footnote>
  <w:footnote w:id="14">
    <w:p w14:paraId="4CE09EAC" w14:textId="69EB269D" w:rsidR="00A73969" w:rsidRDefault="00A73969" w:rsidP="00A73969">
      <w:pPr>
        <w:pStyle w:val="FootnoteText"/>
        <w:rPr>
          <w:szCs w:val="20"/>
        </w:rPr>
      </w:pPr>
      <w:r>
        <w:rPr>
          <w:rStyle w:val="FootnoteReference"/>
        </w:rPr>
        <w:footnoteRef/>
      </w:r>
      <w:r>
        <w:t xml:space="preserve"> Veltri C, Grundmann O. Current perspectives on the impact of Kratom use. Subst. Abuse Rehabil. 2019;10:23-31. DOI: </w:t>
      </w:r>
      <w:hyperlink r:id="rId8" w:history="1">
        <w:r w:rsidRPr="00AC0D8D">
          <w:rPr>
            <w:rStyle w:val="Hyperlink"/>
          </w:rPr>
          <w:t>https://doi.org/10.2147/SAR.S164261</w:t>
        </w:r>
      </w:hyperlink>
      <w:r>
        <w:t>.</w:t>
      </w:r>
    </w:p>
  </w:footnote>
  <w:footnote w:id="15">
    <w:p w14:paraId="603405B9" w14:textId="77777777" w:rsidR="00A73969" w:rsidRDefault="00A73969" w:rsidP="00A73969">
      <w:pPr>
        <w:pStyle w:val="FootnoteText"/>
      </w:pPr>
      <w:r>
        <w:rPr>
          <w:rStyle w:val="FootnoteReference"/>
        </w:rPr>
        <w:footnoteRef/>
      </w:r>
      <w:r>
        <w:t xml:space="preserve"> Sokup B, Pippin MM. Kratom. [Updated 2023 Aug 28]. In: StatPearls [Internet]. Treasure Island (FL): StatPearls Publishing; 2025 Jan-. Available from: </w:t>
      </w:r>
      <w:hyperlink r:id="rId9" w:history="1">
        <w:r>
          <w:rPr>
            <w:rStyle w:val="Hyperlink"/>
          </w:rPr>
          <w:t>https://www.ncbi.nlm.nih.gov/books/NBK585120</w:t>
        </w:r>
      </w:hyperlink>
    </w:p>
  </w:footnote>
  <w:footnote w:id="16">
    <w:p w14:paraId="46CC70DC" w14:textId="77777777" w:rsidR="00A73969" w:rsidRDefault="00A73969" w:rsidP="00A73969">
      <w:pPr>
        <w:pStyle w:val="FootnoteText"/>
      </w:pPr>
      <w:r>
        <w:rPr>
          <w:rStyle w:val="FootnoteReference"/>
        </w:rPr>
        <w:footnoteRef/>
      </w:r>
      <w:r>
        <w:t xml:space="preserve"> Brown PN, Lund JA, Murch SJ. A botanical, phytochemical and ethnomedicinal review of the genus Mitragyna korth: Implications for products sold as kratom. </w:t>
      </w:r>
      <w:r>
        <w:rPr>
          <w:i/>
          <w:iCs/>
        </w:rPr>
        <w:t>J Ethnopharmacol</w:t>
      </w:r>
      <w:r>
        <w:t>. 2017;202:302-325. doi:</w:t>
      </w:r>
      <w:hyperlink r:id="rId10" w:history="1">
        <w:r>
          <w:rPr>
            <w:rStyle w:val="Hyperlink"/>
          </w:rPr>
          <w:t>10.1016/j.jep.2017.03.020</w:t>
        </w:r>
      </w:hyperlink>
    </w:p>
  </w:footnote>
  <w:footnote w:id="17">
    <w:p w14:paraId="2C127BEB" w14:textId="77777777" w:rsidR="00A73969" w:rsidRDefault="00A73969" w:rsidP="00A73969">
      <w:pPr>
        <w:pStyle w:val="FootnoteText"/>
      </w:pPr>
      <w:r>
        <w:rPr>
          <w:rStyle w:val="FootnoteReference"/>
        </w:rPr>
        <w:footnoteRef/>
      </w:r>
      <w:r>
        <w:t xml:space="preserve"> Smith KE, Sharma A, Grundmann O, McCurdy CR. Kratom Alkaloids: A Blueprint?. ACS Chem Neurosci. 2023;14(2):195-197. doi:</w:t>
      </w:r>
      <w:hyperlink r:id="rId11" w:history="1">
        <w:r>
          <w:rPr>
            <w:rStyle w:val="Hyperlink"/>
          </w:rPr>
          <w:t>10.1021/acschemneuro.2c00704</w:t>
        </w:r>
      </w:hyperlink>
    </w:p>
  </w:footnote>
  <w:footnote w:id="18">
    <w:p w14:paraId="5C28B199" w14:textId="77777777" w:rsidR="00A73969" w:rsidRDefault="00A73969" w:rsidP="00A73969">
      <w:pPr>
        <w:pStyle w:val="FootnoteText"/>
      </w:pPr>
      <w:r>
        <w:rPr>
          <w:rStyle w:val="FootnoteReference"/>
        </w:rPr>
        <w:footnoteRef/>
      </w:r>
      <w:r>
        <w:t xml:space="preserve"> Singh D, Narayanan S, Vicknasingam B, et al. The Use of Kratom (Mitragyna speciosa Korth.) Among People Who Co-use Heroin and Methamphetamine in Malaysia. </w:t>
      </w:r>
      <w:r>
        <w:rPr>
          <w:i/>
          <w:iCs/>
        </w:rPr>
        <w:t>J Addict Med</w:t>
      </w:r>
      <w:r>
        <w:t>. 2022;16(2):223-228. doi:</w:t>
      </w:r>
      <w:hyperlink r:id="rId12" w:history="1">
        <w:r>
          <w:rPr>
            <w:rStyle w:val="Hyperlink"/>
          </w:rPr>
          <w:t>10.1097/ADM.0000000000000876</w:t>
        </w:r>
      </w:hyperlink>
    </w:p>
  </w:footnote>
  <w:footnote w:id="19">
    <w:p w14:paraId="20322283" w14:textId="77777777" w:rsidR="00A73969" w:rsidRDefault="00A73969" w:rsidP="00A73969">
      <w:pPr>
        <w:pStyle w:val="FootnoteText"/>
      </w:pPr>
      <w:r>
        <w:rPr>
          <w:rStyle w:val="FootnoteReference"/>
        </w:rPr>
        <w:footnoteRef/>
      </w:r>
      <w:r>
        <w:t xml:space="preserve"> Henningfield JE, Wang DW, Huestis MA. Kratom Abuse Potential 2021: An Updated Eight Factor Analysis. </w:t>
      </w:r>
      <w:r>
        <w:rPr>
          <w:i/>
          <w:iCs/>
        </w:rPr>
        <w:t>Front Pharmacol</w:t>
      </w:r>
      <w:r>
        <w:t>. 2022;12:775073. Published 2022 Jan 28. doi:</w:t>
      </w:r>
      <w:hyperlink r:id="rId13" w:history="1">
        <w:r>
          <w:rPr>
            <w:rStyle w:val="Hyperlink"/>
          </w:rPr>
          <w:t>10.3389/fphar.2021.775073</w:t>
        </w:r>
      </w:hyperlink>
    </w:p>
  </w:footnote>
  <w:footnote w:id="20">
    <w:p w14:paraId="3E62AC98" w14:textId="77777777" w:rsidR="00A73969" w:rsidRDefault="00A73969" w:rsidP="00A73969">
      <w:pPr>
        <w:pStyle w:val="FootnoteText"/>
      </w:pPr>
      <w:r>
        <w:rPr>
          <w:rStyle w:val="FootnoteReference"/>
        </w:rPr>
        <w:footnoteRef/>
      </w:r>
      <w:r>
        <w:t xml:space="preserve"> Prevete E, Kuypers KPC, Theunissen EL, Corazza O, Bersani G, Ramaekers JG. A systematic review of (pre)clinical studies on the therapeutic potential and safety profile of kratom in humans. </w:t>
      </w:r>
      <w:r>
        <w:rPr>
          <w:i/>
          <w:iCs/>
        </w:rPr>
        <w:t>Hum Psychopharmacol</w:t>
      </w:r>
      <w:r>
        <w:t>. 2022;37(1):e2805. doi:</w:t>
      </w:r>
      <w:hyperlink r:id="rId14" w:history="1">
        <w:r>
          <w:rPr>
            <w:rStyle w:val="Hyperlink"/>
          </w:rPr>
          <w:t>10.1002/hup.2805</w:t>
        </w:r>
      </w:hyperlink>
    </w:p>
  </w:footnote>
  <w:footnote w:id="21">
    <w:p w14:paraId="6A84151D" w14:textId="77777777" w:rsidR="00A73969" w:rsidRDefault="00A73969" w:rsidP="00A73969">
      <w:pPr>
        <w:pStyle w:val="FootnoteText"/>
      </w:pPr>
      <w:r>
        <w:rPr>
          <w:rStyle w:val="FootnoteReference"/>
        </w:rPr>
        <w:footnoteRef/>
      </w:r>
      <w:r>
        <w:t xml:space="preserve"> Vicknasingam B, Chooi WT, Rahim AA, et al. Kratom and Pain Tolerance: A Randomized, Placebo-Controlled, Double-Blind Study. Yale J Biol Med. 2020;93(2):229-238. Published 2020 Jun 29.</w:t>
      </w:r>
      <w:r>
        <w:rPr>
          <w:rFonts w:ascii="Bahnschrift" w:eastAsiaTheme="minorHAnsi" w:hAnsi="Bahnschrift" w:cstheme="minorBidi"/>
          <w:color w:val="1B1B1B"/>
          <w:sz w:val="25"/>
          <w:szCs w:val="25"/>
          <w:shd w:val="clear" w:color="auto" w:fill="FFFFFF"/>
        </w:rPr>
        <w:t xml:space="preserve"> </w:t>
      </w:r>
      <w:r>
        <w:t>PMID: </w:t>
      </w:r>
      <w:hyperlink r:id="rId15" w:history="1">
        <w:r>
          <w:rPr>
            <w:rStyle w:val="Hyperlink"/>
          </w:rPr>
          <w:t>32607084</w:t>
        </w:r>
      </w:hyperlink>
    </w:p>
  </w:footnote>
  <w:footnote w:id="22">
    <w:p w14:paraId="682AE7D4" w14:textId="77777777" w:rsidR="00A73969" w:rsidRDefault="00A73969" w:rsidP="00A73969">
      <w:pPr>
        <w:pStyle w:val="FootnoteText"/>
      </w:pPr>
      <w:r>
        <w:rPr>
          <w:rStyle w:val="FootnoteReference"/>
        </w:rPr>
        <w:footnoteRef/>
      </w:r>
      <w:r>
        <w:t xml:space="preserve"> Sokup B, Pippin MM. Kratom. [Updated 2023 Aug 28]. In: StatPearls [Internet]. Treasure Island (FL): StatPearls Publishing; 2025 Jan. Available from: </w:t>
      </w:r>
      <w:hyperlink r:id="rId16" w:history="1">
        <w:r>
          <w:rPr>
            <w:rStyle w:val="Hyperlink"/>
          </w:rPr>
          <w:t>https://www.ncbi.nlm.nih.gov/books/NBK585120</w:t>
        </w:r>
      </w:hyperlink>
    </w:p>
  </w:footnote>
  <w:footnote w:id="23">
    <w:p w14:paraId="510C983D" w14:textId="77777777" w:rsidR="00A73969" w:rsidRDefault="00A73969" w:rsidP="00A73969">
      <w:pPr>
        <w:pStyle w:val="FootnoteText"/>
      </w:pPr>
      <w:r>
        <w:rPr>
          <w:rStyle w:val="FootnoteReference"/>
        </w:rPr>
        <w:footnoteRef/>
      </w:r>
      <w:r>
        <w:t xml:space="preserve"> </w:t>
      </w:r>
      <w:r>
        <w:rPr>
          <w:rFonts w:cs="Arial"/>
          <w:color w:val="auto"/>
          <w:szCs w:val="16"/>
        </w:rPr>
        <w:t>Papadi G, Bakhiya N, Ildico Hirsch-Ernst K. Assessment of the possible health risks associated with the consumption of botanical preparations of </w:t>
      </w:r>
      <w:r>
        <w:rPr>
          <w:rFonts w:cs="Arial"/>
          <w:i/>
          <w:iCs/>
          <w:color w:val="auto"/>
          <w:szCs w:val="16"/>
        </w:rPr>
        <w:t>Mitragyna speciosa</w:t>
      </w:r>
      <w:r>
        <w:rPr>
          <w:rFonts w:cs="Arial"/>
          <w:color w:val="auto"/>
          <w:szCs w:val="16"/>
        </w:rPr>
        <w:t> (kratom). </w:t>
      </w:r>
      <w:r>
        <w:rPr>
          <w:rFonts w:cs="Arial"/>
          <w:i/>
          <w:iCs/>
          <w:color w:val="auto"/>
          <w:szCs w:val="16"/>
        </w:rPr>
        <w:t>EFSA J</w:t>
      </w:r>
      <w:r>
        <w:rPr>
          <w:rFonts w:cs="Arial"/>
          <w:color w:val="auto"/>
          <w:szCs w:val="16"/>
        </w:rPr>
        <w:t>. 2022;20(Suppl 1):e200415. Published 2022 May 25. doi:10.2903/j.efsa.2022.e200415</w:t>
      </w:r>
    </w:p>
  </w:footnote>
  <w:footnote w:id="24">
    <w:p w14:paraId="6B394F66" w14:textId="77777777" w:rsidR="00A73969" w:rsidRDefault="00A73969" w:rsidP="00A73969">
      <w:pPr>
        <w:pStyle w:val="FootnoteText"/>
      </w:pPr>
      <w:r>
        <w:rPr>
          <w:rStyle w:val="FootnoteReference"/>
        </w:rPr>
        <w:footnoteRef/>
      </w:r>
      <w:r>
        <w:t xml:space="preserve"> World Health Organization. (2022). Meeting report of the 44th Expert Committee on Drug Dependence. In </w:t>
      </w:r>
      <w:r>
        <w:rPr>
          <w:i/>
          <w:iCs/>
        </w:rPr>
        <w:t>WHO Expert Committee on Drug Dependence</w:t>
      </w:r>
      <w:r>
        <w:t xml:space="preserve"> (pp. 1–15). </w:t>
      </w:r>
      <w:hyperlink r:id="rId17" w:history="1">
        <w:r>
          <w:rPr>
            <w:rStyle w:val="Hyperlink"/>
          </w:rPr>
          <w:t>http://www.jstor.org/stable/resrep44196.7</w:t>
        </w:r>
      </w:hyperlink>
      <w:r>
        <w:t xml:space="preserve"> </w:t>
      </w:r>
    </w:p>
  </w:footnote>
  <w:footnote w:id="25">
    <w:p w14:paraId="10A7E3D5" w14:textId="77777777" w:rsidR="00A73969" w:rsidRDefault="00A73969" w:rsidP="00A73969">
      <w:pPr>
        <w:pStyle w:val="FootnoteText"/>
      </w:pPr>
      <w:r>
        <w:rPr>
          <w:rStyle w:val="FootnoteReference"/>
        </w:rPr>
        <w:footnoteRef/>
      </w:r>
      <w:r>
        <w:t xml:space="preserve"> </w:t>
      </w:r>
      <w:hyperlink r:id="rId18" w:history="1">
        <w:r>
          <w:rPr>
            <w:rStyle w:val="Hyperlink"/>
          </w:rPr>
          <w:t>LiverTox: Clinical and Research Information on Drug-Induced Liver Injury</w:t>
        </w:r>
      </w:hyperlink>
      <w:r>
        <w:t xml:space="preserve"> [Internet]. Bethesda (MD): National Institute of Diabetes and Digestive and Kidney Diseases; 2012-. Kratom. [Updated 2020 Apr 3]. </w:t>
      </w:r>
    </w:p>
  </w:footnote>
  <w:footnote w:id="26">
    <w:p w14:paraId="13DC2BE3" w14:textId="77777777" w:rsidR="00A73969" w:rsidRDefault="00A73969" w:rsidP="00A73969">
      <w:pPr>
        <w:pStyle w:val="FootnoteText"/>
      </w:pPr>
      <w:r>
        <w:rPr>
          <w:rStyle w:val="FootnoteReference"/>
        </w:rPr>
        <w:footnoteRef/>
      </w:r>
      <w:r>
        <w:t xml:space="preserve"> World Health Organization. (2022). Meeting report of the 44th Expert Committee on Drug Dependence. In </w:t>
      </w:r>
      <w:r>
        <w:rPr>
          <w:i/>
          <w:iCs/>
        </w:rPr>
        <w:t>WHO Expert Committee on Drug Dependence</w:t>
      </w:r>
      <w:r>
        <w:t xml:space="preserve"> (pp. 1–15). </w:t>
      </w:r>
      <w:hyperlink r:id="rId19" w:history="1">
        <w:r>
          <w:rPr>
            <w:rStyle w:val="Hyperlink"/>
          </w:rPr>
          <w:t>http://www.jstor.org/stable/resrep44196.7</w:t>
        </w:r>
      </w:hyperlink>
    </w:p>
  </w:footnote>
  <w:footnote w:id="27">
    <w:p w14:paraId="008C5E36" w14:textId="77777777" w:rsidR="00A73969" w:rsidRDefault="00A73969" w:rsidP="00A73969">
      <w:pPr>
        <w:pStyle w:val="FootnoteText"/>
      </w:pPr>
      <w:r>
        <w:rPr>
          <w:rStyle w:val="FootnoteReference"/>
        </w:rPr>
        <w:footnoteRef/>
      </w:r>
      <w:r>
        <w:t xml:space="preserve"> </w:t>
      </w:r>
      <w:hyperlink r:id="rId20" w:history="1">
        <w:r>
          <w:rPr>
            <w:rStyle w:val="Hyperlink"/>
          </w:rPr>
          <w:t>44th ECDD (2021): Kratom (Mitragyna speciosa), mitragynine, and 7-hydroxymitragynine</w:t>
        </w:r>
      </w:hyperlink>
    </w:p>
  </w:footnote>
  <w:footnote w:id="28">
    <w:p w14:paraId="240700AE" w14:textId="77777777" w:rsidR="00A73969" w:rsidRDefault="00A73969" w:rsidP="00A73969">
      <w:pPr>
        <w:pStyle w:val="FootnoteText"/>
      </w:pPr>
      <w:r>
        <w:rPr>
          <w:rStyle w:val="FootnoteReference"/>
        </w:rPr>
        <w:footnoteRef/>
      </w:r>
      <w:r>
        <w:t xml:space="preserve"> FDA Center for Drug Evaluation and Research, 2025, </w:t>
      </w:r>
      <w:hyperlink r:id="rId21" w:history="1">
        <w:r>
          <w:rPr>
            <w:rStyle w:val="Hyperlink"/>
          </w:rPr>
          <w:t>7-Hydroxymitragynin (7-OH): An Assessment of the Scientific Data and Toxicological Concerns Around an Emerging Opioid Threat</w:t>
        </w:r>
      </w:hyperlink>
      <w:r>
        <w:t xml:space="preserve"> (Accessed 22 Oct 2025)</w:t>
      </w:r>
    </w:p>
  </w:footnote>
  <w:footnote w:id="29">
    <w:p w14:paraId="3BB1DC7E" w14:textId="77777777" w:rsidR="00A73969" w:rsidRDefault="00A73969" w:rsidP="00A73969">
      <w:pPr>
        <w:pStyle w:val="FootnoteText"/>
      </w:pPr>
      <w:r>
        <w:rPr>
          <w:rStyle w:val="FootnoteReference"/>
        </w:rPr>
        <w:footnoteRef/>
      </w:r>
      <w:r>
        <w:t xml:space="preserve"> </w:t>
      </w:r>
      <w:hyperlink r:id="rId22" w:history="1">
        <w:r>
          <w:rPr>
            <w:rStyle w:val="Hyperlink"/>
          </w:rPr>
          <w:t>44th ECDD (2021): Kratom (Mitragyna speciosa), mitragynine, and 7-hydroxymitragynine</w:t>
        </w:r>
      </w:hyperlink>
    </w:p>
  </w:footnote>
  <w:footnote w:id="30">
    <w:p w14:paraId="46979D88" w14:textId="0650294C" w:rsidR="009706AC" w:rsidRDefault="009706AC">
      <w:pPr>
        <w:pStyle w:val="FootnoteText"/>
      </w:pPr>
      <w:r>
        <w:rPr>
          <w:rStyle w:val="FootnoteReference"/>
        </w:rPr>
        <w:footnoteRef/>
      </w:r>
      <w:r>
        <w:t xml:space="preserve"> European Kratom Alliance; </w:t>
      </w:r>
      <w:hyperlink r:id="rId23" w:history="1">
        <w:r w:rsidRPr="00065749">
          <w:rPr>
            <w:rStyle w:val="Hyperlink"/>
          </w:rPr>
          <w:t>www.eka.eu/legality</w:t>
        </w:r>
      </w:hyperlink>
      <w:r>
        <w:t>; accessed 15 May, 2025.</w:t>
      </w:r>
    </w:p>
  </w:footnote>
  <w:footnote w:id="31">
    <w:p w14:paraId="3164A57A" w14:textId="77777777" w:rsidR="00A73969" w:rsidRDefault="00A73969" w:rsidP="00A73969">
      <w:pPr>
        <w:pStyle w:val="FootnoteText"/>
      </w:pPr>
      <w:r>
        <w:rPr>
          <w:rStyle w:val="FootnoteReference"/>
        </w:rPr>
        <w:footnoteRef/>
      </w:r>
      <w:r>
        <w:t xml:space="preserve"> MedSafe, 2021, </w:t>
      </w:r>
      <w:hyperlink r:id="rId24" w:history="1">
        <w:r>
          <w:rPr>
            <w:rStyle w:val="Hyperlink"/>
          </w:rPr>
          <w:t>Kratom – not such a nice cup of tea</w:t>
        </w:r>
      </w:hyperlink>
      <w:r>
        <w:t>. (Accessed 2 Oct 2025)</w:t>
      </w:r>
    </w:p>
  </w:footnote>
  <w:footnote w:id="32">
    <w:p w14:paraId="7D2D176D" w14:textId="77777777" w:rsidR="00A73969" w:rsidRDefault="00A73969" w:rsidP="00A73969">
      <w:pPr>
        <w:pStyle w:val="FootnoteText"/>
      </w:pPr>
      <w:r>
        <w:rPr>
          <w:rStyle w:val="FootnoteReference"/>
        </w:rPr>
        <w:footnoteRef/>
      </w:r>
      <w:r>
        <w:t xml:space="preserve"> Australian – Thai Chamber of Commerce, 2025, </w:t>
      </w:r>
      <w:hyperlink r:id="rId25" w:history="1">
        <w:r>
          <w:rPr>
            <w:rStyle w:val="Hyperlink"/>
          </w:rPr>
          <w:t>Thailand’s Updated Guidelines on Kratom in Food and Herbal Products</w:t>
        </w:r>
      </w:hyperlink>
      <w:r>
        <w:t xml:space="preserve"> (Accessed 22 Oct 2025)</w:t>
      </w:r>
    </w:p>
  </w:footnote>
  <w:footnote w:id="33">
    <w:p w14:paraId="45E8B632" w14:textId="77777777" w:rsidR="00A73969" w:rsidRDefault="00A73969" w:rsidP="00A73969">
      <w:pPr>
        <w:pStyle w:val="FootnoteText"/>
      </w:pPr>
      <w:r>
        <w:rPr>
          <w:rStyle w:val="FootnoteReference"/>
        </w:rPr>
        <w:footnoteRef/>
      </w:r>
      <w:r>
        <w:t xml:space="preserve"> </w:t>
      </w:r>
      <w:hyperlink r:id="rId26" w:history="1">
        <w:r>
          <w:rPr>
            <w:rStyle w:val="Hyperlink"/>
          </w:rPr>
          <w:t>Association of South East Asian Nations (ASEAN) - Guiding principles for inclusion into or exclusion from the negative list of substances for Traditional Medicines and Health Supplements</w:t>
        </w:r>
      </w:hyperlink>
      <w:r>
        <w:t xml:space="preserve"> (Accessed 2 Oct 2025)</w:t>
      </w:r>
    </w:p>
  </w:footnote>
  <w:footnote w:id="34">
    <w:p w14:paraId="18BD429C" w14:textId="77777777" w:rsidR="009F57C6" w:rsidRDefault="009F57C6" w:rsidP="009F57C6">
      <w:pPr>
        <w:pStyle w:val="FootnoteText"/>
      </w:pPr>
      <w:r>
        <w:rPr>
          <w:rStyle w:val="FootnoteReference"/>
        </w:rPr>
        <w:footnoteRef/>
      </w:r>
      <w:r>
        <w:t xml:space="preserve"> </w:t>
      </w:r>
      <w:hyperlink r:id="rId27" w:history="1">
        <w:r w:rsidRPr="00EE3873">
          <w:rPr>
            <w:rStyle w:val="Hyperlink"/>
          </w:rPr>
          <w:t>https://www.tga.gov.au/products/unapproved-therapeutic-goods/access-pathways/clinical-trials</w:t>
        </w:r>
      </w:hyperlink>
    </w:p>
  </w:footnote>
  <w:footnote w:id="35">
    <w:p w14:paraId="07A0AD8F" w14:textId="7EA451AC" w:rsidR="0012641E" w:rsidRDefault="0012641E">
      <w:pPr>
        <w:pStyle w:val="FootnoteText"/>
      </w:pPr>
      <w:r>
        <w:rPr>
          <w:rStyle w:val="FootnoteReference"/>
        </w:rPr>
        <w:footnoteRef/>
      </w:r>
      <w:r>
        <w:t xml:space="preserve"> </w:t>
      </w:r>
      <w:r w:rsidR="007B4704" w:rsidRPr="007B4704">
        <w:t xml:space="preserve">Prozialeck WC, Avery BA, Boyer EW, et al. (2019). Kratom policy: The challenge of balancing therapeutic potential with public safety. International Journal on Drug Policy, 70, 70-77. DOI: </w:t>
      </w:r>
      <w:hyperlink r:id="rId28" w:history="1">
        <w:r w:rsidR="007B4704" w:rsidRPr="0018740D">
          <w:rPr>
            <w:rStyle w:val="Hyperlink"/>
          </w:rPr>
          <w:t>10.1016/j.drugpo.2019.05.003</w:t>
        </w:r>
      </w:hyperlink>
    </w:p>
  </w:footnote>
  <w:footnote w:id="36">
    <w:p w14:paraId="7A1CCD71" w14:textId="0FF57562" w:rsidR="007B4704" w:rsidRDefault="007B4704">
      <w:pPr>
        <w:pStyle w:val="FootnoteText"/>
      </w:pPr>
      <w:r>
        <w:rPr>
          <w:rStyle w:val="FootnoteReference"/>
        </w:rPr>
        <w:footnoteRef/>
      </w:r>
      <w:r>
        <w:t xml:space="preserve"> </w:t>
      </w:r>
      <w:r w:rsidRPr="007B4704">
        <w:t xml:space="preserve">Grundmann O, Hendrickson RG, Greenberg MI (2022). Kratom: History, pharmacology, current user trends, adverse health effects and potential benefits. Disease-a-Month, 69(6), 101442. DOI: </w:t>
      </w:r>
      <w:hyperlink r:id="rId29" w:history="1">
        <w:r w:rsidRPr="0018740D">
          <w:rPr>
            <w:rStyle w:val="Hyperlink"/>
          </w:rPr>
          <w:t>10.1016/j.disamonth.2022.101442</w:t>
        </w:r>
      </w:hyperlink>
    </w:p>
  </w:footnote>
  <w:footnote w:id="37">
    <w:p w14:paraId="7BF417C9" w14:textId="42DF3F25" w:rsidR="007B4704" w:rsidRDefault="007B4704">
      <w:pPr>
        <w:pStyle w:val="FootnoteText"/>
      </w:pPr>
      <w:r>
        <w:rPr>
          <w:rStyle w:val="FootnoteReference"/>
        </w:rPr>
        <w:footnoteRef/>
      </w:r>
      <w:r>
        <w:t xml:space="preserve"> </w:t>
      </w:r>
      <w:r w:rsidRPr="007B4704">
        <w:t>White CM (2019). Pharmacologic and clinical assessment of kratom: An update. American Journal of Health-System Pharmacy, 76(23), 1915-1925.</w:t>
      </w:r>
      <w:r w:rsidR="0018740D">
        <w:t xml:space="preserve"> DOI:</w:t>
      </w:r>
      <w:r w:rsidRPr="007B4704">
        <w:t xml:space="preserve"> </w:t>
      </w:r>
      <w:hyperlink r:id="rId30" w:history="1">
        <w:r w:rsidR="0018740D">
          <w:rPr>
            <w:rStyle w:val="Hyperlink"/>
          </w:rPr>
          <w:t>10.1093/ajhp/zxz221</w:t>
        </w:r>
      </w:hyperlink>
      <w:r w:rsidR="0018740D">
        <w:t xml:space="preserve"> </w:t>
      </w:r>
    </w:p>
  </w:footnote>
  <w:footnote w:id="38">
    <w:p w14:paraId="66CF69E2" w14:textId="4D6B0079" w:rsidR="007B4704" w:rsidRDefault="007B4704">
      <w:pPr>
        <w:pStyle w:val="FootnoteText"/>
      </w:pPr>
      <w:r>
        <w:rPr>
          <w:rStyle w:val="FootnoteReference"/>
        </w:rPr>
        <w:footnoteRef/>
      </w:r>
      <w:r>
        <w:t xml:space="preserve"> </w:t>
      </w:r>
      <w:r w:rsidRPr="007B4704">
        <w:t xml:space="preserve">Singh D, Narayanan S, Vicknasingam B, et al. (2017). Changing trends in the use of kratom (Mitragyna speciosa) in Southeast Asia. Human Psychopharmacology, 32(3). DOI: </w:t>
      </w:r>
      <w:hyperlink r:id="rId31" w:history="1">
        <w:r w:rsidRPr="0018740D">
          <w:rPr>
            <w:rStyle w:val="Hyperlink"/>
          </w:rPr>
          <w:t>10.1002/hup.2582</w:t>
        </w:r>
      </w:hyperlink>
    </w:p>
  </w:footnote>
  <w:footnote w:id="39">
    <w:p w14:paraId="7386BBFC" w14:textId="78FDC5BD" w:rsidR="007B4704" w:rsidRDefault="007B4704">
      <w:pPr>
        <w:pStyle w:val="FootnoteText"/>
      </w:pPr>
      <w:r>
        <w:rPr>
          <w:rStyle w:val="FootnoteReference"/>
        </w:rPr>
        <w:footnoteRef/>
      </w:r>
      <w:r>
        <w:t xml:space="preserve"> </w:t>
      </w:r>
      <w:r w:rsidRPr="007B4704">
        <w:t xml:space="preserve">Heywood J, Smallets S, Paustenbach D (2024). Beneficial and adverse health effects of kratom (Mitragyna speciosa): A critical review of the literature. Food and Chemical Toxicology, 192, 114913. DOI: </w:t>
      </w:r>
      <w:hyperlink r:id="rId32" w:history="1">
        <w:r w:rsidRPr="0018740D">
          <w:rPr>
            <w:rStyle w:val="Hyperlink"/>
          </w:rPr>
          <w:t>10.1016/j.fct.2024.114913</w:t>
        </w:r>
      </w:hyperlink>
    </w:p>
  </w:footnote>
  <w:footnote w:id="40">
    <w:p w14:paraId="25A09F15" w14:textId="77777777" w:rsidR="006D53F3" w:rsidRDefault="006D53F3" w:rsidP="006D53F3">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DA6C" w14:textId="451E70D6" w:rsidR="00101462" w:rsidRDefault="00101462">
    <w:pPr>
      <w:pStyle w:val="Header"/>
    </w:pPr>
    <w:r>
      <w:rPr>
        <w:noProof/>
      </w:rPr>
      <mc:AlternateContent>
        <mc:Choice Requires="wps">
          <w:drawing>
            <wp:anchor distT="0" distB="0" distL="0" distR="0" simplePos="0" relativeHeight="251663360" behindDoc="0" locked="0" layoutInCell="1" allowOverlap="1" wp14:anchorId="3BDBACC2" wp14:editId="6CF7224D">
              <wp:simplePos x="635" y="635"/>
              <wp:positionH relativeFrom="page">
                <wp:align>center</wp:align>
              </wp:positionH>
              <wp:positionV relativeFrom="page">
                <wp:align>top</wp:align>
              </wp:positionV>
              <wp:extent cx="622300" cy="391160"/>
              <wp:effectExtent l="0" t="0" r="6350" b="8890"/>
              <wp:wrapNone/>
              <wp:docPr id="18958405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57E599" w14:textId="1E0FEF82"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BACC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357E599" w14:textId="1E0FEF82"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7827" w14:textId="74AF25EC" w:rsidR="00101462" w:rsidRDefault="00101462">
    <w:pPr>
      <w:pStyle w:val="Header"/>
    </w:pPr>
    <w:r>
      <w:rPr>
        <w:noProof/>
      </w:rPr>
      <mc:AlternateContent>
        <mc:Choice Requires="wps">
          <w:drawing>
            <wp:anchor distT="0" distB="0" distL="0" distR="0" simplePos="0" relativeHeight="251664384" behindDoc="0" locked="0" layoutInCell="1" allowOverlap="1" wp14:anchorId="7E4EB77B" wp14:editId="505D0747">
              <wp:simplePos x="635" y="635"/>
              <wp:positionH relativeFrom="page">
                <wp:align>center</wp:align>
              </wp:positionH>
              <wp:positionV relativeFrom="page">
                <wp:align>top</wp:align>
              </wp:positionV>
              <wp:extent cx="622300" cy="391160"/>
              <wp:effectExtent l="0" t="0" r="6350" b="8890"/>
              <wp:wrapNone/>
              <wp:docPr id="1033208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3746A7A" w14:textId="24258896"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EB77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3746A7A" w14:textId="24258896" w:rsidR="00101462" w:rsidRPr="00101462" w:rsidRDefault="00101462" w:rsidP="00101462">
                    <w:pPr>
                      <w:spacing w:after="0"/>
                      <w:rPr>
                        <w:rFonts w:ascii="Aptos" w:eastAsia="Aptos" w:hAnsi="Aptos" w:cs="Aptos"/>
                        <w:noProof/>
                        <w:color w:val="FF0000"/>
                        <w:sz w:val="24"/>
                        <w:szCs w:val="24"/>
                      </w:rPr>
                    </w:pPr>
                    <w:r w:rsidRPr="0010146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2685E9C6" w:rsidR="00F02AEC" w:rsidRPr="002B29B2" w:rsidRDefault="00F02AEC" w:rsidP="00967490">
          <w:pPr>
            <w:rPr>
              <w:noProof/>
            </w:rPr>
          </w:pPr>
        </w:p>
      </w:tc>
    </w:tr>
  </w:tbl>
  <w:p w14:paraId="4C8EBEB5" w14:textId="716CE43D" w:rsidR="00F02AEC" w:rsidRDefault="005F215F" w:rsidP="00967490">
    <w:pPr>
      <w:rPr>
        <w:noProof/>
      </w:rPr>
    </w:pPr>
    <w:r>
      <w:rPr>
        <w:noProof/>
        <w:lang w:eastAsia="en-AU"/>
      </w:rPr>
      <w:drawing>
        <wp:anchor distT="0" distB="0" distL="114300" distR="114300" simplePos="0" relativeHeight="251672576" behindDoc="0" locked="0" layoutInCell="1" allowOverlap="1" wp14:anchorId="6C962C33" wp14:editId="131C38CB">
          <wp:simplePos x="0" y="0"/>
          <wp:positionH relativeFrom="column">
            <wp:posOffset>-273050</wp:posOffset>
          </wp:positionH>
          <wp:positionV relativeFrom="paragraph">
            <wp:posOffset>-144780</wp:posOffset>
          </wp:positionV>
          <wp:extent cx="2921000" cy="605155"/>
          <wp:effectExtent l="0" t="0" r="0" b="4445"/>
          <wp:wrapTopAndBottom/>
          <wp:docPr id="1916312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0" cy="605155"/>
                  </a:xfrm>
                  <a:prstGeom prst="rect">
                    <a:avLst/>
                  </a:prstGeom>
                  <a:noFill/>
                  <a:ln>
                    <a:noFill/>
                  </a:ln>
                </pic:spPr>
              </pic:pic>
            </a:graphicData>
          </a:graphic>
          <wp14:sizeRelH relativeFrom="margin">
            <wp14:pctWidth>0</wp14:pctWidth>
          </wp14:sizeRelH>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1598282843" name="Picture 159828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75AB7754"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10EEB2AD" w14:textId="77777777" w:rsidR="00870254" w:rsidRDefault="008702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69FF1118" w:rsidR="004B4802" w:rsidRPr="00FE501F" w:rsidRDefault="004B480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0AD"/>
    <w:multiLevelType w:val="hybridMultilevel"/>
    <w:tmpl w:val="9850CCFC"/>
    <w:lvl w:ilvl="0" w:tplc="6C6E42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D0BB0"/>
    <w:multiLevelType w:val="hybridMultilevel"/>
    <w:tmpl w:val="23328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823AB"/>
    <w:multiLevelType w:val="hybridMultilevel"/>
    <w:tmpl w:val="3DC4E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EE187B"/>
    <w:multiLevelType w:val="hybridMultilevel"/>
    <w:tmpl w:val="9F68C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5902F1"/>
    <w:multiLevelType w:val="hybridMultilevel"/>
    <w:tmpl w:val="2764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9" w15:restartNumberingAfterBreak="0">
    <w:nsid w:val="1F9A1A22"/>
    <w:multiLevelType w:val="hybridMultilevel"/>
    <w:tmpl w:val="8B2E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1D32A9"/>
    <w:multiLevelType w:val="hybridMultilevel"/>
    <w:tmpl w:val="6E24F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84DD6"/>
    <w:multiLevelType w:val="hybridMultilevel"/>
    <w:tmpl w:val="9210F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0763F"/>
    <w:multiLevelType w:val="hybridMultilevel"/>
    <w:tmpl w:val="58F87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E924211"/>
    <w:multiLevelType w:val="hybridMultilevel"/>
    <w:tmpl w:val="FBF6AE7C"/>
    <w:lvl w:ilvl="0" w:tplc="6748B478">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2EC73253"/>
    <w:multiLevelType w:val="hybridMultilevel"/>
    <w:tmpl w:val="A31C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A1139F"/>
    <w:multiLevelType w:val="hybridMultilevel"/>
    <w:tmpl w:val="331E660C"/>
    <w:lvl w:ilvl="0" w:tplc="ADAE6098">
      <w:start w:val="1"/>
      <w:numFmt w:val="lowerRoman"/>
      <w:lvlText w:val="(%1)"/>
      <w:lvlJc w:val="left"/>
      <w:pPr>
        <w:ind w:left="1996" w:hanging="720"/>
      </w:pPr>
      <w:rPr>
        <w:rFonts w:hint="default"/>
      </w:rPr>
    </w:lvl>
    <w:lvl w:ilvl="1" w:tplc="0C090019">
      <w:start w:val="1"/>
      <w:numFmt w:val="lowerLetter"/>
      <w:lvlText w:val="%2."/>
      <w:lvlJc w:val="left"/>
      <w:pPr>
        <w:ind w:left="2356" w:hanging="360"/>
      </w:pPr>
    </w:lvl>
    <w:lvl w:ilvl="2" w:tplc="0C09001B">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7" w15:restartNumberingAfterBreak="0">
    <w:nsid w:val="34560330"/>
    <w:multiLevelType w:val="hybridMultilevel"/>
    <w:tmpl w:val="EC842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512805"/>
    <w:multiLevelType w:val="hybridMultilevel"/>
    <w:tmpl w:val="1362D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9F23EF"/>
    <w:multiLevelType w:val="hybridMultilevel"/>
    <w:tmpl w:val="6D885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5231497">
    <w:abstractNumId w:val="3"/>
  </w:num>
  <w:num w:numId="2" w16cid:durableId="1248614696">
    <w:abstractNumId w:val="5"/>
  </w:num>
  <w:num w:numId="3" w16cid:durableId="297951965">
    <w:abstractNumId w:val="19"/>
  </w:num>
  <w:num w:numId="4" w16cid:durableId="1535191726">
    <w:abstractNumId w:val="13"/>
  </w:num>
  <w:num w:numId="5" w16cid:durableId="91820601">
    <w:abstractNumId w:val="6"/>
  </w:num>
  <w:num w:numId="6" w16cid:durableId="284118181">
    <w:abstractNumId w:val="14"/>
  </w:num>
  <w:num w:numId="7" w16cid:durableId="1648128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0833132">
    <w:abstractNumId w:val="16"/>
  </w:num>
  <w:num w:numId="9" w16cid:durableId="1939289441">
    <w:abstractNumId w:val="0"/>
  </w:num>
  <w:num w:numId="10" w16cid:durableId="184827004">
    <w:abstractNumId w:val="8"/>
  </w:num>
  <w:num w:numId="11" w16cid:durableId="618681526">
    <w:abstractNumId w:val="2"/>
  </w:num>
  <w:num w:numId="12" w16cid:durableId="295986883">
    <w:abstractNumId w:val="4"/>
  </w:num>
  <w:num w:numId="13" w16cid:durableId="908274034">
    <w:abstractNumId w:val="15"/>
  </w:num>
  <w:num w:numId="14" w16cid:durableId="1309630067">
    <w:abstractNumId w:val="17"/>
  </w:num>
  <w:num w:numId="15" w16cid:durableId="141046426">
    <w:abstractNumId w:val="1"/>
  </w:num>
  <w:num w:numId="16" w16cid:durableId="71243807">
    <w:abstractNumId w:val="10"/>
  </w:num>
  <w:num w:numId="17" w16cid:durableId="1811363476">
    <w:abstractNumId w:val="7"/>
  </w:num>
  <w:num w:numId="18" w16cid:durableId="1945729870">
    <w:abstractNumId w:val="12"/>
  </w:num>
  <w:num w:numId="19" w16cid:durableId="1303734963">
    <w:abstractNumId w:val="11"/>
  </w:num>
  <w:num w:numId="20" w16cid:durableId="557861833">
    <w:abstractNumId w:val="9"/>
  </w:num>
  <w:num w:numId="21" w16cid:durableId="1345788985">
    <w:abstractNumId w:val="20"/>
  </w:num>
  <w:num w:numId="22" w16cid:durableId="73774784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3046"/>
    <w:rsid w:val="00004C53"/>
    <w:rsid w:val="00005CE2"/>
    <w:rsid w:val="0000665B"/>
    <w:rsid w:val="00007A50"/>
    <w:rsid w:val="000127F9"/>
    <w:rsid w:val="00014179"/>
    <w:rsid w:val="00014258"/>
    <w:rsid w:val="00034FF3"/>
    <w:rsid w:val="0004419A"/>
    <w:rsid w:val="0004435E"/>
    <w:rsid w:val="0004645C"/>
    <w:rsid w:val="00052BE5"/>
    <w:rsid w:val="00052FC5"/>
    <w:rsid w:val="00057394"/>
    <w:rsid w:val="00064106"/>
    <w:rsid w:val="00064108"/>
    <w:rsid w:val="000644B9"/>
    <w:rsid w:val="00064D72"/>
    <w:rsid w:val="00076A48"/>
    <w:rsid w:val="000827B0"/>
    <w:rsid w:val="00082AEF"/>
    <w:rsid w:val="00084016"/>
    <w:rsid w:val="0008505E"/>
    <w:rsid w:val="000916C9"/>
    <w:rsid w:val="00094B81"/>
    <w:rsid w:val="00095081"/>
    <w:rsid w:val="00095A50"/>
    <w:rsid w:val="000A5B1C"/>
    <w:rsid w:val="000A5B3C"/>
    <w:rsid w:val="000B1BF9"/>
    <w:rsid w:val="000B1F7B"/>
    <w:rsid w:val="000B611D"/>
    <w:rsid w:val="000C0B57"/>
    <w:rsid w:val="000C3A5C"/>
    <w:rsid w:val="000C3B71"/>
    <w:rsid w:val="000C5DBC"/>
    <w:rsid w:val="000D17D8"/>
    <w:rsid w:val="000D3369"/>
    <w:rsid w:val="000D4EE9"/>
    <w:rsid w:val="000D68D0"/>
    <w:rsid w:val="000D7942"/>
    <w:rsid w:val="000E4DEF"/>
    <w:rsid w:val="000F30C6"/>
    <w:rsid w:val="000F5861"/>
    <w:rsid w:val="000F5F6C"/>
    <w:rsid w:val="000F6D1C"/>
    <w:rsid w:val="000F6F7E"/>
    <w:rsid w:val="000F7C3D"/>
    <w:rsid w:val="00101462"/>
    <w:rsid w:val="0010231F"/>
    <w:rsid w:val="00106AF2"/>
    <w:rsid w:val="0011004C"/>
    <w:rsid w:val="0011279A"/>
    <w:rsid w:val="0011509A"/>
    <w:rsid w:val="0012473C"/>
    <w:rsid w:val="00124A74"/>
    <w:rsid w:val="0012641E"/>
    <w:rsid w:val="00126769"/>
    <w:rsid w:val="00132410"/>
    <w:rsid w:val="0013380B"/>
    <w:rsid w:val="00134EF7"/>
    <w:rsid w:val="00143254"/>
    <w:rsid w:val="00152308"/>
    <w:rsid w:val="00152321"/>
    <w:rsid w:val="00153582"/>
    <w:rsid w:val="00155533"/>
    <w:rsid w:val="00156A1E"/>
    <w:rsid w:val="00161403"/>
    <w:rsid w:val="00165900"/>
    <w:rsid w:val="00166A6F"/>
    <w:rsid w:val="001670DC"/>
    <w:rsid w:val="00170F23"/>
    <w:rsid w:val="00173BDF"/>
    <w:rsid w:val="00175CD8"/>
    <w:rsid w:val="0017784B"/>
    <w:rsid w:val="00185F5D"/>
    <w:rsid w:val="00186B9E"/>
    <w:rsid w:val="0018740D"/>
    <w:rsid w:val="00196606"/>
    <w:rsid w:val="001B030F"/>
    <w:rsid w:val="001C0504"/>
    <w:rsid w:val="001C23E5"/>
    <w:rsid w:val="001C52BB"/>
    <w:rsid w:val="001D4C7E"/>
    <w:rsid w:val="001E074B"/>
    <w:rsid w:val="001E089E"/>
    <w:rsid w:val="001E682F"/>
    <w:rsid w:val="001E6CD4"/>
    <w:rsid w:val="002050E4"/>
    <w:rsid w:val="002052BD"/>
    <w:rsid w:val="00206027"/>
    <w:rsid w:val="002069D1"/>
    <w:rsid w:val="00212F39"/>
    <w:rsid w:val="0021533C"/>
    <w:rsid w:val="002169AF"/>
    <w:rsid w:val="00230E2E"/>
    <w:rsid w:val="00237E80"/>
    <w:rsid w:val="002410E9"/>
    <w:rsid w:val="00241B50"/>
    <w:rsid w:val="0024249F"/>
    <w:rsid w:val="00247188"/>
    <w:rsid w:val="0025010F"/>
    <w:rsid w:val="00250EB2"/>
    <w:rsid w:val="002547DC"/>
    <w:rsid w:val="002574BE"/>
    <w:rsid w:val="002608C4"/>
    <w:rsid w:val="00263C10"/>
    <w:rsid w:val="00274EEB"/>
    <w:rsid w:val="0027775B"/>
    <w:rsid w:val="00280BB3"/>
    <w:rsid w:val="00286E51"/>
    <w:rsid w:val="00290514"/>
    <w:rsid w:val="00290CD9"/>
    <w:rsid w:val="002940FF"/>
    <w:rsid w:val="00296E82"/>
    <w:rsid w:val="002A49F1"/>
    <w:rsid w:val="002A6F8F"/>
    <w:rsid w:val="002B1BF7"/>
    <w:rsid w:val="002B1E3C"/>
    <w:rsid w:val="002B5C5B"/>
    <w:rsid w:val="002C026F"/>
    <w:rsid w:val="002C3D07"/>
    <w:rsid w:val="002D10B2"/>
    <w:rsid w:val="002D4856"/>
    <w:rsid w:val="002E020E"/>
    <w:rsid w:val="002E14A0"/>
    <w:rsid w:val="002E2B20"/>
    <w:rsid w:val="002F4F8E"/>
    <w:rsid w:val="002F591F"/>
    <w:rsid w:val="003008D8"/>
    <w:rsid w:val="00300CBB"/>
    <w:rsid w:val="00303F36"/>
    <w:rsid w:val="003120CD"/>
    <w:rsid w:val="00321B93"/>
    <w:rsid w:val="0032553B"/>
    <w:rsid w:val="003263E6"/>
    <w:rsid w:val="00335320"/>
    <w:rsid w:val="00335538"/>
    <w:rsid w:val="00345304"/>
    <w:rsid w:val="0035444D"/>
    <w:rsid w:val="003566D3"/>
    <w:rsid w:val="00361624"/>
    <w:rsid w:val="00362FE7"/>
    <w:rsid w:val="00363019"/>
    <w:rsid w:val="00366763"/>
    <w:rsid w:val="00386AF2"/>
    <w:rsid w:val="003924D4"/>
    <w:rsid w:val="003961D6"/>
    <w:rsid w:val="003A1B6F"/>
    <w:rsid w:val="003A461B"/>
    <w:rsid w:val="003B4235"/>
    <w:rsid w:val="003B6C24"/>
    <w:rsid w:val="003C04A2"/>
    <w:rsid w:val="003C1B12"/>
    <w:rsid w:val="003C3C33"/>
    <w:rsid w:val="003C4976"/>
    <w:rsid w:val="003C4982"/>
    <w:rsid w:val="003C4DA5"/>
    <w:rsid w:val="003C7F4C"/>
    <w:rsid w:val="003D036E"/>
    <w:rsid w:val="003E51AA"/>
    <w:rsid w:val="003E5601"/>
    <w:rsid w:val="003E7102"/>
    <w:rsid w:val="003F2E57"/>
    <w:rsid w:val="003F4036"/>
    <w:rsid w:val="003F5E43"/>
    <w:rsid w:val="003F6A09"/>
    <w:rsid w:val="00405E59"/>
    <w:rsid w:val="00416F79"/>
    <w:rsid w:val="00422DF9"/>
    <w:rsid w:val="004246B8"/>
    <w:rsid w:val="0042652F"/>
    <w:rsid w:val="004279A6"/>
    <w:rsid w:val="004320AC"/>
    <w:rsid w:val="00435E0B"/>
    <w:rsid w:val="00440D56"/>
    <w:rsid w:val="004429A5"/>
    <w:rsid w:val="00443404"/>
    <w:rsid w:val="0045381C"/>
    <w:rsid w:val="004544B1"/>
    <w:rsid w:val="00454694"/>
    <w:rsid w:val="00457050"/>
    <w:rsid w:val="00457567"/>
    <w:rsid w:val="0046072C"/>
    <w:rsid w:val="004706D3"/>
    <w:rsid w:val="004728CC"/>
    <w:rsid w:val="00477371"/>
    <w:rsid w:val="00487A39"/>
    <w:rsid w:val="004A41D9"/>
    <w:rsid w:val="004B2B51"/>
    <w:rsid w:val="004B4802"/>
    <w:rsid w:val="004B58A3"/>
    <w:rsid w:val="004B6ADF"/>
    <w:rsid w:val="004B7498"/>
    <w:rsid w:val="004C1DFF"/>
    <w:rsid w:val="004C434F"/>
    <w:rsid w:val="004C719A"/>
    <w:rsid w:val="004D061A"/>
    <w:rsid w:val="004D06D7"/>
    <w:rsid w:val="004D60F2"/>
    <w:rsid w:val="004D7346"/>
    <w:rsid w:val="004D77E1"/>
    <w:rsid w:val="004E0CEA"/>
    <w:rsid w:val="004E11BB"/>
    <w:rsid w:val="004E3E16"/>
    <w:rsid w:val="004E4FA5"/>
    <w:rsid w:val="004F0810"/>
    <w:rsid w:val="00502188"/>
    <w:rsid w:val="00512E8A"/>
    <w:rsid w:val="00520945"/>
    <w:rsid w:val="00524638"/>
    <w:rsid w:val="00532A0F"/>
    <w:rsid w:val="005426BC"/>
    <w:rsid w:val="00543F1A"/>
    <w:rsid w:val="005473E2"/>
    <w:rsid w:val="00553705"/>
    <w:rsid w:val="00556EEC"/>
    <w:rsid w:val="00557AF7"/>
    <w:rsid w:val="005600D6"/>
    <w:rsid w:val="00566FB7"/>
    <w:rsid w:val="00567F2E"/>
    <w:rsid w:val="00576352"/>
    <w:rsid w:val="00577563"/>
    <w:rsid w:val="00581BB9"/>
    <w:rsid w:val="0058575E"/>
    <w:rsid w:val="0058651C"/>
    <w:rsid w:val="00590CB3"/>
    <w:rsid w:val="00591A30"/>
    <w:rsid w:val="00591B8B"/>
    <w:rsid w:val="005951C6"/>
    <w:rsid w:val="005978BA"/>
    <w:rsid w:val="005A1B5A"/>
    <w:rsid w:val="005A34D9"/>
    <w:rsid w:val="005A3C87"/>
    <w:rsid w:val="005A5C2A"/>
    <w:rsid w:val="005B775F"/>
    <w:rsid w:val="005B7A98"/>
    <w:rsid w:val="005B7FA0"/>
    <w:rsid w:val="005C23D3"/>
    <w:rsid w:val="005C65E7"/>
    <w:rsid w:val="005D1558"/>
    <w:rsid w:val="005D68B9"/>
    <w:rsid w:val="005D74F0"/>
    <w:rsid w:val="005E292C"/>
    <w:rsid w:val="005E3E9A"/>
    <w:rsid w:val="005E4EF2"/>
    <w:rsid w:val="005F215F"/>
    <w:rsid w:val="00600BBC"/>
    <w:rsid w:val="00603B07"/>
    <w:rsid w:val="00607C44"/>
    <w:rsid w:val="006119D9"/>
    <w:rsid w:val="00613263"/>
    <w:rsid w:val="00615581"/>
    <w:rsid w:val="00615A55"/>
    <w:rsid w:val="00615E49"/>
    <w:rsid w:val="00616016"/>
    <w:rsid w:val="006365F5"/>
    <w:rsid w:val="00637610"/>
    <w:rsid w:val="00643B54"/>
    <w:rsid w:val="006514F7"/>
    <w:rsid w:val="00653E82"/>
    <w:rsid w:val="00664E91"/>
    <w:rsid w:val="00670130"/>
    <w:rsid w:val="00671D81"/>
    <w:rsid w:val="006723C4"/>
    <w:rsid w:val="0067613C"/>
    <w:rsid w:val="0067698A"/>
    <w:rsid w:val="00682F5F"/>
    <w:rsid w:val="006831F2"/>
    <w:rsid w:val="00687CE8"/>
    <w:rsid w:val="006926FB"/>
    <w:rsid w:val="006930B8"/>
    <w:rsid w:val="00696192"/>
    <w:rsid w:val="006976B8"/>
    <w:rsid w:val="006A1F0B"/>
    <w:rsid w:val="006B1C10"/>
    <w:rsid w:val="006C1D61"/>
    <w:rsid w:val="006C30BE"/>
    <w:rsid w:val="006C4A65"/>
    <w:rsid w:val="006D0733"/>
    <w:rsid w:val="006D53F3"/>
    <w:rsid w:val="006D5909"/>
    <w:rsid w:val="006E5F4C"/>
    <w:rsid w:val="006F115E"/>
    <w:rsid w:val="006F191D"/>
    <w:rsid w:val="006F6F29"/>
    <w:rsid w:val="006F79F6"/>
    <w:rsid w:val="00701F92"/>
    <w:rsid w:val="007027CB"/>
    <w:rsid w:val="00704A6D"/>
    <w:rsid w:val="00705425"/>
    <w:rsid w:val="00706696"/>
    <w:rsid w:val="00706C82"/>
    <w:rsid w:val="00711546"/>
    <w:rsid w:val="00711853"/>
    <w:rsid w:val="007165B1"/>
    <w:rsid w:val="00720587"/>
    <w:rsid w:val="00722758"/>
    <w:rsid w:val="00722D72"/>
    <w:rsid w:val="00722E1A"/>
    <w:rsid w:val="00723BA7"/>
    <w:rsid w:val="00724EFD"/>
    <w:rsid w:val="00726C59"/>
    <w:rsid w:val="00731F5A"/>
    <w:rsid w:val="00746990"/>
    <w:rsid w:val="0075008A"/>
    <w:rsid w:val="0075124E"/>
    <w:rsid w:val="0075667C"/>
    <w:rsid w:val="00756EB0"/>
    <w:rsid w:val="007572D9"/>
    <w:rsid w:val="00757E6A"/>
    <w:rsid w:val="00762848"/>
    <w:rsid w:val="00762B9B"/>
    <w:rsid w:val="007633DD"/>
    <w:rsid w:val="0077314C"/>
    <w:rsid w:val="00773B4C"/>
    <w:rsid w:val="0077764E"/>
    <w:rsid w:val="00777E2E"/>
    <w:rsid w:val="00782458"/>
    <w:rsid w:val="007829DD"/>
    <w:rsid w:val="00786240"/>
    <w:rsid w:val="007909E2"/>
    <w:rsid w:val="00795BBD"/>
    <w:rsid w:val="007A0C0C"/>
    <w:rsid w:val="007A19DC"/>
    <w:rsid w:val="007A2E0B"/>
    <w:rsid w:val="007A3539"/>
    <w:rsid w:val="007A3857"/>
    <w:rsid w:val="007A78F1"/>
    <w:rsid w:val="007B28CA"/>
    <w:rsid w:val="007B4704"/>
    <w:rsid w:val="007B5816"/>
    <w:rsid w:val="007B7832"/>
    <w:rsid w:val="007C1378"/>
    <w:rsid w:val="007C46E8"/>
    <w:rsid w:val="007D2158"/>
    <w:rsid w:val="007E6B25"/>
    <w:rsid w:val="007F0A77"/>
    <w:rsid w:val="007F28F9"/>
    <w:rsid w:val="008015EE"/>
    <w:rsid w:val="0080427B"/>
    <w:rsid w:val="00811206"/>
    <w:rsid w:val="008117C8"/>
    <w:rsid w:val="008224ED"/>
    <w:rsid w:val="00827191"/>
    <w:rsid w:val="00831B56"/>
    <w:rsid w:val="008323EA"/>
    <w:rsid w:val="008329DB"/>
    <w:rsid w:val="00832F38"/>
    <w:rsid w:val="008456B5"/>
    <w:rsid w:val="0085753D"/>
    <w:rsid w:val="008644E7"/>
    <w:rsid w:val="00870173"/>
    <w:rsid w:val="008701D3"/>
    <w:rsid w:val="00870254"/>
    <w:rsid w:val="00870BB0"/>
    <w:rsid w:val="00874773"/>
    <w:rsid w:val="00877A7A"/>
    <w:rsid w:val="008921D5"/>
    <w:rsid w:val="00892E2A"/>
    <w:rsid w:val="00894493"/>
    <w:rsid w:val="008B28D0"/>
    <w:rsid w:val="008B7BA6"/>
    <w:rsid w:val="008C06FD"/>
    <w:rsid w:val="008C116A"/>
    <w:rsid w:val="008C6CF9"/>
    <w:rsid w:val="008D25F1"/>
    <w:rsid w:val="008D4F95"/>
    <w:rsid w:val="008D6261"/>
    <w:rsid w:val="008E07F2"/>
    <w:rsid w:val="008E0C10"/>
    <w:rsid w:val="008E0E74"/>
    <w:rsid w:val="008F4413"/>
    <w:rsid w:val="008F5087"/>
    <w:rsid w:val="008F75C5"/>
    <w:rsid w:val="00903CBD"/>
    <w:rsid w:val="00914B92"/>
    <w:rsid w:val="0091663D"/>
    <w:rsid w:val="009213C0"/>
    <w:rsid w:val="009225D3"/>
    <w:rsid w:val="00923EFF"/>
    <w:rsid w:val="00926D96"/>
    <w:rsid w:val="00930D58"/>
    <w:rsid w:val="00931A63"/>
    <w:rsid w:val="00932395"/>
    <w:rsid w:val="009338F3"/>
    <w:rsid w:val="00934FDF"/>
    <w:rsid w:val="0093723C"/>
    <w:rsid w:val="0094276C"/>
    <w:rsid w:val="009430BD"/>
    <w:rsid w:val="0094436E"/>
    <w:rsid w:val="0094514B"/>
    <w:rsid w:val="0095570D"/>
    <w:rsid w:val="009623DA"/>
    <w:rsid w:val="00963CEE"/>
    <w:rsid w:val="00967490"/>
    <w:rsid w:val="00967885"/>
    <w:rsid w:val="009706AC"/>
    <w:rsid w:val="009737E7"/>
    <w:rsid w:val="00976AC9"/>
    <w:rsid w:val="00980ABD"/>
    <w:rsid w:val="00981635"/>
    <w:rsid w:val="00984405"/>
    <w:rsid w:val="00990AFC"/>
    <w:rsid w:val="009917D8"/>
    <w:rsid w:val="00993A6B"/>
    <w:rsid w:val="00997916"/>
    <w:rsid w:val="009A0A7D"/>
    <w:rsid w:val="009A179F"/>
    <w:rsid w:val="009A2087"/>
    <w:rsid w:val="009A4603"/>
    <w:rsid w:val="009A62A2"/>
    <w:rsid w:val="009A6840"/>
    <w:rsid w:val="009A7318"/>
    <w:rsid w:val="009B06CA"/>
    <w:rsid w:val="009B39FE"/>
    <w:rsid w:val="009B7232"/>
    <w:rsid w:val="009B7FCB"/>
    <w:rsid w:val="009C1126"/>
    <w:rsid w:val="009C4D28"/>
    <w:rsid w:val="009C6D92"/>
    <w:rsid w:val="009D113D"/>
    <w:rsid w:val="009D4A3D"/>
    <w:rsid w:val="009E215E"/>
    <w:rsid w:val="009E6DF1"/>
    <w:rsid w:val="009E7789"/>
    <w:rsid w:val="009E7E17"/>
    <w:rsid w:val="009F217B"/>
    <w:rsid w:val="009F3B53"/>
    <w:rsid w:val="009F57C6"/>
    <w:rsid w:val="009F7132"/>
    <w:rsid w:val="009F7946"/>
    <w:rsid w:val="00A07B04"/>
    <w:rsid w:val="00A14B2F"/>
    <w:rsid w:val="00A238D3"/>
    <w:rsid w:val="00A23F19"/>
    <w:rsid w:val="00A30217"/>
    <w:rsid w:val="00A309E9"/>
    <w:rsid w:val="00A334B3"/>
    <w:rsid w:val="00A40F25"/>
    <w:rsid w:val="00A52A67"/>
    <w:rsid w:val="00A53007"/>
    <w:rsid w:val="00A539E6"/>
    <w:rsid w:val="00A55C43"/>
    <w:rsid w:val="00A608CA"/>
    <w:rsid w:val="00A73969"/>
    <w:rsid w:val="00A74588"/>
    <w:rsid w:val="00A757D2"/>
    <w:rsid w:val="00A80741"/>
    <w:rsid w:val="00A80EAA"/>
    <w:rsid w:val="00A84B94"/>
    <w:rsid w:val="00A8761C"/>
    <w:rsid w:val="00A90C24"/>
    <w:rsid w:val="00A92AE8"/>
    <w:rsid w:val="00AA12EC"/>
    <w:rsid w:val="00AA17B8"/>
    <w:rsid w:val="00AA2F4A"/>
    <w:rsid w:val="00AB08AA"/>
    <w:rsid w:val="00AB7CBF"/>
    <w:rsid w:val="00AC0B28"/>
    <w:rsid w:val="00AC2957"/>
    <w:rsid w:val="00AC33DF"/>
    <w:rsid w:val="00AC5329"/>
    <w:rsid w:val="00AC58D8"/>
    <w:rsid w:val="00AD3544"/>
    <w:rsid w:val="00AD3E40"/>
    <w:rsid w:val="00AD7A8C"/>
    <w:rsid w:val="00AE5559"/>
    <w:rsid w:val="00AE7C12"/>
    <w:rsid w:val="00B00355"/>
    <w:rsid w:val="00B0491B"/>
    <w:rsid w:val="00B04FAC"/>
    <w:rsid w:val="00B05C1F"/>
    <w:rsid w:val="00B140A4"/>
    <w:rsid w:val="00B167C2"/>
    <w:rsid w:val="00B16C83"/>
    <w:rsid w:val="00B20038"/>
    <w:rsid w:val="00B2396F"/>
    <w:rsid w:val="00B23A63"/>
    <w:rsid w:val="00B25258"/>
    <w:rsid w:val="00B266A4"/>
    <w:rsid w:val="00B3629B"/>
    <w:rsid w:val="00B36AFE"/>
    <w:rsid w:val="00B42B6F"/>
    <w:rsid w:val="00B46BC0"/>
    <w:rsid w:val="00B53EF5"/>
    <w:rsid w:val="00B7271F"/>
    <w:rsid w:val="00B75540"/>
    <w:rsid w:val="00B81163"/>
    <w:rsid w:val="00B92290"/>
    <w:rsid w:val="00B9395E"/>
    <w:rsid w:val="00B94301"/>
    <w:rsid w:val="00B96674"/>
    <w:rsid w:val="00BA0D3D"/>
    <w:rsid w:val="00BB2BEA"/>
    <w:rsid w:val="00BB2FE9"/>
    <w:rsid w:val="00BB34CD"/>
    <w:rsid w:val="00BB4067"/>
    <w:rsid w:val="00BB71C3"/>
    <w:rsid w:val="00BD7AF5"/>
    <w:rsid w:val="00BE0386"/>
    <w:rsid w:val="00BE03B8"/>
    <w:rsid w:val="00BE2699"/>
    <w:rsid w:val="00BE32C5"/>
    <w:rsid w:val="00C05965"/>
    <w:rsid w:val="00C06A86"/>
    <w:rsid w:val="00C079D9"/>
    <w:rsid w:val="00C12388"/>
    <w:rsid w:val="00C1282C"/>
    <w:rsid w:val="00C12DE0"/>
    <w:rsid w:val="00C14E48"/>
    <w:rsid w:val="00C16D34"/>
    <w:rsid w:val="00C17B07"/>
    <w:rsid w:val="00C23131"/>
    <w:rsid w:val="00C346EA"/>
    <w:rsid w:val="00C4248E"/>
    <w:rsid w:val="00C53043"/>
    <w:rsid w:val="00C54D2C"/>
    <w:rsid w:val="00C5736D"/>
    <w:rsid w:val="00C57712"/>
    <w:rsid w:val="00C60B74"/>
    <w:rsid w:val="00C740B8"/>
    <w:rsid w:val="00C81F8B"/>
    <w:rsid w:val="00C835C5"/>
    <w:rsid w:val="00C83A98"/>
    <w:rsid w:val="00C83AE3"/>
    <w:rsid w:val="00C910A0"/>
    <w:rsid w:val="00C915FD"/>
    <w:rsid w:val="00C91633"/>
    <w:rsid w:val="00CA44C2"/>
    <w:rsid w:val="00CA6C30"/>
    <w:rsid w:val="00CB0550"/>
    <w:rsid w:val="00CC3661"/>
    <w:rsid w:val="00CC3DAA"/>
    <w:rsid w:val="00CC4089"/>
    <w:rsid w:val="00CC442E"/>
    <w:rsid w:val="00CD1B7F"/>
    <w:rsid w:val="00CD70F8"/>
    <w:rsid w:val="00CE57EA"/>
    <w:rsid w:val="00CE580A"/>
    <w:rsid w:val="00CE641B"/>
    <w:rsid w:val="00CE755B"/>
    <w:rsid w:val="00CE790E"/>
    <w:rsid w:val="00CE7F12"/>
    <w:rsid w:val="00CF100B"/>
    <w:rsid w:val="00CF53C1"/>
    <w:rsid w:val="00D008E1"/>
    <w:rsid w:val="00D01B9D"/>
    <w:rsid w:val="00D078BE"/>
    <w:rsid w:val="00D07BC2"/>
    <w:rsid w:val="00D110DC"/>
    <w:rsid w:val="00D13F8A"/>
    <w:rsid w:val="00D15E47"/>
    <w:rsid w:val="00D1612F"/>
    <w:rsid w:val="00D2065C"/>
    <w:rsid w:val="00D20CE2"/>
    <w:rsid w:val="00D23434"/>
    <w:rsid w:val="00D377D4"/>
    <w:rsid w:val="00D55CED"/>
    <w:rsid w:val="00D561B7"/>
    <w:rsid w:val="00D600F3"/>
    <w:rsid w:val="00D63833"/>
    <w:rsid w:val="00D64077"/>
    <w:rsid w:val="00D67AB0"/>
    <w:rsid w:val="00D702C4"/>
    <w:rsid w:val="00D70413"/>
    <w:rsid w:val="00D70D45"/>
    <w:rsid w:val="00D720AE"/>
    <w:rsid w:val="00D77233"/>
    <w:rsid w:val="00D805A2"/>
    <w:rsid w:val="00D81411"/>
    <w:rsid w:val="00D83262"/>
    <w:rsid w:val="00D835BE"/>
    <w:rsid w:val="00D918D5"/>
    <w:rsid w:val="00D93E10"/>
    <w:rsid w:val="00D9468B"/>
    <w:rsid w:val="00D96A5A"/>
    <w:rsid w:val="00DA0A67"/>
    <w:rsid w:val="00DA0F7B"/>
    <w:rsid w:val="00DA5F8B"/>
    <w:rsid w:val="00DB3ECC"/>
    <w:rsid w:val="00DC11BA"/>
    <w:rsid w:val="00DC2E44"/>
    <w:rsid w:val="00DC4A56"/>
    <w:rsid w:val="00DD3A05"/>
    <w:rsid w:val="00DD4901"/>
    <w:rsid w:val="00DE7782"/>
    <w:rsid w:val="00DE78C9"/>
    <w:rsid w:val="00DF606E"/>
    <w:rsid w:val="00E04C2C"/>
    <w:rsid w:val="00E05749"/>
    <w:rsid w:val="00E061B9"/>
    <w:rsid w:val="00E11FA8"/>
    <w:rsid w:val="00E12CD7"/>
    <w:rsid w:val="00E2209D"/>
    <w:rsid w:val="00E24C24"/>
    <w:rsid w:val="00E25235"/>
    <w:rsid w:val="00E272F1"/>
    <w:rsid w:val="00E33F7B"/>
    <w:rsid w:val="00E40F2C"/>
    <w:rsid w:val="00E42057"/>
    <w:rsid w:val="00E4285D"/>
    <w:rsid w:val="00E43345"/>
    <w:rsid w:val="00E43759"/>
    <w:rsid w:val="00E51948"/>
    <w:rsid w:val="00E523BA"/>
    <w:rsid w:val="00E53D3F"/>
    <w:rsid w:val="00E611C8"/>
    <w:rsid w:val="00E65F1F"/>
    <w:rsid w:val="00E67B56"/>
    <w:rsid w:val="00E72F3E"/>
    <w:rsid w:val="00E82526"/>
    <w:rsid w:val="00E84865"/>
    <w:rsid w:val="00E84F57"/>
    <w:rsid w:val="00E85456"/>
    <w:rsid w:val="00EA0132"/>
    <w:rsid w:val="00EA35B4"/>
    <w:rsid w:val="00EA75C9"/>
    <w:rsid w:val="00EA7641"/>
    <w:rsid w:val="00EB592B"/>
    <w:rsid w:val="00EB7D3C"/>
    <w:rsid w:val="00EC4FBE"/>
    <w:rsid w:val="00EC771A"/>
    <w:rsid w:val="00ED1763"/>
    <w:rsid w:val="00ED198A"/>
    <w:rsid w:val="00EE0413"/>
    <w:rsid w:val="00EE07DB"/>
    <w:rsid w:val="00EE2006"/>
    <w:rsid w:val="00EE5C3B"/>
    <w:rsid w:val="00EF6958"/>
    <w:rsid w:val="00F005F3"/>
    <w:rsid w:val="00F024E9"/>
    <w:rsid w:val="00F02AEC"/>
    <w:rsid w:val="00F06944"/>
    <w:rsid w:val="00F10269"/>
    <w:rsid w:val="00F122BD"/>
    <w:rsid w:val="00F17E9B"/>
    <w:rsid w:val="00F213CA"/>
    <w:rsid w:val="00F22416"/>
    <w:rsid w:val="00F24669"/>
    <w:rsid w:val="00F24F1F"/>
    <w:rsid w:val="00F26607"/>
    <w:rsid w:val="00F27D21"/>
    <w:rsid w:val="00F36362"/>
    <w:rsid w:val="00F37BEB"/>
    <w:rsid w:val="00F432E8"/>
    <w:rsid w:val="00F45262"/>
    <w:rsid w:val="00F54DA5"/>
    <w:rsid w:val="00F56084"/>
    <w:rsid w:val="00F56BB2"/>
    <w:rsid w:val="00F61CBA"/>
    <w:rsid w:val="00F66233"/>
    <w:rsid w:val="00F777E7"/>
    <w:rsid w:val="00F879DF"/>
    <w:rsid w:val="00F90317"/>
    <w:rsid w:val="00F93683"/>
    <w:rsid w:val="00F97B41"/>
    <w:rsid w:val="00FA49C3"/>
    <w:rsid w:val="00FA76BB"/>
    <w:rsid w:val="00FB065C"/>
    <w:rsid w:val="00FB0C57"/>
    <w:rsid w:val="00FB1ACB"/>
    <w:rsid w:val="00FC1821"/>
    <w:rsid w:val="00FC1EB4"/>
    <w:rsid w:val="00FC4B5C"/>
    <w:rsid w:val="00FC5692"/>
    <w:rsid w:val="00FC77B2"/>
    <w:rsid w:val="00FD33AB"/>
    <w:rsid w:val="00FE0270"/>
    <w:rsid w:val="00FE0F05"/>
    <w:rsid w:val="00FE68D0"/>
    <w:rsid w:val="00FE75C7"/>
    <w:rsid w:val="00FF2295"/>
    <w:rsid w:val="00FF516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06"/>
    <w:rPr>
      <w:rFonts w:ascii="Arial" w:hAnsi="Arial"/>
      <w:color w:val="000000" w:themeColor="text1"/>
      <w:szCs w:val="22"/>
    </w:rPr>
  </w:style>
  <w:style w:type="paragraph" w:styleId="Heading1">
    <w:name w:val="heading 1"/>
    <w:basedOn w:val="Normal"/>
    <w:next w:val="Normal"/>
    <w:link w:val="Heading1Char"/>
    <w:uiPriority w:val="9"/>
    <w:qFormat/>
    <w:rsid w:val="00454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335538"/>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35538"/>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B05C1F"/>
    <w:pPr>
      <w:spacing w:before="180" w:after="180" w:line="240" w:lineRule="atLeast"/>
    </w:pPr>
    <w:rPr>
      <w:rFonts w:eastAsia="Cambria" w:cstheme="minorHAnsi"/>
    </w:rPr>
  </w:style>
  <w:style w:type="paragraph" w:styleId="ListBullet2">
    <w:name w:val="List Bullet 2"/>
    <w:basedOn w:val="Normal"/>
    <w:autoRedefine/>
    <w:uiPriority w:val="2"/>
    <w:qFormat/>
    <w:rsid w:val="00C12DE0"/>
    <w:pPr>
      <w:spacing w:before="120" w:after="180" w:line="240" w:lineRule="atLeast"/>
    </w:pPr>
    <w:rPr>
      <w:rFonts w:eastAsia="Cambria" w:cs="Times New Roman"/>
    </w:rPr>
  </w:style>
  <w:style w:type="paragraph" w:styleId="ListBullet3">
    <w:name w:val="List Bullet 3"/>
    <w:basedOn w:val="Normal"/>
    <w:autoRedefine/>
    <w:uiPriority w:val="2"/>
    <w:qFormat/>
    <w:rsid w:val="00BE0386"/>
    <w:pPr>
      <w:numPr>
        <w:numId w:val="2"/>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5"/>
      </w:numPr>
    </w:pPr>
  </w:style>
  <w:style w:type="paragraph" w:customStyle="1" w:styleId="Numberbullet0">
    <w:name w:val="Number bullet"/>
    <w:basedOn w:val="ListBullet"/>
    <w:autoRedefine/>
    <w:uiPriority w:val="3"/>
    <w:qFormat/>
    <w:rsid w:val="00B46BC0"/>
    <w:pPr>
      <w:numPr>
        <w:numId w:val="1"/>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BE0386"/>
    <w:pPr>
      <w:numPr>
        <w:numId w:val="3"/>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1"/>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206027"/>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206027"/>
    <w:rPr>
      <w:rFonts w:ascii="Arial" w:eastAsia="Cambria" w:hAnsi="Arial" w:cs="Times New Roman"/>
      <w:color w:val="333F48"/>
      <w:sz w:val="16"/>
      <w:szCs w:val="22"/>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4"/>
      </w:numPr>
      <w:tabs>
        <w:tab w:val="left" w:pos="425"/>
      </w:tabs>
    </w:pPr>
  </w:style>
  <w:style w:type="paragraph" w:customStyle="1" w:styleId="ListBullet-donotcross">
    <w:name w:val="List Bullet - do not (cross)"/>
    <w:basedOn w:val="ListBullet"/>
    <w:autoRedefine/>
    <w:uiPriority w:val="1"/>
    <w:qFormat/>
    <w:rsid w:val="00C83A98"/>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9D113D"/>
    <w:pPr>
      <w:spacing w:after="0" w:line="240" w:lineRule="auto"/>
    </w:pPr>
    <w:rPr>
      <w:rFonts w:ascii="Arial" w:hAnsi="Arial" w:cs="Arial"/>
      <w:color w:val="000000" w:themeColor="text1"/>
      <w:sz w:val="16"/>
      <w:szCs w:val="16"/>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paragraph" w:styleId="Revision">
    <w:name w:val="Revision"/>
    <w:hidden/>
    <w:uiPriority w:val="99"/>
    <w:semiHidden/>
    <w:rsid w:val="00CC4089"/>
    <w:pPr>
      <w:spacing w:after="0" w:line="240" w:lineRule="auto"/>
    </w:pPr>
    <w:rPr>
      <w:color w:val="000000" w:themeColor="text1"/>
      <w:sz w:val="22"/>
      <w:szCs w:val="22"/>
    </w:rPr>
  </w:style>
  <w:style w:type="table" w:customStyle="1" w:styleId="TableTGAblue1">
    <w:name w:val="Table TGA blue1"/>
    <w:basedOn w:val="TableNormal"/>
    <w:uiPriority w:val="99"/>
    <w:qFormat/>
    <w:rsid w:val="00F246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autoRedefine/>
    <w:uiPriority w:val="1"/>
    <w:qFormat/>
    <w:rsid w:val="00F24669"/>
    <w:pPr>
      <w:numPr>
        <w:numId w:val="6"/>
      </w:numPr>
      <w:tabs>
        <w:tab w:val="num" w:pos="360"/>
      </w:tabs>
      <w:ind w:left="1083"/>
    </w:pPr>
    <w:rPr>
      <w:rFonts w:cs="Arial"/>
      <w:color w:val="FF0000"/>
      <w:szCs w:val="20"/>
    </w:rPr>
  </w:style>
  <w:style w:type="character" w:styleId="FollowedHyperlink">
    <w:name w:val="FollowedHyperlink"/>
    <w:basedOn w:val="DefaultParagraphFont"/>
    <w:uiPriority w:val="99"/>
    <w:semiHidden/>
    <w:unhideWhenUsed/>
    <w:rsid w:val="00FE75C7"/>
    <w:rPr>
      <w:color w:val="954F72" w:themeColor="followedHyperlink"/>
      <w:u w:val="single"/>
    </w:rPr>
  </w:style>
  <w:style w:type="character" w:customStyle="1" w:styleId="fm-vol-iss-date">
    <w:name w:val="fm-vol-iss-date"/>
    <w:basedOn w:val="DefaultParagraphFont"/>
    <w:rsid w:val="00D008E1"/>
  </w:style>
  <w:style w:type="character" w:customStyle="1" w:styleId="doi">
    <w:name w:val="doi"/>
    <w:basedOn w:val="DefaultParagraphFont"/>
    <w:rsid w:val="00D008E1"/>
  </w:style>
  <w:style w:type="character" w:customStyle="1" w:styleId="cf01">
    <w:name w:val="cf01"/>
    <w:basedOn w:val="DefaultParagraphFont"/>
    <w:rsid w:val="00361624"/>
    <w:rPr>
      <w:rFonts w:ascii="Segoe UI" w:hAnsi="Segoe UI" w:cs="Segoe UI" w:hint="default"/>
      <w:sz w:val="18"/>
      <w:szCs w:val="18"/>
    </w:rPr>
  </w:style>
  <w:style w:type="paragraph" w:customStyle="1" w:styleId="Footnotetext0">
    <w:name w:val="Foot note text"/>
    <w:basedOn w:val="Normal"/>
    <w:qFormat/>
    <w:rsid w:val="00206027"/>
    <w:pPr>
      <w:spacing w:after="0"/>
    </w:pPr>
    <w:rPr>
      <w:sz w:val="16"/>
      <w:szCs w:val="16"/>
    </w:rPr>
  </w:style>
  <w:style w:type="character" w:customStyle="1" w:styleId="author">
    <w:name w:val="author"/>
    <w:basedOn w:val="DefaultParagraphFont"/>
    <w:rsid w:val="00206027"/>
  </w:style>
  <w:style w:type="character" w:customStyle="1" w:styleId="articletitle">
    <w:name w:val="articletitle"/>
    <w:basedOn w:val="DefaultParagraphFont"/>
    <w:rsid w:val="00206027"/>
  </w:style>
  <w:style w:type="character" w:customStyle="1" w:styleId="pubyear">
    <w:name w:val="pubyear"/>
    <w:basedOn w:val="DefaultParagraphFont"/>
    <w:rsid w:val="00206027"/>
  </w:style>
  <w:style w:type="character" w:customStyle="1" w:styleId="vol">
    <w:name w:val="vol"/>
    <w:basedOn w:val="DefaultParagraphFont"/>
    <w:rsid w:val="00206027"/>
  </w:style>
  <w:style w:type="character" w:customStyle="1" w:styleId="citedissue">
    <w:name w:val="citedissue"/>
    <w:basedOn w:val="DefaultParagraphFont"/>
    <w:rsid w:val="00206027"/>
  </w:style>
  <w:style w:type="character" w:customStyle="1" w:styleId="pagefirst">
    <w:name w:val="pagefirst"/>
    <w:basedOn w:val="DefaultParagraphFont"/>
    <w:rsid w:val="00206027"/>
  </w:style>
  <w:style w:type="character" w:customStyle="1" w:styleId="pagelast">
    <w:name w:val="pagelast"/>
    <w:basedOn w:val="DefaultParagraphFont"/>
    <w:rsid w:val="00206027"/>
  </w:style>
  <w:style w:type="character" w:customStyle="1" w:styleId="cf11">
    <w:name w:val="cf11"/>
    <w:basedOn w:val="DefaultParagraphFont"/>
    <w:rsid w:val="005951C6"/>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084016"/>
    <w:rPr>
      <w:rFonts w:ascii="Arial" w:hAnsi="Arial"/>
      <w:color w:val="000000" w:themeColor="text1"/>
      <w:szCs w:val="22"/>
    </w:rPr>
  </w:style>
  <w:style w:type="character" w:customStyle="1" w:styleId="Heading1Char">
    <w:name w:val="Heading 1 Char"/>
    <w:basedOn w:val="DefaultParagraphFont"/>
    <w:link w:val="Heading1"/>
    <w:uiPriority w:val="9"/>
    <w:rsid w:val="00454694"/>
    <w:rPr>
      <w:rFonts w:asciiTheme="majorHAnsi" w:eastAsiaTheme="majorEastAsia" w:hAnsiTheme="majorHAnsi" w:cstheme="majorBidi"/>
      <w:color w:val="2F5496" w:themeColor="accent1" w:themeShade="BF"/>
      <w:sz w:val="32"/>
      <w:szCs w:val="32"/>
    </w:rPr>
  </w:style>
  <w:style w:type="paragraph" w:customStyle="1" w:styleId="ListBulleti">
    <w:name w:val="List Bullet (i)"/>
    <w:basedOn w:val="ListBullet"/>
    <w:autoRedefine/>
    <w:uiPriority w:val="1"/>
    <w:qFormat/>
    <w:rsid w:val="00874773"/>
    <w:pPr>
      <w:numPr>
        <w:numId w:val="7"/>
      </w:numPr>
    </w:pPr>
    <w:rPr>
      <w:rFonts w:asciiTheme="minorHAnsi" w:hAnsiTheme="minorHAnsi" w:cs="Times New Roman"/>
      <w:color w:val="auto"/>
      <w:kern w:val="2"/>
      <w:sz w:val="22"/>
      <w14:ligatures w14:val="standardContextual"/>
    </w:rPr>
  </w:style>
  <w:style w:type="character" w:customStyle="1" w:styleId="normaltextrun">
    <w:name w:val="normaltextrun"/>
    <w:basedOn w:val="DefaultParagraphFont"/>
    <w:rsid w:val="00874773"/>
  </w:style>
  <w:style w:type="paragraph" w:styleId="TOC4">
    <w:name w:val="toc 4"/>
    <w:basedOn w:val="Normal"/>
    <w:next w:val="Normal"/>
    <w:autoRedefine/>
    <w:uiPriority w:val="39"/>
    <w:unhideWhenUsed/>
    <w:rsid w:val="004320AC"/>
    <w:pPr>
      <w:spacing w:after="100"/>
      <w:ind w:left="660"/>
    </w:pPr>
    <w:rPr>
      <w:rFonts w:asciiTheme="minorHAnsi" w:eastAsiaTheme="minorEastAsia" w:hAnsiTheme="minorHAnsi"/>
      <w:color w:val="auto"/>
      <w:kern w:val="2"/>
      <w:sz w:val="22"/>
      <w:lang w:eastAsia="en-AU"/>
      <w14:ligatures w14:val="standardContextual"/>
    </w:rPr>
  </w:style>
  <w:style w:type="paragraph" w:styleId="TOC5">
    <w:name w:val="toc 5"/>
    <w:basedOn w:val="Normal"/>
    <w:next w:val="Normal"/>
    <w:autoRedefine/>
    <w:uiPriority w:val="39"/>
    <w:unhideWhenUsed/>
    <w:rsid w:val="004320AC"/>
    <w:pPr>
      <w:spacing w:after="100"/>
      <w:ind w:left="880"/>
    </w:pPr>
    <w:rPr>
      <w:rFonts w:asciiTheme="minorHAnsi" w:eastAsiaTheme="minorEastAsia" w:hAnsiTheme="minorHAnsi"/>
      <w:color w:val="auto"/>
      <w:kern w:val="2"/>
      <w:sz w:val="22"/>
      <w:lang w:eastAsia="en-AU"/>
      <w14:ligatures w14:val="standardContextual"/>
    </w:rPr>
  </w:style>
  <w:style w:type="paragraph" w:styleId="TOC6">
    <w:name w:val="toc 6"/>
    <w:basedOn w:val="Normal"/>
    <w:next w:val="Normal"/>
    <w:autoRedefine/>
    <w:uiPriority w:val="39"/>
    <w:unhideWhenUsed/>
    <w:rsid w:val="004320AC"/>
    <w:pPr>
      <w:spacing w:after="100"/>
      <w:ind w:left="1100"/>
    </w:pPr>
    <w:rPr>
      <w:rFonts w:asciiTheme="minorHAnsi" w:eastAsiaTheme="minorEastAsia" w:hAnsiTheme="minorHAnsi"/>
      <w:color w:val="auto"/>
      <w:kern w:val="2"/>
      <w:sz w:val="22"/>
      <w:lang w:eastAsia="en-AU"/>
      <w14:ligatures w14:val="standardContextual"/>
    </w:rPr>
  </w:style>
  <w:style w:type="paragraph" w:styleId="TOC7">
    <w:name w:val="toc 7"/>
    <w:basedOn w:val="Normal"/>
    <w:next w:val="Normal"/>
    <w:autoRedefine/>
    <w:uiPriority w:val="39"/>
    <w:unhideWhenUsed/>
    <w:rsid w:val="004320AC"/>
    <w:pPr>
      <w:spacing w:after="100"/>
      <w:ind w:left="1320"/>
    </w:pPr>
    <w:rPr>
      <w:rFonts w:asciiTheme="minorHAnsi" w:eastAsiaTheme="minorEastAsia" w:hAnsiTheme="minorHAnsi"/>
      <w:color w:val="auto"/>
      <w:kern w:val="2"/>
      <w:sz w:val="22"/>
      <w:lang w:eastAsia="en-AU"/>
      <w14:ligatures w14:val="standardContextual"/>
    </w:rPr>
  </w:style>
  <w:style w:type="paragraph" w:styleId="TOC8">
    <w:name w:val="toc 8"/>
    <w:basedOn w:val="Normal"/>
    <w:next w:val="Normal"/>
    <w:autoRedefine/>
    <w:uiPriority w:val="39"/>
    <w:unhideWhenUsed/>
    <w:rsid w:val="004320AC"/>
    <w:pPr>
      <w:spacing w:after="100"/>
      <w:ind w:left="1540"/>
    </w:pPr>
    <w:rPr>
      <w:rFonts w:asciiTheme="minorHAnsi" w:eastAsiaTheme="minorEastAsia" w:hAnsiTheme="minorHAnsi"/>
      <w:color w:val="auto"/>
      <w:kern w:val="2"/>
      <w:sz w:val="22"/>
      <w:lang w:eastAsia="en-AU"/>
      <w14:ligatures w14:val="standardContextual"/>
    </w:rPr>
  </w:style>
  <w:style w:type="paragraph" w:styleId="TOC9">
    <w:name w:val="toc 9"/>
    <w:basedOn w:val="Normal"/>
    <w:next w:val="Normal"/>
    <w:autoRedefine/>
    <w:uiPriority w:val="39"/>
    <w:unhideWhenUsed/>
    <w:rsid w:val="004320AC"/>
    <w:pPr>
      <w:spacing w:after="100"/>
      <w:ind w:left="1760"/>
    </w:pPr>
    <w:rPr>
      <w:rFonts w:asciiTheme="minorHAnsi" w:eastAsiaTheme="minorEastAsia" w:hAnsiTheme="minorHAnsi"/>
      <w:color w:val="auto"/>
      <w:kern w:val="2"/>
      <w:sz w:val="22"/>
      <w:lang w:eastAsia="en-AU"/>
      <w14:ligatures w14:val="standardContextual"/>
    </w:rPr>
  </w:style>
  <w:style w:type="paragraph" w:customStyle="1" w:styleId="Default">
    <w:name w:val="Default"/>
    <w:rsid w:val="009B06CA"/>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customStyle="1" w:styleId="paragraph">
    <w:name w:val="paragraph"/>
    <w:basedOn w:val="Normal"/>
    <w:rsid w:val="009B06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
    <w:name w:val="Table TGA blue"/>
    <w:basedOn w:val="TableNormal"/>
    <w:uiPriority w:val="99"/>
    <w:qFormat/>
    <w:rsid w:val="009B06CA"/>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eop">
    <w:name w:val="eop"/>
    <w:basedOn w:val="DefaultParagraphFont"/>
    <w:rsid w:val="009B06CA"/>
  </w:style>
  <w:style w:type="character" w:customStyle="1" w:styleId="scxw158489010">
    <w:name w:val="scxw158489010"/>
    <w:basedOn w:val="DefaultParagraphFont"/>
    <w:rsid w:val="009B06CA"/>
  </w:style>
  <w:style w:type="paragraph" w:styleId="TOCHeading">
    <w:name w:val="TOC Heading"/>
    <w:basedOn w:val="Heading1"/>
    <w:next w:val="Normal"/>
    <w:uiPriority w:val="39"/>
    <w:unhideWhenUsed/>
    <w:qFormat/>
    <w:rsid w:val="002B5C5B"/>
    <w:pPr>
      <w:outlineLvl w:val="9"/>
    </w:pPr>
    <w:rPr>
      <w:lang w:val="en-US"/>
    </w:rPr>
  </w:style>
  <w:style w:type="paragraph" w:styleId="EndnoteText">
    <w:name w:val="endnote text"/>
    <w:basedOn w:val="Normal"/>
    <w:link w:val="EndnoteTextChar"/>
    <w:uiPriority w:val="99"/>
    <w:semiHidden/>
    <w:unhideWhenUsed/>
    <w:rsid w:val="008C6CF9"/>
    <w:pPr>
      <w:spacing w:after="0" w:line="240" w:lineRule="auto"/>
    </w:pPr>
    <w:rPr>
      <w:szCs w:val="20"/>
    </w:rPr>
  </w:style>
  <w:style w:type="character" w:customStyle="1" w:styleId="EndnoteTextChar">
    <w:name w:val="Endnote Text Char"/>
    <w:basedOn w:val="DefaultParagraphFont"/>
    <w:link w:val="EndnoteText"/>
    <w:uiPriority w:val="99"/>
    <w:semiHidden/>
    <w:rsid w:val="008C6CF9"/>
    <w:rPr>
      <w:rFonts w:ascii="Arial" w:hAnsi="Arial"/>
      <w:color w:val="000000" w:themeColor="text1"/>
    </w:rPr>
  </w:style>
  <w:style w:type="character" w:styleId="EndnoteReference">
    <w:name w:val="endnote reference"/>
    <w:basedOn w:val="DefaultParagraphFont"/>
    <w:uiPriority w:val="99"/>
    <w:semiHidden/>
    <w:unhideWhenUsed/>
    <w:rsid w:val="008C6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930176">
      <w:bodyDiv w:val="1"/>
      <w:marLeft w:val="0"/>
      <w:marRight w:val="0"/>
      <w:marTop w:val="0"/>
      <w:marBottom w:val="0"/>
      <w:divBdr>
        <w:top w:val="none" w:sz="0" w:space="0" w:color="auto"/>
        <w:left w:val="none" w:sz="0" w:space="0" w:color="auto"/>
        <w:bottom w:val="none" w:sz="0" w:space="0" w:color="auto"/>
        <w:right w:val="none" w:sz="0" w:space="0" w:color="auto"/>
      </w:divBdr>
      <w:divsChild>
        <w:div w:id="1743988268">
          <w:marLeft w:val="0"/>
          <w:marRight w:val="0"/>
          <w:marTop w:val="0"/>
          <w:marBottom w:val="0"/>
          <w:divBdr>
            <w:top w:val="none" w:sz="0" w:space="0" w:color="auto"/>
            <w:left w:val="none" w:sz="0" w:space="0" w:color="auto"/>
            <w:bottom w:val="none" w:sz="0" w:space="0" w:color="auto"/>
            <w:right w:val="none" w:sz="0" w:space="0" w:color="auto"/>
          </w:divBdr>
        </w:div>
        <w:div w:id="2094618935">
          <w:marLeft w:val="0"/>
          <w:marRight w:val="0"/>
          <w:marTop w:val="0"/>
          <w:marBottom w:val="0"/>
          <w:divBdr>
            <w:top w:val="none" w:sz="0" w:space="0" w:color="auto"/>
            <w:left w:val="none" w:sz="0" w:space="0" w:color="auto"/>
            <w:bottom w:val="none" w:sz="0" w:space="0" w:color="auto"/>
            <w:right w:val="none" w:sz="0" w:space="0" w:color="auto"/>
          </w:divBdr>
        </w:div>
      </w:divsChild>
    </w:div>
    <w:div w:id="975795127">
      <w:bodyDiv w:val="1"/>
      <w:marLeft w:val="0"/>
      <w:marRight w:val="0"/>
      <w:marTop w:val="0"/>
      <w:marBottom w:val="0"/>
      <w:divBdr>
        <w:top w:val="none" w:sz="0" w:space="0" w:color="auto"/>
        <w:left w:val="none" w:sz="0" w:space="0" w:color="auto"/>
        <w:bottom w:val="none" w:sz="0" w:space="0" w:color="auto"/>
        <w:right w:val="none" w:sz="0" w:space="0" w:color="auto"/>
      </w:divBdr>
    </w:div>
    <w:div w:id="996493112">
      <w:bodyDiv w:val="1"/>
      <w:marLeft w:val="0"/>
      <w:marRight w:val="0"/>
      <w:marTop w:val="0"/>
      <w:marBottom w:val="0"/>
      <w:divBdr>
        <w:top w:val="none" w:sz="0" w:space="0" w:color="auto"/>
        <w:left w:val="none" w:sz="0" w:space="0" w:color="auto"/>
        <w:bottom w:val="none" w:sz="0" w:space="0" w:color="auto"/>
        <w:right w:val="none" w:sz="0" w:space="0" w:color="auto"/>
      </w:divBdr>
    </w:div>
    <w:div w:id="1477255627">
      <w:bodyDiv w:val="1"/>
      <w:marLeft w:val="0"/>
      <w:marRight w:val="0"/>
      <w:marTop w:val="0"/>
      <w:marBottom w:val="0"/>
      <w:divBdr>
        <w:top w:val="none" w:sz="0" w:space="0" w:color="auto"/>
        <w:left w:val="none" w:sz="0" w:space="0" w:color="auto"/>
        <w:bottom w:val="none" w:sz="0" w:space="0" w:color="auto"/>
        <w:right w:val="none" w:sz="0" w:space="0" w:color="auto"/>
      </w:divBdr>
    </w:div>
    <w:div w:id="1548372662">
      <w:bodyDiv w:val="1"/>
      <w:marLeft w:val="0"/>
      <w:marRight w:val="0"/>
      <w:marTop w:val="0"/>
      <w:marBottom w:val="0"/>
      <w:divBdr>
        <w:top w:val="none" w:sz="0" w:space="0" w:color="auto"/>
        <w:left w:val="none" w:sz="0" w:space="0" w:color="auto"/>
        <w:bottom w:val="none" w:sz="0" w:space="0" w:color="auto"/>
        <w:right w:val="none" w:sz="0" w:space="0" w:color="auto"/>
      </w:divBdr>
    </w:div>
    <w:div w:id="20205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ga.copyright@tga.gov.au" TargetMode="External"/><Relationship Id="rId18" Type="http://schemas.openxmlformats.org/officeDocument/2006/relationships/hyperlink" Target="https://www.tga.gov.au/resources/publication/scheduling-decisions-interim/notice-interim-decisions-proposed-amendments-poisons-standard-accs-40-and-joint-acms-accs-39-march-2025" TargetMode="External"/><Relationship Id="rId26" Type="http://schemas.openxmlformats.org/officeDocument/2006/relationships/hyperlink" Target="https://www.tga.gov.au/resources/publication/scheduling-decisions-interim/notice-interim-decisions-proposed-amendments-poisons-standard-accs-40-and-joint-acms-accs-39-march-2025" TargetMode="External"/><Relationship Id="rId39" Type="http://schemas.openxmlformats.org/officeDocument/2006/relationships/hyperlink" Target="https://www.tga.gov.au/resources/publication/scheduling-decisions-interim/notice-interim-decisions-proposed-amendments-poisons-standard-accs-40-and-joint-acms-accs-39-march-2025" TargetMode="External"/><Relationship Id="rId21" Type="http://schemas.openxmlformats.org/officeDocument/2006/relationships/hyperlink" Target="https://consultations.tga.gov.au/tga/scheduling-interim-decision-march-2025/" TargetMode="External"/><Relationship Id="rId34" Type="http://schemas.openxmlformats.org/officeDocument/2006/relationships/hyperlink" Target="https://consultations.tga.gov.au/tga/scheduling-pre-meeting-march-2025/user_uploads/pre-meeting-public-notice--march-2025.pdf" TargetMode="External"/><Relationship Id="rId42" Type="http://schemas.openxmlformats.org/officeDocument/2006/relationships/hyperlink" Target="https://consultations.tga.gov.au/tga/scheduling-interim-decision-march-2025/" TargetMode="External"/><Relationship Id="rId47" Type="http://schemas.openxmlformats.org/officeDocument/2006/relationships/hyperlink" Target="https://cdn.who.int/media/docs/default-source/controlled-substances/unedited--advance-copy-44th-ecdd-review-report_kratom.pdf?utm_source=chatgpt.com" TargetMode="External"/><Relationship Id="rId50" Type="http://schemas.openxmlformats.org/officeDocument/2006/relationships/hyperlink" Target="mailto:info@tga.gov.au"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dnservices.industrialchemicals.gov.au/statements/EVA00125%20-%20Evaluation%20Statement%20-%2014%20December%202023.pdf" TargetMode="External"/><Relationship Id="rId29" Type="http://schemas.openxmlformats.org/officeDocument/2006/relationships/hyperlink" Target="https://consultations.tga.gov.au/tga/scheduling-interim-decision-march-2024/" TargetMode="External"/><Relationship Id="rId11" Type="http://schemas.openxmlformats.org/officeDocument/2006/relationships/footer" Target="footer2.xml"/><Relationship Id="rId24" Type="http://schemas.openxmlformats.org/officeDocument/2006/relationships/hyperlink" Target="https://www.industrialchemicals.gov.au/sites/default/files/2024-06/EVA00130%20-%20Evaluation%20Statement%20-%2026%20June%202024.pdf" TargetMode="External"/><Relationship Id="rId32" Type="http://schemas.openxmlformats.org/officeDocument/2006/relationships/hyperlink" Target="https://consultations.tga.gov.au/tga/scheduling-interim-decision-march-2024/" TargetMode="External"/><Relationship Id="rId37" Type="http://schemas.openxmlformats.org/officeDocument/2006/relationships/hyperlink" Target="https://consultations.tga.gov.au/tga/scheduling-interim-decision-march-2025/" TargetMode="External"/><Relationship Id="rId40" Type="http://schemas.openxmlformats.org/officeDocument/2006/relationships/hyperlink" Target="https://consultations.tga.gov.au/tga/scheduling-interim-decision-march-2025/" TargetMode="External"/><Relationship Id="rId45" Type="http://schemas.openxmlformats.org/officeDocument/2006/relationships/hyperlink" Target="https://consultations.tga.gov.au/tga/scheduling-interim-decision-march-2025/"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consultations.tga.gov.au/tga/scheduling-interim-decision-march-2024/" TargetMode="External"/><Relationship Id="rId31" Type="http://schemas.openxmlformats.org/officeDocument/2006/relationships/hyperlink" Target="https://www.tga.gov.au/resources/publication/scheduling-decisions-interim/notice-interim-decisions-proposed-amendments-poisons-standard-accs-40-and-joint-acms-accs-39-march-2025" TargetMode="External"/><Relationship Id="rId44" Type="http://schemas.openxmlformats.org/officeDocument/2006/relationships/hyperlink" Target="https://www.tga.gov.au/resources/publication/scheduling-decisions-interim/notice-interim-decisions-proposed-amendments-poisons-standard-accs-40-and-joint-acms-accs-39-march-2025"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publication/ahmac-scheduling-policy-framework-medicines-and-chemicals" TargetMode="External"/><Relationship Id="rId22" Type="http://schemas.openxmlformats.org/officeDocument/2006/relationships/hyperlink" Target="https://www.ajcsd.org/chrip_search/cmpInfDsp?cid=C005-148-23A&amp;bcPtn=1&amp;shMd=0&amp;txNumSh=&amp;ltNumTp=1&amp;ltNumMh=0&amp;txNmSh=YnV0YW5vbmUgb3hpbWU=&amp;ltNmTp=&amp;ltNmMh=1&amp;txNmSh1=&amp;ltNmTp1=&amp;txNmSh2=&amp;ltNmTp2=&amp;txNmSh3=&amp;ltNmTp3=&amp;txMlSh=&amp;ltMlMh=0&amp;ltScDp=0&amp;ltPgCtSt=10&amp;rbDp=0&amp;txScSML=&amp;txScSML2=&amp;ltScTp=&amp;txUpScFl=null&amp;hdUpScPh=&amp;hdUpHash=&amp;rbScMh=&amp;txScNyMh=&amp;txMlWtSt=&amp;txMlWtEd=&amp;err=" TargetMode="External"/><Relationship Id="rId27" Type="http://schemas.openxmlformats.org/officeDocument/2006/relationships/hyperlink" Target="https://consultations.tga.gov.au/tga/scheduling-interim-decision-march-2025/" TargetMode="External"/><Relationship Id="rId30" Type="http://schemas.openxmlformats.org/officeDocument/2006/relationships/hyperlink" Target="https://consultations.tga.gov.au/tga/scheduling-pre-meeting-march-2025/user_uploads/pre-meeting-public-notice--march-2025.pdf" TargetMode="External"/><Relationship Id="rId35" Type="http://schemas.openxmlformats.org/officeDocument/2006/relationships/hyperlink" Target="https://www.tga.gov.au/resources/publication/scheduling-decisions-interim/notice-interim-decisions-proposed-amendments-poisons-standard-accs-40-and-joint-acms-accs-39-march-2025" TargetMode="External"/><Relationship Id="rId43" Type="http://schemas.openxmlformats.org/officeDocument/2006/relationships/hyperlink" Target="https://consultations.tga.gov.au/tga/scheduling-pre-meeting-march-2025/user_uploads/pre-meeting-public-notice--march-2025.pdf" TargetMode="External"/><Relationship Id="rId48" Type="http://schemas.openxmlformats.org/officeDocument/2006/relationships/header" Target="header4.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tga.gov.a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onsultations.tga.gov.au/tga/scheduling-pre-meeting-march-2025/user_uploads/pre-meeting-public-notice--march-2025.pdf" TargetMode="External"/><Relationship Id="rId25" Type="http://schemas.openxmlformats.org/officeDocument/2006/relationships/hyperlink" Target="https://consultations.tga.gov.au/tga/scheduling-pre-meeting-march-2025/user_uploads/pre-meeting-public-notice--march-2025.pdf" TargetMode="External"/><Relationship Id="rId33" Type="http://schemas.openxmlformats.org/officeDocument/2006/relationships/hyperlink" Target="https://consultations.tga.gov.au/tga/scheduling-interim-decision-march-2025/" TargetMode="External"/><Relationship Id="rId38" Type="http://schemas.openxmlformats.org/officeDocument/2006/relationships/hyperlink" Target="https://consultations.tga.gov.au/tga/scheduling-pre-meeting-march-2025/user_uploads/pre-meeting-public-notice--march-2025.pdf" TargetMode="External"/><Relationship Id="rId46" Type="http://schemas.openxmlformats.org/officeDocument/2006/relationships/hyperlink" Target="https://consultations.tga.gov.au/tga/scheduling-interim-decision-march-2025/" TargetMode="External"/><Relationship Id="rId20" Type="http://schemas.openxmlformats.org/officeDocument/2006/relationships/hyperlink" Target="https://consultations.tga.gov.au/tga/scheduling-interim-decision-march-2025/" TargetMode="External"/><Relationship Id="rId41" Type="http://schemas.openxmlformats.org/officeDocument/2006/relationships/hyperlink" Target="https://consultations.tga.gov.au/tga/scheduling-interim-decision-march-202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publication/scheduling-handbook-guidance-amending-poisons-standard" TargetMode="External"/><Relationship Id="rId23" Type="http://schemas.openxmlformats.org/officeDocument/2006/relationships/hyperlink" Target="https://www.industrialchemicals.gov.au/sites/default/files/2025-06/EVA00181%20-%20Evaluation%20statement%20-%2026%20June%202025.pdf" TargetMode="External"/><Relationship Id="rId28" Type="http://schemas.openxmlformats.org/officeDocument/2006/relationships/hyperlink" Target="https://www.industrialchemicals.gov.au/sites/default/files/2024-04/EVA00146%20-%20Draft%20Evaluation%20Statement%20-%2015%20April%202024.pdf" TargetMode="External"/><Relationship Id="rId36" Type="http://schemas.openxmlformats.org/officeDocument/2006/relationships/hyperlink" Target="https://consultations.tga.gov.au/tga/scheduling-interim-decision-march-2024/" TargetMode="Externa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2147/SAR.S164261" TargetMode="External"/><Relationship Id="rId13" Type="http://schemas.openxmlformats.org/officeDocument/2006/relationships/hyperlink" Target="https://www.frontiersin.org/journals/pharmacology/articles/10.3389/fphar.2021.775073/full" TargetMode="External"/><Relationship Id="rId18" Type="http://schemas.openxmlformats.org/officeDocument/2006/relationships/hyperlink" Target="https://www.ncbi.nlm.nih.gov/books/NBK548231/" TargetMode="External"/><Relationship Id="rId26" Type="http://schemas.openxmlformats.org/officeDocument/2006/relationships/hyperlink" Target="https://asean.org/wp-content/uploads/2021/01/ASEAN-Guiding-Principles-for-Inclusion-Into-or-Exclusion-from-the-Negative-List-of-Substances-for-Health-Supplements-1.pdf" TargetMode="External"/><Relationship Id="rId3" Type="http://schemas.openxmlformats.org/officeDocument/2006/relationships/hyperlink" Target="https://www.industrialchemicals.gov.au/sites/default/files/2024-06/EVA00141%20-%20Evaluation%20Statement%20-%2026%20June%202024.pdf" TargetMode="External"/><Relationship Id="rId21" Type="http://schemas.openxmlformats.org/officeDocument/2006/relationships/hyperlink" Target="https://www.fda.gov/media/187899/download?attachment" TargetMode="External"/><Relationship Id="rId7" Type="http://schemas.openxmlformats.org/officeDocument/2006/relationships/hyperlink" Target="https://www.tga.gov.au/sites/default/files/2024-04/notice-final-decision-amend-the-current-poisons-standard-relation-bromoxynil.pdf" TargetMode="External"/><Relationship Id="rId12" Type="http://schemas.openxmlformats.org/officeDocument/2006/relationships/hyperlink" Target="https://journals.lww.com/journaladdictionmedicine/abstract/2022/04000/the_use_of_kratom__mitragyna_speciosa_korth__.19.aspx" TargetMode="External"/><Relationship Id="rId17" Type="http://schemas.openxmlformats.org/officeDocument/2006/relationships/hyperlink" Target="http://www.jstor.org/stable/resrep44196.7" TargetMode="External"/><Relationship Id="rId25" Type="http://schemas.openxmlformats.org/officeDocument/2006/relationships/hyperlink" Target="https://www.austchamthailand.com/resources/news/thailands-updated-guidelines-kratom-food-and-herbal-products" TargetMode="External"/><Relationship Id="rId2" Type="http://schemas.openxmlformats.org/officeDocument/2006/relationships/hyperlink" Target="https://www.canada.ca/en/health-canada/programs/consultation-proposed-risk-management-actions-2-butanone-oxime/document.html" TargetMode="External"/><Relationship Id="rId16" Type="http://schemas.openxmlformats.org/officeDocument/2006/relationships/hyperlink" Target="https://www.ncbi.nlm.nih.gov/books/NBK585120/" TargetMode="External"/><Relationship Id="rId20" Type="http://schemas.openxmlformats.org/officeDocument/2006/relationships/hyperlink" Target="https://cdn.who.int/media/docs/default-source/controlled-substances/unedited--advance-copy-44th-ecdd-review-report_kratom.pdf" TargetMode="External"/><Relationship Id="rId29" Type="http://schemas.openxmlformats.org/officeDocument/2006/relationships/hyperlink" Target="https://doi.org/10.1016/j.disamonth.2022.101442" TargetMode="External"/><Relationship Id="rId1" Type="http://schemas.openxmlformats.org/officeDocument/2006/relationships/hyperlink" Target="https://www.tga.gov.au/sites/default/files/reasons-scheduling-delegates-final-decisions-march-2015-chemicals.pdf" TargetMode="External"/><Relationship Id="rId6" Type="http://schemas.openxmlformats.org/officeDocument/2006/relationships/hyperlink" Target="https://www.tga.gov.au/sites/default/files/2023-09/notice-final-decision-amend-not-amend-current-poisons-standard-acms41-accs-36-joint-acms-accs-33.pdf" TargetMode="External"/><Relationship Id="rId11" Type="http://schemas.openxmlformats.org/officeDocument/2006/relationships/hyperlink" Target="https://pubs.acs.org/doi/10.1021/acschemneuro.2c00704" TargetMode="External"/><Relationship Id="rId24" Type="http://schemas.openxmlformats.org/officeDocument/2006/relationships/hyperlink" Target="https://www.medsafe.govt.nz/profs/PUArticles/December2021/Kratom-not-such-a-nice-cup-of-tea.html" TargetMode="External"/><Relationship Id="rId32" Type="http://schemas.openxmlformats.org/officeDocument/2006/relationships/hyperlink" Target="https://doi.org/10.1016/j.fct.2024.114913" TargetMode="External"/><Relationship Id="rId5" Type="http://schemas.openxmlformats.org/officeDocument/2006/relationships/hyperlink" Target="https://doi.org/10.2903/j.efsa.2023.8455" TargetMode="External"/><Relationship Id="rId15" Type="http://schemas.openxmlformats.org/officeDocument/2006/relationships/hyperlink" Target="https://pubmed.ncbi.nlm.nih.gov/32607084/" TargetMode="External"/><Relationship Id="rId23" Type="http://schemas.openxmlformats.org/officeDocument/2006/relationships/hyperlink" Target="http://www.eka.eu/legality" TargetMode="External"/><Relationship Id="rId28" Type="http://schemas.openxmlformats.org/officeDocument/2006/relationships/hyperlink" Target="https://doi.org/10.1016/j.fct.2024.114913" TargetMode="External"/><Relationship Id="rId10" Type="http://schemas.openxmlformats.org/officeDocument/2006/relationships/hyperlink" Target="https://www.sciencedirect.com/science/article/abs/pii/S037887411630678X?via%3Dihub" TargetMode="External"/><Relationship Id="rId19" Type="http://schemas.openxmlformats.org/officeDocument/2006/relationships/hyperlink" Target="http://www.jstor.org/stable/resrep44196.7" TargetMode="External"/><Relationship Id="rId31" Type="http://schemas.openxmlformats.org/officeDocument/2006/relationships/hyperlink" Target="https://doi.org/10.1002/hup.2582" TargetMode="External"/><Relationship Id="rId4" Type="http://schemas.openxmlformats.org/officeDocument/2006/relationships/hyperlink" Target="https://doi.org/10.1080/15563650.2017.1327067" TargetMode="External"/><Relationship Id="rId9" Type="http://schemas.openxmlformats.org/officeDocument/2006/relationships/hyperlink" Target="https://www.ncbi.nlm.nih.gov/books/NBK585120/" TargetMode="External"/><Relationship Id="rId14" Type="http://schemas.openxmlformats.org/officeDocument/2006/relationships/hyperlink" Target="https://onlinelibrary.wiley.com/doi/10.1002/hup.2805" TargetMode="External"/><Relationship Id="rId22" Type="http://schemas.openxmlformats.org/officeDocument/2006/relationships/hyperlink" Target="https://cdn.who.int/media/docs/default-source/controlled-substances/unedited--advance-copy-44th-ecdd-review-report_kratom.pdf" TargetMode="External"/><Relationship Id="rId27" Type="http://schemas.openxmlformats.org/officeDocument/2006/relationships/hyperlink" Target="https://www.tga.gov.au/products/unapproved-therapeutic-goods/access-pathways/clinical-trials" TargetMode="External"/><Relationship Id="rId30" Type="http://schemas.openxmlformats.org/officeDocument/2006/relationships/hyperlink" Target="https://doi.org/10.1093/ajhp/zxz22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5A4BA9A404F458DACD80D804912F4"/>
        <w:category>
          <w:name w:val="General"/>
          <w:gallery w:val="placeholder"/>
        </w:category>
        <w:types>
          <w:type w:val="bbPlcHdr"/>
        </w:types>
        <w:behaviors>
          <w:behavior w:val="content"/>
        </w:behaviors>
        <w:guid w:val="{D807D705-4CE4-4EEA-B162-0F2864C249BA}"/>
      </w:docPartPr>
      <w:docPartBody>
        <w:p w:rsidR="00571B28" w:rsidRDefault="00571B28" w:rsidP="00571B28">
          <w:pPr>
            <w:pStyle w:val="D865A4BA9A404F458DACD80D804912F4"/>
          </w:pPr>
          <w:r w:rsidRPr="00B210A9">
            <w:rPr>
              <w:rStyle w:val="PlaceholderText"/>
            </w:rPr>
            <w:t>Click or tap here to enter text.</w:t>
          </w:r>
        </w:p>
      </w:docPartBody>
    </w:docPart>
    <w:docPart>
      <w:docPartPr>
        <w:name w:val="0ED38EC121E5402D991295D7E46EE66A"/>
        <w:category>
          <w:name w:val="General"/>
          <w:gallery w:val="placeholder"/>
        </w:category>
        <w:types>
          <w:type w:val="bbPlcHdr"/>
        </w:types>
        <w:behaviors>
          <w:behavior w:val="content"/>
        </w:behaviors>
        <w:guid w:val="{24833CA3-3DB7-455D-9917-52CAAB1A1EB4}"/>
      </w:docPartPr>
      <w:docPartBody>
        <w:p w:rsidR="00571B28" w:rsidRDefault="00571B28" w:rsidP="00571B28">
          <w:pPr>
            <w:pStyle w:val="0ED38EC121E5402D991295D7E46EE66A"/>
          </w:pPr>
          <w:r w:rsidRPr="00B210A9">
            <w:rPr>
              <w:rStyle w:val="PlaceholderText"/>
            </w:rPr>
            <w:t>Click or tap here to enter text.</w:t>
          </w:r>
        </w:p>
      </w:docPartBody>
    </w:docPart>
    <w:docPart>
      <w:docPartPr>
        <w:name w:val="BA97AD0BCF594CF5864DC28DFDA75B44"/>
        <w:category>
          <w:name w:val="General"/>
          <w:gallery w:val="placeholder"/>
        </w:category>
        <w:types>
          <w:type w:val="bbPlcHdr"/>
        </w:types>
        <w:behaviors>
          <w:behavior w:val="content"/>
        </w:behaviors>
        <w:guid w:val="{D3259531-CE70-4D0A-8733-29C75BDB3FE2}"/>
      </w:docPartPr>
      <w:docPartBody>
        <w:p w:rsidR="00571B28" w:rsidRDefault="00571B28" w:rsidP="00571B28">
          <w:pPr>
            <w:pStyle w:val="BA97AD0BCF594CF5864DC28DFDA75B44"/>
          </w:pPr>
          <w:r w:rsidRPr="00B210A9">
            <w:rPr>
              <w:rStyle w:val="PlaceholderText"/>
            </w:rPr>
            <w:t>Click or tap here to enter text.</w:t>
          </w:r>
        </w:p>
      </w:docPartBody>
    </w:docPart>
    <w:docPart>
      <w:docPartPr>
        <w:name w:val="BFC8D8D342D145B39D203BD5EDCC8641"/>
        <w:category>
          <w:name w:val="General"/>
          <w:gallery w:val="placeholder"/>
        </w:category>
        <w:types>
          <w:type w:val="bbPlcHdr"/>
        </w:types>
        <w:behaviors>
          <w:behavior w:val="content"/>
        </w:behaviors>
        <w:guid w:val="{8C34645C-5028-4252-9F80-39498002BB9C}"/>
      </w:docPartPr>
      <w:docPartBody>
        <w:p w:rsidR="00571B28" w:rsidRDefault="00571B28" w:rsidP="00571B28">
          <w:pPr>
            <w:pStyle w:val="BFC8D8D342D145B39D203BD5EDCC8641"/>
          </w:pPr>
          <w:r w:rsidRPr="0077627B">
            <w:rPr>
              <w:rStyle w:val="PlaceholderText"/>
            </w:rPr>
            <w:t>Click or tap here to enter text.</w:t>
          </w:r>
        </w:p>
      </w:docPartBody>
    </w:docPart>
    <w:docPart>
      <w:docPartPr>
        <w:name w:val="9A990261E00F4EB5BA2201BFE06249E3"/>
        <w:category>
          <w:name w:val="General"/>
          <w:gallery w:val="placeholder"/>
        </w:category>
        <w:types>
          <w:type w:val="bbPlcHdr"/>
        </w:types>
        <w:behaviors>
          <w:behavior w:val="content"/>
        </w:behaviors>
        <w:guid w:val="{9B585CA0-A2D7-4303-8FF5-ACDB2BADF3F6}"/>
      </w:docPartPr>
      <w:docPartBody>
        <w:p w:rsidR="00571B28" w:rsidRDefault="00571B28" w:rsidP="00571B28">
          <w:pPr>
            <w:pStyle w:val="9A990261E00F4EB5BA2201BFE06249E3"/>
          </w:pPr>
          <w:r w:rsidRPr="0077627B">
            <w:rPr>
              <w:rStyle w:val="PlaceholderText"/>
            </w:rPr>
            <w:t>Click or tap here to enter text.</w:t>
          </w:r>
        </w:p>
      </w:docPartBody>
    </w:docPart>
    <w:docPart>
      <w:docPartPr>
        <w:name w:val="2D7D4C069B7F4221B3361A99C96DCDDB"/>
        <w:category>
          <w:name w:val="General"/>
          <w:gallery w:val="placeholder"/>
        </w:category>
        <w:types>
          <w:type w:val="bbPlcHdr"/>
        </w:types>
        <w:behaviors>
          <w:behavior w:val="content"/>
        </w:behaviors>
        <w:guid w:val="{25AE471C-25E7-4D13-88F3-CAFD9100EDF4}"/>
      </w:docPartPr>
      <w:docPartBody>
        <w:p w:rsidR="00571B28" w:rsidRDefault="00571B28" w:rsidP="00571B28">
          <w:pPr>
            <w:pStyle w:val="2D7D4C069B7F4221B3361A99C96DCDDB"/>
          </w:pPr>
          <w:r w:rsidRPr="0077627B">
            <w:rPr>
              <w:rStyle w:val="PlaceholderText"/>
            </w:rPr>
            <w:t>Click or tap here to enter text.</w:t>
          </w:r>
        </w:p>
      </w:docPartBody>
    </w:docPart>
    <w:docPart>
      <w:docPartPr>
        <w:name w:val="AD4F7CAC1B3549D291E5A0D2710AF0DE"/>
        <w:category>
          <w:name w:val="General"/>
          <w:gallery w:val="placeholder"/>
        </w:category>
        <w:types>
          <w:type w:val="bbPlcHdr"/>
        </w:types>
        <w:behaviors>
          <w:behavior w:val="content"/>
        </w:behaviors>
        <w:guid w:val="{C64E0F78-B2CD-4B52-936D-6E0B450F9B7D}"/>
      </w:docPartPr>
      <w:docPartBody>
        <w:p w:rsidR="00571B28" w:rsidRDefault="00571B28" w:rsidP="00571B28">
          <w:pPr>
            <w:pStyle w:val="AD4F7CAC1B3549D291E5A0D2710AF0DE"/>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28"/>
    <w:rsid w:val="0001457C"/>
    <w:rsid w:val="0001559A"/>
    <w:rsid w:val="00067210"/>
    <w:rsid w:val="000916C9"/>
    <w:rsid w:val="00094A44"/>
    <w:rsid w:val="000B1BF9"/>
    <w:rsid w:val="000B219A"/>
    <w:rsid w:val="00124A74"/>
    <w:rsid w:val="0019496D"/>
    <w:rsid w:val="00216CA2"/>
    <w:rsid w:val="00226093"/>
    <w:rsid w:val="0024249F"/>
    <w:rsid w:val="002B522E"/>
    <w:rsid w:val="002E020E"/>
    <w:rsid w:val="00335D9C"/>
    <w:rsid w:val="003448BE"/>
    <w:rsid w:val="003C04A2"/>
    <w:rsid w:val="003C4982"/>
    <w:rsid w:val="003E5601"/>
    <w:rsid w:val="0042723E"/>
    <w:rsid w:val="00454D53"/>
    <w:rsid w:val="004937E2"/>
    <w:rsid w:val="004C02BB"/>
    <w:rsid w:val="00545427"/>
    <w:rsid w:val="005473E2"/>
    <w:rsid w:val="005600D6"/>
    <w:rsid w:val="00571B28"/>
    <w:rsid w:val="0058377D"/>
    <w:rsid w:val="00596123"/>
    <w:rsid w:val="005E292C"/>
    <w:rsid w:val="006102D6"/>
    <w:rsid w:val="00615A55"/>
    <w:rsid w:val="00626061"/>
    <w:rsid w:val="006C5FC9"/>
    <w:rsid w:val="00755E7E"/>
    <w:rsid w:val="0077287F"/>
    <w:rsid w:val="007B5816"/>
    <w:rsid w:val="007F7F89"/>
    <w:rsid w:val="00811006"/>
    <w:rsid w:val="00844875"/>
    <w:rsid w:val="008A1A7B"/>
    <w:rsid w:val="008A3CF5"/>
    <w:rsid w:val="00914B92"/>
    <w:rsid w:val="009B39FE"/>
    <w:rsid w:val="009D5DE5"/>
    <w:rsid w:val="00A719B7"/>
    <w:rsid w:val="00A80EAA"/>
    <w:rsid w:val="00A90C24"/>
    <w:rsid w:val="00AA2F4A"/>
    <w:rsid w:val="00AC74A8"/>
    <w:rsid w:val="00B25258"/>
    <w:rsid w:val="00B32DA1"/>
    <w:rsid w:val="00C53043"/>
    <w:rsid w:val="00C57712"/>
    <w:rsid w:val="00C94D2F"/>
    <w:rsid w:val="00CA6470"/>
    <w:rsid w:val="00CC08BB"/>
    <w:rsid w:val="00D07419"/>
    <w:rsid w:val="00D70D45"/>
    <w:rsid w:val="00D90E5F"/>
    <w:rsid w:val="00DA028E"/>
    <w:rsid w:val="00DE7782"/>
    <w:rsid w:val="00E646FD"/>
    <w:rsid w:val="00E67B56"/>
    <w:rsid w:val="00ED0109"/>
    <w:rsid w:val="00F24F1F"/>
    <w:rsid w:val="00FF5D3D"/>
    <w:rsid w:val="00FF7A6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B28"/>
    <w:rPr>
      <w:color w:val="808080"/>
    </w:rPr>
  </w:style>
  <w:style w:type="paragraph" w:customStyle="1" w:styleId="D865A4BA9A404F458DACD80D804912F4">
    <w:name w:val="D865A4BA9A404F458DACD80D804912F4"/>
    <w:rsid w:val="00571B28"/>
  </w:style>
  <w:style w:type="paragraph" w:customStyle="1" w:styleId="0ED38EC121E5402D991295D7E46EE66A">
    <w:name w:val="0ED38EC121E5402D991295D7E46EE66A"/>
    <w:rsid w:val="00571B28"/>
  </w:style>
  <w:style w:type="paragraph" w:customStyle="1" w:styleId="BA97AD0BCF594CF5864DC28DFDA75B44">
    <w:name w:val="BA97AD0BCF594CF5864DC28DFDA75B44"/>
    <w:rsid w:val="00571B28"/>
  </w:style>
  <w:style w:type="paragraph" w:customStyle="1" w:styleId="BFC8D8D342D145B39D203BD5EDCC8641">
    <w:name w:val="BFC8D8D342D145B39D203BD5EDCC8641"/>
    <w:rsid w:val="00571B28"/>
  </w:style>
  <w:style w:type="paragraph" w:customStyle="1" w:styleId="9A990261E00F4EB5BA2201BFE06249E3">
    <w:name w:val="9A990261E00F4EB5BA2201BFE06249E3"/>
    <w:rsid w:val="00571B28"/>
  </w:style>
  <w:style w:type="paragraph" w:customStyle="1" w:styleId="2D7D4C069B7F4221B3361A99C96DCDDB">
    <w:name w:val="2D7D4C069B7F4221B3361A99C96DCDDB"/>
    <w:rsid w:val="00571B28"/>
  </w:style>
  <w:style w:type="paragraph" w:customStyle="1" w:styleId="AD4F7CAC1B3549D291E5A0D2710AF0DE">
    <w:name w:val="AD4F7CAC1B3549D291E5A0D2710AF0DE"/>
    <w:rsid w:val="00571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93</TotalTime>
  <Pages>35</Pages>
  <Words>11506</Words>
  <Characters>65586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Notice of final decisions to amend (or not amend) the current Poisons Standard - ACCS #40, Joint ACMS-ACCS #39</vt:lpstr>
    </vt:vector>
  </TitlesOfParts>
  <Company>Department of Health, Disability and Ageing</Company>
  <LinksUpToDate>false</LinksUpToDate>
  <CharactersWithSpaces>76939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 ACCS #40, Joint ACMS-ACCS #39</dc:title>
  <dc:subject>Scheduling decisions</dc:subject>
  <dc:creator>Therapeutic Goods Administration</dc:creator>
  <cp:keywords/>
  <dc:description/>
  <dcterms:created xsi:type="dcterms:W3CDTF">2026-05-22T02:16:00Z</dcterms:created>
  <dcterms:modified xsi:type="dcterms:W3CDTF">2026-05-22T04:47:00Z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594c1ae9,71003af8,6288cf4,20a58400,4055a5f6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53ca0be6,43479f54,7937d3f0,5a93058e,24a55e78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2026-01-29T02:57:15Z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28a94a0e-0311-416a-b5f2-1ed7cf7ac70a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